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F83A" w14:textId="77777777" w:rsidR="00A14720" w:rsidRPr="0039034E" w:rsidRDefault="00A14720" w:rsidP="00A14720">
      <w:pPr>
        <w:pBdr>
          <w:top w:val="single" w:sz="4" w:space="1" w:color="auto"/>
          <w:left w:val="single" w:sz="4" w:space="4" w:color="auto"/>
          <w:bottom w:val="single" w:sz="4" w:space="1" w:color="auto"/>
          <w:right w:val="single" w:sz="4" w:space="4" w:color="auto"/>
        </w:pBdr>
      </w:pPr>
      <w:r w:rsidRPr="0039034E">
        <w:t>Tento dokument představuje schválené informace o přípravku Glivec se změnami v textech, které byly provedeny od předchozí procedury s dopadem do informací o přípravku (</w:t>
      </w:r>
      <w:r w:rsidRPr="0039034E">
        <w:rPr>
          <w:lang w:val="en-GB"/>
        </w:rPr>
        <w:t>EMA/VR/0000282643</w:t>
      </w:r>
      <w:r w:rsidRPr="0039034E">
        <w:t>) a které jsou vyznačeny revizemi.</w:t>
      </w:r>
    </w:p>
    <w:p w14:paraId="51ED932C" w14:textId="77777777" w:rsidR="00A14720" w:rsidRPr="0039034E" w:rsidRDefault="00A14720" w:rsidP="00A14720">
      <w:pPr>
        <w:pBdr>
          <w:top w:val="single" w:sz="4" w:space="1" w:color="auto"/>
          <w:left w:val="single" w:sz="4" w:space="4" w:color="auto"/>
          <w:bottom w:val="single" w:sz="4" w:space="1" w:color="auto"/>
          <w:right w:val="single" w:sz="4" w:space="4" w:color="auto"/>
        </w:pBdr>
      </w:pPr>
    </w:p>
    <w:p w14:paraId="58F009B1" w14:textId="2233F17A" w:rsidR="00D97A44" w:rsidRPr="000C70DE" w:rsidRDefault="00A14720" w:rsidP="00A14720">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r w:rsidRPr="0039034E">
        <w:t xml:space="preserve">Další informace k tomuto léčivému přípravku naleznete na webových stránkách Evropské agentury pro léčivé přípravky </w:t>
      </w:r>
      <w:hyperlink r:id="rId7" w:history="1">
        <w:r w:rsidRPr="0039034E">
          <w:rPr>
            <w:rStyle w:val="Hyperlink"/>
          </w:rPr>
          <w:t>https://www.ema.europa.eu/en/medicines/human/EPAR/glivec</w:t>
        </w:r>
      </w:hyperlink>
    </w:p>
    <w:p w14:paraId="0BB0B674" w14:textId="77777777" w:rsidR="00D97A44" w:rsidRPr="000C70DE" w:rsidRDefault="00D97A44" w:rsidP="005C56E6">
      <w:pPr>
        <w:widowControl w:val="0"/>
        <w:tabs>
          <w:tab w:val="clear" w:pos="567"/>
        </w:tabs>
        <w:spacing w:line="240" w:lineRule="auto"/>
        <w:rPr>
          <w:color w:val="000000"/>
        </w:rPr>
      </w:pPr>
    </w:p>
    <w:p w14:paraId="155429E1" w14:textId="77777777" w:rsidR="00D97A44" w:rsidRPr="000C70DE" w:rsidRDefault="00D97A44" w:rsidP="005C56E6">
      <w:pPr>
        <w:widowControl w:val="0"/>
        <w:tabs>
          <w:tab w:val="clear" w:pos="567"/>
        </w:tabs>
        <w:spacing w:line="240" w:lineRule="auto"/>
        <w:rPr>
          <w:color w:val="000000"/>
        </w:rPr>
      </w:pPr>
    </w:p>
    <w:p w14:paraId="58D756E2" w14:textId="77777777" w:rsidR="00D97A44" w:rsidRPr="000C70DE" w:rsidRDefault="00D97A44" w:rsidP="005C56E6">
      <w:pPr>
        <w:widowControl w:val="0"/>
        <w:tabs>
          <w:tab w:val="clear" w:pos="567"/>
        </w:tabs>
        <w:spacing w:line="240" w:lineRule="auto"/>
        <w:rPr>
          <w:color w:val="000000"/>
        </w:rPr>
      </w:pPr>
    </w:p>
    <w:p w14:paraId="582CF424" w14:textId="77777777" w:rsidR="00D97A44" w:rsidRPr="000C70DE" w:rsidRDefault="00D97A44" w:rsidP="005C56E6">
      <w:pPr>
        <w:widowControl w:val="0"/>
        <w:tabs>
          <w:tab w:val="clear" w:pos="567"/>
        </w:tabs>
        <w:spacing w:line="240" w:lineRule="auto"/>
        <w:rPr>
          <w:color w:val="000000"/>
        </w:rPr>
      </w:pPr>
    </w:p>
    <w:p w14:paraId="4F9EF353" w14:textId="77777777" w:rsidR="00D97A44" w:rsidRPr="000C70DE" w:rsidRDefault="00D97A44" w:rsidP="005C56E6">
      <w:pPr>
        <w:widowControl w:val="0"/>
        <w:tabs>
          <w:tab w:val="clear" w:pos="567"/>
        </w:tabs>
        <w:spacing w:line="240" w:lineRule="auto"/>
        <w:rPr>
          <w:color w:val="000000"/>
        </w:rPr>
      </w:pPr>
    </w:p>
    <w:p w14:paraId="1FE9A6B9" w14:textId="77777777" w:rsidR="00D97A44" w:rsidRPr="000C70DE" w:rsidRDefault="00D97A44" w:rsidP="0048111F">
      <w:pPr>
        <w:pStyle w:val="EndnoteText"/>
        <w:tabs>
          <w:tab w:val="clear" w:pos="567"/>
        </w:tabs>
        <w:rPr>
          <w:color w:val="000000"/>
        </w:rPr>
      </w:pPr>
    </w:p>
    <w:p w14:paraId="61ADCC70" w14:textId="77777777" w:rsidR="00D97A44" w:rsidRPr="000C70DE" w:rsidRDefault="00D97A44" w:rsidP="0048111F">
      <w:pPr>
        <w:tabs>
          <w:tab w:val="clear" w:pos="567"/>
        </w:tabs>
        <w:spacing w:line="240" w:lineRule="auto"/>
        <w:rPr>
          <w:color w:val="000000"/>
        </w:rPr>
      </w:pPr>
    </w:p>
    <w:p w14:paraId="6388DE98" w14:textId="77777777" w:rsidR="00D97A44" w:rsidRPr="000C70DE" w:rsidRDefault="00D97A44" w:rsidP="0048111F">
      <w:pPr>
        <w:tabs>
          <w:tab w:val="clear" w:pos="567"/>
        </w:tabs>
        <w:spacing w:line="240" w:lineRule="auto"/>
        <w:rPr>
          <w:color w:val="000000"/>
        </w:rPr>
      </w:pPr>
    </w:p>
    <w:p w14:paraId="14D05B5E" w14:textId="77777777" w:rsidR="00D97A44" w:rsidRPr="000C70DE" w:rsidRDefault="00D97A44" w:rsidP="0048111F">
      <w:pPr>
        <w:tabs>
          <w:tab w:val="clear" w:pos="567"/>
        </w:tabs>
        <w:spacing w:line="240" w:lineRule="auto"/>
        <w:rPr>
          <w:color w:val="000000"/>
        </w:rPr>
      </w:pPr>
    </w:p>
    <w:p w14:paraId="184DD914" w14:textId="77777777" w:rsidR="00D97A44" w:rsidRPr="000C70DE" w:rsidRDefault="00D97A44" w:rsidP="0048111F">
      <w:pPr>
        <w:tabs>
          <w:tab w:val="clear" w:pos="567"/>
        </w:tabs>
        <w:spacing w:line="240" w:lineRule="auto"/>
        <w:rPr>
          <w:color w:val="000000"/>
        </w:rPr>
      </w:pPr>
    </w:p>
    <w:p w14:paraId="7D8D8304" w14:textId="77777777" w:rsidR="00D97A44" w:rsidRPr="000C70DE" w:rsidRDefault="00D97A44" w:rsidP="0048111F">
      <w:pPr>
        <w:tabs>
          <w:tab w:val="clear" w:pos="567"/>
        </w:tabs>
        <w:spacing w:line="240" w:lineRule="auto"/>
        <w:rPr>
          <w:color w:val="000000"/>
        </w:rPr>
      </w:pPr>
    </w:p>
    <w:p w14:paraId="38E83DD8" w14:textId="77777777" w:rsidR="00D97A44" w:rsidRPr="000C70DE" w:rsidRDefault="00D97A44" w:rsidP="0048111F">
      <w:pPr>
        <w:tabs>
          <w:tab w:val="clear" w:pos="567"/>
        </w:tabs>
        <w:spacing w:line="240" w:lineRule="auto"/>
        <w:rPr>
          <w:color w:val="000000"/>
        </w:rPr>
      </w:pPr>
    </w:p>
    <w:p w14:paraId="40995804" w14:textId="77777777" w:rsidR="00D97A44" w:rsidRPr="000C70DE" w:rsidRDefault="00D97A44" w:rsidP="0048111F">
      <w:pPr>
        <w:tabs>
          <w:tab w:val="clear" w:pos="567"/>
        </w:tabs>
        <w:spacing w:line="240" w:lineRule="auto"/>
        <w:rPr>
          <w:color w:val="000000"/>
        </w:rPr>
      </w:pPr>
    </w:p>
    <w:p w14:paraId="55D27568" w14:textId="77777777" w:rsidR="00D97A44" w:rsidRPr="000C70DE" w:rsidRDefault="00D97A44" w:rsidP="0048111F">
      <w:pPr>
        <w:tabs>
          <w:tab w:val="clear" w:pos="567"/>
        </w:tabs>
        <w:spacing w:line="240" w:lineRule="auto"/>
        <w:rPr>
          <w:color w:val="000000"/>
        </w:rPr>
      </w:pPr>
    </w:p>
    <w:p w14:paraId="3C580100" w14:textId="77777777" w:rsidR="00D97A44" w:rsidRPr="000C70DE" w:rsidRDefault="00D97A44" w:rsidP="0048111F">
      <w:pPr>
        <w:tabs>
          <w:tab w:val="clear" w:pos="567"/>
        </w:tabs>
        <w:spacing w:line="240" w:lineRule="auto"/>
        <w:rPr>
          <w:color w:val="000000"/>
        </w:rPr>
      </w:pPr>
    </w:p>
    <w:p w14:paraId="172B3771" w14:textId="77777777" w:rsidR="00D97A44" w:rsidRPr="000C70DE" w:rsidRDefault="00D97A44" w:rsidP="0048111F">
      <w:pPr>
        <w:pStyle w:val="EndnoteText"/>
        <w:tabs>
          <w:tab w:val="clear" w:pos="567"/>
        </w:tabs>
        <w:rPr>
          <w:color w:val="000000"/>
        </w:rPr>
      </w:pPr>
    </w:p>
    <w:p w14:paraId="6FFAA6BD" w14:textId="77777777" w:rsidR="00D97A44" w:rsidRPr="000C70DE" w:rsidRDefault="00D97A44" w:rsidP="0048111F">
      <w:pPr>
        <w:tabs>
          <w:tab w:val="clear" w:pos="567"/>
        </w:tabs>
        <w:spacing w:line="240" w:lineRule="auto"/>
        <w:rPr>
          <w:color w:val="000000"/>
        </w:rPr>
      </w:pPr>
    </w:p>
    <w:p w14:paraId="7DDBA5CE" w14:textId="77777777" w:rsidR="00D97A44" w:rsidRPr="00F25A60" w:rsidRDefault="00D97A44" w:rsidP="0048111F">
      <w:pPr>
        <w:tabs>
          <w:tab w:val="clear" w:pos="567"/>
        </w:tabs>
        <w:spacing w:line="240" w:lineRule="auto"/>
        <w:jc w:val="center"/>
        <w:rPr>
          <w:b/>
          <w:bCs/>
          <w:color w:val="000000"/>
        </w:rPr>
      </w:pPr>
      <w:r w:rsidRPr="00F25A60">
        <w:rPr>
          <w:b/>
          <w:bCs/>
          <w:color w:val="000000"/>
        </w:rPr>
        <w:t>PŘÍLOHA I</w:t>
      </w:r>
    </w:p>
    <w:p w14:paraId="6E74C77E" w14:textId="77777777" w:rsidR="00D97A44" w:rsidRPr="00F25A60" w:rsidRDefault="00D97A44" w:rsidP="0048111F">
      <w:pPr>
        <w:tabs>
          <w:tab w:val="clear" w:pos="567"/>
        </w:tabs>
        <w:spacing w:line="240" w:lineRule="auto"/>
        <w:jc w:val="center"/>
        <w:rPr>
          <w:color w:val="000000"/>
        </w:rPr>
      </w:pPr>
    </w:p>
    <w:p w14:paraId="11163020" w14:textId="77777777" w:rsidR="00D97A44" w:rsidRPr="00F25A60" w:rsidRDefault="00D97A44" w:rsidP="0048111F">
      <w:pPr>
        <w:tabs>
          <w:tab w:val="clear" w:pos="567"/>
        </w:tabs>
        <w:spacing w:line="240" w:lineRule="auto"/>
        <w:jc w:val="center"/>
        <w:outlineLvl w:val="0"/>
        <w:rPr>
          <w:b/>
          <w:bCs/>
          <w:color w:val="000000"/>
        </w:rPr>
      </w:pPr>
      <w:r w:rsidRPr="00F25A60">
        <w:rPr>
          <w:b/>
          <w:bCs/>
          <w:color w:val="000000"/>
        </w:rPr>
        <w:t>SOUHRN ÚDAJŮ O PŘÍPRAVKU</w:t>
      </w:r>
    </w:p>
    <w:p w14:paraId="7BE5D6FC" w14:textId="35DA63ED" w:rsidR="00D97A44" w:rsidRPr="00F25A60" w:rsidRDefault="00B346DE" w:rsidP="0048111F">
      <w:pPr>
        <w:tabs>
          <w:tab w:val="clear" w:pos="567"/>
        </w:tabs>
        <w:spacing w:line="240" w:lineRule="auto"/>
        <w:ind w:left="567" w:hanging="567"/>
        <w:rPr>
          <w:b/>
          <w:bCs/>
          <w:color w:val="000000"/>
        </w:rPr>
      </w:pPr>
      <w:r w:rsidRPr="00F25A60">
        <w:rPr>
          <w:color w:val="000000"/>
        </w:rPr>
        <w:br w:type="page"/>
      </w:r>
      <w:r w:rsidR="00D97A44" w:rsidRPr="00F25A60">
        <w:rPr>
          <w:b/>
          <w:bCs/>
          <w:color w:val="000000"/>
        </w:rPr>
        <w:lastRenderedPageBreak/>
        <w:t>1.</w:t>
      </w:r>
      <w:r w:rsidR="00D97A44" w:rsidRPr="00F25A60">
        <w:rPr>
          <w:b/>
          <w:bCs/>
          <w:color w:val="000000"/>
        </w:rPr>
        <w:tab/>
        <w:t>NÁZEV PŘÍPRAVKU</w:t>
      </w:r>
    </w:p>
    <w:p w14:paraId="3B756F64" w14:textId="77777777" w:rsidR="00D97A44" w:rsidRPr="00F25A60" w:rsidRDefault="00D97A44" w:rsidP="0048111F">
      <w:pPr>
        <w:pStyle w:val="EndnoteText"/>
        <w:tabs>
          <w:tab w:val="clear" w:pos="567"/>
        </w:tabs>
        <w:rPr>
          <w:color w:val="000000"/>
        </w:rPr>
      </w:pPr>
    </w:p>
    <w:p w14:paraId="233F3442" w14:textId="77777777" w:rsidR="00D97A44" w:rsidRPr="00F25A60" w:rsidRDefault="00D97A44" w:rsidP="0048111F">
      <w:pPr>
        <w:pStyle w:val="EndnoteText"/>
        <w:tabs>
          <w:tab w:val="clear" w:pos="567"/>
        </w:tabs>
        <w:rPr>
          <w:color w:val="000000"/>
        </w:rPr>
      </w:pPr>
      <w:r w:rsidRPr="00F25A60">
        <w:rPr>
          <w:color w:val="000000"/>
        </w:rPr>
        <w:t>Glivec 100 mg potahované tablety</w:t>
      </w:r>
    </w:p>
    <w:p w14:paraId="4AC49527" w14:textId="77777777" w:rsidR="002E4F86" w:rsidRPr="00F25A60" w:rsidRDefault="002E4F86" w:rsidP="0048111F">
      <w:pPr>
        <w:pStyle w:val="EndnoteText"/>
        <w:tabs>
          <w:tab w:val="clear" w:pos="567"/>
        </w:tabs>
        <w:rPr>
          <w:color w:val="000000"/>
        </w:rPr>
      </w:pPr>
      <w:r w:rsidRPr="00F25A60">
        <w:rPr>
          <w:color w:val="000000"/>
        </w:rPr>
        <w:t>Glivec 400 mg potahované tablety</w:t>
      </w:r>
    </w:p>
    <w:p w14:paraId="729AD673" w14:textId="77777777" w:rsidR="00D97A44" w:rsidRPr="00F25A60" w:rsidRDefault="00D97A44" w:rsidP="0048111F">
      <w:pPr>
        <w:pStyle w:val="EndnoteText"/>
        <w:tabs>
          <w:tab w:val="clear" w:pos="567"/>
        </w:tabs>
        <w:rPr>
          <w:color w:val="000000"/>
        </w:rPr>
      </w:pPr>
    </w:p>
    <w:p w14:paraId="3921FF73" w14:textId="77777777" w:rsidR="00D97A44" w:rsidRPr="00F25A60" w:rsidRDefault="00D97A44" w:rsidP="0048111F">
      <w:pPr>
        <w:pStyle w:val="EndnoteText"/>
        <w:tabs>
          <w:tab w:val="clear" w:pos="567"/>
        </w:tabs>
        <w:rPr>
          <w:color w:val="000000"/>
        </w:rPr>
      </w:pPr>
    </w:p>
    <w:p w14:paraId="6851BA6A" w14:textId="62EED8B1" w:rsidR="00D97A44" w:rsidRPr="00F25A60" w:rsidRDefault="00D97A44" w:rsidP="0048111F">
      <w:pPr>
        <w:keepNext/>
        <w:tabs>
          <w:tab w:val="clear" w:pos="567"/>
        </w:tabs>
        <w:spacing w:line="240" w:lineRule="auto"/>
        <w:ind w:left="567" w:hanging="567"/>
        <w:rPr>
          <w:b/>
          <w:bCs/>
          <w:color w:val="000000"/>
        </w:rPr>
      </w:pPr>
      <w:r w:rsidRPr="00F25A60">
        <w:rPr>
          <w:b/>
          <w:bCs/>
          <w:color w:val="000000"/>
        </w:rPr>
        <w:t>2.</w:t>
      </w:r>
      <w:r w:rsidRPr="00F25A60">
        <w:rPr>
          <w:b/>
          <w:bCs/>
          <w:color w:val="000000"/>
        </w:rPr>
        <w:tab/>
        <w:t>KVALITATIVNÍ A KVANTITATIVNÍ SLOŽENÍ</w:t>
      </w:r>
    </w:p>
    <w:p w14:paraId="226953F8" w14:textId="77777777" w:rsidR="00D97A44" w:rsidRPr="00F25A60" w:rsidRDefault="00D97A44" w:rsidP="0048111F">
      <w:pPr>
        <w:keepNext/>
        <w:tabs>
          <w:tab w:val="clear" w:pos="567"/>
        </w:tabs>
        <w:spacing w:line="240" w:lineRule="auto"/>
        <w:rPr>
          <w:color w:val="000000"/>
        </w:rPr>
      </w:pPr>
    </w:p>
    <w:p w14:paraId="3DC7144E" w14:textId="262D7472" w:rsidR="003638FB" w:rsidRPr="00F25A60" w:rsidRDefault="003638FB" w:rsidP="0048111F">
      <w:pPr>
        <w:pStyle w:val="EndnoteText"/>
        <w:keepNext/>
        <w:tabs>
          <w:tab w:val="clear" w:pos="567"/>
        </w:tabs>
        <w:rPr>
          <w:color w:val="000000"/>
          <w:u w:val="single"/>
        </w:rPr>
      </w:pPr>
      <w:r w:rsidRPr="00F25A60">
        <w:rPr>
          <w:color w:val="000000"/>
          <w:u w:val="single"/>
        </w:rPr>
        <w:t>Glivec 100 mg potahované tablety</w:t>
      </w:r>
    </w:p>
    <w:p w14:paraId="38D8FE46" w14:textId="77777777" w:rsidR="00DA120C" w:rsidRPr="00F25A60" w:rsidRDefault="00DA120C" w:rsidP="0048111F">
      <w:pPr>
        <w:pStyle w:val="EndnoteText"/>
        <w:keepNext/>
        <w:tabs>
          <w:tab w:val="clear" w:pos="567"/>
        </w:tabs>
        <w:rPr>
          <w:color w:val="000000"/>
        </w:rPr>
      </w:pPr>
    </w:p>
    <w:p w14:paraId="1962CB8E" w14:textId="5051D406" w:rsidR="00D97A44" w:rsidRPr="0048111F" w:rsidRDefault="00D97A44" w:rsidP="0048111F">
      <w:pPr>
        <w:tabs>
          <w:tab w:val="clear" w:pos="567"/>
        </w:tabs>
        <w:spacing w:line="240" w:lineRule="auto"/>
        <w:rPr>
          <w:color w:val="000000"/>
        </w:rPr>
      </w:pPr>
      <w:r w:rsidRPr="00F25A60">
        <w:rPr>
          <w:color w:val="000000"/>
        </w:rPr>
        <w:t>Jedna potahovaná tableta o</w:t>
      </w:r>
      <w:r w:rsidRPr="0048111F">
        <w:rPr>
          <w:color w:val="000000"/>
        </w:rPr>
        <w:t xml:space="preserve">bsahuje </w:t>
      </w:r>
      <w:ins w:id="0" w:author="Author">
        <w:r w:rsidR="00E54AB8" w:rsidRPr="0048111F">
          <w:rPr>
            <w:color w:val="000000"/>
          </w:rPr>
          <w:t>100</w:t>
        </w:r>
        <w:r w:rsidR="0048111F" w:rsidRPr="0048111F">
          <w:rPr>
            <w:color w:val="000000"/>
          </w:rPr>
          <w:t> </w:t>
        </w:r>
        <w:r w:rsidR="00E54AB8" w:rsidRPr="0048111F">
          <w:rPr>
            <w:color w:val="000000"/>
          </w:rPr>
          <w:t xml:space="preserve">mg </w:t>
        </w:r>
      </w:ins>
      <w:r w:rsidRPr="0048111F">
        <w:rPr>
          <w:color w:val="000000"/>
        </w:rPr>
        <w:t>imatinib</w:t>
      </w:r>
      <w:ins w:id="1" w:author="Author">
        <w:r w:rsidR="00E54AB8" w:rsidRPr="0048111F">
          <w:rPr>
            <w:color w:val="000000"/>
          </w:rPr>
          <w:t>u</w:t>
        </w:r>
      </w:ins>
      <w:del w:id="2" w:author="Author">
        <w:r w:rsidRPr="0048111F" w:rsidDel="009274D5">
          <w:rPr>
            <w:color w:val="000000"/>
          </w:rPr>
          <w:delText>um</w:delText>
        </w:r>
        <w:r w:rsidR="00971BB9" w:rsidRPr="0048111F" w:rsidDel="00E54AB8">
          <w:rPr>
            <w:color w:val="000000"/>
          </w:rPr>
          <w:delText xml:space="preserve"> 100</w:delText>
        </w:r>
        <w:r w:rsidR="00D80ABA" w:rsidRPr="0048111F" w:rsidDel="00E54AB8">
          <w:rPr>
            <w:color w:val="000000"/>
          </w:rPr>
          <w:delText> </w:delText>
        </w:r>
        <w:r w:rsidR="00971BB9" w:rsidRPr="0048111F" w:rsidDel="00E54AB8">
          <w:rPr>
            <w:color w:val="000000"/>
          </w:rPr>
          <w:delText>mg</w:delText>
        </w:r>
      </w:del>
      <w:r w:rsidRPr="0048111F">
        <w:rPr>
          <w:color w:val="000000"/>
        </w:rPr>
        <w:t xml:space="preserve"> (</w:t>
      </w:r>
      <w:ins w:id="3" w:author="Author">
        <w:r w:rsidR="00E54AB8" w:rsidRPr="0048111F">
          <w:rPr>
            <w:color w:val="000000"/>
          </w:rPr>
          <w:t xml:space="preserve">ve formě </w:t>
        </w:r>
      </w:ins>
      <w:del w:id="4" w:author="Author">
        <w:r w:rsidRPr="0048111F" w:rsidDel="00E54AB8">
          <w:rPr>
            <w:color w:val="000000"/>
          </w:rPr>
          <w:delText>jako imatinib</w:delText>
        </w:r>
        <w:r w:rsidRPr="0048111F" w:rsidDel="009274D5">
          <w:rPr>
            <w:color w:val="000000"/>
          </w:rPr>
          <w:delText>i</w:delText>
        </w:r>
      </w:del>
      <w:ins w:id="5" w:author="Author">
        <w:del w:id="6" w:author="Author">
          <w:r w:rsidR="009274D5" w:rsidRPr="0048111F" w:rsidDel="00E54AB8">
            <w:rPr>
              <w:color w:val="000000"/>
            </w:rPr>
            <w:delText>-</w:delText>
          </w:r>
        </w:del>
      </w:ins>
      <w:r w:rsidRPr="0048111F">
        <w:rPr>
          <w:color w:val="000000"/>
        </w:rPr>
        <w:t>mesil</w:t>
      </w:r>
      <w:ins w:id="7" w:author="Author">
        <w:r w:rsidR="009274D5" w:rsidRPr="0048111F">
          <w:rPr>
            <w:color w:val="000000"/>
          </w:rPr>
          <w:t>át</w:t>
        </w:r>
        <w:r w:rsidR="00E54AB8" w:rsidRPr="0048111F">
          <w:rPr>
            <w:color w:val="000000"/>
          </w:rPr>
          <w:t>u</w:t>
        </w:r>
      </w:ins>
      <w:del w:id="8" w:author="Author">
        <w:r w:rsidRPr="0048111F" w:rsidDel="009274D5">
          <w:rPr>
            <w:color w:val="000000"/>
          </w:rPr>
          <w:delText>as</w:delText>
        </w:r>
      </w:del>
      <w:r w:rsidRPr="0048111F">
        <w:rPr>
          <w:color w:val="000000"/>
        </w:rPr>
        <w:t>).</w:t>
      </w:r>
    </w:p>
    <w:p w14:paraId="7E27CA8B" w14:textId="77777777" w:rsidR="003638FB" w:rsidRPr="0048111F" w:rsidRDefault="003638FB" w:rsidP="0048111F">
      <w:pPr>
        <w:tabs>
          <w:tab w:val="clear" w:pos="567"/>
        </w:tabs>
        <w:spacing w:line="240" w:lineRule="auto"/>
        <w:rPr>
          <w:color w:val="000000"/>
        </w:rPr>
      </w:pPr>
    </w:p>
    <w:p w14:paraId="57922D08" w14:textId="63C91F67" w:rsidR="003638FB" w:rsidRPr="0048111F" w:rsidRDefault="003638FB" w:rsidP="0048111F">
      <w:pPr>
        <w:pStyle w:val="EndnoteText"/>
        <w:keepNext/>
        <w:tabs>
          <w:tab w:val="clear" w:pos="567"/>
        </w:tabs>
        <w:rPr>
          <w:color w:val="000000"/>
          <w:u w:val="single"/>
        </w:rPr>
      </w:pPr>
      <w:r w:rsidRPr="0048111F">
        <w:rPr>
          <w:color w:val="000000"/>
          <w:u w:val="single"/>
        </w:rPr>
        <w:t>Glivec 400 mg potahované tablety</w:t>
      </w:r>
    </w:p>
    <w:p w14:paraId="35C694E0" w14:textId="77777777" w:rsidR="00DA120C" w:rsidRPr="0048111F" w:rsidRDefault="00DA120C" w:rsidP="0048111F">
      <w:pPr>
        <w:pStyle w:val="EndnoteText"/>
        <w:keepNext/>
        <w:tabs>
          <w:tab w:val="clear" w:pos="567"/>
        </w:tabs>
        <w:rPr>
          <w:color w:val="000000"/>
        </w:rPr>
      </w:pPr>
    </w:p>
    <w:p w14:paraId="1DD67389" w14:textId="3D9CB549" w:rsidR="003638FB" w:rsidRPr="00F25A60" w:rsidRDefault="003638FB" w:rsidP="0048111F">
      <w:pPr>
        <w:tabs>
          <w:tab w:val="clear" w:pos="567"/>
        </w:tabs>
        <w:spacing w:line="240" w:lineRule="auto"/>
        <w:rPr>
          <w:color w:val="000000"/>
        </w:rPr>
      </w:pPr>
      <w:r w:rsidRPr="0048111F">
        <w:rPr>
          <w:color w:val="000000"/>
        </w:rPr>
        <w:t xml:space="preserve">Jedna potahovaná tableta obsahuje </w:t>
      </w:r>
      <w:ins w:id="9" w:author="Author">
        <w:r w:rsidR="00E54AB8" w:rsidRPr="0048111F">
          <w:rPr>
            <w:color w:val="000000"/>
          </w:rPr>
          <w:t>400</w:t>
        </w:r>
        <w:r w:rsidR="0048111F" w:rsidRPr="0048111F">
          <w:rPr>
            <w:color w:val="000000"/>
          </w:rPr>
          <w:t> </w:t>
        </w:r>
        <w:r w:rsidR="00E54AB8" w:rsidRPr="0048111F">
          <w:rPr>
            <w:color w:val="000000"/>
          </w:rPr>
          <w:t xml:space="preserve">mg </w:t>
        </w:r>
      </w:ins>
      <w:r w:rsidRPr="0048111F">
        <w:rPr>
          <w:color w:val="000000"/>
        </w:rPr>
        <w:t>imatinib</w:t>
      </w:r>
      <w:ins w:id="10" w:author="Author">
        <w:r w:rsidR="00E54AB8" w:rsidRPr="0048111F">
          <w:rPr>
            <w:color w:val="000000"/>
          </w:rPr>
          <w:t>u</w:t>
        </w:r>
      </w:ins>
      <w:del w:id="11" w:author="Author">
        <w:r w:rsidRPr="0048111F" w:rsidDel="009274D5">
          <w:rPr>
            <w:color w:val="000000"/>
          </w:rPr>
          <w:delText>um</w:delText>
        </w:r>
        <w:r w:rsidR="00971BB9" w:rsidRPr="0048111F" w:rsidDel="00E54AB8">
          <w:rPr>
            <w:color w:val="000000"/>
          </w:rPr>
          <w:delText xml:space="preserve"> 400</w:delText>
        </w:r>
        <w:r w:rsidR="00D80ABA" w:rsidRPr="0048111F" w:rsidDel="00E54AB8">
          <w:rPr>
            <w:color w:val="000000"/>
          </w:rPr>
          <w:delText> </w:delText>
        </w:r>
        <w:r w:rsidR="00971BB9" w:rsidRPr="0048111F" w:rsidDel="00E54AB8">
          <w:rPr>
            <w:color w:val="000000"/>
          </w:rPr>
          <w:delText>mg</w:delText>
        </w:r>
      </w:del>
      <w:r w:rsidRPr="0048111F">
        <w:rPr>
          <w:color w:val="000000"/>
        </w:rPr>
        <w:t xml:space="preserve"> (</w:t>
      </w:r>
      <w:del w:id="12" w:author="Author">
        <w:r w:rsidRPr="0048111F" w:rsidDel="00E54AB8">
          <w:rPr>
            <w:color w:val="000000"/>
          </w:rPr>
          <w:delText>jako imatinibi</w:delText>
        </w:r>
      </w:del>
      <w:ins w:id="13" w:author="Author">
        <w:del w:id="14" w:author="Author">
          <w:r w:rsidR="009274D5" w:rsidRPr="0048111F" w:rsidDel="00E54AB8">
            <w:rPr>
              <w:color w:val="000000"/>
            </w:rPr>
            <w:delText>-</w:delText>
          </w:r>
        </w:del>
        <w:r w:rsidR="00E54AB8" w:rsidRPr="0048111F">
          <w:rPr>
            <w:color w:val="000000"/>
          </w:rPr>
          <w:t xml:space="preserve">ve formě </w:t>
        </w:r>
      </w:ins>
      <w:r w:rsidRPr="0048111F">
        <w:rPr>
          <w:color w:val="000000"/>
        </w:rPr>
        <w:t>mesil</w:t>
      </w:r>
      <w:ins w:id="15" w:author="Author">
        <w:r w:rsidR="009274D5" w:rsidRPr="0048111F">
          <w:rPr>
            <w:color w:val="000000"/>
          </w:rPr>
          <w:t>át</w:t>
        </w:r>
        <w:r w:rsidR="00E54AB8" w:rsidRPr="0048111F">
          <w:rPr>
            <w:color w:val="000000"/>
          </w:rPr>
          <w:t>u</w:t>
        </w:r>
      </w:ins>
      <w:del w:id="16" w:author="Author">
        <w:r w:rsidRPr="0048111F" w:rsidDel="009274D5">
          <w:rPr>
            <w:color w:val="000000"/>
          </w:rPr>
          <w:delText>as</w:delText>
        </w:r>
      </w:del>
      <w:r w:rsidRPr="0048111F">
        <w:rPr>
          <w:color w:val="000000"/>
        </w:rPr>
        <w:t>).</w:t>
      </w:r>
    </w:p>
    <w:p w14:paraId="471B0A43" w14:textId="77777777" w:rsidR="00D97A44" w:rsidRPr="00F25A60" w:rsidRDefault="00D97A44" w:rsidP="0048111F">
      <w:pPr>
        <w:tabs>
          <w:tab w:val="clear" w:pos="567"/>
        </w:tabs>
        <w:spacing w:line="240" w:lineRule="auto"/>
        <w:rPr>
          <w:color w:val="000000"/>
        </w:rPr>
      </w:pPr>
    </w:p>
    <w:p w14:paraId="73658EB8" w14:textId="57505FF3" w:rsidR="00D97A44" w:rsidRPr="00F25A60" w:rsidRDefault="00D97A44" w:rsidP="0048111F">
      <w:pPr>
        <w:tabs>
          <w:tab w:val="clear" w:pos="567"/>
        </w:tabs>
        <w:spacing w:line="240" w:lineRule="auto"/>
        <w:rPr>
          <w:color w:val="000000"/>
        </w:rPr>
      </w:pPr>
      <w:r w:rsidRPr="00F25A60">
        <w:rPr>
          <w:color w:val="000000"/>
        </w:rPr>
        <w:t>Úplný seznam pomocných látek viz bod</w:t>
      </w:r>
      <w:ins w:id="17" w:author="Author">
        <w:r w:rsidR="009274D5" w:rsidRPr="00F25A60">
          <w:rPr>
            <w:color w:val="000000"/>
          </w:rPr>
          <w:t> </w:t>
        </w:r>
      </w:ins>
      <w:del w:id="18" w:author="Author">
        <w:r w:rsidRPr="00F25A60" w:rsidDel="009274D5">
          <w:rPr>
            <w:color w:val="000000"/>
          </w:rPr>
          <w:delText xml:space="preserve"> </w:delText>
        </w:r>
      </w:del>
      <w:r w:rsidRPr="00F25A60">
        <w:rPr>
          <w:color w:val="000000"/>
        </w:rPr>
        <w:t>6.1.</w:t>
      </w:r>
    </w:p>
    <w:p w14:paraId="1A2115A4" w14:textId="77777777" w:rsidR="00D97A44" w:rsidRPr="00F25A60" w:rsidRDefault="00D97A44" w:rsidP="0048111F">
      <w:pPr>
        <w:tabs>
          <w:tab w:val="clear" w:pos="567"/>
        </w:tabs>
        <w:spacing w:line="240" w:lineRule="auto"/>
        <w:rPr>
          <w:color w:val="000000"/>
        </w:rPr>
      </w:pPr>
    </w:p>
    <w:p w14:paraId="02480488" w14:textId="77777777" w:rsidR="00D97A44" w:rsidRPr="00F25A60" w:rsidRDefault="00D97A44" w:rsidP="0048111F">
      <w:pPr>
        <w:tabs>
          <w:tab w:val="clear" w:pos="567"/>
        </w:tabs>
        <w:spacing w:line="240" w:lineRule="auto"/>
        <w:rPr>
          <w:color w:val="000000"/>
        </w:rPr>
      </w:pPr>
    </w:p>
    <w:p w14:paraId="1FE2819E" w14:textId="77777777" w:rsidR="00D97A44" w:rsidRPr="00F25A60" w:rsidRDefault="00D97A44" w:rsidP="0048111F">
      <w:pPr>
        <w:keepNext/>
        <w:tabs>
          <w:tab w:val="clear" w:pos="567"/>
        </w:tabs>
        <w:spacing w:line="240" w:lineRule="auto"/>
        <w:ind w:left="567" w:hanging="567"/>
        <w:rPr>
          <w:b/>
          <w:bCs/>
          <w:color w:val="000000"/>
        </w:rPr>
      </w:pPr>
      <w:r w:rsidRPr="00F25A60">
        <w:rPr>
          <w:b/>
          <w:bCs/>
          <w:color w:val="000000"/>
        </w:rPr>
        <w:t>3.</w:t>
      </w:r>
      <w:r w:rsidRPr="00F25A60">
        <w:rPr>
          <w:b/>
          <w:bCs/>
          <w:color w:val="000000"/>
        </w:rPr>
        <w:tab/>
        <w:t>LÉKOVÁ FORMA</w:t>
      </w:r>
    </w:p>
    <w:p w14:paraId="4F934452" w14:textId="77777777" w:rsidR="00D97A44" w:rsidRPr="00F25A60" w:rsidRDefault="00D97A44" w:rsidP="0048111F">
      <w:pPr>
        <w:pStyle w:val="EndnoteText"/>
        <w:keepNext/>
        <w:tabs>
          <w:tab w:val="clear" w:pos="567"/>
        </w:tabs>
        <w:rPr>
          <w:color w:val="000000"/>
        </w:rPr>
      </w:pPr>
    </w:p>
    <w:p w14:paraId="5FB0D7ED" w14:textId="77777777" w:rsidR="00D97A44" w:rsidRPr="00F25A60" w:rsidRDefault="00D97A44" w:rsidP="0048111F">
      <w:pPr>
        <w:tabs>
          <w:tab w:val="clear" w:pos="567"/>
        </w:tabs>
        <w:spacing w:line="240" w:lineRule="auto"/>
        <w:rPr>
          <w:color w:val="000000"/>
        </w:rPr>
      </w:pPr>
      <w:r w:rsidRPr="00F25A60">
        <w:rPr>
          <w:color w:val="000000"/>
        </w:rPr>
        <w:t>Potahovaná tableta</w:t>
      </w:r>
    </w:p>
    <w:p w14:paraId="1E588CA5" w14:textId="77777777" w:rsidR="002751D6" w:rsidRPr="00F25A60" w:rsidRDefault="002751D6" w:rsidP="0048111F">
      <w:pPr>
        <w:tabs>
          <w:tab w:val="clear" w:pos="567"/>
        </w:tabs>
        <w:spacing w:line="240" w:lineRule="auto"/>
        <w:rPr>
          <w:color w:val="000000"/>
        </w:rPr>
      </w:pPr>
    </w:p>
    <w:p w14:paraId="46185ED9" w14:textId="5BC7922A" w:rsidR="00D97A44" w:rsidRPr="00F25A60" w:rsidRDefault="002751D6" w:rsidP="0048111F">
      <w:pPr>
        <w:pStyle w:val="EndnoteText"/>
        <w:keepNext/>
        <w:tabs>
          <w:tab w:val="clear" w:pos="567"/>
        </w:tabs>
        <w:rPr>
          <w:color w:val="000000"/>
          <w:u w:val="single"/>
        </w:rPr>
      </w:pPr>
      <w:r w:rsidRPr="00F25A60">
        <w:rPr>
          <w:color w:val="000000"/>
          <w:u w:val="single"/>
        </w:rPr>
        <w:t>Glivec 100 mg potahované tablety</w:t>
      </w:r>
    </w:p>
    <w:p w14:paraId="123F4D85" w14:textId="77777777" w:rsidR="00DA120C" w:rsidRPr="00F25A60" w:rsidRDefault="00DA120C" w:rsidP="0048111F">
      <w:pPr>
        <w:pStyle w:val="EndnoteText"/>
        <w:keepNext/>
        <w:tabs>
          <w:tab w:val="clear" w:pos="567"/>
        </w:tabs>
        <w:rPr>
          <w:color w:val="000000"/>
        </w:rPr>
      </w:pPr>
    </w:p>
    <w:p w14:paraId="2FFB7A8F" w14:textId="7A766DEB" w:rsidR="00D97A44" w:rsidRPr="00F25A60" w:rsidRDefault="00D97A44" w:rsidP="0048111F">
      <w:pPr>
        <w:tabs>
          <w:tab w:val="clear" w:pos="567"/>
        </w:tabs>
        <w:spacing w:line="240" w:lineRule="auto"/>
        <w:rPr>
          <w:color w:val="000000"/>
        </w:rPr>
      </w:pPr>
      <w:r w:rsidRPr="00F25A60">
        <w:rPr>
          <w:color w:val="000000"/>
        </w:rPr>
        <w:t>Velmi tmavě žluté až hnědooranžové kulaté potahované tablety na jedné straně označené „</w:t>
      </w:r>
      <w:smartTag w:uri="urn:schemas-microsoft-com:office:smarttags" w:element="stockticker">
        <w:r w:rsidRPr="00F25A60">
          <w:rPr>
            <w:color w:val="000000"/>
          </w:rPr>
          <w:t>NVR</w:t>
        </w:r>
      </w:smartTag>
      <w:r w:rsidRPr="00F25A60">
        <w:rPr>
          <w:color w:val="000000"/>
          <w:spacing w:val="-2"/>
        </w:rPr>
        <w:t>“</w:t>
      </w:r>
      <w:r w:rsidRPr="00F25A60">
        <w:rPr>
          <w:color w:val="000000"/>
        </w:rPr>
        <w:t xml:space="preserve"> a „SA</w:t>
      </w:r>
      <w:r w:rsidRPr="00F25A60">
        <w:rPr>
          <w:color w:val="000000"/>
          <w:spacing w:val="-2"/>
        </w:rPr>
        <w:t>“</w:t>
      </w:r>
      <w:r w:rsidRPr="00F25A60">
        <w:rPr>
          <w:color w:val="000000"/>
        </w:rPr>
        <w:t xml:space="preserve"> s půl</w:t>
      </w:r>
      <w:r w:rsidR="00A86246">
        <w:rPr>
          <w:color w:val="000000"/>
        </w:rPr>
        <w:t>i</w:t>
      </w:r>
      <w:r w:rsidRPr="00F25A60">
        <w:rPr>
          <w:color w:val="000000"/>
        </w:rPr>
        <w:t>cí rýhou na straně druhé.</w:t>
      </w:r>
    </w:p>
    <w:p w14:paraId="5D997D9D" w14:textId="77777777" w:rsidR="002751D6" w:rsidRPr="00F25A60" w:rsidRDefault="002751D6" w:rsidP="0048111F">
      <w:pPr>
        <w:tabs>
          <w:tab w:val="clear" w:pos="567"/>
        </w:tabs>
        <w:spacing w:line="240" w:lineRule="auto"/>
        <w:rPr>
          <w:color w:val="000000"/>
        </w:rPr>
      </w:pPr>
    </w:p>
    <w:p w14:paraId="6474DCAE" w14:textId="315E9164" w:rsidR="002751D6" w:rsidRPr="00F25A60" w:rsidRDefault="002751D6" w:rsidP="0048111F">
      <w:pPr>
        <w:pStyle w:val="EndnoteText"/>
        <w:keepNext/>
        <w:tabs>
          <w:tab w:val="clear" w:pos="567"/>
        </w:tabs>
        <w:rPr>
          <w:color w:val="000000"/>
          <w:u w:val="single"/>
        </w:rPr>
      </w:pPr>
      <w:r w:rsidRPr="00F25A60">
        <w:rPr>
          <w:color w:val="000000"/>
          <w:u w:val="single"/>
        </w:rPr>
        <w:t>Glivec 400 mg potahované tablety</w:t>
      </w:r>
    </w:p>
    <w:p w14:paraId="13FC7010" w14:textId="77777777" w:rsidR="00DA120C" w:rsidRPr="00F25A60" w:rsidRDefault="00DA120C" w:rsidP="0048111F">
      <w:pPr>
        <w:pStyle w:val="EndnoteText"/>
        <w:keepNext/>
        <w:tabs>
          <w:tab w:val="clear" w:pos="567"/>
        </w:tabs>
        <w:rPr>
          <w:color w:val="000000"/>
        </w:rPr>
      </w:pPr>
    </w:p>
    <w:p w14:paraId="7242E795" w14:textId="244083C3" w:rsidR="00D97A44" w:rsidRDefault="000626F8" w:rsidP="0048111F">
      <w:pPr>
        <w:tabs>
          <w:tab w:val="clear" w:pos="567"/>
        </w:tabs>
        <w:spacing w:line="240" w:lineRule="auto"/>
        <w:rPr>
          <w:color w:val="000000"/>
        </w:rPr>
      </w:pPr>
      <w:r w:rsidRPr="00F25A60">
        <w:rPr>
          <w:color w:val="000000"/>
        </w:rPr>
        <w:t>Velmi tmavě žluté až hnědooranžové oválné bikonvexní potahované tablety se zkosenými okraji</w:t>
      </w:r>
      <w:r w:rsidR="00D05C86">
        <w:rPr>
          <w:color w:val="000000"/>
        </w:rPr>
        <w:t>.</w:t>
      </w:r>
      <w:r w:rsidRPr="00F25A60">
        <w:rPr>
          <w:color w:val="000000"/>
        </w:rPr>
        <w:t xml:space="preserve"> </w:t>
      </w:r>
      <w:r w:rsidR="00D05C86">
        <w:rPr>
          <w:color w:val="000000"/>
        </w:rPr>
        <w:t xml:space="preserve">Na jedné straně </w:t>
      </w:r>
      <w:r w:rsidRPr="00F25A60">
        <w:rPr>
          <w:color w:val="000000"/>
        </w:rPr>
        <w:t>s vyraženým „</w:t>
      </w:r>
      <w:r w:rsidR="00D05C86">
        <w:rPr>
          <w:color w:val="000000"/>
        </w:rPr>
        <w:t>400</w:t>
      </w:r>
      <w:r w:rsidRPr="00F25A60">
        <w:rPr>
          <w:color w:val="000000"/>
        </w:rPr>
        <w:t xml:space="preserve">“ </w:t>
      </w:r>
      <w:r w:rsidR="007F133E">
        <w:rPr>
          <w:color w:val="000000"/>
        </w:rPr>
        <w:t>a s </w:t>
      </w:r>
      <w:r w:rsidR="007F133E" w:rsidRPr="00BC48A2">
        <w:rPr>
          <w:color w:val="000000"/>
        </w:rPr>
        <w:t>půl</w:t>
      </w:r>
      <w:r w:rsidR="00C44E19" w:rsidRPr="00BC48A2">
        <w:rPr>
          <w:color w:val="000000"/>
        </w:rPr>
        <w:t>i</w:t>
      </w:r>
      <w:r w:rsidR="007F133E" w:rsidRPr="00BC48A2">
        <w:rPr>
          <w:color w:val="000000"/>
        </w:rPr>
        <w:t xml:space="preserve">cí rýhou na straně druhé se „SL“ na každé straně </w:t>
      </w:r>
      <w:r w:rsidR="007632AA" w:rsidRPr="00BC48A2">
        <w:rPr>
          <w:color w:val="000000"/>
        </w:rPr>
        <w:t>půl</w:t>
      </w:r>
      <w:r w:rsidR="00C44E19" w:rsidRPr="00BC48A2">
        <w:rPr>
          <w:color w:val="000000"/>
        </w:rPr>
        <w:t>i</w:t>
      </w:r>
      <w:r w:rsidR="007632AA" w:rsidRPr="00BC48A2">
        <w:rPr>
          <w:color w:val="000000"/>
        </w:rPr>
        <w:t>cí rýhy</w:t>
      </w:r>
      <w:r w:rsidRPr="00BC48A2">
        <w:rPr>
          <w:color w:val="000000"/>
        </w:rPr>
        <w:t>.</w:t>
      </w:r>
    </w:p>
    <w:p w14:paraId="2D10AB54" w14:textId="77D3778F" w:rsidR="00D05C86" w:rsidRDefault="00D05C86" w:rsidP="0048111F">
      <w:pPr>
        <w:tabs>
          <w:tab w:val="clear" w:pos="567"/>
        </w:tabs>
        <w:spacing w:line="240" w:lineRule="auto"/>
        <w:rPr>
          <w:color w:val="000000"/>
        </w:rPr>
      </w:pPr>
    </w:p>
    <w:p w14:paraId="069EAE53" w14:textId="635B5BBE" w:rsidR="00D05C86" w:rsidRPr="00F25A60" w:rsidRDefault="00D05C86" w:rsidP="0048111F">
      <w:pPr>
        <w:tabs>
          <w:tab w:val="clear" w:pos="567"/>
        </w:tabs>
        <w:spacing w:line="240" w:lineRule="auto"/>
        <w:rPr>
          <w:color w:val="000000"/>
        </w:rPr>
      </w:pPr>
      <w:r>
        <w:rPr>
          <w:color w:val="000000"/>
        </w:rPr>
        <w:t>Potahované tablety lze rozdělit na stejné dávky.</w:t>
      </w:r>
    </w:p>
    <w:p w14:paraId="0BBB404F" w14:textId="1C6A1FF0" w:rsidR="00D97A44" w:rsidRPr="00F25A60" w:rsidRDefault="00D97A44" w:rsidP="0048111F">
      <w:pPr>
        <w:tabs>
          <w:tab w:val="clear" w:pos="567"/>
        </w:tabs>
        <w:spacing w:line="240" w:lineRule="auto"/>
        <w:rPr>
          <w:color w:val="000000"/>
        </w:rPr>
      </w:pPr>
    </w:p>
    <w:p w14:paraId="2E57EF3D" w14:textId="77777777" w:rsidR="000914D4" w:rsidRPr="00F25A60" w:rsidRDefault="000914D4" w:rsidP="0048111F">
      <w:pPr>
        <w:tabs>
          <w:tab w:val="clear" w:pos="567"/>
        </w:tabs>
        <w:spacing w:line="240" w:lineRule="auto"/>
        <w:rPr>
          <w:color w:val="000000"/>
        </w:rPr>
      </w:pPr>
    </w:p>
    <w:p w14:paraId="299ECFDF" w14:textId="77777777" w:rsidR="00D94F95" w:rsidRPr="00F25A60" w:rsidRDefault="00D94F95" w:rsidP="0048111F">
      <w:pPr>
        <w:keepNext/>
        <w:tabs>
          <w:tab w:val="clear" w:pos="567"/>
        </w:tabs>
        <w:spacing w:line="240" w:lineRule="auto"/>
        <w:ind w:left="567" w:hanging="567"/>
        <w:rPr>
          <w:b/>
          <w:bCs/>
          <w:caps/>
          <w:color w:val="000000"/>
        </w:rPr>
      </w:pPr>
      <w:r w:rsidRPr="00F25A60">
        <w:rPr>
          <w:b/>
          <w:bCs/>
          <w:caps/>
          <w:color w:val="000000"/>
        </w:rPr>
        <w:t>4.</w:t>
      </w:r>
      <w:r w:rsidRPr="00F25A60">
        <w:rPr>
          <w:b/>
          <w:bCs/>
          <w:caps/>
          <w:color w:val="000000"/>
        </w:rPr>
        <w:tab/>
        <w:t>KLINICKÉ ÚDAJE</w:t>
      </w:r>
    </w:p>
    <w:p w14:paraId="4C996831" w14:textId="77777777" w:rsidR="00D94F95" w:rsidRPr="00F25A60" w:rsidRDefault="00D94F95" w:rsidP="0048111F">
      <w:pPr>
        <w:pStyle w:val="EndnoteText"/>
        <w:keepNext/>
        <w:tabs>
          <w:tab w:val="clear" w:pos="567"/>
        </w:tabs>
        <w:rPr>
          <w:color w:val="000000"/>
        </w:rPr>
      </w:pPr>
    </w:p>
    <w:p w14:paraId="343EF2E6" w14:textId="77777777" w:rsidR="00D94F95" w:rsidRPr="00F25A60" w:rsidRDefault="00D94F95" w:rsidP="0048111F">
      <w:pPr>
        <w:keepNext/>
        <w:tabs>
          <w:tab w:val="clear" w:pos="567"/>
        </w:tabs>
        <w:spacing w:line="240" w:lineRule="auto"/>
        <w:ind w:left="567" w:hanging="567"/>
        <w:rPr>
          <w:b/>
          <w:bCs/>
          <w:color w:val="000000"/>
        </w:rPr>
      </w:pPr>
      <w:r w:rsidRPr="00F25A60">
        <w:rPr>
          <w:b/>
          <w:bCs/>
          <w:color w:val="000000"/>
        </w:rPr>
        <w:t>4.1</w:t>
      </w:r>
      <w:r w:rsidRPr="00F25A60">
        <w:rPr>
          <w:b/>
          <w:bCs/>
          <w:color w:val="000000"/>
        </w:rPr>
        <w:tab/>
        <w:t>Terapeutické indikace</w:t>
      </w:r>
    </w:p>
    <w:p w14:paraId="6DF925E3" w14:textId="77777777" w:rsidR="00D94F95" w:rsidRPr="00F25A60" w:rsidRDefault="00D94F95" w:rsidP="0048111F">
      <w:pPr>
        <w:pStyle w:val="EndnoteText"/>
        <w:keepNext/>
        <w:tabs>
          <w:tab w:val="clear" w:pos="567"/>
        </w:tabs>
        <w:rPr>
          <w:color w:val="000000"/>
        </w:rPr>
      </w:pPr>
    </w:p>
    <w:p w14:paraId="0A2F687C" w14:textId="77777777" w:rsidR="00D94F95" w:rsidRPr="00F25A60" w:rsidRDefault="00D94F95" w:rsidP="0048111F">
      <w:pPr>
        <w:pStyle w:val="EndnoteText"/>
        <w:keepNext/>
        <w:tabs>
          <w:tab w:val="clear" w:pos="567"/>
        </w:tabs>
        <w:rPr>
          <w:color w:val="000000"/>
        </w:rPr>
      </w:pPr>
      <w:r w:rsidRPr="00F25A60">
        <w:rPr>
          <w:color w:val="000000"/>
        </w:rPr>
        <w:t>Glivec je indikován k léčbě</w:t>
      </w:r>
    </w:p>
    <w:p w14:paraId="57C809A1" w14:textId="72D676DF" w:rsidR="00D94F95" w:rsidRPr="00F25A60" w:rsidRDefault="00D94F95" w:rsidP="0048111F">
      <w:pPr>
        <w:pStyle w:val="EndnoteText"/>
        <w:numPr>
          <w:ilvl w:val="0"/>
          <w:numId w:val="10"/>
        </w:numPr>
        <w:tabs>
          <w:tab w:val="clear" w:pos="720"/>
        </w:tabs>
        <w:ind w:left="567" w:hanging="567"/>
        <w:rPr>
          <w:color w:val="000000"/>
        </w:rPr>
      </w:pPr>
      <w:r w:rsidRPr="00F25A60">
        <w:rPr>
          <w:color w:val="000000"/>
        </w:rPr>
        <w:t xml:space="preserve">dospělých a </w:t>
      </w:r>
      <w:r w:rsidR="00B9436F" w:rsidRPr="00F25A60">
        <w:rPr>
          <w:color w:val="000000"/>
        </w:rPr>
        <w:t>pediatrických</w:t>
      </w:r>
      <w:r w:rsidRPr="00F25A60">
        <w:rPr>
          <w:color w:val="000000"/>
        </w:rPr>
        <w:t xml:space="preserve"> pacientů s</w:t>
      </w:r>
      <w:ins w:id="19" w:author="Author">
        <w:r w:rsidR="009274D5" w:rsidRPr="00F25A60">
          <w:rPr>
            <w:color w:val="000000"/>
          </w:rPr>
          <w:t> </w:t>
        </w:r>
      </w:ins>
      <w:del w:id="20" w:author="Author">
        <w:r w:rsidRPr="00F25A60" w:rsidDel="009274D5">
          <w:rPr>
            <w:color w:val="000000"/>
          </w:rPr>
          <w:delText xml:space="preserve"> </w:delText>
        </w:r>
      </w:del>
      <w:r w:rsidRPr="00F25A60">
        <w:rPr>
          <w:color w:val="000000"/>
        </w:rPr>
        <w:t>nově diagnostikovanou Philadelphia chromozom (bcr-abl) pozitivní (Ph+) chronickou myeloidní leukemií (CML), u kterých není transplantace kostní dřeně považována za léčbu první volby.</w:t>
      </w:r>
    </w:p>
    <w:p w14:paraId="30264240" w14:textId="7DFF1253" w:rsidR="00D94F95" w:rsidRPr="00F25A60" w:rsidRDefault="00D94F95" w:rsidP="0048111F">
      <w:pPr>
        <w:pStyle w:val="EndnoteText"/>
        <w:numPr>
          <w:ilvl w:val="0"/>
          <w:numId w:val="10"/>
        </w:numPr>
        <w:tabs>
          <w:tab w:val="clear" w:pos="720"/>
        </w:tabs>
        <w:ind w:left="567" w:hanging="567"/>
        <w:rPr>
          <w:color w:val="000000"/>
        </w:rPr>
      </w:pPr>
      <w:r w:rsidRPr="00F25A60">
        <w:rPr>
          <w:color w:val="000000"/>
        </w:rPr>
        <w:t xml:space="preserve">dospělých a </w:t>
      </w:r>
      <w:r w:rsidR="00B9436F" w:rsidRPr="00F25A60">
        <w:rPr>
          <w:color w:val="000000"/>
        </w:rPr>
        <w:t>pediatrických</w:t>
      </w:r>
      <w:r w:rsidRPr="00F25A60">
        <w:rPr>
          <w:color w:val="000000"/>
        </w:rPr>
        <w:t xml:space="preserve"> pacientů s</w:t>
      </w:r>
      <w:ins w:id="21" w:author="Author">
        <w:r w:rsidR="009274D5" w:rsidRPr="00F25A60">
          <w:rPr>
            <w:color w:val="000000"/>
          </w:rPr>
          <w:t> </w:t>
        </w:r>
      </w:ins>
      <w:del w:id="22" w:author="Author">
        <w:r w:rsidRPr="00F25A60" w:rsidDel="009274D5">
          <w:rPr>
            <w:color w:val="000000"/>
          </w:rPr>
          <w:delText xml:space="preserve"> </w:delText>
        </w:r>
      </w:del>
      <w:r w:rsidRPr="00F25A60">
        <w:rPr>
          <w:color w:val="000000"/>
        </w:rPr>
        <w:t xml:space="preserve">Ph+ CML </w:t>
      </w:r>
      <w:r w:rsidR="00BF515B" w:rsidRPr="00F25A60">
        <w:rPr>
          <w:color w:val="000000"/>
        </w:rPr>
        <w:t>v</w:t>
      </w:r>
      <w:r w:rsidRPr="00F25A60">
        <w:rPr>
          <w:color w:val="000000"/>
        </w:rPr>
        <w:t xml:space="preserve"> chronick</w:t>
      </w:r>
      <w:r w:rsidR="00BF515B" w:rsidRPr="00F25A60">
        <w:rPr>
          <w:color w:val="000000"/>
        </w:rPr>
        <w:t>é</w:t>
      </w:r>
      <w:r w:rsidRPr="00F25A60">
        <w:rPr>
          <w:color w:val="000000"/>
        </w:rPr>
        <w:t xml:space="preserve"> fáz</w:t>
      </w:r>
      <w:r w:rsidR="00BF515B" w:rsidRPr="00F25A60">
        <w:rPr>
          <w:color w:val="000000"/>
        </w:rPr>
        <w:t>i</w:t>
      </w:r>
      <w:r w:rsidRPr="00F25A60">
        <w:rPr>
          <w:color w:val="000000"/>
        </w:rPr>
        <w:t xml:space="preserve"> onemocnění, u kterých selhala léčba interferonem-alfa, nebo kteří jsou v akcelerované fázi onemocnění nebo v blastické krizi.</w:t>
      </w:r>
    </w:p>
    <w:p w14:paraId="46C86625" w14:textId="77777777" w:rsidR="00D94F95" w:rsidRPr="00F25A60" w:rsidRDefault="00D94F95" w:rsidP="0048111F">
      <w:pPr>
        <w:pStyle w:val="EndnoteText"/>
        <w:numPr>
          <w:ilvl w:val="0"/>
          <w:numId w:val="2"/>
        </w:numPr>
        <w:tabs>
          <w:tab w:val="clear" w:pos="720"/>
        </w:tabs>
        <w:ind w:left="567" w:hanging="567"/>
        <w:rPr>
          <w:color w:val="000000"/>
        </w:rPr>
      </w:pPr>
      <w:r w:rsidRPr="00F25A60">
        <w:rPr>
          <w:color w:val="000000"/>
        </w:rPr>
        <w:t xml:space="preserve">dospělých </w:t>
      </w:r>
      <w:r w:rsidR="00AD05C4" w:rsidRPr="00F25A60">
        <w:rPr>
          <w:color w:val="000000"/>
        </w:rPr>
        <w:t xml:space="preserve">a </w:t>
      </w:r>
      <w:r w:rsidR="00B9436F" w:rsidRPr="00F25A60">
        <w:rPr>
          <w:color w:val="000000"/>
        </w:rPr>
        <w:t>pediatrických</w:t>
      </w:r>
      <w:r w:rsidR="00AD05C4" w:rsidRPr="00F25A60">
        <w:rPr>
          <w:color w:val="000000"/>
        </w:rPr>
        <w:t xml:space="preserve"> </w:t>
      </w:r>
      <w:r w:rsidRPr="00F25A60">
        <w:rPr>
          <w:color w:val="000000"/>
        </w:rPr>
        <w:t xml:space="preserve">pacientů s nově diagnostikovanou Philadelphia chromozom pozitivní akutní lymfatickou leukemií (Ph+ </w:t>
      </w:r>
      <w:smartTag w:uri="urn:schemas-microsoft-com:office:smarttags" w:element="stockticker">
        <w:r w:rsidRPr="00F25A60">
          <w:rPr>
            <w:color w:val="000000"/>
          </w:rPr>
          <w:t>ALL</w:t>
        </w:r>
      </w:smartTag>
      <w:r w:rsidRPr="00F25A60">
        <w:rPr>
          <w:color w:val="000000"/>
        </w:rPr>
        <w:t>) doplněnou chemoterapií.</w:t>
      </w:r>
    </w:p>
    <w:p w14:paraId="11036B91" w14:textId="77777777" w:rsidR="00D94F95" w:rsidRPr="00F25A60" w:rsidRDefault="00D94F95" w:rsidP="0048111F">
      <w:pPr>
        <w:pStyle w:val="EndnoteText"/>
        <w:numPr>
          <w:ilvl w:val="0"/>
          <w:numId w:val="10"/>
        </w:numPr>
        <w:tabs>
          <w:tab w:val="clear" w:pos="720"/>
        </w:tabs>
        <w:ind w:left="567" w:hanging="567"/>
        <w:rPr>
          <w:color w:val="000000"/>
        </w:rPr>
      </w:pPr>
      <w:r w:rsidRPr="00F25A60">
        <w:rPr>
          <w:color w:val="000000"/>
        </w:rPr>
        <w:t xml:space="preserve">dospělých pacientů s recidivující nebo refrakterní Ph+ </w:t>
      </w:r>
      <w:smartTag w:uri="urn:schemas-microsoft-com:office:smarttags" w:element="stockticker">
        <w:r w:rsidRPr="00F25A60">
          <w:rPr>
            <w:color w:val="000000"/>
          </w:rPr>
          <w:t>ALL</w:t>
        </w:r>
      </w:smartTag>
      <w:r w:rsidRPr="00F25A60">
        <w:rPr>
          <w:color w:val="000000"/>
        </w:rPr>
        <w:t xml:space="preserve"> jako monoterapie.</w:t>
      </w:r>
    </w:p>
    <w:p w14:paraId="4B425026" w14:textId="77777777" w:rsidR="00D94F95" w:rsidRPr="00F25A60" w:rsidRDefault="00D94F95" w:rsidP="0048111F">
      <w:pPr>
        <w:pStyle w:val="EndnoteText"/>
        <w:numPr>
          <w:ilvl w:val="0"/>
          <w:numId w:val="10"/>
        </w:numPr>
        <w:tabs>
          <w:tab w:val="clear" w:pos="720"/>
        </w:tabs>
        <w:ind w:left="567" w:hanging="567"/>
        <w:rPr>
          <w:color w:val="000000"/>
        </w:rPr>
      </w:pPr>
      <w:r w:rsidRPr="00F25A60">
        <w:rPr>
          <w:color w:val="000000"/>
        </w:rPr>
        <w:t>dospělých pacientů s myelodysplastickým/myeloproliferativním onemocněním (</w:t>
      </w:r>
      <w:smartTag w:uri="urn:schemas-microsoft-com:office:smarttags" w:element="stockticker">
        <w:r w:rsidRPr="00F25A60">
          <w:rPr>
            <w:color w:val="000000"/>
          </w:rPr>
          <w:t>MDS</w:t>
        </w:r>
      </w:smartTag>
      <w:r w:rsidRPr="00F25A60">
        <w:rPr>
          <w:color w:val="000000"/>
        </w:rPr>
        <w:t>/MPD) spojeným s </w:t>
      </w:r>
      <w:r w:rsidR="00BF515B" w:rsidRPr="00F25A60">
        <w:rPr>
          <w:color w:val="000000"/>
        </w:rPr>
        <w:t>přeskupením</w:t>
      </w:r>
      <w:r w:rsidRPr="00F25A60">
        <w:rPr>
          <w:color w:val="000000"/>
        </w:rPr>
        <w:t xml:space="preserve"> genu receptoru pro růstový faktor </w:t>
      </w:r>
      <w:r w:rsidR="00BF515B" w:rsidRPr="00F25A60">
        <w:rPr>
          <w:color w:val="000000"/>
        </w:rPr>
        <w:t>trombocytů</w:t>
      </w:r>
      <w:r w:rsidRPr="00F25A60">
        <w:rPr>
          <w:color w:val="000000"/>
        </w:rPr>
        <w:t xml:space="preserve"> (PDGFR).</w:t>
      </w:r>
    </w:p>
    <w:p w14:paraId="4A099DAB" w14:textId="36CE8E18" w:rsidR="00D94F95" w:rsidRPr="00F25A60" w:rsidRDefault="00D94F95" w:rsidP="0048111F">
      <w:pPr>
        <w:pStyle w:val="EndnoteText"/>
        <w:numPr>
          <w:ilvl w:val="0"/>
          <w:numId w:val="10"/>
        </w:numPr>
        <w:tabs>
          <w:tab w:val="clear" w:pos="720"/>
        </w:tabs>
        <w:ind w:left="567" w:hanging="567"/>
        <w:rPr>
          <w:color w:val="000000"/>
        </w:rPr>
      </w:pPr>
      <w:r w:rsidRPr="00F25A60">
        <w:rPr>
          <w:color w:val="000000"/>
        </w:rPr>
        <w:t>dospělých pacientů s</w:t>
      </w:r>
      <w:ins w:id="23" w:author="Author">
        <w:r w:rsidR="009274D5" w:rsidRPr="00F25A60">
          <w:rPr>
            <w:color w:val="000000"/>
          </w:rPr>
          <w:t> </w:t>
        </w:r>
      </w:ins>
      <w:del w:id="24" w:author="Author">
        <w:r w:rsidRPr="00F25A60" w:rsidDel="009274D5">
          <w:rPr>
            <w:color w:val="000000"/>
          </w:rPr>
          <w:delText xml:space="preserve"> </w:delText>
        </w:r>
      </w:del>
      <w:r w:rsidRPr="00F25A60">
        <w:rPr>
          <w:color w:val="000000"/>
        </w:rPr>
        <w:t>pokročil</w:t>
      </w:r>
      <w:r w:rsidR="00B9436F" w:rsidRPr="00F25A60">
        <w:rPr>
          <w:color w:val="000000"/>
        </w:rPr>
        <w:t>ým</w:t>
      </w:r>
      <w:r w:rsidRPr="00F25A60">
        <w:rPr>
          <w:color w:val="000000"/>
        </w:rPr>
        <w:t xml:space="preserve"> hypereozinofil</w:t>
      </w:r>
      <w:r w:rsidR="00B9436F" w:rsidRPr="00F25A60">
        <w:rPr>
          <w:color w:val="000000"/>
        </w:rPr>
        <w:t>ním syndromem</w:t>
      </w:r>
      <w:r w:rsidRPr="00F25A60">
        <w:rPr>
          <w:color w:val="000000"/>
        </w:rPr>
        <w:t xml:space="preserve"> (HES) a/nebo chronickou eozinofilní leukemií (</w:t>
      </w:r>
      <w:smartTag w:uri="urn:schemas-microsoft-com:office:smarttags" w:element="stockticker">
        <w:r w:rsidRPr="00F25A60">
          <w:rPr>
            <w:color w:val="000000"/>
          </w:rPr>
          <w:t>CEL</w:t>
        </w:r>
      </w:smartTag>
      <w:r w:rsidRPr="00F25A60">
        <w:rPr>
          <w:color w:val="000000"/>
        </w:rPr>
        <w:t>) s přeskupením FIP1L1-PDGFRα.</w:t>
      </w:r>
    </w:p>
    <w:p w14:paraId="6DF2771E" w14:textId="77777777" w:rsidR="00D94F95" w:rsidRPr="00F25A60" w:rsidRDefault="00D94F95" w:rsidP="0048111F">
      <w:pPr>
        <w:pStyle w:val="EndnoteText"/>
        <w:tabs>
          <w:tab w:val="clear" w:pos="567"/>
        </w:tabs>
        <w:rPr>
          <w:color w:val="000000"/>
        </w:rPr>
      </w:pPr>
    </w:p>
    <w:p w14:paraId="09D0BD7A" w14:textId="77777777" w:rsidR="00D94F95" w:rsidRPr="00F25A60" w:rsidRDefault="00D94F95" w:rsidP="0048111F">
      <w:pPr>
        <w:pStyle w:val="EndnoteText"/>
        <w:tabs>
          <w:tab w:val="clear" w:pos="567"/>
        </w:tabs>
        <w:rPr>
          <w:color w:val="000000"/>
        </w:rPr>
      </w:pPr>
      <w:r w:rsidRPr="00F25A60">
        <w:rPr>
          <w:color w:val="000000"/>
        </w:rPr>
        <w:t>Účinek Glivecu na výsledek transplantace kostní dřeně nebyl stanoven.</w:t>
      </w:r>
    </w:p>
    <w:p w14:paraId="2801A34D" w14:textId="77777777" w:rsidR="00D94F95" w:rsidRPr="00F25A60" w:rsidRDefault="00D94F95" w:rsidP="0048111F">
      <w:pPr>
        <w:tabs>
          <w:tab w:val="clear" w:pos="567"/>
        </w:tabs>
        <w:spacing w:line="240" w:lineRule="auto"/>
        <w:rPr>
          <w:color w:val="000000"/>
        </w:rPr>
      </w:pPr>
    </w:p>
    <w:p w14:paraId="61E27A5E" w14:textId="77777777" w:rsidR="00D94F95" w:rsidRPr="00F25A60" w:rsidRDefault="00D94F95" w:rsidP="0048111F">
      <w:pPr>
        <w:keepNext/>
        <w:tabs>
          <w:tab w:val="clear" w:pos="567"/>
        </w:tabs>
        <w:spacing w:line="240" w:lineRule="auto"/>
      </w:pPr>
      <w:r w:rsidRPr="00F25A60">
        <w:rPr>
          <w:color w:val="000000"/>
        </w:rPr>
        <w:lastRenderedPageBreak/>
        <w:t>Glivec je indikován</w:t>
      </w:r>
    </w:p>
    <w:p w14:paraId="487D473B" w14:textId="77777777" w:rsidR="00D94F95" w:rsidRPr="00F25A60" w:rsidRDefault="00D94F95" w:rsidP="0048111F">
      <w:pPr>
        <w:numPr>
          <w:ilvl w:val="0"/>
          <w:numId w:val="4"/>
        </w:numPr>
        <w:tabs>
          <w:tab w:val="clear" w:pos="567"/>
          <w:tab w:val="clear" w:pos="780"/>
        </w:tabs>
        <w:spacing w:line="240" w:lineRule="auto"/>
        <w:ind w:left="567" w:hanging="567"/>
        <w:rPr>
          <w:color w:val="000000"/>
        </w:rPr>
      </w:pPr>
      <w:r w:rsidRPr="00F25A60">
        <w:rPr>
          <w:color w:val="000000"/>
        </w:rPr>
        <w:t>k léčbě dospělých pacientů s Kit (CD 117) pozitivními inoperabilními a/nebo metastatickými maligními stromálními nádory zažívacího traktu (GIST).</w:t>
      </w:r>
    </w:p>
    <w:p w14:paraId="09228F88" w14:textId="77777777" w:rsidR="00D94F95" w:rsidRPr="00F25A60" w:rsidRDefault="00D94F95" w:rsidP="0048111F">
      <w:pPr>
        <w:numPr>
          <w:ilvl w:val="0"/>
          <w:numId w:val="4"/>
        </w:numPr>
        <w:tabs>
          <w:tab w:val="clear" w:pos="567"/>
          <w:tab w:val="clear" w:pos="780"/>
        </w:tabs>
        <w:spacing w:line="240" w:lineRule="auto"/>
        <w:ind w:left="567" w:hanging="567"/>
      </w:pPr>
      <w:r w:rsidRPr="00F25A60">
        <w:rPr>
          <w:color w:val="000000"/>
        </w:rPr>
        <w:t>k adjuvantní léčbě dospělých pacientů s významným rizikem recidivy po resekci Kit (CD117)-pozitivního GIST nádoru. Pacienti s nízkým nebo velmi nízkým rizikem recidivy by neměli adjuvantní léčbu podstoupit.</w:t>
      </w:r>
    </w:p>
    <w:p w14:paraId="0DE919DE" w14:textId="77777777" w:rsidR="00D94F95" w:rsidRPr="00F25A60" w:rsidRDefault="00D94F95" w:rsidP="0048111F">
      <w:pPr>
        <w:numPr>
          <w:ilvl w:val="0"/>
          <w:numId w:val="4"/>
        </w:numPr>
        <w:tabs>
          <w:tab w:val="clear" w:pos="567"/>
          <w:tab w:val="clear" w:pos="780"/>
        </w:tabs>
        <w:spacing w:line="240" w:lineRule="auto"/>
        <w:ind w:left="567" w:hanging="567"/>
        <w:rPr>
          <w:color w:val="000000"/>
        </w:rPr>
      </w:pPr>
      <w:r w:rsidRPr="00F25A60">
        <w:rPr>
          <w:color w:val="000000"/>
        </w:rPr>
        <w:t>k léčbě dospělých pacientů s inoperabilním dermatofibrosarkomem protuberans (DFSP) a dospělých pacientů s rekurentním a/nebo metastatickým DFSP, kteří nejsou způsobilí operace.</w:t>
      </w:r>
    </w:p>
    <w:p w14:paraId="42921BBC" w14:textId="77777777" w:rsidR="00D94F95" w:rsidRPr="00F25A60" w:rsidRDefault="00D94F95" w:rsidP="0048111F">
      <w:pPr>
        <w:tabs>
          <w:tab w:val="clear" w:pos="567"/>
        </w:tabs>
        <w:spacing w:line="240" w:lineRule="auto"/>
        <w:rPr>
          <w:color w:val="000000"/>
        </w:rPr>
      </w:pPr>
    </w:p>
    <w:p w14:paraId="7A3EDD13" w14:textId="0D481177" w:rsidR="00D94F95" w:rsidRPr="00F25A60" w:rsidRDefault="00D94F95" w:rsidP="0048111F">
      <w:pPr>
        <w:pStyle w:val="Text"/>
        <w:spacing w:before="0"/>
        <w:jc w:val="left"/>
        <w:rPr>
          <w:color w:val="000000"/>
          <w:sz w:val="22"/>
          <w:szCs w:val="22"/>
          <w:lang w:val="cs-CZ"/>
        </w:rPr>
      </w:pPr>
      <w:r w:rsidRPr="00F25A60">
        <w:rPr>
          <w:color w:val="000000"/>
          <w:sz w:val="22"/>
          <w:szCs w:val="22"/>
          <w:lang w:val="cs-CZ"/>
        </w:rPr>
        <w:t xml:space="preserve">U dospělých a </w:t>
      </w:r>
      <w:r w:rsidR="006E03CF" w:rsidRPr="00F25A60">
        <w:rPr>
          <w:color w:val="000000"/>
          <w:lang w:val="cs-CZ"/>
        </w:rPr>
        <w:t>pediatrických</w:t>
      </w:r>
      <w:r w:rsidRPr="00F25A60">
        <w:rPr>
          <w:color w:val="000000"/>
          <w:sz w:val="22"/>
          <w:szCs w:val="22"/>
          <w:lang w:val="cs-CZ"/>
        </w:rPr>
        <w:t xml:space="preserve"> pacientů je účinnost Glivecu hodnocena podle </w:t>
      </w:r>
      <w:r w:rsidR="006E03CF" w:rsidRPr="00F25A60">
        <w:rPr>
          <w:color w:val="000000"/>
          <w:sz w:val="22"/>
          <w:szCs w:val="22"/>
          <w:lang w:val="cs-CZ"/>
        </w:rPr>
        <w:t xml:space="preserve">výskytu </w:t>
      </w:r>
      <w:r w:rsidRPr="00F25A60">
        <w:rPr>
          <w:color w:val="000000"/>
          <w:sz w:val="22"/>
          <w:szCs w:val="22"/>
          <w:lang w:val="cs-CZ"/>
        </w:rPr>
        <w:t xml:space="preserve">celkové hematologické a cytogenetické odpovědi a přežívání bez progrese onemocnění u CML, podle </w:t>
      </w:r>
      <w:r w:rsidR="006E03CF" w:rsidRPr="00F25A60">
        <w:rPr>
          <w:color w:val="000000"/>
          <w:sz w:val="22"/>
          <w:szCs w:val="22"/>
          <w:lang w:val="cs-CZ"/>
        </w:rPr>
        <w:t>výskytu</w:t>
      </w:r>
      <w:r w:rsidRPr="00F25A60">
        <w:rPr>
          <w:color w:val="000000"/>
          <w:sz w:val="22"/>
          <w:szCs w:val="22"/>
          <w:lang w:val="cs-CZ"/>
        </w:rPr>
        <w:t xml:space="preserve"> hematologické a cytogenetické odpovědi u Ph+ </w:t>
      </w:r>
      <w:smartTag w:uri="urn:schemas-microsoft-com:office:smarttags" w:element="stockticker">
        <w:r w:rsidRPr="00F25A60">
          <w:rPr>
            <w:color w:val="000000"/>
            <w:sz w:val="22"/>
            <w:szCs w:val="22"/>
            <w:lang w:val="cs-CZ"/>
          </w:rPr>
          <w:t>ALL</w:t>
        </w:r>
      </w:smartTag>
      <w:r w:rsidRPr="00F25A60">
        <w:rPr>
          <w:color w:val="000000"/>
          <w:sz w:val="22"/>
          <w:szCs w:val="22"/>
          <w:lang w:val="cs-CZ"/>
        </w:rPr>
        <w:t xml:space="preserve">, </w:t>
      </w:r>
      <w:smartTag w:uri="urn:schemas-microsoft-com:office:smarttags" w:element="stockticker">
        <w:r w:rsidRPr="00F25A60">
          <w:rPr>
            <w:color w:val="000000"/>
            <w:sz w:val="22"/>
            <w:szCs w:val="22"/>
            <w:lang w:val="cs-CZ"/>
          </w:rPr>
          <w:t>MDS</w:t>
        </w:r>
      </w:smartTag>
      <w:r w:rsidRPr="00F25A60">
        <w:rPr>
          <w:color w:val="000000"/>
          <w:sz w:val="22"/>
          <w:szCs w:val="22"/>
          <w:lang w:val="cs-CZ"/>
        </w:rPr>
        <w:t xml:space="preserve">/MPD, podle </w:t>
      </w:r>
      <w:r w:rsidR="006E03CF" w:rsidRPr="00F25A60">
        <w:rPr>
          <w:color w:val="000000"/>
          <w:sz w:val="22"/>
          <w:szCs w:val="22"/>
          <w:lang w:val="cs-CZ"/>
        </w:rPr>
        <w:t>výskytu</w:t>
      </w:r>
      <w:r w:rsidRPr="00F25A60">
        <w:rPr>
          <w:color w:val="000000"/>
          <w:sz w:val="22"/>
          <w:szCs w:val="22"/>
          <w:lang w:val="cs-CZ"/>
        </w:rPr>
        <w:t xml:space="preserve"> hematologické odpovědi u HES/</w:t>
      </w:r>
      <w:smartTag w:uri="urn:schemas-microsoft-com:office:smarttags" w:element="stockticker">
        <w:r w:rsidRPr="00F25A60">
          <w:rPr>
            <w:color w:val="000000"/>
            <w:sz w:val="22"/>
            <w:szCs w:val="22"/>
            <w:lang w:val="cs-CZ"/>
          </w:rPr>
          <w:t>CEL</w:t>
        </w:r>
      </w:smartTag>
      <w:r w:rsidRPr="00F25A60">
        <w:rPr>
          <w:color w:val="000000"/>
          <w:sz w:val="22"/>
          <w:szCs w:val="22"/>
          <w:lang w:val="cs-CZ"/>
        </w:rPr>
        <w:t xml:space="preserve"> a podle </w:t>
      </w:r>
      <w:r w:rsidR="006E03CF" w:rsidRPr="00F25A60">
        <w:rPr>
          <w:color w:val="000000"/>
          <w:sz w:val="22"/>
          <w:szCs w:val="22"/>
          <w:lang w:val="cs-CZ"/>
        </w:rPr>
        <w:t>výskytu</w:t>
      </w:r>
      <w:r w:rsidRPr="00F25A60">
        <w:rPr>
          <w:color w:val="000000"/>
          <w:sz w:val="22"/>
          <w:szCs w:val="22"/>
          <w:lang w:val="cs-CZ"/>
        </w:rPr>
        <w:t xml:space="preserve"> objektivní odpovědi u dospělých pacientů s inoperabilním a/nebo metastatickým GIST a DFSP a na základě přežití bez návratu onemocnění u adjuvantní léčby GIST. Zkušenosti s Glivecem u pacientů s </w:t>
      </w:r>
      <w:smartTag w:uri="urn:schemas-microsoft-com:office:smarttags" w:element="stockticker">
        <w:r w:rsidRPr="00F25A60">
          <w:rPr>
            <w:color w:val="000000"/>
            <w:sz w:val="22"/>
            <w:szCs w:val="22"/>
            <w:lang w:val="cs-CZ"/>
          </w:rPr>
          <w:t>MDS</w:t>
        </w:r>
      </w:smartTag>
      <w:r w:rsidRPr="00F25A60">
        <w:rPr>
          <w:color w:val="000000"/>
          <w:sz w:val="22"/>
          <w:szCs w:val="22"/>
          <w:lang w:val="cs-CZ"/>
        </w:rPr>
        <w:t xml:space="preserve">/MPD spojeným s </w:t>
      </w:r>
      <w:r w:rsidR="006E03CF" w:rsidRPr="00F25A60">
        <w:rPr>
          <w:color w:val="000000"/>
          <w:sz w:val="22"/>
          <w:szCs w:val="22"/>
          <w:lang w:val="cs-CZ"/>
        </w:rPr>
        <w:t>přeskupením</w:t>
      </w:r>
      <w:r w:rsidRPr="00F25A60">
        <w:rPr>
          <w:color w:val="000000"/>
          <w:sz w:val="22"/>
          <w:szCs w:val="22"/>
          <w:lang w:val="cs-CZ"/>
        </w:rPr>
        <w:t xml:space="preserve"> genu receptoru PDGFR jsou velmi omezené (viz bod</w:t>
      </w:r>
      <w:ins w:id="25" w:author="Author">
        <w:r w:rsidR="004B796B" w:rsidRPr="00F25A60">
          <w:rPr>
            <w:color w:val="000000"/>
          </w:rPr>
          <w:t> </w:t>
        </w:r>
      </w:ins>
      <w:del w:id="26" w:author="Author">
        <w:r w:rsidRPr="00F25A60" w:rsidDel="004B796B">
          <w:rPr>
            <w:color w:val="000000"/>
            <w:sz w:val="22"/>
            <w:szCs w:val="22"/>
            <w:lang w:val="cs-CZ"/>
          </w:rPr>
          <w:delText xml:space="preserve"> </w:delText>
        </w:r>
      </w:del>
      <w:r w:rsidRPr="00F25A60">
        <w:rPr>
          <w:color w:val="000000"/>
          <w:sz w:val="22"/>
          <w:szCs w:val="22"/>
          <w:lang w:val="cs-CZ"/>
        </w:rPr>
        <w:t>5.1). Kromě nově diagnostikované chronické fáze CML nejsou k dispozici žádné kontrolované studie, které by prokázaly klinický přínos nebo prodloužené přežití u těchto uvedených onemocnění.</w:t>
      </w:r>
    </w:p>
    <w:p w14:paraId="58B423AD" w14:textId="77777777" w:rsidR="00D94F95" w:rsidRPr="00F25A60" w:rsidRDefault="00D94F95" w:rsidP="0048111F">
      <w:pPr>
        <w:pStyle w:val="Text"/>
        <w:spacing w:before="0"/>
        <w:rPr>
          <w:color w:val="000000"/>
          <w:sz w:val="22"/>
          <w:szCs w:val="22"/>
          <w:lang w:val="cs-CZ"/>
        </w:rPr>
      </w:pPr>
    </w:p>
    <w:p w14:paraId="11C994C5" w14:textId="77777777" w:rsidR="00D94F95" w:rsidRPr="00F25A60" w:rsidRDefault="00D94F95" w:rsidP="0048111F">
      <w:pPr>
        <w:keepNext/>
        <w:tabs>
          <w:tab w:val="clear" w:pos="567"/>
        </w:tabs>
        <w:spacing w:line="240" w:lineRule="auto"/>
        <w:ind w:left="567" w:hanging="567"/>
        <w:rPr>
          <w:b/>
          <w:bCs/>
          <w:color w:val="000000"/>
        </w:rPr>
      </w:pPr>
      <w:r w:rsidRPr="00F25A60">
        <w:rPr>
          <w:b/>
          <w:bCs/>
          <w:color w:val="000000"/>
        </w:rPr>
        <w:t>4.2</w:t>
      </w:r>
      <w:r w:rsidRPr="00F25A60">
        <w:rPr>
          <w:b/>
          <w:bCs/>
          <w:color w:val="000000"/>
        </w:rPr>
        <w:tab/>
        <w:t>Dávkování a způsob podání</w:t>
      </w:r>
    </w:p>
    <w:p w14:paraId="7D5CF2C6" w14:textId="77777777" w:rsidR="00D97A44" w:rsidRPr="00F25A60" w:rsidRDefault="00D97A44" w:rsidP="0048111F">
      <w:pPr>
        <w:pStyle w:val="EndnoteText"/>
        <w:keepNext/>
        <w:tabs>
          <w:tab w:val="clear" w:pos="567"/>
        </w:tabs>
        <w:rPr>
          <w:color w:val="000000"/>
        </w:rPr>
      </w:pPr>
    </w:p>
    <w:p w14:paraId="71DA9262" w14:textId="77777777" w:rsidR="00D97A44" w:rsidRPr="00F25A60" w:rsidRDefault="00D97A44" w:rsidP="0048111F">
      <w:pPr>
        <w:pStyle w:val="EndnoteText"/>
        <w:tabs>
          <w:tab w:val="clear" w:pos="567"/>
        </w:tabs>
        <w:rPr>
          <w:color w:val="000000"/>
        </w:rPr>
      </w:pPr>
      <w:r w:rsidRPr="00F25A60">
        <w:rPr>
          <w:color w:val="000000"/>
        </w:rPr>
        <w:t xml:space="preserve">Léčbu </w:t>
      </w:r>
      <w:r w:rsidR="006E03CF" w:rsidRPr="00F25A60">
        <w:rPr>
          <w:color w:val="000000"/>
        </w:rPr>
        <w:t>má</w:t>
      </w:r>
      <w:r w:rsidRPr="00F25A60">
        <w:rPr>
          <w:color w:val="000000"/>
        </w:rPr>
        <w:t xml:space="preserve"> zahájit lékař s odpovídajícími zkušenostmi v léčbě pacientů s hematologickými malignitami a maligními sarkomy.</w:t>
      </w:r>
    </w:p>
    <w:p w14:paraId="692EAE90" w14:textId="77777777" w:rsidR="00D97A44" w:rsidRPr="00F25A60" w:rsidRDefault="00D97A44" w:rsidP="0048111F">
      <w:pPr>
        <w:pStyle w:val="EndnoteText"/>
        <w:tabs>
          <w:tab w:val="clear" w:pos="567"/>
        </w:tabs>
        <w:rPr>
          <w:color w:val="000000"/>
        </w:rPr>
      </w:pPr>
    </w:p>
    <w:p w14:paraId="3EEBB8FB" w14:textId="633837DE" w:rsidR="00A03E4F" w:rsidRPr="00F25A60" w:rsidRDefault="00A03E4F" w:rsidP="0048111F">
      <w:pPr>
        <w:tabs>
          <w:tab w:val="clear" w:pos="567"/>
        </w:tabs>
        <w:spacing w:line="240" w:lineRule="auto"/>
        <w:rPr>
          <w:color w:val="000000"/>
        </w:rPr>
      </w:pPr>
      <w:r w:rsidRPr="00F25A60">
        <w:rPr>
          <w:color w:val="000000"/>
        </w:rPr>
        <w:t xml:space="preserve">Pro dávky jiné než 400 mg a 800 mg (viz doporučené dávkování níže) jsou </w:t>
      </w:r>
      <w:r w:rsidRPr="00BC48A2">
        <w:rPr>
          <w:color w:val="000000"/>
        </w:rPr>
        <w:t xml:space="preserve">dostupné 100mg </w:t>
      </w:r>
      <w:r w:rsidR="007F133E" w:rsidRPr="00BC48A2">
        <w:rPr>
          <w:color w:val="000000"/>
        </w:rPr>
        <w:t>a 400mg</w:t>
      </w:r>
      <w:r w:rsidR="007F133E">
        <w:rPr>
          <w:color w:val="000000"/>
        </w:rPr>
        <w:t xml:space="preserve"> </w:t>
      </w:r>
      <w:r w:rsidRPr="00F25A60">
        <w:rPr>
          <w:color w:val="000000"/>
        </w:rPr>
        <w:t>dělitelné tablety.</w:t>
      </w:r>
    </w:p>
    <w:p w14:paraId="742459E2" w14:textId="46D00287" w:rsidR="00D97A44" w:rsidRPr="00F25A60" w:rsidRDefault="00D97A44" w:rsidP="0048111F">
      <w:pPr>
        <w:tabs>
          <w:tab w:val="clear" w:pos="567"/>
        </w:tabs>
        <w:spacing w:line="240" w:lineRule="auto"/>
        <w:rPr>
          <w:color w:val="000000"/>
        </w:rPr>
      </w:pPr>
    </w:p>
    <w:p w14:paraId="5E0A00CE" w14:textId="77777777" w:rsidR="00D97A44" w:rsidRPr="00F25A60" w:rsidRDefault="00D97A44" w:rsidP="0048111F">
      <w:pPr>
        <w:pStyle w:val="EndnoteText"/>
        <w:tabs>
          <w:tab w:val="clear" w:pos="567"/>
        </w:tabs>
        <w:rPr>
          <w:color w:val="000000"/>
        </w:rPr>
      </w:pPr>
      <w:r w:rsidRPr="00F25A60">
        <w:rPr>
          <w:color w:val="000000"/>
        </w:rPr>
        <w:t xml:space="preserve">Předepsaná dávka </w:t>
      </w:r>
      <w:r w:rsidR="006E03CF" w:rsidRPr="00F25A60">
        <w:rPr>
          <w:color w:val="000000"/>
        </w:rPr>
        <w:t>má</w:t>
      </w:r>
      <w:r w:rsidRPr="00F25A60">
        <w:rPr>
          <w:color w:val="000000"/>
        </w:rPr>
        <w:t xml:space="preserve"> být podávána perorálně s jídlem a zapíjena velkou sklenicí vody, aby se minimalizovalo riziko gastrointestinálního podráždění. Dávky 400 mg nebo 600 mg </w:t>
      </w:r>
      <w:r w:rsidR="006E03CF" w:rsidRPr="00F25A60">
        <w:rPr>
          <w:color w:val="000000"/>
        </w:rPr>
        <w:t>mají</w:t>
      </w:r>
      <w:r w:rsidRPr="00F25A60">
        <w:rPr>
          <w:color w:val="000000"/>
        </w:rPr>
        <w:t xml:space="preserve"> být podávány jednou denně, zatímco dávka 800 mg </w:t>
      </w:r>
      <w:r w:rsidR="006E03CF" w:rsidRPr="00F25A60">
        <w:rPr>
          <w:color w:val="000000"/>
        </w:rPr>
        <w:t>má</w:t>
      </w:r>
      <w:r w:rsidRPr="00F25A60">
        <w:rPr>
          <w:color w:val="000000"/>
        </w:rPr>
        <w:t xml:space="preserve"> být podávána rozděleně na 400 mg dvakrát denně ráno a večer.</w:t>
      </w:r>
    </w:p>
    <w:p w14:paraId="40CDC3FD" w14:textId="77777777" w:rsidR="00D97A44" w:rsidRPr="00F25A60" w:rsidRDefault="00D97A44" w:rsidP="0048111F">
      <w:pPr>
        <w:pStyle w:val="EndnoteText"/>
        <w:tabs>
          <w:tab w:val="clear" w:pos="567"/>
        </w:tabs>
        <w:rPr>
          <w:color w:val="000000"/>
        </w:rPr>
      </w:pPr>
    </w:p>
    <w:p w14:paraId="30E4A2FE" w14:textId="77777777" w:rsidR="00D97A44" w:rsidRPr="00F25A60" w:rsidRDefault="00D97A44" w:rsidP="0048111F">
      <w:pPr>
        <w:pStyle w:val="BodyText"/>
        <w:spacing w:line="240" w:lineRule="auto"/>
        <w:rPr>
          <w:b w:val="0"/>
          <w:i w:val="0"/>
          <w:color w:val="000000"/>
        </w:rPr>
      </w:pPr>
      <w:r w:rsidRPr="00F25A60">
        <w:rPr>
          <w:b w:val="0"/>
          <w:i w:val="0"/>
          <w:color w:val="000000"/>
        </w:rPr>
        <w:t xml:space="preserve">Pacientům, kteří nemohou polykat celé potahované tablety je možné tablety rozpustit ve sklenici </w:t>
      </w:r>
      <w:r w:rsidR="00397A30" w:rsidRPr="00F25A60">
        <w:rPr>
          <w:b w:val="0"/>
          <w:i w:val="0"/>
          <w:color w:val="000000"/>
        </w:rPr>
        <w:t xml:space="preserve">neperlivé </w:t>
      </w:r>
      <w:r w:rsidRPr="00F25A60">
        <w:rPr>
          <w:b w:val="0"/>
          <w:i w:val="0"/>
          <w:color w:val="000000"/>
        </w:rPr>
        <w:t>vody nebo jablečného džusu. Požadovaný počet tablet by měl být dán do odpovídajícího množství nápoje (přibližně 50 ml pro 100 mg tabletu a 200 ml pro 400 mg tabletu) a zamíchán lžící. Suspenze musí být požita neprodleně po kompletním rozpadnutí tablety(tablet).</w:t>
      </w:r>
    </w:p>
    <w:p w14:paraId="4E4DBB32" w14:textId="77777777" w:rsidR="00D97A44" w:rsidRPr="00F25A60" w:rsidRDefault="00D97A44" w:rsidP="0048111F">
      <w:pPr>
        <w:pStyle w:val="BodyText"/>
        <w:spacing w:line="240" w:lineRule="auto"/>
        <w:rPr>
          <w:b w:val="0"/>
          <w:bCs w:val="0"/>
          <w:i w:val="0"/>
          <w:iCs w:val="0"/>
          <w:color w:val="000000"/>
        </w:rPr>
      </w:pPr>
    </w:p>
    <w:p w14:paraId="17134D99" w14:textId="7D497DF6" w:rsidR="00D94F95" w:rsidRPr="00F25A60" w:rsidRDefault="00D94F95" w:rsidP="0048111F">
      <w:pPr>
        <w:pStyle w:val="BodyText"/>
        <w:keepNext/>
        <w:spacing w:line="240" w:lineRule="auto"/>
        <w:rPr>
          <w:b w:val="0"/>
          <w:bCs w:val="0"/>
          <w:i w:val="0"/>
          <w:iCs w:val="0"/>
          <w:color w:val="000000"/>
          <w:u w:val="single"/>
        </w:rPr>
      </w:pPr>
      <w:r w:rsidRPr="00F25A60">
        <w:rPr>
          <w:b w:val="0"/>
          <w:bCs w:val="0"/>
          <w:i w:val="0"/>
          <w:iCs w:val="0"/>
          <w:color w:val="000000"/>
          <w:u w:val="single"/>
        </w:rPr>
        <w:t>Dávkování u CML u dospělých pacientů</w:t>
      </w:r>
    </w:p>
    <w:p w14:paraId="077234F7" w14:textId="77777777" w:rsidR="00350B5E" w:rsidRPr="00F25A60" w:rsidRDefault="00350B5E" w:rsidP="0048111F">
      <w:pPr>
        <w:pStyle w:val="BodyText"/>
        <w:keepNext/>
        <w:spacing w:line="240" w:lineRule="auto"/>
        <w:rPr>
          <w:b w:val="0"/>
          <w:bCs w:val="0"/>
          <w:i w:val="0"/>
          <w:iCs w:val="0"/>
          <w:color w:val="000000"/>
        </w:rPr>
      </w:pPr>
    </w:p>
    <w:p w14:paraId="5A94B7A7" w14:textId="77777777" w:rsidR="00D94F95" w:rsidRPr="00F25A60" w:rsidRDefault="00D94F95" w:rsidP="0048111F">
      <w:pPr>
        <w:spacing w:line="240" w:lineRule="auto"/>
      </w:pPr>
      <w:r w:rsidRPr="00F25A60">
        <w:t xml:space="preserve">Doporučená dávka Glivecu je pro </w:t>
      </w:r>
      <w:r w:rsidR="00CB0ABF" w:rsidRPr="00F25A60">
        <w:t xml:space="preserve">dospělé </w:t>
      </w:r>
      <w:r w:rsidRPr="00F25A60">
        <w:t>pacienty v chronické fázi CML 400 mg/den. Chronická fáze CML je definována dosažením všech následujících kriterií: blasty v krvi a kostní dřeni &lt; 15</w:t>
      </w:r>
      <w:r w:rsidR="004B270C" w:rsidRPr="00F25A60">
        <w:t> </w:t>
      </w:r>
      <w:r w:rsidRPr="00F25A60">
        <w:t>%, basofily v periferní krvi &lt; 20</w:t>
      </w:r>
      <w:r w:rsidR="004B270C" w:rsidRPr="00F25A60">
        <w:t> </w:t>
      </w:r>
      <w:r w:rsidRPr="00F25A60">
        <w:t xml:space="preserve">%, </w:t>
      </w:r>
      <w:r w:rsidR="00367D59" w:rsidRPr="00F25A60">
        <w:t>trombocyty</w:t>
      </w:r>
      <w:r w:rsidRPr="00F25A60">
        <w:t xml:space="preserve"> &gt; 100 x 10</w:t>
      </w:r>
      <w:r w:rsidRPr="00F25A60">
        <w:rPr>
          <w:vertAlign w:val="superscript"/>
        </w:rPr>
        <w:t>9</w:t>
      </w:r>
      <w:r w:rsidRPr="00F25A60">
        <w:t>/l.</w:t>
      </w:r>
    </w:p>
    <w:p w14:paraId="1656700A" w14:textId="77777777" w:rsidR="00D94F95" w:rsidRPr="00F25A60" w:rsidRDefault="00D94F95" w:rsidP="0048111F">
      <w:pPr>
        <w:pStyle w:val="BodyText"/>
        <w:spacing w:line="240" w:lineRule="auto"/>
        <w:rPr>
          <w:b w:val="0"/>
          <w:bCs w:val="0"/>
          <w:i w:val="0"/>
          <w:iCs w:val="0"/>
          <w:color w:val="000000"/>
        </w:rPr>
      </w:pPr>
    </w:p>
    <w:p w14:paraId="0D14F877" w14:textId="77777777" w:rsidR="00D94F95" w:rsidRPr="00F25A60" w:rsidRDefault="00D94F95" w:rsidP="0048111F">
      <w:pPr>
        <w:pStyle w:val="BodyText"/>
        <w:spacing w:line="240" w:lineRule="auto"/>
        <w:rPr>
          <w:b w:val="0"/>
          <w:bCs w:val="0"/>
          <w:i w:val="0"/>
          <w:iCs w:val="0"/>
          <w:color w:val="000000"/>
        </w:rPr>
      </w:pPr>
      <w:r w:rsidRPr="00F25A60">
        <w:rPr>
          <w:b w:val="0"/>
          <w:bCs w:val="0"/>
          <w:i w:val="0"/>
          <w:iCs w:val="0"/>
          <w:color w:val="000000"/>
        </w:rPr>
        <w:t>U</w:t>
      </w:r>
      <w:r w:rsidR="00A07DA3" w:rsidRPr="00F25A60">
        <w:rPr>
          <w:b w:val="0"/>
          <w:bCs w:val="0"/>
          <w:i w:val="0"/>
          <w:iCs w:val="0"/>
          <w:color w:val="000000"/>
        </w:rPr>
        <w:t> </w:t>
      </w:r>
      <w:r w:rsidR="00CB0ABF" w:rsidRPr="00F25A60">
        <w:rPr>
          <w:b w:val="0"/>
          <w:bCs w:val="0"/>
          <w:i w:val="0"/>
          <w:iCs w:val="0"/>
          <w:color w:val="000000"/>
        </w:rPr>
        <w:t xml:space="preserve">dospělých </w:t>
      </w:r>
      <w:r w:rsidRPr="00F25A60">
        <w:rPr>
          <w:b w:val="0"/>
          <w:bCs w:val="0"/>
          <w:i w:val="0"/>
          <w:iCs w:val="0"/>
          <w:color w:val="000000"/>
        </w:rPr>
        <w:t xml:space="preserve">pacientů s akcelerovanou fází je doporučená dávka Glivecu 600 mg/den. Akcelerovaná fáze onemocnění je určena přítomností kteréhokoli z následujících projevů: blasty v krvi nebo kostní dřeni </w:t>
      </w:r>
      <w:r w:rsidRPr="00F25A60">
        <w:rPr>
          <w:rFonts w:ascii="Symbol" w:hAnsi="Symbol"/>
          <w:b w:val="0"/>
          <w:bCs w:val="0"/>
          <w:i w:val="0"/>
          <w:iCs w:val="0"/>
          <w:color w:val="000000"/>
        </w:rPr>
        <w:t></w:t>
      </w:r>
      <w:r w:rsidRPr="00F25A60">
        <w:rPr>
          <w:b w:val="0"/>
          <w:bCs w:val="0"/>
          <w:i w:val="0"/>
          <w:iCs w:val="0"/>
          <w:color w:val="000000"/>
        </w:rPr>
        <w:t> 15</w:t>
      </w:r>
      <w:r w:rsidR="004B270C" w:rsidRPr="00F25A60">
        <w:rPr>
          <w:b w:val="0"/>
          <w:bCs w:val="0"/>
          <w:i w:val="0"/>
          <w:iCs w:val="0"/>
          <w:color w:val="000000"/>
        </w:rPr>
        <w:t> </w:t>
      </w:r>
      <w:r w:rsidRPr="00F25A60">
        <w:rPr>
          <w:b w:val="0"/>
          <w:bCs w:val="0"/>
          <w:i w:val="0"/>
          <w:iCs w:val="0"/>
          <w:color w:val="000000"/>
        </w:rPr>
        <w:t>% ale &lt; 30</w:t>
      </w:r>
      <w:r w:rsidR="004B270C" w:rsidRPr="00F25A60">
        <w:rPr>
          <w:b w:val="0"/>
          <w:bCs w:val="0"/>
          <w:i w:val="0"/>
          <w:iCs w:val="0"/>
          <w:color w:val="000000"/>
        </w:rPr>
        <w:t> </w:t>
      </w:r>
      <w:r w:rsidRPr="00F25A60">
        <w:rPr>
          <w:b w:val="0"/>
          <w:bCs w:val="0"/>
          <w:i w:val="0"/>
          <w:iCs w:val="0"/>
          <w:color w:val="000000"/>
        </w:rPr>
        <w:t xml:space="preserve">%, blasty a promyelocyty v krvi nebo kostní dřeni </w:t>
      </w:r>
      <w:r w:rsidRPr="00F25A60">
        <w:rPr>
          <w:rFonts w:ascii="Symbol" w:hAnsi="Symbol"/>
          <w:b w:val="0"/>
          <w:bCs w:val="0"/>
          <w:i w:val="0"/>
          <w:iCs w:val="0"/>
          <w:color w:val="000000"/>
        </w:rPr>
        <w:t></w:t>
      </w:r>
      <w:r w:rsidRPr="00F25A60">
        <w:rPr>
          <w:b w:val="0"/>
          <w:bCs w:val="0"/>
          <w:i w:val="0"/>
          <w:iCs w:val="0"/>
          <w:color w:val="000000"/>
        </w:rPr>
        <w:t> 30</w:t>
      </w:r>
      <w:r w:rsidR="004B270C" w:rsidRPr="00F25A60">
        <w:rPr>
          <w:b w:val="0"/>
          <w:bCs w:val="0"/>
          <w:i w:val="0"/>
          <w:iCs w:val="0"/>
          <w:color w:val="000000"/>
        </w:rPr>
        <w:t> </w:t>
      </w:r>
      <w:r w:rsidRPr="00F25A60">
        <w:rPr>
          <w:b w:val="0"/>
          <w:bCs w:val="0"/>
          <w:i w:val="0"/>
          <w:iCs w:val="0"/>
          <w:color w:val="000000"/>
        </w:rPr>
        <w:t>% (za předpokladu &lt; 30</w:t>
      </w:r>
      <w:r w:rsidR="004B270C" w:rsidRPr="00F25A60">
        <w:rPr>
          <w:b w:val="0"/>
          <w:bCs w:val="0"/>
          <w:i w:val="0"/>
          <w:iCs w:val="0"/>
          <w:color w:val="000000"/>
        </w:rPr>
        <w:t> </w:t>
      </w:r>
      <w:r w:rsidRPr="00F25A60">
        <w:rPr>
          <w:b w:val="0"/>
          <w:bCs w:val="0"/>
          <w:i w:val="0"/>
          <w:iCs w:val="0"/>
          <w:color w:val="000000"/>
        </w:rPr>
        <w:t xml:space="preserve">% blastů), basofily v periferní krvi </w:t>
      </w:r>
      <w:r w:rsidRPr="00F25A60">
        <w:rPr>
          <w:rFonts w:ascii="Symbol" w:hAnsi="Symbol"/>
          <w:b w:val="0"/>
          <w:bCs w:val="0"/>
          <w:i w:val="0"/>
          <w:iCs w:val="0"/>
          <w:color w:val="000000"/>
        </w:rPr>
        <w:t></w:t>
      </w:r>
      <w:r w:rsidRPr="00F25A60">
        <w:rPr>
          <w:b w:val="0"/>
          <w:bCs w:val="0"/>
          <w:i w:val="0"/>
          <w:iCs w:val="0"/>
          <w:color w:val="000000"/>
        </w:rPr>
        <w:t> 20</w:t>
      </w:r>
      <w:r w:rsidR="004B270C" w:rsidRPr="00F25A60">
        <w:rPr>
          <w:b w:val="0"/>
          <w:bCs w:val="0"/>
          <w:i w:val="0"/>
          <w:iCs w:val="0"/>
          <w:color w:val="000000"/>
        </w:rPr>
        <w:t> </w:t>
      </w:r>
      <w:r w:rsidRPr="00F25A60">
        <w:rPr>
          <w:b w:val="0"/>
          <w:bCs w:val="0"/>
          <w:i w:val="0"/>
          <w:iCs w:val="0"/>
          <w:color w:val="000000"/>
        </w:rPr>
        <w:t xml:space="preserve">%, </w:t>
      </w:r>
      <w:r w:rsidR="00367D59" w:rsidRPr="00F25A60">
        <w:rPr>
          <w:b w:val="0"/>
          <w:bCs w:val="0"/>
          <w:i w:val="0"/>
          <w:iCs w:val="0"/>
          <w:color w:val="000000"/>
        </w:rPr>
        <w:t>trombocyty</w:t>
      </w:r>
      <w:r w:rsidRPr="00F25A60">
        <w:rPr>
          <w:b w:val="0"/>
          <w:bCs w:val="0"/>
          <w:i w:val="0"/>
          <w:iCs w:val="0"/>
          <w:color w:val="000000"/>
        </w:rPr>
        <w:t>&lt; 100 x 10</w:t>
      </w:r>
      <w:r w:rsidRPr="00F25A60">
        <w:rPr>
          <w:b w:val="0"/>
          <w:bCs w:val="0"/>
          <w:i w:val="0"/>
          <w:iCs w:val="0"/>
          <w:color w:val="000000"/>
          <w:vertAlign w:val="superscript"/>
        </w:rPr>
        <w:t>9</w:t>
      </w:r>
      <w:r w:rsidRPr="00F25A60">
        <w:rPr>
          <w:b w:val="0"/>
          <w:bCs w:val="0"/>
          <w:i w:val="0"/>
          <w:iCs w:val="0"/>
          <w:color w:val="000000"/>
        </w:rPr>
        <w:t>/l bez vztahu k léčbě.</w:t>
      </w:r>
    </w:p>
    <w:p w14:paraId="788CB5FC" w14:textId="77777777" w:rsidR="00D94F95" w:rsidRPr="00F25A60" w:rsidRDefault="00D94F95" w:rsidP="0048111F">
      <w:pPr>
        <w:pStyle w:val="BodyText"/>
        <w:spacing w:line="240" w:lineRule="auto"/>
        <w:rPr>
          <w:b w:val="0"/>
          <w:bCs w:val="0"/>
          <w:i w:val="0"/>
          <w:iCs w:val="0"/>
          <w:color w:val="000000"/>
        </w:rPr>
      </w:pPr>
    </w:p>
    <w:p w14:paraId="492E6CB2" w14:textId="77777777" w:rsidR="00D94F95" w:rsidRPr="00F25A60" w:rsidRDefault="00D94F95" w:rsidP="0048111F">
      <w:pPr>
        <w:pStyle w:val="BodyText"/>
        <w:spacing w:line="240" w:lineRule="auto"/>
        <w:rPr>
          <w:b w:val="0"/>
          <w:bCs w:val="0"/>
          <w:i w:val="0"/>
          <w:iCs w:val="0"/>
          <w:color w:val="000000"/>
        </w:rPr>
      </w:pPr>
      <w:r w:rsidRPr="00F25A60">
        <w:rPr>
          <w:b w:val="0"/>
          <w:bCs w:val="0"/>
          <w:i w:val="0"/>
          <w:iCs w:val="0"/>
          <w:color w:val="000000"/>
        </w:rPr>
        <w:t>U</w:t>
      </w:r>
      <w:r w:rsidR="00A07DA3" w:rsidRPr="00F25A60">
        <w:rPr>
          <w:b w:val="0"/>
          <w:bCs w:val="0"/>
          <w:i w:val="0"/>
          <w:iCs w:val="0"/>
          <w:color w:val="000000"/>
        </w:rPr>
        <w:t> </w:t>
      </w:r>
      <w:r w:rsidR="00CB0ABF" w:rsidRPr="00F25A60">
        <w:rPr>
          <w:b w:val="0"/>
          <w:bCs w:val="0"/>
          <w:i w:val="0"/>
          <w:iCs w:val="0"/>
          <w:color w:val="000000"/>
        </w:rPr>
        <w:t xml:space="preserve">dospělých </w:t>
      </w:r>
      <w:r w:rsidRPr="00F25A60">
        <w:rPr>
          <w:b w:val="0"/>
          <w:bCs w:val="0"/>
          <w:i w:val="0"/>
          <w:iCs w:val="0"/>
          <w:color w:val="000000"/>
        </w:rPr>
        <w:t xml:space="preserve">pacientů v blastické krizi je doporučená dávka Glivecu 600 mg/den. Blastická krize je definována počtem blastů v krvi nebo kostní dřeni </w:t>
      </w:r>
      <w:r w:rsidRPr="00F25A60">
        <w:rPr>
          <w:rFonts w:ascii="Symbol" w:hAnsi="Symbol"/>
          <w:b w:val="0"/>
          <w:bCs w:val="0"/>
          <w:i w:val="0"/>
          <w:iCs w:val="0"/>
          <w:color w:val="000000"/>
        </w:rPr>
        <w:t></w:t>
      </w:r>
      <w:r w:rsidRPr="00F25A60">
        <w:rPr>
          <w:b w:val="0"/>
          <w:bCs w:val="0"/>
          <w:i w:val="0"/>
          <w:iCs w:val="0"/>
          <w:color w:val="000000"/>
        </w:rPr>
        <w:t> 30</w:t>
      </w:r>
      <w:r w:rsidR="004B270C" w:rsidRPr="00F25A60">
        <w:rPr>
          <w:b w:val="0"/>
          <w:bCs w:val="0"/>
          <w:i w:val="0"/>
          <w:iCs w:val="0"/>
          <w:color w:val="000000"/>
        </w:rPr>
        <w:t> </w:t>
      </w:r>
      <w:r w:rsidRPr="00F25A60">
        <w:rPr>
          <w:b w:val="0"/>
          <w:bCs w:val="0"/>
          <w:i w:val="0"/>
          <w:iCs w:val="0"/>
          <w:color w:val="000000"/>
        </w:rPr>
        <w:t>% nebo extramedulárním postižením jiným než hepatosplenomegalií.</w:t>
      </w:r>
    </w:p>
    <w:p w14:paraId="150CD517" w14:textId="77777777" w:rsidR="00D94F95" w:rsidRPr="00F25A60" w:rsidRDefault="00D94F95" w:rsidP="0048111F">
      <w:pPr>
        <w:pStyle w:val="EndnoteText"/>
        <w:tabs>
          <w:tab w:val="clear" w:pos="567"/>
        </w:tabs>
        <w:rPr>
          <w:color w:val="000000"/>
        </w:rPr>
      </w:pPr>
    </w:p>
    <w:p w14:paraId="28578077" w14:textId="77777777" w:rsidR="00D94F95" w:rsidRPr="00F25A60" w:rsidRDefault="00D94F95" w:rsidP="0048111F">
      <w:pPr>
        <w:pStyle w:val="EndnoteText"/>
        <w:tabs>
          <w:tab w:val="clear" w:pos="567"/>
        </w:tabs>
        <w:rPr>
          <w:color w:val="000000"/>
        </w:rPr>
      </w:pPr>
      <w:r w:rsidRPr="00F25A60">
        <w:rPr>
          <w:color w:val="000000"/>
        </w:rPr>
        <w:t xml:space="preserve">Trvání léčby: V klinických studiích pokračovala léčba Glivecem do progrese onemocnění. </w:t>
      </w:r>
      <w:r w:rsidR="00367D59" w:rsidRPr="00F25A60">
        <w:rPr>
          <w:color w:val="000000"/>
        </w:rPr>
        <w:t xml:space="preserve">Vliv </w:t>
      </w:r>
      <w:r w:rsidRPr="00F25A60">
        <w:rPr>
          <w:color w:val="000000"/>
        </w:rPr>
        <w:t xml:space="preserve">zastavení léčby po dosažení kompletní cytogenetické odpovědi nebyl </w:t>
      </w:r>
      <w:r w:rsidR="00367D59" w:rsidRPr="00F25A60">
        <w:rPr>
          <w:color w:val="000000"/>
        </w:rPr>
        <w:t>hodnocen</w:t>
      </w:r>
      <w:r w:rsidRPr="00F25A60">
        <w:rPr>
          <w:color w:val="000000"/>
        </w:rPr>
        <w:t>.</w:t>
      </w:r>
    </w:p>
    <w:p w14:paraId="3FE8160B" w14:textId="77777777" w:rsidR="00D94F95" w:rsidRPr="00F25A60" w:rsidRDefault="00D94F95" w:rsidP="0048111F">
      <w:pPr>
        <w:pStyle w:val="EndnoteText"/>
        <w:tabs>
          <w:tab w:val="clear" w:pos="567"/>
        </w:tabs>
        <w:rPr>
          <w:color w:val="000000"/>
        </w:rPr>
      </w:pPr>
    </w:p>
    <w:p w14:paraId="45A28268" w14:textId="77777777" w:rsidR="00D94F95" w:rsidRPr="00F25A60" w:rsidRDefault="00D94F95" w:rsidP="0048111F">
      <w:pPr>
        <w:pStyle w:val="EndnoteText"/>
        <w:tabs>
          <w:tab w:val="clear" w:pos="567"/>
        </w:tabs>
        <w:rPr>
          <w:color w:val="000000"/>
        </w:rPr>
      </w:pPr>
      <w:r w:rsidRPr="00F25A60">
        <w:rPr>
          <w:color w:val="000000"/>
        </w:rPr>
        <w:t xml:space="preserve">U pacientů v chronické fázi onemocnění je možno uvažovat o vzestupu dávky ze 400 mg na 600 mg nebo 800 mg, u pacientů s akcelerovanou fází onemocnění nebo v blastické krizi je možné zvýšit </w:t>
      </w:r>
      <w:r w:rsidRPr="00F25A60">
        <w:rPr>
          <w:color w:val="000000"/>
        </w:rPr>
        <w:lastRenderedPageBreak/>
        <w:t>dávku ze 600 mg na maximum 800 mg (podáváno 2krát denně 400 mg), při absenci závažných nežádoucích účinků nebo závažné neutropeni</w:t>
      </w:r>
      <w:r w:rsidR="00512703" w:rsidRPr="00F25A60">
        <w:rPr>
          <w:color w:val="000000"/>
        </w:rPr>
        <w:t>e</w:t>
      </w:r>
      <w:r w:rsidRPr="00F25A60">
        <w:rPr>
          <w:color w:val="000000"/>
        </w:rPr>
        <w:t xml:space="preserve"> či trombocytopeni</w:t>
      </w:r>
      <w:r w:rsidR="00512703" w:rsidRPr="00F25A60">
        <w:rPr>
          <w:color w:val="000000"/>
        </w:rPr>
        <w:t>e</w:t>
      </w:r>
      <w:r w:rsidRPr="00F25A60">
        <w:rPr>
          <w:color w:val="000000"/>
        </w:rPr>
        <w:t xml:space="preserve"> nesouvisející s leukemií, za následujících okolností: při progresi onemocnění (kdykoliv); pokud nebylo </w:t>
      </w:r>
      <w:r w:rsidR="00512703" w:rsidRPr="00F25A60">
        <w:rPr>
          <w:color w:val="000000"/>
        </w:rPr>
        <w:t>alespoň</w:t>
      </w:r>
      <w:r w:rsidRPr="00F25A60">
        <w:rPr>
          <w:color w:val="000000"/>
        </w:rPr>
        <w:t xml:space="preserve"> po 3 měsících léčby dosaženo uspokojivé hematologické odpovědi; pokud nebylo po 12 měsících léčby dosaženo cytogenetické odpovědi; nebo při ztrátě předtím dosažené hematologické a/nebo cytogenetické odpovědi. Při zvyšování podávané dávky </w:t>
      </w:r>
      <w:r w:rsidR="00512703" w:rsidRPr="00F25A60">
        <w:rPr>
          <w:color w:val="000000"/>
        </w:rPr>
        <w:t>mají</w:t>
      </w:r>
      <w:r w:rsidRPr="00F25A60">
        <w:rPr>
          <w:color w:val="000000"/>
        </w:rPr>
        <w:t xml:space="preserve"> být pacienti pečlivě sledováni pro možnost zvýšeného výskytu nežádoucích </w:t>
      </w:r>
      <w:r w:rsidR="00512703" w:rsidRPr="00F25A60">
        <w:rPr>
          <w:color w:val="000000"/>
        </w:rPr>
        <w:t xml:space="preserve">účinků </w:t>
      </w:r>
      <w:r w:rsidRPr="00F25A60">
        <w:rPr>
          <w:color w:val="000000"/>
        </w:rPr>
        <w:t>při vyšších dávkách.</w:t>
      </w:r>
    </w:p>
    <w:p w14:paraId="0671A487" w14:textId="77777777" w:rsidR="00D94F95" w:rsidRPr="00F25A60" w:rsidRDefault="00D94F95" w:rsidP="0048111F">
      <w:pPr>
        <w:pStyle w:val="EndnoteText"/>
        <w:tabs>
          <w:tab w:val="clear" w:pos="567"/>
        </w:tabs>
        <w:rPr>
          <w:color w:val="000000"/>
        </w:rPr>
      </w:pPr>
    </w:p>
    <w:p w14:paraId="50C1933A" w14:textId="777AA31C" w:rsidR="00D94F95" w:rsidRPr="00F25A60" w:rsidRDefault="00D94F95" w:rsidP="0048111F">
      <w:pPr>
        <w:pStyle w:val="BodyText"/>
        <w:keepNext/>
        <w:spacing w:line="240" w:lineRule="auto"/>
        <w:rPr>
          <w:b w:val="0"/>
          <w:bCs w:val="0"/>
          <w:i w:val="0"/>
          <w:iCs w:val="0"/>
          <w:color w:val="000000"/>
          <w:u w:val="single"/>
        </w:rPr>
      </w:pPr>
      <w:r w:rsidRPr="00F25A60">
        <w:rPr>
          <w:b w:val="0"/>
          <w:bCs w:val="0"/>
          <w:i w:val="0"/>
          <w:iCs w:val="0"/>
          <w:color w:val="000000"/>
          <w:u w:val="single"/>
        </w:rPr>
        <w:t>Dávkování u CML u dětí</w:t>
      </w:r>
    </w:p>
    <w:p w14:paraId="36D06CD2" w14:textId="77777777" w:rsidR="00350B5E" w:rsidRPr="00F25A60" w:rsidRDefault="00350B5E" w:rsidP="0048111F">
      <w:pPr>
        <w:pStyle w:val="BodyText"/>
        <w:keepNext/>
        <w:spacing w:line="240" w:lineRule="auto"/>
        <w:rPr>
          <w:b w:val="0"/>
          <w:bCs w:val="0"/>
          <w:i w:val="0"/>
          <w:iCs w:val="0"/>
          <w:color w:val="000000"/>
        </w:rPr>
      </w:pPr>
    </w:p>
    <w:p w14:paraId="2D39FD26" w14:textId="406BACDD" w:rsidR="00D94F95" w:rsidRPr="00F25A60" w:rsidRDefault="00D94F95" w:rsidP="0048111F">
      <w:pPr>
        <w:pStyle w:val="EndnoteText"/>
        <w:tabs>
          <w:tab w:val="clear" w:pos="567"/>
        </w:tabs>
        <w:rPr>
          <w:color w:val="000000"/>
        </w:rPr>
      </w:pPr>
      <w:r w:rsidRPr="00F25A60">
        <w:rPr>
          <w:color w:val="000000"/>
        </w:rPr>
        <w:t>Dávkování pro děti by mělo být stanoveno podle tělesného povrchu (mg/m</w:t>
      </w:r>
      <w:r w:rsidRPr="00F25A60">
        <w:rPr>
          <w:color w:val="000000"/>
          <w:vertAlign w:val="superscript"/>
        </w:rPr>
        <w:t>2</w:t>
      </w:r>
      <w:r w:rsidRPr="00F25A60">
        <w:rPr>
          <w:color w:val="000000"/>
        </w:rPr>
        <w:t>). Dávka 340 mg/m</w:t>
      </w:r>
      <w:r w:rsidRPr="00F25A60">
        <w:rPr>
          <w:color w:val="000000"/>
          <w:vertAlign w:val="superscript"/>
        </w:rPr>
        <w:t>2</w:t>
      </w:r>
      <w:r w:rsidRPr="00F25A60">
        <w:rPr>
          <w:color w:val="000000"/>
        </w:rPr>
        <w:t xml:space="preserve"> denně se doporučuje dětem s chronickou fází CML nebo v pokročilé fázi CML (nepřekročit celkovou dávku 800 mg). Lé</w:t>
      </w:r>
      <w:r w:rsidR="00512703" w:rsidRPr="00F25A60">
        <w:rPr>
          <w:color w:val="000000"/>
        </w:rPr>
        <w:t xml:space="preserve">čbu lze </w:t>
      </w:r>
      <w:r w:rsidRPr="00F25A60">
        <w:rPr>
          <w:color w:val="000000"/>
        </w:rPr>
        <w:t>podáv</w:t>
      </w:r>
      <w:r w:rsidR="00512703" w:rsidRPr="00F25A60">
        <w:rPr>
          <w:color w:val="000000"/>
        </w:rPr>
        <w:t>at</w:t>
      </w:r>
      <w:r w:rsidRPr="00F25A60">
        <w:rPr>
          <w:color w:val="000000"/>
        </w:rPr>
        <w:t xml:space="preserve"> jednou denně nebo může být celková denní dávka rozdělena do dvou částí – jedna </w:t>
      </w:r>
      <w:r w:rsidR="00512703" w:rsidRPr="00F25A60">
        <w:rPr>
          <w:color w:val="000000"/>
        </w:rPr>
        <w:t xml:space="preserve">se podává </w:t>
      </w:r>
      <w:r w:rsidRPr="00F25A60">
        <w:rPr>
          <w:color w:val="000000"/>
        </w:rPr>
        <w:t xml:space="preserve">ráno a druhá večer. Doporučené dávkování je v současnosti založeno na malém počtu </w:t>
      </w:r>
      <w:r w:rsidR="00512703" w:rsidRPr="00F25A60">
        <w:rPr>
          <w:color w:val="000000"/>
        </w:rPr>
        <w:t xml:space="preserve">pediatrických </w:t>
      </w:r>
      <w:r w:rsidRPr="00F25A60">
        <w:rPr>
          <w:color w:val="000000"/>
        </w:rPr>
        <w:t>pacientů (viz body</w:t>
      </w:r>
      <w:ins w:id="27" w:author="Author">
        <w:r w:rsidR="004B796B" w:rsidRPr="00F25A60">
          <w:rPr>
            <w:color w:val="000000"/>
          </w:rPr>
          <w:t> </w:t>
        </w:r>
      </w:ins>
      <w:del w:id="28" w:author="Author">
        <w:r w:rsidRPr="00F25A60" w:rsidDel="004B796B">
          <w:rPr>
            <w:color w:val="000000"/>
          </w:rPr>
          <w:delText xml:space="preserve"> </w:delText>
        </w:r>
      </w:del>
      <w:smartTag w:uri="urn:schemas-microsoft-com:office:smarttags" w:element="metricconverter">
        <w:smartTagPr>
          <w:attr w:name="ProductID" w:val="5.1 a"/>
        </w:smartTagPr>
        <w:r w:rsidRPr="00F25A60">
          <w:rPr>
            <w:color w:val="000000"/>
          </w:rPr>
          <w:t>5.1 a</w:t>
        </w:r>
      </w:smartTag>
      <w:r w:rsidRPr="00F25A60">
        <w:rPr>
          <w:color w:val="000000"/>
        </w:rPr>
        <w:t xml:space="preserve"> 5.2). S léčbou dětí do 2 let věku nejsou zkušenosti.</w:t>
      </w:r>
    </w:p>
    <w:p w14:paraId="24B175EB" w14:textId="77777777" w:rsidR="00D94F95" w:rsidRPr="00F25A60" w:rsidRDefault="00D94F95" w:rsidP="0048111F">
      <w:pPr>
        <w:pStyle w:val="EndnoteText"/>
        <w:tabs>
          <w:tab w:val="clear" w:pos="567"/>
        </w:tabs>
        <w:rPr>
          <w:color w:val="000000"/>
        </w:rPr>
      </w:pPr>
    </w:p>
    <w:p w14:paraId="47058D6A" w14:textId="77777777" w:rsidR="00D94F95" w:rsidRPr="00F25A60" w:rsidRDefault="00D94F95" w:rsidP="0048111F">
      <w:pPr>
        <w:pStyle w:val="EndnoteText"/>
        <w:tabs>
          <w:tab w:val="clear" w:pos="567"/>
        </w:tabs>
        <w:rPr>
          <w:color w:val="000000"/>
        </w:rPr>
      </w:pPr>
      <w:r w:rsidRPr="00F25A60">
        <w:rPr>
          <w:color w:val="000000"/>
        </w:rPr>
        <w:t xml:space="preserve">U dětí je možno uvažovat o </w:t>
      </w:r>
      <w:r w:rsidR="00512703" w:rsidRPr="00F25A60">
        <w:rPr>
          <w:color w:val="000000"/>
        </w:rPr>
        <w:t xml:space="preserve">zvýšení </w:t>
      </w:r>
      <w:r w:rsidRPr="00F25A60">
        <w:rPr>
          <w:color w:val="000000"/>
        </w:rPr>
        <w:t>dávky z 340 mg/m</w:t>
      </w:r>
      <w:r w:rsidRPr="00F25A60">
        <w:rPr>
          <w:color w:val="000000"/>
          <w:vertAlign w:val="superscript"/>
        </w:rPr>
        <w:t>2</w:t>
      </w:r>
      <w:r w:rsidRPr="00F25A60">
        <w:rPr>
          <w:color w:val="000000"/>
        </w:rPr>
        <w:t xml:space="preserve"> denně na 570 mg/m</w:t>
      </w:r>
      <w:r w:rsidRPr="00F25A60">
        <w:rPr>
          <w:color w:val="000000"/>
          <w:vertAlign w:val="superscript"/>
        </w:rPr>
        <w:t>2</w:t>
      </w:r>
      <w:r w:rsidRPr="00F25A60">
        <w:rPr>
          <w:color w:val="000000"/>
        </w:rPr>
        <w:t xml:space="preserve"> denně (nepřekročit celkovou dávku 800 mg) při absenci závažných nežádoucích účinků nebo závažné neutropeni</w:t>
      </w:r>
      <w:r w:rsidR="00512703" w:rsidRPr="00F25A60">
        <w:rPr>
          <w:color w:val="000000"/>
        </w:rPr>
        <w:t>e</w:t>
      </w:r>
      <w:r w:rsidRPr="00F25A60">
        <w:rPr>
          <w:color w:val="000000"/>
        </w:rPr>
        <w:t xml:space="preserve"> či trombocytopeni</w:t>
      </w:r>
      <w:r w:rsidR="00512703" w:rsidRPr="00F25A60">
        <w:rPr>
          <w:color w:val="000000"/>
        </w:rPr>
        <w:t>e</w:t>
      </w:r>
      <w:r w:rsidRPr="00F25A60">
        <w:rPr>
          <w:color w:val="000000"/>
        </w:rPr>
        <w:t xml:space="preserve"> nesouvisející s leukemií za následujících okolností: při progresi onemocnění (kdykoliv), pokud nebylo </w:t>
      </w:r>
      <w:r w:rsidR="00512703" w:rsidRPr="00F25A60">
        <w:rPr>
          <w:color w:val="000000"/>
        </w:rPr>
        <w:t xml:space="preserve">alespoň </w:t>
      </w:r>
      <w:r w:rsidRPr="00F25A60">
        <w:rPr>
          <w:color w:val="000000"/>
        </w:rPr>
        <w:t xml:space="preserve">po 3 měsících léčby dosaženo uspokojivé hematologické odpovědi, pokud nebylo po 12 měsících léčby dosaženo cytogenetické odpovědi, nebo při ztrátě před tím dosažené hematologické a/nebo cytogenetické odpovědi. Při zvyšování podávané dávky </w:t>
      </w:r>
      <w:r w:rsidR="00512703" w:rsidRPr="00F25A60">
        <w:rPr>
          <w:color w:val="000000"/>
        </w:rPr>
        <w:t>mají</w:t>
      </w:r>
      <w:r w:rsidRPr="00F25A60">
        <w:rPr>
          <w:color w:val="000000"/>
        </w:rPr>
        <w:t xml:space="preserve"> být pacienti pečlivě sledováni pro možnost zvýšeného výskytu nežádoucích </w:t>
      </w:r>
      <w:r w:rsidR="00512703" w:rsidRPr="00F25A60">
        <w:rPr>
          <w:color w:val="000000"/>
        </w:rPr>
        <w:t xml:space="preserve">účinků </w:t>
      </w:r>
      <w:r w:rsidRPr="00F25A60">
        <w:rPr>
          <w:color w:val="000000"/>
        </w:rPr>
        <w:t>při vyšších dávkách.</w:t>
      </w:r>
    </w:p>
    <w:p w14:paraId="3B0EFB91" w14:textId="77777777" w:rsidR="00D94F95" w:rsidRPr="00F25A60" w:rsidRDefault="00D94F95" w:rsidP="0048111F">
      <w:pPr>
        <w:pStyle w:val="EndnoteText"/>
        <w:tabs>
          <w:tab w:val="clear" w:pos="567"/>
        </w:tabs>
        <w:rPr>
          <w:color w:val="000000"/>
        </w:rPr>
      </w:pPr>
    </w:p>
    <w:p w14:paraId="48D5BE45" w14:textId="183A4CB8" w:rsidR="00D94F95" w:rsidRPr="00F25A60" w:rsidRDefault="00D94F95" w:rsidP="0048111F">
      <w:pPr>
        <w:pStyle w:val="EndnoteText"/>
        <w:keepNext/>
        <w:tabs>
          <w:tab w:val="clear" w:pos="567"/>
        </w:tabs>
        <w:rPr>
          <w:color w:val="000000"/>
          <w:u w:val="single"/>
        </w:rPr>
      </w:pPr>
      <w:r w:rsidRPr="00F25A60">
        <w:rPr>
          <w:color w:val="000000"/>
          <w:u w:val="single"/>
        </w:rPr>
        <w:t>Dávkování u Ph+ ALL</w:t>
      </w:r>
      <w:r w:rsidR="00AD05C4" w:rsidRPr="00F25A60">
        <w:rPr>
          <w:color w:val="000000"/>
          <w:u w:val="single"/>
        </w:rPr>
        <w:t xml:space="preserve"> u dospělých pacientů</w:t>
      </w:r>
    </w:p>
    <w:p w14:paraId="0F9DFCC6" w14:textId="77777777" w:rsidR="00350B5E" w:rsidRPr="00F25A60" w:rsidRDefault="00350B5E" w:rsidP="0048111F">
      <w:pPr>
        <w:pStyle w:val="EndnoteText"/>
        <w:keepNext/>
        <w:tabs>
          <w:tab w:val="clear" w:pos="567"/>
        </w:tabs>
        <w:rPr>
          <w:color w:val="000000"/>
        </w:rPr>
      </w:pPr>
    </w:p>
    <w:p w14:paraId="4AF139AD" w14:textId="77777777" w:rsidR="00D94F95" w:rsidRPr="00F25A60" w:rsidRDefault="00D94F95" w:rsidP="0048111F">
      <w:pPr>
        <w:pStyle w:val="EndnoteText"/>
        <w:tabs>
          <w:tab w:val="clear" w:pos="567"/>
        </w:tabs>
        <w:rPr>
          <w:color w:val="000000"/>
        </w:rPr>
      </w:pPr>
      <w:r w:rsidRPr="00F25A60">
        <w:rPr>
          <w:color w:val="000000"/>
        </w:rPr>
        <w:t>U</w:t>
      </w:r>
      <w:r w:rsidR="00A07DA3" w:rsidRPr="00F25A60">
        <w:rPr>
          <w:color w:val="000000"/>
        </w:rPr>
        <w:t> </w:t>
      </w:r>
      <w:r w:rsidR="00CB0ABF" w:rsidRPr="00F25A60">
        <w:rPr>
          <w:color w:val="000000"/>
        </w:rPr>
        <w:t xml:space="preserve">dospělých </w:t>
      </w:r>
      <w:r w:rsidRPr="00F25A60">
        <w:rPr>
          <w:color w:val="000000"/>
        </w:rPr>
        <w:t xml:space="preserve">pacientů s Ph+ </w:t>
      </w:r>
      <w:smartTag w:uri="urn:schemas-microsoft-com:office:smarttags" w:element="stockticker">
        <w:r w:rsidRPr="00F25A60">
          <w:rPr>
            <w:color w:val="000000"/>
          </w:rPr>
          <w:t>ALL</w:t>
        </w:r>
      </w:smartTag>
      <w:r w:rsidRPr="00F25A60">
        <w:rPr>
          <w:color w:val="000000"/>
        </w:rPr>
        <w:t xml:space="preserve"> je doporučená dávka Glivecu 600 mg/den. Hematolog</w:t>
      </w:r>
      <w:r w:rsidR="00512703" w:rsidRPr="00F25A60">
        <w:rPr>
          <w:color w:val="000000"/>
        </w:rPr>
        <w:t>ové se specializací na</w:t>
      </w:r>
      <w:r w:rsidRPr="00F25A60">
        <w:rPr>
          <w:color w:val="000000"/>
        </w:rPr>
        <w:t xml:space="preserve"> léčbu tohoto onemocnění </w:t>
      </w:r>
      <w:r w:rsidR="00512703" w:rsidRPr="00F25A60">
        <w:rPr>
          <w:color w:val="000000"/>
        </w:rPr>
        <w:t>mají</w:t>
      </w:r>
      <w:r w:rsidRPr="00F25A60">
        <w:rPr>
          <w:color w:val="000000"/>
        </w:rPr>
        <w:t xml:space="preserve"> terapii sledovat během všech fází péče.</w:t>
      </w:r>
    </w:p>
    <w:p w14:paraId="233E8F2C" w14:textId="77777777" w:rsidR="00D94F95" w:rsidRPr="00F25A60" w:rsidRDefault="00D94F95" w:rsidP="0048111F">
      <w:pPr>
        <w:pStyle w:val="EndnoteText"/>
        <w:tabs>
          <w:tab w:val="clear" w:pos="567"/>
        </w:tabs>
        <w:rPr>
          <w:color w:val="000000"/>
        </w:rPr>
      </w:pPr>
    </w:p>
    <w:p w14:paraId="32073EFC" w14:textId="1ABE1E7B" w:rsidR="00D94F95" w:rsidRPr="00F25A60" w:rsidRDefault="00D94F95" w:rsidP="0048111F">
      <w:pPr>
        <w:pStyle w:val="EndnoteText"/>
        <w:tabs>
          <w:tab w:val="clear" w:pos="567"/>
        </w:tabs>
        <w:rPr>
          <w:color w:val="000000"/>
        </w:rPr>
      </w:pPr>
      <w:r w:rsidRPr="00F25A60">
        <w:rPr>
          <w:color w:val="000000"/>
        </w:rPr>
        <w:t xml:space="preserve">Léčebný režim: Podle dosavadních údajů byla prokázána účinnost a bezpečnost Glivecu u dospělých pacientů s nově diagnostikovanou Ph+ </w:t>
      </w:r>
      <w:smartTag w:uri="urn:schemas-microsoft-com:office:smarttags" w:element="stockticker">
        <w:r w:rsidRPr="00F25A60">
          <w:rPr>
            <w:color w:val="000000"/>
          </w:rPr>
          <w:t>ALL</w:t>
        </w:r>
      </w:smartTag>
      <w:r w:rsidRPr="00F25A60">
        <w:rPr>
          <w:color w:val="000000"/>
        </w:rPr>
        <w:t>, pokud se podával v dávce 600 mg/den v kombinaci s chemoterapií v indukční fázi, v konsolidační a udržovací fázi po chemoterapii (viz bod</w:t>
      </w:r>
      <w:ins w:id="29" w:author="Author">
        <w:r w:rsidR="001B5B1E" w:rsidRPr="00F25A60">
          <w:rPr>
            <w:color w:val="000000"/>
          </w:rPr>
          <w:t> </w:t>
        </w:r>
      </w:ins>
      <w:del w:id="30" w:author="Author">
        <w:r w:rsidRPr="00F25A60" w:rsidDel="001B5B1E">
          <w:rPr>
            <w:color w:val="000000"/>
          </w:rPr>
          <w:delText xml:space="preserve"> </w:delText>
        </w:r>
      </w:del>
      <w:r w:rsidRPr="00F25A60">
        <w:rPr>
          <w:color w:val="000000"/>
        </w:rPr>
        <w:t>5.1). Délka léčby Glivecem se může lišit s vybraným léčebným programem, ale obecně delší expozice Glivecu přináší lepší výsledky.</w:t>
      </w:r>
    </w:p>
    <w:p w14:paraId="5B0825A2" w14:textId="77777777" w:rsidR="00D94F95" w:rsidRPr="00F25A60" w:rsidRDefault="00D94F95" w:rsidP="0048111F">
      <w:pPr>
        <w:pStyle w:val="EndnoteText"/>
        <w:tabs>
          <w:tab w:val="clear" w:pos="567"/>
        </w:tabs>
        <w:rPr>
          <w:color w:val="000000"/>
        </w:rPr>
      </w:pPr>
    </w:p>
    <w:p w14:paraId="62989AC1" w14:textId="77777777" w:rsidR="00D94F95" w:rsidRPr="00F25A60" w:rsidRDefault="00D94F95" w:rsidP="0048111F">
      <w:pPr>
        <w:pStyle w:val="EndnoteText"/>
        <w:tabs>
          <w:tab w:val="clear" w:pos="567"/>
        </w:tabs>
        <w:rPr>
          <w:color w:val="000000"/>
        </w:rPr>
      </w:pPr>
      <w:r w:rsidRPr="00F25A60">
        <w:rPr>
          <w:color w:val="000000"/>
        </w:rPr>
        <w:t xml:space="preserve">Pro dospělé pacienty s recidivující nebo refrakterní Ph+ </w:t>
      </w:r>
      <w:smartTag w:uri="urn:schemas-microsoft-com:office:smarttags" w:element="stockticker">
        <w:r w:rsidRPr="00F25A60">
          <w:rPr>
            <w:color w:val="000000"/>
          </w:rPr>
          <w:t>ALL</w:t>
        </w:r>
      </w:smartTag>
      <w:r w:rsidRPr="00F25A60">
        <w:rPr>
          <w:color w:val="000000"/>
        </w:rPr>
        <w:t xml:space="preserve"> je monoterapie Glivecem při dávce 600 mg/den bezpečná, účinná a </w:t>
      </w:r>
      <w:r w:rsidR="00512703" w:rsidRPr="00F25A60">
        <w:rPr>
          <w:color w:val="000000"/>
        </w:rPr>
        <w:t>lze ji podávat do</w:t>
      </w:r>
      <w:r w:rsidRPr="00F25A60">
        <w:rPr>
          <w:color w:val="000000"/>
        </w:rPr>
        <w:t xml:space="preserve"> progrese onemocnění.</w:t>
      </w:r>
    </w:p>
    <w:p w14:paraId="1375D554" w14:textId="77777777" w:rsidR="00AD05C4" w:rsidRPr="00F25A60" w:rsidRDefault="00AD05C4" w:rsidP="0048111F">
      <w:pPr>
        <w:pStyle w:val="EndnoteText"/>
        <w:tabs>
          <w:tab w:val="clear" w:pos="567"/>
        </w:tabs>
        <w:rPr>
          <w:color w:val="000000"/>
          <w:u w:val="single"/>
        </w:rPr>
      </w:pPr>
    </w:p>
    <w:p w14:paraId="2A85AA9E" w14:textId="1D7A90D0" w:rsidR="00AD05C4" w:rsidRPr="00F25A60" w:rsidRDefault="00AD05C4" w:rsidP="0048111F">
      <w:pPr>
        <w:pStyle w:val="EndnoteText"/>
        <w:keepNext/>
        <w:tabs>
          <w:tab w:val="clear" w:pos="567"/>
        </w:tabs>
        <w:rPr>
          <w:color w:val="000000"/>
          <w:u w:val="single"/>
        </w:rPr>
      </w:pPr>
      <w:r w:rsidRPr="00F25A60">
        <w:rPr>
          <w:color w:val="000000"/>
          <w:u w:val="single"/>
        </w:rPr>
        <w:t>Dávkování u Ph+ ALL u dětí</w:t>
      </w:r>
    </w:p>
    <w:p w14:paraId="021248E5" w14:textId="77777777" w:rsidR="00350B5E" w:rsidRPr="00F25A60" w:rsidRDefault="00350B5E" w:rsidP="0048111F">
      <w:pPr>
        <w:pStyle w:val="EndnoteText"/>
        <w:keepNext/>
        <w:tabs>
          <w:tab w:val="clear" w:pos="567"/>
        </w:tabs>
        <w:rPr>
          <w:color w:val="000000"/>
        </w:rPr>
      </w:pPr>
    </w:p>
    <w:p w14:paraId="64EF4497" w14:textId="77777777" w:rsidR="00AD05C4" w:rsidRPr="00F25A60" w:rsidRDefault="00AD05C4" w:rsidP="0048111F">
      <w:pPr>
        <w:pStyle w:val="EndnoteText"/>
        <w:tabs>
          <w:tab w:val="clear" w:pos="567"/>
        </w:tabs>
        <w:rPr>
          <w:color w:val="000000"/>
          <w:u w:val="single"/>
        </w:rPr>
      </w:pPr>
      <w:r w:rsidRPr="00F25A60">
        <w:rPr>
          <w:color w:val="000000"/>
        </w:rPr>
        <w:t>Dávkování pro děti má být stanoveno podle tělesného povrchu (mg/m</w:t>
      </w:r>
      <w:r w:rsidRPr="00F25A60">
        <w:rPr>
          <w:color w:val="000000"/>
          <w:vertAlign w:val="superscript"/>
        </w:rPr>
        <w:t>2</w:t>
      </w:r>
      <w:r w:rsidRPr="00F25A60">
        <w:rPr>
          <w:color w:val="000000"/>
        </w:rPr>
        <w:t>). U dětí s Ph+ ALL se doporučuje dávka 340 mg/m</w:t>
      </w:r>
      <w:r w:rsidRPr="00F25A60">
        <w:rPr>
          <w:color w:val="000000"/>
          <w:vertAlign w:val="superscript"/>
        </w:rPr>
        <w:t>2</w:t>
      </w:r>
      <w:r w:rsidRPr="00F25A60">
        <w:rPr>
          <w:color w:val="000000"/>
        </w:rPr>
        <w:t xml:space="preserve"> denně </w:t>
      </w:r>
      <w:r w:rsidRPr="00F25A60">
        <w:rPr>
          <w:color w:val="000000"/>
          <w:u w:val="single"/>
        </w:rPr>
        <w:t>(</w:t>
      </w:r>
      <w:r w:rsidRPr="00F25A60">
        <w:rPr>
          <w:color w:val="000000"/>
        </w:rPr>
        <w:t>nepřekročit celkovou dávku 600 mg).</w:t>
      </w:r>
    </w:p>
    <w:p w14:paraId="4A2742DA" w14:textId="77777777" w:rsidR="00D94F95" w:rsidRPr="00F25A60" w:rsidRDefault="00D94F95" w:rsidP="0048111F">
      <w:pPr>
        <w:pStyle w:val="EndnoteText"/>
        <w:tabs>
          <w:tab w:val="clear" w:pos="567"/>
        </w:tabs>
        <w:rPr>
          <w:color w:val="000000"/>
          <w:u w:val="single"/>
        </w:rPr>
      </w:pPr>
    </w:p>
    <w:p w14:paraId="5F3C718C" w14:textId="5BAE2169" w:rsidR="00D94F95" w:rsidRPr="00F25A60" w:rsidRDefault="00D94F95" w:rsidP="0048111F">
      <w:pPr>
        <w:pStyle w:val="EndnoteText"/>
        <w:keepNext/>
        <w:tabs>
          <w:tab w:val="clear" w:pos="567"/>
        </w:tabs>
        <w:rPr>
          <w:color w:val="000000"/>
          <w:u w:val="single"/>
        </w:rPr>
      </w:pPr>
      <w:r w:rsidRPr="00F25A60">
        <w:rPr>
          <w:color w:val="000000"/>
          <w:u w:val="single"/>
        </w:rPr>
        <w:t xml:space="preserve">Dávkování u </w:t>
      </w:r>
      <w:smartTag w:uri="urn:schemas-microsoft-com:office:smarttags" w:element="stockticker">
        <w:r w:rsidRPr="00F25A60">
          <w:rPr>
            <w:color w:val="000000"/>
            <w:u w:val="single"/>
          </w:rPr>
          <w:t>MDS</w:t>
        </w:r>
      </w:smartTag>
      <w:r w:rsidRPr="00F25A60">
        <w:rPr>
          <w:color w:val="000000"/>
          <w:u w:val="single"/>
        </w:rPr>
        <w:t>/MPD</w:t>
      </w:r>
    </w:p>
    <w:p w14:paraId="4244B00E" w14:textId="77777777" w:rsidR="00350B5E" w:rsidRPr="00F25A60" w:rsidRDefault="00350B5E" w:rsidP="0048111F">
      <w:pPr>
        <w:pStyle w:val="EndnoteText"/>
        <w:keepNext/>
        <w:tabs>
          <w:tab w:val="clear" w:pos="567"/>
        </w:tabs>
        <w:rPr>
          <w:color w:val="000000"/>
        </w:rPr>
      </w:pPr>
    </w:p>
    <w:p w14:paraId="2CDCE539" w14:textId="77777777" w:rsidR="00D94F95" w:rsidRPr="00F25A60" w:rsidRDefault="00D94F95" w:rsidP="0048111F">
      <w:pPr>
        <w:pStyle w:val="EndnoteText"/>
        <w:tabs>
          <w:tab w:val="clear" w:pos="567"/>
        </w:tabs>
        <w:rPr>
          <w:color w:val="000000"/>
        </w:rPr>
      </w:pPr>
      <w:r w:rsidRPr="00F25A60">
        <w:rPr>
          <w:color w:val="000000"/>
        </w:rPr>
        <w:t>U</w:t>
      </w:r>
      <w:r w:rsidR="00A07DA3" w:rsidRPr="00F25A60">
        <w:rPr>
          <w:color w:val="000000"/>
        </w:rPr>
        <w:t> </w:t>
      </w:r>
      <w:r w:rsidR="00CB0ABF" w:rsidRPr="00F25A60">
        <w:rPr>
          <w:color w:val="000000"/>
        </w:rPr>
        <w:t xml:space="preserve">dospělých </w:t>
      </w:r>
      <w:r w:rsidRPr="00F25A60">
        <w:rPr>
          <w:color w:val="000000"/>
        </w:rPr>
        <w:t>pacientů s </w:t>
      </w:r>
      <w:smartTag w:uri="urn:schemas-microsoft-com:office:smarttags" w:element="stockticker">
        <w:r w:rsidRPr="00F25A60">
          <w:rPr>
            <w:color w:val="000000"/>
          </w:rPr>
          <w:t>MDS</w:t>
        </w:r>
      </w:smartTag>
      <w:r w:rsidRPr="00F25A60">
        <w:rPr>
          <w:color w:val="000000"/>
        </w:rPr>
        <w:t>/MPD je doporučená dávka Glivecu 400 mg/den.</w:t>
      </w:r>
    </w:p>
    <w:p w14:paraId="31527B9F" w14:textId="77777777" w:rsidR="00D94F95" w:rsidRPr="00F25A60" w:rsidRDefault="00D94F95" w:rsidP="0048111F">
      <w:pPr>
        <w:pStyle w:val="EndnoteText"/>
        <w:tabs>
          <w:tab w:val="clear" w:pos="567"/>
        </w:tabs>
        <w:rPr>
          <w:color w:val="000000"/>
        </w:rPr>
      </w:pPr>
    </w:p>
    <w:p w14:paraId="445D5A47" w14:textId="371A63E7" w:rsidR="00D94F95" w:rsidRPr="00F25A60" w:rsidRDefault="00D94F95" w:rsidP="0048111F">
      <w:pPr>
        <w:pStyle w:val="EndnoteText"/>
        <w:tabs>
          <w:tab w:val="clear" w:pos="567"/>
        </w:tabs>
        <w:rPr>
          <w:color w:val="000000"/>
        </w:rPr>
      </w:pPr>
      <w:r w:rsidRPr="00F25A60">
        <w:rPr>
          <w:color w:val="000000"/>
        </w:rPr>
        <w:t>Trvání léčby: V jediné dosud provedené klinické studii pokračovala léčba Glivecem do progrese onemocnění (viz bod</w:t>
      </w:r>
      <w:ins w:id="31" w:author="Author">
        <w:r w:rsidR="001B5B1E" w:rsidRPr="00F25A60">
          <w:rPr>
            <w:color w:val="000000"/>
          </w:rPr>
          <w:t> </w:t>
        </w:r>
      </w:ins>
      <w:del w:id="32" w:author="Author">
        <w:r w:rsidRPr="00F25A60" w:rsidDel="001B5B1E">
          <w:rPr>
            <w:color w:val="000000"/>
          </w:rPr>
          <w:delText xml:space="preserve"> </w:delText>
        </w:r>
      </w:del>
      <w:r w:rsidRPr="00F25A60">
        <w:rPr>
          <w:color w:val="000000"/>
        </w:rPr>
        <w:t>5.1). V čase analýzy byl medián trvání léčby 47 měsíců (24 dnů – 60 měsíců).</w:t>
      </w:r>
    </w:p>
    <w:p w14:paraId="4C5D35A0" w14:textId="77777777" w:rsidR="00D94F95" w:rsidRPr="00F25A60" w:rsidRDefault="00D94F95" w:rsidP="0048111F">
      <w:pPr>
        <w:pStyle w:val="EndnoteText"/>
        <w:tabs>
          <w:tab w:val="clear" w:pos="567"/>
        </w:tabs>
        <w:rPr>
          <w:color w:val="000000"/>
        </w:rPr>
      </w:pPr>
    </w:p>
    <w:p w14:paraId="2EDF212E" w14:textId="2BA186F6" w:rsidR="00D94F95" w:rsidRPr="00F25A60" w:rsidRDefault="00D94F95" w:rsidP="0048111F">
      <w:pPr>
        <w:pStyle w:val="EndnoteText"/>
        <w:keepNext/>
        <w:tabs>
          <w:tab w:val="clear" w:pos="567"/>
        </w:tabs>
        <w:rPr>
          <w:color w:val="000000"/>
          <w:u w:val="single"/>
        </w:rPr>
      </w:pPr>
      <w:r w:rsidRPr="00F25A60">
        <w:rPr>
          <w:color w:val="000000"/>
          <w:u w:val="single"/>
        </w:rPr>
        <w:t>Dávkování u HES/</w:t>
      </w:r>
      <w:smartTag w:uri="urn:schemas-microsoft-com:office:smarttags" w:element="stockticker">
        <w:r w:rsidRPr="00F25A60">
          <w:rPr>
            <w:color w:val="000000"/>
            <w:u w:val="single"/>
          </w:rPr>
          <w:t>CEL</w:t>
        </w:r>
      </w:smartTag>
    </w:p>
    <w:p w14:paraId="6EC3631B" w14:textId="77777777" w:rsidR="00350B5E" w:rsidRPr="00F25A60" w:rsidRDefault="00350B5E" w:rsidP="0048111F">
      <w:pPr>
        <w:pStyle w:val="EndnoteText"/>
        <w:keepNext/>
        <w:tabs>
          <w:tab w:val="clear" w:pos="567"/>
        </w:tabs>
        <w:rPr>
          <w:color w:val="000000"/>
        </w:rPr>
      </w:pPr>
    </w:p>
    <w:p w14:paraId="4108A453" w14:textId="77777777" w:rsidR="00D94F95" w:rsidRPr="00F25A60" w:rsidRDefault="00D94F95" w:rsidP="0048111F">
      <w:pPr>
        <w:pStyle w:val="Text"/>
        <w:spacing w:before="0"/>
        <w:jc w:val="left"/>
        <w:rPr>
          <w:color w:val="000000"/>
          <w:sz w:val="22"/>
          <w:szCs w:val="22"/>
          <w:lang w:val="cs-CZ"/>
        </w:rPr>
      </w:pPr>
      <w:r w:rsidRPr="00F25A60">
        <w:rPr>
          <w:color w:val="000000"/>
          <w:sz w:val="22"/>
          <w:szCs w:val="22"/>
          <w:lang w:val="cs-CZ"/>
        </w:rPr>
        <w:t>U</w:t>
      </w:r>
      <w:r w:rsidR="00A07DA3" w:rsidRPr="00F25A60">
        <w:rPr>
          <w:color w:val="000000"/>
          <w:sz w:val="22"/>
          <w:szCs w:val="22"/>
          <w:lang w:val="cs-CZ"/>
        </w:rPr>
        <w:t> </w:t>
      </w:r>
      <w:r w:rsidR="00CB0ABF" w:rsidRPr="00F25A60">
        <w:rPr>
          <w:color w:val="000000"/>
          <w:sz w:val="22"/>
          <w:szCs w:val="22"/>
          <w:lang w:val="cs-CZ"/>
        </w:rPr>
        <w:t xml:space="preserve">dospělých </w:t>
      </w:r>
      <w:r w:rsidRPr="00F25A60">
        <w:rPr>
          <w:color w:val="000000"/>
          <w:sz w:val="22"/>
          <w:szCs w:val="22"/>
          <w:lang w:val="cs-CZ"/>
        </w:rPr>
        <w:t>pacientů s HES/</w:t>
      </w:r>
      <w:smartTag w:uri="urn:schemas-microsoft-com:office:smarttags" w:element="stockticker">
        <w:r w:rsidRPr="00F25A60">
          <w:rPr>
            <w:color w:val="000000"/>
            <w:sz w:val="22"/>
            <w:szCs w:val="22"/>
            <w:lang w:val="cs-CZ"/>
          </w:rPr>
          <w:t>CEL</w:t>
        </w:r>
      </w:smartTag>
      <w:r w:rsidRPr="00F25A60">
        <w:rPr>
          <w:color w:val="000000"/>
          <w:sz w:val="22"/>
          <w:szCs w:val="22"/>
          <w:lang w:val="cs-CZ"/>
        </w:rPr>
        <w:t xml:space="preserve"> je doporučená dávka Glivecu 100 mg/den.</w:t>
      </w:r>
    </w:p>
    <w:p w14:paraId="0394C9FD" w14:textId="77777777" w:rsidR="00D94F95" w:rsidRPr="00F25A60" w:rsidRDefault="00D94F95" w:rsidP="0048111F">
      <w:pPr>
        <w:pStyle w:val="Text"/>
        <w:spacing w:before="0"/>
        <w:jc w:val="left"/>
        <w:rPr>
          <w:color w:val="000000"/>
          <w:sz w:val="22"/>
          <w:szCs w:val="22"/>
          <w:lang w:val="cs-CZ"/>
        </w:rPr>
      </w:pPr>
    </w:p>
    <w:p w14:paraId="7E15AD79" w14:textId="77777777" w:rsidR="00D94F95" w:rsidRPr="00F25A60" w:rsidRDefault="00D94F95" w:rsidP="0048111F">
      <w:pPr>
        <w:pStyle w:val="EndnoteText"/>
        <w:tabs>
          <w:tab w:val="clear" w:pos="567"/>
        </w:tabs>
        <w:rPr>
          <w:color w:val="000000"/>
        </w:rPr>
      </w:pPr>
      <w:r w:rsidRPr="00F25A60">
        <w:rPr>
          <w:color w:val="000000"/>
        </w:rPr>
        <w:t>Zvýšení dávky ze 100 mg na 400 mg lze zvažovat při absenci nežádoucích účinků léčiva, a jestliže je při hodnocení léčby prokázána nedostatečná odpověď na léčbu.</w:t>
      </w:r>
    </w:p>
    <w:p w14:paraId="20ACEE80" w14:textId="77777777" w:rsidR="00D94F95" w:rsidRPr="00F25A60" w:rsidRDefault="00D94F95" w:rsidP="0048111F">
      <w:pPr>
        <w:pStyle w:val="EndnoteText"/>
        <w:tabs>
          <w:tab w:val="clear" w:pos="567"/>
        </w:tabs>
        <w:rPr>
          <w:color w:val="000000"/>
        </w:rPr>
      </w:pPr>
    </w:p>
    <w:p w14:paraId="25465B93" w14:textId="77777777" w:rsidR="00D94F95" w:rsidRPr="00F25A60" w:rsidRDefault="00D94F95" w:rsidP="0048111F">
      <w:pPr>
        <w:pStyle w:val="EndnoteText"/>
        <w:tabs>
          <w:tab w:val="clear" w:pos="567"/>
        </w:tabs>
        <w:rPr>
          <w:color w:val="000000"/>
          <w:u w:val="single"/>
        </w:rPr>
      </w:pPr>
      <w:r w:rsidRPr="00F25A60">
        <w:rPr>
          <w:color w:val="000000"/>
        </w:rPr>
        <w:lastRenderedPageBreak/>
        <w:t xml:space="preserve">Léčba </w:t>
      </w:r>
      <w:r w:rsidR="009A13EC" w:rsidRPr="00F25A60">
        <w:rPr>
          <w:color w:val="000000"/>
        </w:rPr>
        <w:t>má</w:t>
      </w:r>
      <w:r w:rsidRPr="00F25A60">
        <w:rPr>
          <w:color w:val="000000"/>
        </w:rPr>
        <w:t xml:space="preserve"> pokračovat tak dlouho, dokud je pro pacienta přínosná.</w:t>
      </w:r>
    </w:p>
    <w:p w14:paraId="1733DD4A" w14:textId="77777777" w:rsidR="00D94F95" w:rsidRPr="00F25A60" w:rsidRDefault="00D94F95" w:rsidP="0048111F">
      <w:pPr>
        <w:pStyle w:val="EndnoteText"/>
        <w:tabs>
          <w:tab w:val="clear" w:pos="567"/>
        </w:tabs>
        <w:rPr>
          <w:color w:val="000000"/>
          <w:u w:val="single"/>
        </w:rPr>
      </w:pPr>
    </w:p>
    <w:p w14:paraId="3BBD0CEA" w14:textId="705B541D" w:rsidR="00D94F95" w:rsidRPr="00F25A60" w:rsidRDefault="00D94F95" w:rsidP="0048111F">
      <w:pPr>
        <w:pStyle w:val="EndnoteText"/>
        <w:keepNext/>
        <w:tabs>
          <w:tab w:val="clear" w:pos="567"/>
        </w:tabs>
        <w:rPr>
          <w:color w:val="000000"/>
          <w:u w:val="single"/>
        </w:rPr>
      </w:pPr>
      <w:r w:rsidRPr="00F25A60">
        <w:rPr>
          <w:color w:val="000000"/>
          <w:u w:val="single"/>
        </w:rPr>
        <w:t>Dávkování u GIST</w:t>
      </w:r>
    </w:p>
    <w:p w14:paraId="7AB6D923" w14:textId="77777777" w:rsidR="00350B5E" w:rsidRPr="00F25A60" w:rsidRDefault="00350B5E" w:rsidP="0048111F">
      <w:pPr>
        <w:pStyle w:val="EndnoteText"/>
        <w:keepNext/>
        <w:tabs>
          <w:tab w:val="clear" w:pos="567"/>
        </w:tabs>
        <w:rPr>
          <w:color w:val="000000"/>
        </w:rPr>
      </w:pPr>
    </w:p>
    <w:p w14:paraId="5EA54D37" w14:textId="77777777" w:rsidR="00D94F95" w:rsidRPr="00F25A60" w:rsidRDefault="00D94F95" w:rsidP="0048111F">
      <w:pPr>
        <w:pStyle w:val="EndnoteText"/>
        <w:tabs>
          <w:tab w:val="clear" w:pos="567"/>
        </w:tabs>
        <w:rPr>
          <w:color w:val="000000"/>
        </w:rPr>
      </w:pPr>
      <w:r w:rsidRPr="00F25A60">
        <w:rPr>
          <w:color w:val="000000"/>
        </w:rPr>
        <w:t>U</w:t>
      </w:r>
      <w:r w:rsidR="00A07DA3" w:rsidRPr="00F25A60">
        <w:rPr>
          <w:color w:val="000000"/>
        </w:rPr>
        <w:t> </w:t>
      </w:r>
      <w:r w:rsidR="00CB0ABF" w:rsidRPr="00F25A60">
        <w:rPr>
          <w:color w:val="000000"/>
        </w:rPr>
        <w:t xml:space="preserve">dospělých </w:t>
      </w:r>
      <w:r w:rsidRPr="00F25A60">
        <w:rPr>
          <w:color w:val="000000"/>
        </w:rPr>
        <w:t>pacientů s inoperabilním a/nebo metastatickým maligním GIST je doporučená dávka Glivecu 400 mg/den.</w:t>
      </w:r>
    </w:p>
    <w:p w14:paraId="06901984" w14:textId="77777777" w:rsidR="00D94F95" w:rsidRPr="00F25A60" w:rsidRDefault="00D94F95" w:rsidP="0048111F">
      <w:pPr>
        <w:pStyle w:val="EndnoteText"/>
        <w:tabs>
          <w:tab w:val="clear" w:pos="567"/>
        </w:tabs>
        <w:rPr>
          <w:color w:val="000000"/>
        </w:rPr>
      </w:pPr>
    </w:p>
    <w:p w14:paraId="612F8AF5" w14:textId="223E0962" w:rsidR="00D94F95" w:rsidRPr="00F25A60" w:rsidRDefault="00D94F95" w:rsidP="0048111F">
      <w:pPr>
        <w:pStyle w:val="EndnoteText"/>
        <w:tabs>
          <w:tab w:val="clear" w:pos="567"/>
        </w:tabs>
        <w:rPr>
          <w:color w:val="000000"/>
        </w:rPr>
      </w:pPr>
      <w:r w:rsidRPr="00F25A60">
        <w:rPr>
          <w:color w:val="000000"/>
        </w:rPr>
        <w:t>Existuje pouze omezené množství údajů o účinku zvýšení dávky ze 400 mg na 600 mg nebo 800 mg u pacientů s progresí při užívání nižší dávky (viz bod</w:t>
      </w:r>
      <w:ins w:id="33" w:author="Author">
        <w:r w:rsidR="001B5B1E" w:rsidRPr="00F25A60">
          <w:rPr>
            <w:color w:val="000000"/>
          </w:rPr>
          <w:t> </w:t>
        </w:r>
      </w:ins>
      <w:del w:id="34" w:author="Author">
        <w:r w:rsidRPr="00F25A60" w:rsidDel="001B5B1E">
          <w:rPr>
            <w:color w:val="000000"/>
          </w:rPr>
          <w:delText xml:space="preserve"> </w:delText>
        </w:r>
      </w:del>
      <w:r w:rsidRPr="00F25A60">
        <w:rPr>
          <w:color w:val="000000"/>
        </w:rPr>
        <w:t>5.1).</w:t>
      </w:r>
    </w:p>
    <w:p w14:paraId="77F2C712" w14:textId="77777777" w:rsidR="00D94F95" w:rsidRPr="00F25A60" w:rsidRDefault="00D94F95" w:rsidP="0048111F">
      <w:pPr>
        <w:pStyle w:val="EndnoteText"/>
        <w:tabs>
          <w:tab w:val="clear" w:pos="567"/>
        </w:tabs>
        <w:rPr>
          <w:color w:val="000000"/>
        </w:rPr>
      </w:pPr>
    </w:p>
    <w:p w14:paraId="37CBF739" w14:textId="27FBCAC0" w:rsidR="00D94F95" w:rsidRPr="00F25A60" w:rsidRDefault="00D94F95" w:rsidP="0048111F">
      <w:pPr>
        <w:pStyle w:val="EndnoteText"/>
        <w:tabs>
          <w:tab w:val="clear" w:pos="567"/>
        </w:tabs>
        <w:rPr>
          <w:color w:val="000000"/>
        </w:rPr>
      </w:pPr>
      <w:r w:rsidRPr="00F25A60">
        <w:rPr>
          <w:color w:val="000000"/>
        </w:rPr>
        <w:t>Trvání léčby: v klinických studiích pokračovala léčba pacientů s GIST do progrese onemocnění. V</w:t>
      </w:r>
      <w:ins w:id="35" w:author="Author">
        <w:r w:rsidR="009274D5" w:rsidRPr="00F25A60">
          <w:rPr>
            <w:color w:val="000000"/>
          </w:rPr>
          <w:t> </w:t>
        </w:r>
      </w:ins>
      <w:del w:id="36" w:author="Author">
        <w:r w:rsidRPr="00F25A60" w:rsidDel="009274D5">
          <w:rPr>
            <w:color w:val="000000"/>
          </w:rPr>
          <w:delText xml:space="preserve"> </w:delText>
        </w:r>
      </w:del>
      <w:r w:rsidRPr="00F25A60">
        <w:rPr>
          <w:color w:val="000000"/>
        </w:rPr>
        <w:t>době analýzy byl medián trvání léčby 7 měsíců (7 dní až 13 měsíců). Efekt zastavení léčby po dosažení odpovědi nebyl studován.</w:t>
      </w:r>
    </w:p>
    <w:p w14:paraId="26D81EF3" w14:textId="77777777" w:rsidR="00D94F95" w:rsidRPr="00F25A60" w:rsidRDefault="00D94F95" w:rsidP="0048111F">
      <w:pPr>
        <w:pStyle w:val="EndnoteText"/>
        <w:tabs>
          <w:tab w:val="clear" w:pos="567"/>
        </w:tabs>
        <w:rPr>
          <w:color w:val="000000"/>
        </w:rPr>
      </w:pPr>
    </w:p>
    <w:p w14:paraId="4C281091" w14:textId="090AE117" w:rsidR="00D94F95" w:rsidRPr="00F25A60" w:rsidRDefault="00D94F95" w:rsidP="0048111F">
      <w:pPr>
        <w:pStyle w:val="EndnoteText"/>
        <w:tabs>
          <w:tab w:val="clear" w:pos="567"/>
        </w:tabs>
        <w:rPr>
          <w:color w:val="000000"/>
          <w:u w:val="single"/>
        </w:rPr>
      </w:pPr>
      <w:r w:rsidRPr="00F25A60">
        <w:rPr>
          <w:color w:val="000000"/>
        </w:rPr>
        <w:t xml:space="preserve">Doporučená dávka Glivecu </w:t>
      </w:r>
      <w:r w:rsidR="009A13EC" w:rsidRPr="00F25A60">
        <w:rPr>
          <w:color w:val="000000"/>
        </w:rPr>
        <w:t xml:space="preserve">k </w:t>
      </w:r>
      <w:r w:rsidRPr="00F25A60">
        <w:rPr>
          <w:color w:val="000000"/>
        </w:rPr>
        <w:t>adjuvantní léčb</w:t>
      </w:r>
      <w:r w:rsidR="009A13EC" w:rsidRPr="00F25A60">
        <w:rPr>
          <w:color w:val="000000"/>
        </w:rPr>
        <w:t>ě</w:t>
      </w:r>
      <w:r w:rsidRPr="00F25A60">
        <w:rPr>
          <w:color w:val="000000"/>
        </w:rPr>
        <w:t xml:space="preserve"> dospělých pacientů po resekci GIST je 400 mg/den. Optimální délka trvání léčby dosud není stanovena. Délka léčby v klinických studiích, které byly podkladem pro tuto indikaci, byla </w:t>
      </w:r>
      <w:r w:rsidR="00A1338A" w:rsidRPr="00F25A60">
        <w:rPr>
          <w:color w:val="000000"/>
        </w:rPr>
        <w:t>36</w:t>
      </w:r>
      <w:r w:rsidRPr="00F25A60">
        <w:rPr>
          <w:color w:val="000000"/>
        </w:rPr>
        <w:t> měsíců</w:t>
      </w:r>
      <w:r w:rsidR="00A1338A" w:rsidRPr="00F25A60">
        <w:rPr>
          <w:color w:val="000000"/>
        </w:rPr>
        <w:t xml:space="preserve"> (viz bod</w:t>
      </w:r>
      <w:ins w:id="37" w:author="Author">
        <w:r w:rsidR="00A806C3" w:rsidRPr="00F25A60">
          <w:rPr>
            <w:color w:val="000000"/>
          </w:rPr>
          <w:t> </w:t>
        </w:r>
      </w:ins>
      <w:del w:id="38" w:author="Author">
        <w:r w:rsidR="00A1338A" w:rsidRPr="00F25A60" w:rsidDel="00A806C3">
          <w:rPr>
            <w:color w:val="000000"/>
          </w:rPr>
          <w:delText xml:space="preserve"> </w:delText>
        </w:r>
      </w:del>
      <w:r w:rsidR="00A1338A" w:rsidRPr="00F25A60">
        <w:rPr>
          <w:color w:val="000000"/>
        </w:rPr>
        <w:t>5.1)</w:t>
      </w:r>
      <w:r w:rsidRPr="00F25A60">
        <w:rPr>
          <w:color w:val="000000"/>
        </w:rPr>
        <w:t>.</w:t>
      </w:r>
    </w:p>
    <w:p w14:paraId="38105EAC" w14:textId="77777777" w:rsidR="00D94F95" w:rsidRPr="00F25A60" w:rsidRDefault="00D94F95" w:rsidP="0048111F">
      <w:pPr>
        <w:pStyle w:val="EndnoteText"/>
        <w:tabs>
          <w:tab w:val="clear" w:pos="567"/>
        </w:tabs>
        <w:rPr>
          <w:color w:val="000000"/>
          <w:u w:val="single"/>
        </w:rPr>
      </w:pPr>
    </w:p>
    <w:p w14:paraId="670CB7B6" w14:textId="330749BE" w:rsidR="00D94F95" w:rsidRPr="00F25A60" w:rsidRDefault="00D94F95" w:rsidP="0048111F">
      <w:pPr>
        <w:pStyle w:val="EndnoteText"/>
        <w:keepNext/>
        <w:tabs>
          <w:tab w:val="clear" w:pos="567"/>
        </w:tabs>
        <w:rPr>
          <w:color w:val="000000"/>
          <w:u w:val="single"/>
        </w:rPr>
      </w:pPr>
      <w:r w:rsidRPr="00F25A60">
        <w:rPr>
          <w:color w:val="000000"/>
          <w:u w:val="single"/>
        </w:rPr>
        <w:t>Dávkování u DFSP</w:t>
      </w:r>
    </w:p>
    <w:p w14:paraId="39A4C295" w14:textId="77777777" w:rsidR="00350B5E" w:rsidRPr="00F25A60" w:rsidRDefault="00350B5E" w:rsidP="0048111F">
      <w:pPr>
        <w:pStyle w:val="EndnoteText"/>
        <w:keepNext/>
        <w:tabs>
          <w:tab w:val="clear" w:pos="567"/>
        </w:tabs>
        <w:rPr>
          <w:color w:val="000000"/>
        </w:rPr>
      </w:pPr>
    </w:p>
    <w:p w14:paraId="6DF0A90A" w14:textId="77777777" w:rsidR="00D94F95" w:rsidRPr="00F25A60" w:rsidRDefault="00D94F95" w:rsidP="0048111F">
      <w:pPr>
        <w:pStyle w:val="EndnoteText"/>
        <w:tabs>
          <w:tab w:val="clear" w:pos="567"/>
        </w:tabs>
        <w:rPr>
          <w:color w:val="000000"/>
        </w:rPr>
      </w:pPr>
      <w:r w:rsidRPr="00F25A60">
        <w:rPr>
          <w:color w:val="000000"/>
        </w:rPr>
        <w:t>U</w:t>
      </w:r>
      <w:r w:rsidR="00A07DA3" w:rsidRPr="00F25A60">
        <w:rPr>
          <w:color w:val="000000"/>
        </w:rPr>
        <w:t> </w:t>
      </w:r>
      <w:r w:rsidR="00CB0ABF" w:rsidRPr="00F25A60">
        <w:rPr>
          <w:color w:val="000000"/>
        </w:rPr>
        <w:t xml:space="preserve">dospělých </w:t>
      </w:r>
      <w:r w:rsidRPr="00F25A60">
        <w:rPr>
          <w:color w:val="000000"/>
        </w:rPr>
        <w:t>pacientů s DFSP je doporučená dávka Glivecu 800 mg/den.</w:t>
      </w:r>
    </w:p>
    <w:p w14:paraId="4491E25D" w14:textId="77777777" w:rsidR="00D94F95" w:rsidRPr="00F25A60" w:rsidRDefault="00D94F95" w:rsidP="0048111F">
      <w:pPr>
        <w:pStyle w:val="EndnoteText"/>
        <w:tabs>
          <w:tab w:val="clear" w:pos="567"/>
        </w:tabs>
        <w:rPr>
          <w:color w:val="000000"/>
        </w:rPr>
      </w:pPr>
    </w:p>
    <w:p w14:paraId="2BA5DBD5" w14:textId="673376EA" w:rsidR="00D94F95" w:rsidRPr="00F25A60" w:rsidRDefault="00D94F95" w:rsidP="0048111F">
      <w:pPr>
        <w:pStyle w:val="EndnoteText"/>
        <w:keepNext/>
        <w:tabs>
          <w:tab w:val="clear" w:pos="567"/>
        </w:tabs>
        <w:rPr>
          <w:color w:val="000000"/>
          <w:u w:val="single"/>
        </w:rPr>
      </w:pPr>
      <w:r w:rsidRPr="00F25A60">
        <w:rPr>
          <w:color w:val="000000"/>
          <w:u w:val="single"/>
        </w:rPr>
        <w:t xml:space="preserve">Úprava dávkování </w:t>
      </w:r>
      <w:r w:rsidR="009A13EC" w:rsidRPr="00F25A60">
        <w:rPr>
          <w:color w:val="000000"/>
          <w:u w:val="single"/>
        </w:rPr>
        <w:t>kvůli</w:t>
      </w:r>
      <w:r w:rsidRPr="00F25A60">
        <w:rPr>
          <w:color w:val="000000"/>
          <w:u w:val="single"/>
        </w:rPr>
        <w:t xml:space="preserve"> nežádoucí</w:t>
      </w:r>
      <w:r w:rsidR="009A13EC" w:rsidRPr="00F25A60">
        <w:rPr>
          <w:color w:val="000000"/>
          <w:u w:val="single"/>
        </w:rPr>
        <w:t>m</w:t>
      </w:r>
      <w:r w:rsidRPr="00F25A60">
        <w:rPr>
          <w:color w:val="000000"/>
          <w:u w:val="single"/>
        </w:rPr>
        <w:t xml:space="preserve"> účink</w:t>
      </w:r>
      <w:r w:rsidR="009A13EC" w:rsidRPr="00F25A60">
        <w:rPr>
          <w:color w:val="000000"/>
          <w:u w:val="single"/>
        </w:rPr>
        <w:t>ům</w:t>
      </w:r>
    </w:p>
    <w:p w14:paraId="3C65D968" w14:textId="77777777" w:rsidR="00350B5E" w:rsidRPr="00F25A60" w:rsidRDefault="00350B5E" w:rsidP="0048111F">
      <w:pPr>
        <w:pStyle w:val="EndnoteText"/>
        <w:keepNext/>
        <w:tabs>
          <w:tab w:val="clear" w:pos="567"/>
        </w:tabs>
        <w:rPr>
          <w:color w:val="000000"/>
        </w:rPr>
      </w:pPr>
    </w:p>
    <w:p w14:paraId="14EF5040" w14:textId="77777777" w:rsidR="00D94F95" w:rsidRPr="00F25A60" w:rsidRDefault="00D94F95" w:rsidP="0048111F">
      <w:pPr>
        <w:pStyle w:val="EndnoteText"/>
        <w:keepNext/>
        <w:tabs>
          <w:tab w:val="clear" w:pos="567"/>
        </w:tabs>
        <w:rPr>
          <w:i/>
          <w:iCs/>
          <w:color w:val="000000"/>
          <w:u w:val="single"/>
        </w:rPr>
      </w:pPr>
      <w:r w:rsidRPr="00F25A60">
        <w:rPr>
          <w:i/>
          <w:iCs/>
          <w:color w:val="000000"/>
          <w:u w:val="single"/>
        </w:rPr>
        <w:t>Nehematologické nežádoucí účinky</w:t>
      </w:r>
    </w:p>
    <w:p w14:paraId="3BE660DF" w14:textId="77777777" w:rsidR="00D94F95" w:rsidRPr="00F25A60" w:rsidRDefault="00D94F95" w:rsidP="0048111F">
      <w:pPr>
        <w:pStyle w:val="EndnoteText"/>
        <w:tabs>
          <w:tab w:val="clear" w:pos="567"/>
        </w:tabs>
        <w:rPr>
          <w:color w:val="000000"/>
        </w:rPr>
      </w:pPr>
      <w:r w:rsidRPr="00F25A60">
        <w:rPr>
          <w:color w:val="000000"/>
        </w:rPr>
        <w:t xml:space="preserve">Jestliže se při léčbě Glivecem vyskytnou závažné nehematologické nežádoucí účinky, musí být léčba do jejich </w:t>
      </w:r>
      <w:r w:rsidR="009A13EC" w:rsidRPr="00F25A60">
        <w:rPr>
          <w:color w:val="000000"/>
        </w:rPr>
        <w:t xml:space="preserve">odeznění </w:t>
      </w:r>
      <w:r w:rsidRPr="00F25A60">
        <w:rPr>
          <w:color w:val="000000"/>
        </w:rPr>
        <w:t>přerušena. Potom může být léčba přiměřeně obnovena v závislosti na počáteční závažnosti příhody.</w:t>
      </w:r>
    </w:p>
    <w:p w14:paraId="101F18A4" w14:textId="77777777" w:rsidR="00D94F95" w:rsidRPr="00F25A60" w:rsidRDefault="00D94F95" w:rsidP="0048111F">
      <w:pPr>
        <w:pStyle w:val="EndnoteText"/>
        <w:tabs>
          <w:tab w:val="clear" w:pos="567"/>
        </w:tabs>
        <w:rPr>
          <w:color w:val="000000"/>
        </w:rPr>
      </w:pPr>
    </w:p>
    <w:p w14:paraId="140105F3" w14:textId="77777777" w:rsidR="00D94F95" w:rsidRPr="00F25A60" w:rsidRDefault="00D94F95" w:rsidP="0048111F">
      <w:pPr>
        <w:pStyle w:val="EndnoteText"/>
        <w:tabs>
          <w:tab w:val="clear" w:pos="567"/>
        </w:tabs>
        <w:rPr>
          <w:color w:val="000000"/>
        </w:rPr>
      </w:pPr>
      <w:r w:rsidRPr="00F25A60">
        <w:rPr>
          <w:color w:val="000000"/>
        </w:rPr>
        <w:t xml:space="preserve">Při zvýšení hladiny bilirubinu &gt; 3násobek stanoveného horního limitu normálu (IULN) nebo při zvýšení hladin jaterních transamináz &gt; 5násobek IULN </w:t>
      </w:r>
      <w:r w:rsidR="009A13EC" w:rsidRPr="00F25A60">
        <w:rPr>
          <w:color w:val="000000"/>
        </w:rPr>
        <w:t>má</w:t>
      </w:r>
      <w:r w:rsidRPr="00F25A60">
        <w:rPr>
          <w:color w:val="000000"/>
        </w:rPr>
        <w:t xml:space="preserve"> by být léčba Glivecem přerušena, dokud se hladiny bilirubinu nevrátí k &lt; 1,5násobku IULN a hladiny transamináz k &lt; 2,5násobku IULN. Léčba Glivecem potom může pokračovat nižšími denními dávkami. U dospělých </w:t>
      </w:r>
      <w:r w:rsidR="009A13EC" w:rsidRPr="00F25A60">
        <w:rPr>
          <w:color w:val="000000"/>
        </w:rPr>
        <w:t>má</w:t>
      </w:r>
      <w:r w:rsidRPr="00F25A60">
        <w:rPr>
          <w:color w:val="000000"/>
        </w:rPr>
        <w:t xml:space="preserve"> být dávka snížena ze 400 na 300 mg nebo ze 600 na 400 mg nebo z 800 mg na 600 mg a u dětí ze 340 na 260 mg/m</w:t>
      </w:r>
      <w:r w:rsidRPr="00F25A60">
        <w:rPr>
          <w:color w:val="000000"/>
          <w:vertAlign w:val="superscript"/>
        </w:rPr>
        <w:t>2</w:t>
      </w:r>
      <w:r w:rsidRPr="00F25A60">
        <w:rPr>
          <w:color w:val="000000"/>
        </w:rPr>
        <w:t>/den.</w:t>
      </w:r>
    </w:p>
    <w:p w14:paraId="064E01DD" w14:textId="77777777" w:rsidR="00D94F95" w:rsidRPr="00F25A60" w:rsidRDefault="00D94F95" w:rsidP="0048111F">
      <w:pPr>
        <w:pStyle w:val="EndnoteText"/>
        <w:tabs>
          <w:tab w:val="clear" w:pos="567"/>
        </w:tabs>
        <w:rPr>
          <w:color w:val="000000"/>
        </w:rPr>
      </w:pPr>
    </w:p>
    <w:p w14:paraId="79AA32CE" w14:textId="77777777" w:rsidR="00D94F95" w:rsidRPr="00F25A60" w:rsidRDefault="00D94F95" w:rsidP="0048111F">
      <w:pPr>
        <w:pStyle w:val="EndnoteText"/>
        <w:keepNext/>
        <w:tabs>
          <w:tab w:val="clear" w:pos="567"/>
        </w:tabs>
        <w:rPr>
          <w:i/>
          <w:iCs/>
          <w:color w:val="000000"/>
          <w:u w:val="single"/>
        </w:rPr>
      </w:pPr>
      <w:r w:rsidRPr="00F25A60">
        <w:rPr>
          <w:i/>
          <w:iCs/>
          <w:color w:val="000000"/>
          <w:u w:val="single"/>
        </w:rPr>
        <w:t>Hematologické nežádoucí účinky</w:t>
      </w:r>
    </w:p>
    <w:p w14:paraId="116BF988" w14:textId="77777777" w:rsidR="00D94F95" w:rsidRPr="00F25A60" w:rsidRDefault="00D94F95" w:rsidP="0048111F">
      <w:pPr>
        <w:pStyle w:val="EndnoteText"/>
        <w:tabs>
          <w:tab w:val="clear" w:pos="567"/>
        </w:tabs>
        <w:rPr>
          <w:color w:val="000000"/>
        </w:rPr>
      </w:pPr>
      <w:r w:rsidRPr="00F25A60">
        <w:rPr>
          <w:color w:val="000000"/>
        </w:rPr>
        <w:t>Při závažné neutropenii nebo trombocytopenii se doporučuje snížení dávky nebo přerušení léčby tak, jak je uvedeno v následující tabulce.</w:t>
      </w:r>
    </w:p>
    <w:p w14:paraId="76509112" w14:textId="77777777" w:rsidR="00D94F95" w:rsidRPr="00F25A60" w:rsidRDefault="00D94F95" w:rsidP="0048111F">
      <w:pPr>
        <w:pStyle w:val="EndnoteText"/>
        <w:tabs>
          <w:tab w:val="clear" w:pos="567"/>
        </w:tabs>
        <w:rPr>
          <w:color w:val="000000"/>
        </w:rPr>
      </w:pPr>
    </w:p>
    <w:p w14:paraId="0BDA685D" w14:textId="77777777" w:rsidR="00D94F95" w:rsidRPr="00F25A60" w:rsidRDefault="00D94F95" w:rsidP="0048111F">
      <w:pPr>
        <w:pStyle w:val="EndnoteText"/>
        <w:keepNext/>
        <w:tabs>
          <w:tab w:val="clear" w:pos="567"/>
        </w:tabs>
        <w:rPr>
          <w:color w:val="000000"/>
        </w:rPr>
      </w:pPr>
      <w:r w:rsidRPr="00F25A60">
        <w:rPr>
          <w:color w:val="000000"/>
        </w:rPr>
        <w:t>Úprava dávkování při neutropenii nebo trombocytopenii:</w:t>
      </w:r>
    </w:p>
    <w:p w14:paraId="54E25EF9" w14:textId="77777777" w:rsidR="00D94F95" w:rsidRPr="00F25A60" w:rsidRDefault="00D94F95" w:rsidP="0048111F">
      <w:pPr>
        <w:pStyle w:val="EndnoteText"/>
        <w:keepNext/>
        <w:tabs>
          <w:tab w:val="clear" w:pos="567"/>
        </w:tabs>
        <w:rPr>
          <w:color w:val="000000"/>
        </w:rPr>
      </w:pPr>
    </w:p>
    <w:tbl>
      <w:tblPr>
        <w:tblW w:w="0" w:type="auto"/>
        <w:tblInd w:w="-20" w:type="dxa"/>
        <w:tblLayout w:type="fixed"/>
        <w:tblLook w:val="0000" w:firstRow="0" w:lastRow="0" w:firstColumn="0" w:lastColumn="0" w:noHBand="0" w:noVBand="0"/>
      </w:tblPr>
      <w:tblGrid>
        <w:gridCol w:w="2376"/>
        <w:gridCol w:w="2400"/>
        <w:gridCol w:w="4444"/>
      </w:tblGrid>
      <w:tr w:rsidR="00D94F95" w:rsidRPr="00F25A60" w14:paraId="7611DF83" w14:textId="77777777" w:rsidTr="000E0B78">
        <w:trPr>
          <w:cantSplit/>
        </w:trPr>
        <w:tc>
          <w:tcPr>
            <w:tcW w:w="2376" w:type="dxa"/>
            <w:tcBorders>
              <w:top w:val="single" w:sz="4" w:space="0" w:color="000000"/>
              <w:left w:val="single" w:sz="4" w:space="0" w:color="000000"/>
              <w:bottom w:val="single" w:sz="4" w:space="0" w:color="000000"/>
            </w:tcBorders>
          </w:tcPr>
          <w:p w14:paraId="0B62503A" w14:textId="77777777" w:rsidR="00D94F95" w:rsidRPr="00F25A60" w:rsidRDefault="00D94F95" w:rsidP="0048111F">
            <w:pPr>
              <w:pStyle w:val="EndnoteText"/>
              <w:keepNext/>
              <w:tabs>
                <w:tab w:val="clear" w:pos="567"/>
              </w:tabs>
              <w:snapToGrid w:val="0"/>
              <w:rPr>
                <w:color w:val="000000"/>
              </w:rPr>
            </w:pPr>
            <w:r w:rsidRPr="00F25A60">
              <w:rPr>
                <w:color w:val="000000"/>
              </w:rPr>
              <w:t>HES/</w:t>
            </w:r>
            <w:smartTag w:uri="urn:schemas-microsoft-com:office:smarttags" w:element="stockticker">
              <w:r w:rsidRPr="00F25A60">
                <w:rPr>
                  <w:color w:val="000000"/>
                </w:rPr>
                <w:t>CEL</w:t>
              </w:r>
            </w:smartTag>
            <w:r w:rsidRPr="00F25A60">
              <w:rPr>
                <w:color w:val="000000"/>
              </w:rPr>
              <w:t xml:space="preserve"> (zahajovací dávka 100 mg)</w:t>
            </w:r>
          </w:p>
        </w:tc>
        <w:tc>
          <w:tcPr>
            <w:tcW w:w="2400" w:type="dxa"/>
            <w:tcBorders>
              <w:top w:val="single" w:sz="4" w:space="0" w:color="000000"/>
              <w:left w:val="single" w:sz="4" w:space="0" w:color="000000"/>
              <w:bottom w:val="single" w:sz="4" w:space="0" w:color="000000"/>
            </w:tcBorders>
          </w:tcPr>
          <w:p w14:paraId="55AC6569" w14:textId="77777777" w:rsidR="00D94F95" w:rsidRPr="00F25A60" w:rsidRDefault="00D94F95" w:rsidP="0048111F">
            <w:pPr>
              <w:pStyle w:val="Table"/>
              <w:keepLines w:val="0"/>
              <w:suppressLineNumbers/>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ANC &lt; 1,0 x 10</w:t>
            </w:r>
            <w:r w:rsidRPr="00F25A60">
              <w:rPr>
                <w:rFonts w:ascii="Times New Roman" w:hAnsi="Times New Roman" w:cs="Times New Roman"/>
                <w:color w:val="000000"/>
                <w:sz w:val="22"/>
                <w:szCs w:val="22"/>
                <w:vertAlign w:val="superscript"/>
                <w:lang w:val="cs-CZ"/>
              </w:rPr>
              <w:t>9</w:t>
            </w:r>
            <w:r w:rsidRPr="00F25A60">
              <w:rPr>
                <w:rFonts w:ascii="Times New Roman" w:hAnsi="Times New Roman" w:cs="Times New Roman"/>
                <w:color w:val="000000"/>
                <w:sz w:val="22"/>
                <w:szCs w:val="22"/>
                <w:lang w:val="cs-CZ"/>
              </w:rPr>
              <w:t>/l</w:t>
            </w:r>
          </w:p>
          <w:p w14:paraId="51BB4AA7" w14:textId="77777777" w:rsidR="00D94F95" w:rsidRPr="00F25A60" w:rsidRDefault="00D94F95" w:rsidP="0048111F">
            <w:pPr>
              <w:pStyle w:val="Table"/>
              <w:keepLines w:val="0"/>
              <w:suppressLineNumbers/>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a/nebo</w:t>
            </w:r>
          </w:p>
          <w:p w14:paraId="192BDCE2" w14:textId="77777777" w:rsidR="00D94F95" w:rsidRPr="00F25A60" w:rsidRDefault="009A13EC" w:rsidP="0048111F">
            <w:pPr>
              <w:pStyle w:val="Table"/>
              <w:keepLines w:val="0"/>
              <w:suppressLineNumbers/>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trombocyty</w:t>
            </w:r>
            <w:r w:rsidR="00D94F95" w:rsidRPr="00F25A60">
              <w:rPr>
                <w:rFonts w:ascii="Times New Roman" w:hAnsi="Times New Roman" w:cs="Times New Roman"/>
                <w:color w:val="000000"/>
                <w:sz w:val="22"/>
                <w:szCs w:val="22"/>
                <w:lang w:val="cs-CZ"/>
              </w:rPr>
              <w:t xml:space="preserve"> &lt; 50 x 10</w:t>
            </w:r>
            <w:r w:rsidR="00D94F95" w:rsidRPr="00F25A60">
              <w:rPr>
                <w:rFonts w:ascii="Times New Roman" w:hAnsi="Times New Roman" w:cs="Times New Roman"/>
                <w:color w:val="000000"/>
                <w:sz w:val="22"/>
                <w:szCs w:val="22"/>
                <w:vertAlign w:val="superscript"/>
                <w:lang w:val="cs-CZ"/>
              </w:rPr>
              <w:t>9</w:t>
            </w:r>
            <w:r w:rsidR="00D94F95" w:rsidRPr="00F25A60">
              <w:rPr>
                <w:rFonts w:ascii="Times New Roman" w:hAnsi="Times New Roman" w:cs="Times New Roman"/>
                <w:color w:val="000000"/>
                <w:sz w:val="22"/>
                <w:szCs w:val="22"/>
                <w:lang w:val="cs-CZ"/>
              </w:rPr>
              <w:t>/l</w:t>
            </w:r>
          </w:p>
        </w:tc>
        <w:tc>
          <w:tcPr>
            <w:tcW w:w="4444" w:type="dxa"/>
            <w:tcBorders>
              <w:top w:val="single" w:sz="4" w:space="0" w:color="000000"/>
              <w:left w:val="single" w:sz="4" w:space="0" w:color="000000"/>
              <w:bottom w:val="single" w:sz="4" w:space="0" w:color="000000"/>
              <w:right w:val="single" w:sz="4" w:space="0" w:color="000000"/>
            </w:tcBorders>
          </w:tcPr>
          <w:p w14:paraId="42C59960" w14:textId="77777777" w:rsidR="00D94F95" w:rsidRPr="00F25A60" w:rsidRDefault="00D94F95" w:rsidP="0048111F">
            <w:pPr>
              <w:pStyle w:val="Table"/>
              <w:keepLines w:val="0"/>
              <w:suppressLineNumbers/>
              <w:tabs>
                <w:tab w:val="clear" w:pos="284"/>
                <w:tab w:val="clear" w:pos="567"/>
              </w:tabs>
              <w:snapToGrid w:val="0"/>
              <w:spacing w:before="0" w:after="0"/>
              <w:ind w:left="489" w:hanging="489"/>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1.</w:t>
            </w:r>
            <w:r w:rsidRPr="00F25A60">
              <w:rPr>
                <w:rFonts w:ascii="Times New Roman" w:hAnsi="Times New Roman" w:cs="Times New Roman"/>
                <w:color w:val="000000"/>
                <w:sz w:val="22"/>
                <w:szCs w:val="22"/>
                <w:lang w:val="cs-CZ"/>
              </w:rPr>
              <w:tab/>
              <w:t xml:space="preserve">Přerušte podávání Glivecu, dokud není ANC </w:t>
            </w:r>
            <w:r w:rsidRPr="00F25A60">
              <w:rPr>
                <w:rFonts w:ascii="Symbol" w:hAnsi="Symbol"/>
                <w:color w:val="000000"/>
                <w:sz w:val="22"/>
                <w:szCs w:val="22"/>
                <w:lang w:val="cs-CZ"/>
              </w:rPr>
              <w:t></w:t>
            </w:r>
            <w:r w:rsidRPr="00F25A60">
              <w:rPr>
                <w:rFonts w:ascii="Times New Roman" w:hAnsi="Times New Roman" w:cs="Times New Roman"/>
                <w:color w:val="000000"/>
                <w:sz w:val="22"/>
                <w:szCs w:val="22"/>
                <w:lang w:val="cs-CZ"/>
              </w:rPr>
              <w:t> 1,5 x 10</w:t>
            </w:r>
            <w:r w:rsidRPr="00F25A60">
              <w:rPr>
                <w:rFonts w:ascii="Times New Roman" w:hAnsi="Times New Roman" w:cs="Times New Roman"/>
                <w:color w:val="000000"/>
                <w:sz w:val="22"/>
                <w:szCs w:val="22"/>
                <w:vertAlign w:val="superscript"/>
                <w:lang w:val="cs-CZ"/>
              </w:rPr>
              <w:t>9</w:t>
            </w:r>
            <w:r w:rsidRPr="00F25A60">
              <w:rPr>
                <w:rFonts w:ascii="Times New Roman" w:hAnsi="Times New Roman" w:cs="Times New Roman"/>
                <w:color w:val="000000"/>
                <w:sz w:val="22"/>
                <w:szCs w:val="22"/>
                <w:lang w:val="cs-CZ"/>
              </w:rPr>
              <w:t xml:space="preserve">/l a </w:t>
            </w:r>
            <w:r w:rsidR="009A13EC" w:rsidRPr="00F25A60">
              <w:rPr>
                <w:rFonts w:ascii="Times New Roman" w:hAnsi="Times New Roman" w:cs="Times New Roman"/>
                <w:color w:val="000000"/>
                <w:sz w:val="22"/>
                <w:szCs w:val="22"/>
                <w:lang w:val="cs-CZ"/>
              </w:rPr>
              <w:t>trombocyty</w:t>
            </w:r>
            <w:r w:rsidRPr="00F25A60">
              <w:rPr>
                <w:rFonts w:ascii="Symbol" w:hAnsi="Symbol"/>
                <w:color w:val="000000"/>
                <w:sz w:val="22"/>
                <w:szCs w:val="22"/>
                <w:lang w:val="cs-CZ"/>
              </w:rPr>
              <w:t></w:t>
            </w:r>
            <w:r w:rsidRPr="00F25A60">
              <w:rPr>
                <w:rFonts w:ascii="Times New Roman" w:hAnsi="Times New Roman" w:cs="Times New Roman"/>
                <w:color w:val="000000"/>
                <w:sz w:val="22"/>
                <w:szCs w:val="22"/>
                <w:lang w:val="cs-CZ"/>
              </w:rPr>
              <w:t> 75 x 10</w:t>
            </w:r>
            <w:r w:rsidRPr="00F25A60">
              <w:rPr>
                <w:rFonts w:ascii="Times New Roman" w:hAnsi="Times New Roman" w:cs="Times New Roman"/>
                <w:color w:val="000000"/>
                <w:sz w:val="22"/>
                <w:szCs w:val="22"/>
                <w:vertAlign w:val="superscript"/>
                <w:lang w:val="cs-CZ"/>
              </w:rPr>
              <w:t>9</w:t>
            </w:r>
            <w:r w:rsidRPr="00F25A60">
              <w:rPr>
                <w:rFonts w:ascii="Times New Roman" w:hAnsi="Times New Roman" w:cs="Times New Roman"/>
                <w:color w:val="000000"/>
                <w:sz w:val="22"/>
                <w:szCs w:val="22"/>
                <w:lang w:val="cs-CZ"/>
              </w:rPr>
              <w:t>/l.</w:t>
            </w:r>
          </w:p>
          <w:p w14:paraId="3199D875" w14:textId="77777777" w:rsidR="00D94F95" w:rsidRPr="00F25A60" w:rsidRDefault="00D94F95" w:rsidP="0048111F">
            <w:pPr>
              <w:pStyle w:val="Table"/>
              <w:keepLines w:val="0"/>
              <w:suppressLineNumbers/>
              <w:tabs>
                <w:tab w:val="clear" w:pos="284"/>
                <w:tab w:val="clear" w:pos="567"/>
              </w:tabs>
              <w:spacing w:before="0" w:after="0"/>
              <w:ind w:left="489" w:hanging="489"/>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2.</w:t>
            </w:r>
            <w:r w:rsidRPr="00F25A60">
              <w:rPr>
                <w:rFonts w:ascii="Times New Roman" w:hAnsi="Times New Roman" w:cs="Times New Roman"/>
                <w:color w:val="000000"/>
                <w:sz w:val="22"/>
                <w:szCs w:val="22"/>
                <w:lang w:val="cs-CZ"/>
              </w:rPr>
              <w:tab/>
              <w:t xml:space="preserve">Obnovte léčbu Glivecem na úroveň předchozí dávky (tj. před </w:t>
            </w:r>
            <w:r w:rsidR="009A13EC" w:rsidRPr="00F25A60">
              <w:rPr>
                <w:rFonts w:ascii="Times New Roman" w:hAnsi="Times New Roman" w:cs="Times New Roman"/>
                <w:color w:val="000000"/>
                <w:sz w:val="22"/>
                <w:szCs w:val="22"/>
                <w:lang w:val="cs-CZ"/>
              </w:rPr>
              <w:t>zá</w:t>
            </w:r>
            <w:r w:rsidRPr="00F25A60">
              <w:rPr>
                <w:rFonts w:ascii="Times New Roman" w:hAnsi="Times New Roman" w:cs="Times New Roman"/>
                <w:color w:val="000000"/>
                <w:sz w:val="22"/>
                <w:szCs w:val="22"/>
                <w:lang w:val="cs-CZ"/>
              </w:rPr>
              <w:t>v</w:t>
            </w:r>
            <w:r w:rsidR="009A13EC" w:rsidRPr="00F25A60">
              <w:rPr>
                <w:rFonts w:ascii="Times New Roman" w:hAnsi="Times New Roman" w:cs="Times New Roman"/>
                <w:color w:val="000000"/>
                <w:sz w:val="22"/>
                <w:szCs w:val="22"/>
                <w:lang w:val="cs-CZ"/>
              </w:rPr>
              <w:t>a</w:t>
            </w:r>
            <w:r w:rsidRPr="00F25A60">
              <w:rPr>
                <w:rFonts w:ascii="Times New Roman" w:hAnsi="Times New Roman" w:cs="Times New Roman"/>
                <w:color w:val="000000"/>
                <w:sz w:val="22"/>
                <w:szCs w:val="22"/>
                <w:lang w:val="cs-CZ"/>
              </w:rPr>
              <w:t xml:space="preserve">žnými nežádoucími </w:t>
            </w:r>
            <w:r w:rsidR="009A13EC" w:rsidRPr="00F25A60">
              <w:rPr>
                <w:rFonts w:ascii="Times New Roman" w:hAnsi="Times New Roman" w:cs="Times New Roman"/>
                <w:color w:val="000000"/>
                <w:sz w:val="22"/>
                <w:szCs w:val="22"/>
                <w:lang w:val="cs-CZ"/>
              </w:rPr>
              <w:t>účinky</w:t>
            </w:r>
            <w:r w:rsidRPr="00F25A60">
              <w:rPr>
                <w:rFonts w:ascii="Times New Roman" w:hAnsi="Times New Roman" w:cs="Times New Roman"/>
                <w:color w:val="000000"/>
                <w:sz w:val="22"/>
                <w:szCs w:val="22"/>
                <w:lang w:val="cs-CZ"/>
              </w:rPr>
              <w:t>).</w:t>
            </w:r>
          </w:p>
        </w:tc>
      </w:tr>
      <w:tr w:rsidR="00D94F95" w:rsidRPr="00F25A60" w14:paraId="1F95BB1D" w14:textId="77777777" w:rsidTr="000E0B78">
        <w:trPr>
          <w:cantSplit/>
        </w:trPr>
        <w:tc>
          <w:tcPr>
            <w:tcW w:w="2376" w:type="dxa"/>
            <w:tcBorders>
              <w:top w:val="single" w:sz="4" w:space="0" w:color="000000"/>
              <w:left w:val="single" w:sz="4" w:space="0" w:color="000000"/>
              <w:bottom w:val="single" w:sz="4" w:space="0" w:color="000000"/>
            </w:tcBorders>
          </w:tcPr>
          <w:p w14:paraId="26B88AB8" w14:textId="77777777" w:rsidR="00D94F95" w:rsidRPr="00F25A60" w:rsidRDefault="00D94F95" w:rsidP="0048111F">
            <w:pPr>
              <w:pStyle w:val="EndnoteText"/>
              <w:tabs>
                <w:tab w:val="clear" w:pos="567"/>
              </w:tabs>
              <w:snapToGrid w:val="0"/>
              <w:rPr>
                <w:color w:val="000000"/>
              </w:rPr>
            </w:pPr>
            <w:r w:rsidRPr="00F25A60">
              <w:rPr>
                <w:color w:val="000000"/>
              </w:rPr>
              <w:t xml:space="preserve">Chronická fáze CML, </w:t>
            </w:r>
            <w:smartTag w:uri="urn:schemas-microsoft-com:office:smarttags" w:element="stockticker">
              <w:r w:rsidRPr="00F25A60">
                <w:rPr>
                  <w:color w:val="000000"/>
                </w:rPr>
                <w:t>MDS</w:t>
              </w:r>
            </w:smartTag>
            <w:r w:rsidRPr="00F25A60">
              <w:rPr>
                <w:color w:val="000000"/>
              </w:rPr>
              <w:t>/MPD a GIST (zahajovací dávka 400 mg)</w:t>
            </w:r>
          </w:p>
          <w:p w14:paraId="10AE7E80" w14:textId="77777777" w:rsidR="00D94F95" w:rsidRPr="00F25A60" w:rsidRDefault="00D94F95" w:rsidP="0048111F">
            <w:pPr>
              <w:pStyle w:val="EndnoteText"/>
              <w:tabs>
                <w:tab w:val="clear" w:pos="567"/>
              </w:tabs>
              <w:rPr>
                <w:color w:val="000000"/>
              </w:rPr>
            </w:pPr>
            <w:r w:rsidRPr="00F25A60">
              <w:rPr>
                <w:color w:val="000000"/>
              </w:rPr>
              <w:t>HES/</w:t>
            </w:r>
            <w:smartTag w:uri="urn:schemas-microsoft-com:office:smarttags" w:element="stockticker">
              <w:r w:rsidRPr="00F25A60">
                <w:rPr>
                  <w:color w:val="000000"/>
                </w:rPr>
                <w:t>CEL</w:t>
              </w:r>
            </w:smartTag>
            <w:r w:rsidRPr="00F25A60">
              <w:rPr>
                <w:color w:val="000000"/>
              </w:rPr>
              <w:t xml:space="preserve"> (</w:t>
            </w:r>
            <w:r w:rsidR="009A13EC" w:rsidRPr="00F25A60">
              <w:rPr>
                <w:color w:val="000000"/>
              </w:rPr>
              <w:t>v dávce</w:t>
            </w:r>
            <w:r w:rsidRPr="00F25A60">
              <w:rPr>
                <w:color w:val="000000"/>
              </w:rPr>
              <w:t xml:space="preserve"> 400 mg)</w:t>
            </w:r>
          </w:p>
        </w:tc>
        <w:tc>
          <w:tcPr>
            <w:tcW w:w="2400" w:type="dxa"/>
            <w:tcBorders>
              <w:top w:val="single" w:sz="4" w:space="0" w:color="000000"/>
              <w:left w:val="single" w:sz="4" w:space="0" w:color="000000"/>
              <w:bottom w:val="single" w:sz="4" w:space="0" w:color="000000"/>
            </w:tcBorders>
          </w:tcPr>
          <w:p w14:paraId="1137BD2F" w14:textId="77777777" w:rsidR="00D94F95" w:rsidRPr="00F25A60" w:rsidRDefault="00D94F95" w:rsidP="0048111F">
            <w:pPr>
              <w:pStyle w:val="Table"/>
              <w:keepNext w:val="0"/>
              <w:keepLines w:val="0"/>
              <w:suppressLineNumbers/>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ANC &lt; 1,0 x 10</w:t>
            </w:r>
            <w:r w:rsidRPr="00F25A60">
              <w:rPr>
                <w:rFonts w:ascii="Times New Roman" w:hAnsi="Times New Roman" w:cs="Times New Roman"/>
                <w:color w:val="000000"/>
                <w:sz w:val="22"/>
                <w:szCs w:val="22"/>
                <w:vertAlign w:val="superscript"/>
                <w:lang w:val="cs-CZ"/>
              </w:rPr>
              <w:t>9</w:t>
            </w:r>
            <w:r w:rsidRPr="00F25A60">
              <w:rPr>
                <w:rFonts w:ascii="Times New Roman" w:hAnsi="Times New Roman" w:cs="Times New Roman"/>
                <w:color w:val="000000"/>
                <w:sz w:val="22"/>
                <w:szCs w:val="22"/>
                <w:lang w:val="cs-CZ"/>
              </w:rPr>
              <w:t>/l</w:t>
            </w:r>
          </w:p>
          <w:p w14:paraId="22616EE5" w14:textId="77777777" w:rsidR="00D94F95" w:rsidRPr="00F25A60" w:rsidRDefault="00D94F95" w:rsidP="0048111F">
            <w:pPr>
              <w:pStyle w:val="Table"/>
              <w:keepNext w:val="0"/>
              <w:keepLines w:val="0"/>
              <w:suppressLineNumbers/>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a/nebo</w:t>
            </w:r>
          </w:p>
          <w:p w14:paraId="0EE81139" w14:textId="77777777" w:rsidR="00D94F95" w:rsidRPr="00F25A60" w:rsidRDefault="009A13EC" w:rsidP="0048111F">
            <w:pPr>
              <w:pStyle w:val="EndnoteText"/>
              <w:tabs>
                <w:tab w:val="clear" w:pos="567"/>
              </w:tabs>
              <w:rPr>
                <w:color w:val="000000"/>
              </w:rPr>
            </w:pPr>
            <w:r w:rsidRPr="00F25A60">
              <w:rPr>
                <w:color w:val="000000"/>
              </w:rPr>
              <w:t>trombocyty</w:t>
            </w:r>
            <w:r w:rsidR="00D94F95" w:rsidRPr="00F25A60">
              <w:rPr>
                <w:color w:val="000000"/>
              </w:rPr>
              <w:t>&lt; 50 x 10</w:t>
            </w:r>
            <w:r w:rsidR="00D94F95" w:rsidRPr="00F25A60">
              <w:rPr>
                <w:color w:val="000000"/>
                <w:vertAlign w:val="superscript"/>
              </w:rPr>
              <w:t>9</w:t>
            </w:r>
            <w:r w:rsidR="00D94F95" w:rsidRPr="00F25A60">
              <w:rPr>
                <w:color w:val="000000"/>
              </w:rPr>
              <w:t>/l</w:t>
            </w:r>
          </w:p>
        </w:tc>
        <w:tc>
          <w:tcPr>
            <w:tcW w:w="4444" w:type="dxa"/>
            <w:tcBorders>
              <w:top w:val="single" w:sz="4" w:space="0" w:color="000000"/>
              <w:left w:val="single" w:sz="4" w:space="0" w:color="000000"/>
              <w:bottom w:val="single" w:sz="4" w:space="0" w:color="000000"/>
              <w:right w:val="single" w:sz="4" w:space="0" w:color="000000"/>
            </w:tcBorders>
          </w:tcPr>
          <w:p w14:paraId="77E97CDD" w14:textId="77777777" w:rsidR="00D94F95" w:rsidRPr="00F25A60" w:rsidRDefault="00D94F95" w:rsidP="0048111F">
            <w:pPr>
              <w:pStyle w:val="Table"/>
              <w:keepNext w:val="0"/>
              <w:keepLines w:val="0"/>
              <w:suppressLineNumbers/>
              <w:tabs>
                <w:tab w:val="clear" w:pos="284"/>
                <w:tab w:val="clear" w:pos="567"/>
              </w:tabs>
              <w:snapToGrid w:val="0"/>
              <w:spacing w:before="0" w:after="0"/>
              <w:ind w:left="489" w:hanging="489"/>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1.</w:t>
            </w:r>
            <w:r w:rsidRPr="00F25A60">
              <w:rPr>
                <w:rFonts w:ascii="Times New Roman" w:hAnsi="Times New Roman" w:cs="Times New Roman"/>
                <w:color w:val="000000"/>
                <w:sz w:val="22"/>
                <w:szCs w:val="22"/>
                <w:lang w:val="cs-CZ"/>
              </w:rPr>
              <w:tab/>
              <w:t xml:space="preserve">Přerušte podávání Glivecu, dokud není ANC </w:t>
            </w:r>
            <w:r w:rsidRPr="00F25A60">
              <w:rPr>
                <w:rFonts w:ascii="Symbol" w:hAnsi="Symbol"/>
                <w:color w:val="000000"/>
                <w:sz w:val="22"/>
                <w:szCs w:val="22"/>
                <w:lang w:val="cs-CZ"/>
              </w:rPr>
              <w:t></w:t>
            </w:r>
            <w:r w:rsidRPr="00F25A60">
              <w:rPr>
                <w:rFonts w:ascii="Times New Roman" w:hAnsi="Times New Roman" w:cs="Times New Roman"/>
                <w:color w:val="000000"/>
                <w:sz w:val="22"/>
                <w:szCs w:val="22"/>
                <w:lang w:val="cs-CZ"/>
              </w:rPr>
              <w:t> 1,5 x 10</w:t>
            </w:r>
            <w:r w:rsidRPr="00F25A60">
              <w:rPr>
                <w:rFonts w:ascii="Times New Roman" w:hAnsi="Times New Roman" w:cs="Times New Roman"/>
                <w:color w:val="000000"/>
                <w:sz w:val="22"/>
                <w:szCs w:val="22"/>
                <w:vertAlign w:val="superscript"/>
                <w:lang w:val="cs-CZ"/>
              </w:rPr>
              <w:t>9</w:t>
            </w:r>
            <w:r w:rsidRPr="00F25A60">
              <w:rPr>
                <w:rFonts w:ascii="Times New Roman" w:hAnsi="Times New Roman" w:cs="Times New Roman"/>
                <w:color w:val="000000"/>
                <w:sz w:val="22"/>
                <w:szCs w:val="22"/>
                <w:lang w:val="cs-CZ"/>
              </w:rPr>
              <w:t xml:space="preserve">/l a </w:t>
            </w:r>
            <w:r w:rsidR="009A13EC" w:rsidRPr="00F25A60">
              <w:rPr>
                <w:rFonts w:ascii="Times New Roman" w:hAnsi="Times New Roman" w:cs="Times New Roman"/>
                <w:color w:val="000000"/>
                <w:sz w:val="22"/>
                <w:szCs w:val="22"/>
                <w:lang w:val="cs-CZ"/>
              </w:rPr>
              <w:t>trombocyty</w:t>
            </w:r>
            <w:r w:rsidRPr="00F25A60">
              <w:rPr>
                <w:rFonts w:ascii="Symbol" w:hAnsi="Symbol"/>
                <w:color w:val="000000"/>
                <w:sz w:val="22"/>
                <w:szCs w:val="22"/>
                <w:lang w:val="cs-CZ"/>
              </w:rPr>
              <w:t></w:t>
            </w:r>
            <w:r w:rsidRPr="00F25A60">
              <w:rPr>
                <w:rFonts w:ascii="Times New Roman" w:hAnsi="Times New Roman" w:cs="Times New Roman"/>
                <w:color w:val="000000"/>
                <w:sz w:val="22"/>
                <w:szCs w:val="22"/>
                <w:lang w:val="cs-CZ"/>
              </w:rPr>
              <w:t> 75 x 10</w:t>
            </w:r>
            <w:r w:rsidRPr="00F25A60">
              <w:rPr>
                <w:rFonts w:ascii="Times New Roman" w:hAnsi="Times New Roman" w:cs="Times New Roman"/>
                <w:color w:val="000000"/>
                <w:sz w:val="22"/>
                <w:szCs w:val="22"/>
                <w:vertAlign w:val="superscript"/>
                <w:lang w:val="cs-CZ"/>
              </w:rPr>
              <w:t>9</w:t>
            </w:r>
            <w:r w:rsidRPr="00F25A60">
              <w:rPr>
                <w:rFonts w:ascii="Times New Roman" w:hAnsi="Times New Roman" w:cs="Times New Roman"/>
                <w:color w:val="000000"/>
                <w:sz w:val="22"/>
                <w:szCs w:val="22"/>
                <w:lang w:val="cs-CZ"/>
              </w:rPr>
              <w:t>/l.</w:t>
            </w:r>
          </w:p>
          <w:p w14:paraId="53681D39" w14:textId="77777777" w:rsidR="00D94F95" w:rsidRPr="00F25A60" w:rsidRDefault="00D94F95" w:rsidP="0048111F">
            <w:pPr>
              <w:pStyle w:val="Table"/>
              <w:keepNext w:val="0"/>
              <w:keepLines w:val="0"/>
              <w:suppressLineNumbers/>
              <w:tabs>
                <w:tab w:val="clear" w:pos="284"/>
                <w:tab w:val="clear" w:pos="567"/>
              </w:tabs>
              <w:spacing w:before="0" w:after="0"/>
              <w:ind w:left="489" w:hanging="489"/>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2.</w:t>
            </w:r>
            <w:r w:rsidRPr="00F25A60">
              <w:rPr>
                <w:rFonts w:ascii="Times New Roman" w:hAnsi="Times New Roman" w:cs="Times New Roman"/>
                <w:color w:val="000000"/>
                <w:sz w:val="22"/>
                <w:szCs w:val="22"/>
                <w:lang w:val="cs-CZ"/>
              </w:rPr>
              <w:tab/>
              <w:t xml:space="preserve">Obnovte léčbu Glivecem na úroveň předchozí dávky (tj. před </w:t>
            </w:r>
            <w:r w:rsidR="009A13EC" w:rsidRPr="00F25A60">
              <w:rPr>
                <w:rFonts w:ascii="Times New Roman" w:hAnsi="Times New Roman" w:cs="Times New Roman"/>
                <w:color w:val="000000"/>
                <w:sz w:val="22"/>
                <w:szCs w:val="22"/>
                <w:lang w:val="cs-CZ"/>
              </w:rPr>
              <w:t>zá</w:t>
            </w:r>
            <w:r w:rsidRPr="00F25A60">
              <w:rPr>
                <w:rFonts w:ascii="Times New Roman" w:hAnsi="Times New Roman" w:cs="Times New Roman"/>
                <w:color w:val="000000"/>
                <w:sz w:val="22"/>
                <w:szCs w:val="22"/>
                <w:lang w:val="cs-CZ"/>
              </w:rPr>
              <w:t>v</w:t>
            </w:r>
            <w:r w:rsidR="009A13EC" w:rsidRPr="00F25A60">
              <w:rPr>
                <w:rFonts w:ascii="Times New Roman" w:hAnsi="Times New Roman" w:cs="Times New Roman"/>
                <w:color w:val="000000"/>
                <w:sz w:val="22"/>
                <w:szCs w:val="22"/>
                <w:lang w:val="cs-CZ"/>
              </w:rPr>
              <w:t>a</w:t>
            </w:r>
            <w:r w:rsidRPr="00F25A60">
              <w:rPr>
                <w:rFonts w:ascii="Times New Roman" w:hAnsi="Times New Roman" w:cs="Times New Roman"/>
                <w:color w:val="000000"/>
                <w:sz w:val="22"/>
                <w:szCs w:val="22"/>
                <w:lang w:val="cs-CZ"/>
              </w:rPr>
              <w:t xml:space="preserve">žnými nežádoucími </w:t>
            </w:r>
            <w:r w:rsidR="009A13EC" w:rsidRPr="00F25A60">
              <w:rPr>
                <w:rFonts w:ascii="Times New Roman" w:hAnsi="Times New Roman" w:cs="Times New Roman"/>
                <w:color w:val="000000"/>
                <w:sz w:val="22"/>
                <w:szCs w:val="22"/>
                <w:lang w:val="cs-CZ"/>
              </w:rPr>
              <w:t>účinky</w:t>
            </w:r>
            <w:r w:rsidRPr="00F25A60">
              <w:rPr>
                <w:rFonts w:ascii="Times New Roman" w:hAnsi="Times New Roman" w:cs="Times New Roman"/>
                <w:color w:val="000000"/>
                <w:sz w:val="22"/>
                <w:szCs w:val="22"/>
                <w:lang w:val="cs-CZ"/>
              </w:rPr>
              <w:t>).</w:t>
            </w:r>
          </w:p>
          <w:p w14:paraId="5C36061F" w14:textId="5A18C3DE" w:rsidR="00D94F95" w:rsidRPr="00F25A60" w:rsidRDefault="00D94F95" w:rsidP="0048111F">
            <w:pPr>
              <w:pStyle w:val="EndnoteText"/>
              <w:tabs>
                <w:tab w:val="clear" w:pos="567"/>
              </w:tabs>
              <w:ind w:left="489" w:hanging="489"/>
              <w:rPr>
                <w:color w:val="000000"/>
              </w:rPr>
            </w:pPr>
            <w:r w:rsidRPr="00F25A60">
              <w:rPr>
                <w:color w:val="000000"/>
              </w:rPr>
              <w:t>3.</w:t>
            </w:r>
            <w:r w:rsidRPr="00F25A60">
              <w:rPr>
                <w:color w:val="000000"/>
              </w:rPr>
              <w:tab/>
              <w:t>V případě opakování ANC &lt; 1,0 x 10</w:t>
            </w:r>
            <w:r w:rsidRPr="00F25A60">
              <w:rPr>
                <w:color w:val="000000"/>
                <w:vertAlign w:val="superscript"/>
              </w:rPr>
              <w:t>9</w:t>
            </w:r>
            <w:r w:rsidRPr="00F25A60">
              <w:rPr>
                <w:color w:val="000000"/>
              </w:rPr>
              <w:t xml:space="preserve">/l a/nebo </w:t>
            </w:r>
            <w:r w:rsidR="009A13EC" w:rsidRPr="00F25A60">
              <w:rPr>
                <w:color w:val="000000"/>
              </w:rPr>
              <w:t>trombocytů</w:t>
            </w:r>
            <w:r w:rsidRPr="00F25A60">
              <w:rPr>
                <w:color w:val="000000"/>
              </w:rPr>
              <w:t>k &lt; 50 x 10</w:t>
            </w:r>
            <w:r w:rsidRPr="00F25A60">
              <w:rPr>
                <w:color w:val="000000"/>
                <w:vertAlign w:val="superscript"/>
              </w:rPr>
              <w:t>9</w:t>
            </w:r>
            <w:r w:rsidRPr="00F25A60">
              <w:rPr>
                <w:color w:val="000000"/>
              </w:rPr>
              <w:t>/l, opakujte bod</w:t>
            </w:r>
            <w:ins w:id="39" w:author="Author">
              <w:r w:rsidR="00A806C3" w:rsidRPr="00F25A60">
                <w:rPr>
                  <w:color w:val="000000"/>
                </w:rPr>
                <w:t> </w:t>
              </w:r>
            </w:ins>
            <w:del w:id="40" w:author="Author">
              <w:r w:rsidRPr="00F25A60" w:rsidDel="00A806C3">
                <w:rPr>
                  <w:color w:val="000000"/>
                </w:rPr>
                <w:delText xml:space="preserve"> </w:delText>
              </w:r>
            </w:del>
            <w:smartTag w:uri="urn:schemas-microsoft-com:office:smarttags" w:element="metricconverter">
              <w:smartTagPr>
                <w:attr w:name="ProductID" w:val="1 a"/>
              </w:smartTagPr>
              <w:r w:rsidRPr="00F25A60">
                <w:rPr>
                  <w:color w:val="000000"/>
                </w:rPr>
                <w:t>1 a</w:t>
              </w:r>
            </w:smartTag>
            <w:r w:rsidRPr="00F25A60">
              <w:rPr>
                <w:color w:val="000000"/>
              </w:rPr>
              <w:t xml:space="preserve"> léčbu Glivecem obnovte sníženou dávkou 300 mg.</w:t>
            </w:r>
          </w:p>
        </w:tc>
      </w:tr>
      <w:tr w:rsidR="00D94F95" w:rsidRPr="00F25A60" w14:paraId="382A8725" w14:textId="77777777" w:rsidTr="000E0B78">
        <w:trPr>
          <w:cantSplit/>
        </w:trPr>
        <w:tc>
          <w:tcPr>
            <w:tcW w:w="2376" w:type="dxa"/>
            <w:tcBorders>
              <w:top w:val="single" w:sz="4" w:space="0" w:color="000000"/>
              <w:left w:val="single" w:sz="4" w:space="0" w:color="000000"/>
              <w:bottom w:val="single" w:sz="4" w:space="0" w:color="000000"/>
            </w:tcBorders>
          </w:tcPr>
          <w:p w14:paraId="4E3817EF" w14:textId="77777777" w:rsidR="00D94F95" w:rsidRPr="00F25A60" w:rsidRDefault="00D94F95" w:rsidP="0048111F">
            <w:pPr>
              <w:pStyle w:val="EndnoteText"/>
              <w:tabs>
                <w:tab w:val="clear" w:pos="567"/>
              </w:tabs>
              <w:snapToGrid w:val="0"/>
              <w:rPr>
                <w:color w:val="000000"/>
              </w:rPr>
            </w:pPr>
            <w:r w:rsidRPr="00F25A60">
              <w:rPr>
                <w:color w:val="000000"/>
              </w:rPr>
              <w:lastRenderedPageBreak/>
              <w:t>Chronická fáze CML u dětí (dávka 340 mg/m</w:t>
            </w:r>
            <w:r w:rsidRPr="00F25A60">
              <w:rPr>
                <w:color w:val="000000"/>
                <w:vertAlign w:val="superscript"/>
              </w:rPr>
              <w:t>2</w:t>
            </w:r>
            <w:r w:rsidRPr="00F25A60">
              <w:rPr>
                <w:color w:val="000000"/>
              </w:rPr>
              <w:t>)</w:t>
            </w:r>
          </w:p>
        </w:tc>
        <w:tc>
          <w:tcPr>
            <w:tcW w:w="2400" w:type="dxa"/>
            <w:tcBorders>
              <w:top w:val="single" w:sz="4" w:space="0" w:color="000000"/>
              <w:left w:val="single" w:sz="4" w:space="0" w:color="000000"/>
              <w:bottom w:val="single" w:sz="4" w:space="0" w:color="000000"/>
            </w:tcBorders>
          </w:tcPr>
          <w:p w14:paraId="58FB01D7" w14:textId="77777777" w:rsidR="00D94F95" w:rsidRPr="00F25A60" w:rsidRDefault="00D94F95" w:rsidP="0048111F">
            <w:pPr>
              <w:pStyle w:val="Table"/>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ANC &lt; 1,0 x 10</w:t>
            </w:r>
            <w:r w:rsidRPr="00F25A60">
              <w:rPr>
                <w:rFonts w:ascii="Times New Roman" w:hAnsi="Times New Roman" w:cs="Times New Roman"/>
                <w:color w:val="000000"/>
                <w:sz w:val="22"/>
                <w:szCs w:val="22"/>
                <w:vertAlign w:val="superscript"/>
                <w:lang w:val="cs-CZ"/>
              </w:rPr>
              <w:t>9</w:t>
            </w:r>
            <w:r w:rsidRPr="00F25A60">
              <w:rPr>
                <w:rFonts w:ascii="Times New Roman" w:hAnsi="Times New Roman" w:cs="Times New Roman"/>
                <w:color w:val="000000"/>
                <w:sz w:val="22"/>
                <w:szCs w:val="22"/>
                <w:lang w:val="cs-CZ"/>
              </w:rPr>
              <w:t>/l</w:t>
            </w:r>
          </w:p>
          <w:p w14:paraId="30828307" w14:textId="77777777" w:rsidR="00D94F95" w:rsidRPr="00F25A60" w:rsidRDefault="00D94F95" w:rsidP="0048111F">
            <w:pPr>
              <w:pStyle w:val="Table"/>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a/nebo</w:t>
            </w:r>
          </w:p>
          <w:p w14:paraId="19E968EE" w14:textId="77777777" w:rsidR="00D94F95" w:rsidRPr="00F25A60" w:rsidRDefault="009A13EC" w:rsidP="0048111F">
            <w:pPr>
              <w:pStyle w:val="Table"/>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trombocyty</w:t>
            </w:r>
            <w:r w:rsidR="00D94F95" w:rsidRPr="00F25A60">
              <w:rPr>
                <w:rFonts w:ascii="Times New Roman" w:hAnsi="Times New Roman" w:cs="Times New Roman"/>
                <w:color w:val="000000"/>
                <w:sz w:val="22"/>
                <w:szCs w:val="22"/>
                <w:lang w:val="cs-CZ"/>
              </w:rPr>
              <w:t>&lt; 50 x 10</w:t>
            </w:r>
            <w:r w:rsidR="00D94F95" w:rsidRPr="00F25A60">
              <w:rPr>
                <w:rFonts w:ascii="Times New Roman" w:hAnsi="Times New Roman" w:cs="Times New Roman"/>
                <w:color w:val="000000"/>
                <w:sz w:val="22"/>
                <w:szCs w:val="22"/>
                <w:vertAlign w:val="superscript"/>
                <w:lang w:val="cs-CZ"/>
              </w:rPr>
              <w:t>9</w:t>
            </w:r>
            <w:r w:rsidR="00D94F95" w:rsidRPr="00F25A60">
              <w:rPr>
                <w:rFonts w:ascii="Times New Roman" w:hAnsi="Times New Roman" w:cs="Times New Roman"/>
                <w:color w:val="000000"/>
                <w:sz w:val="22"/>
                <w:szCs w:val="22"/>
                <w:lang w:val="cs-CZ"/>
              </w:rPr>
              <w:t>/l</w:t>
            </w:r>
          </w:p>
          <w:p w14:paraId="2A6B2D95" w14:textId="77777777" w:rsidR="00D94F95" w:rsidRPr="00F25A60" w:rsidRDefault="00D94F95" w:rsidP="0048111F">
            <w:pPr>
              <w:pStyle w:val="Table"/>
              <w:keepNext w:val="0"/>
              <w:keepLines w:val="0"/>
              <w:suppressLineNumbers/>
              <w:spacing w:before="0" w:after="0"/>
              <w:rPr>
                <w:rFonts w:ascii="Times New Roman" w:hAnsi="Times New Roman" w:cs="Times New Roman"/>
                <w:color w:val="000000"/>
                <w:sz w:val="22"/>
                <w:szCs w:val="22"/>
                <w:lang w:val="cs-CZ"/>
              </w:rPr>
            </w:pPr>
          </w:p>
        </w:tc>
        <w:tc>
          <w:tcPr>
            <w:tcW w:w="4444" w:type="dxa"/>
            <w:tcBorders>
              <w:top w:val="single" w:sz="4" w:space="0" w:color="000000"/>
              <w:left w:val="single" w:sz="4" w:space="0" w:color="000000"/>
              <w:bottom w:val="single" w:sz="4" w:space="0" w:color="000000"/>
              <w:right w:val="single" w:sz="4" w:space="0" w:color="000000"/>
            </w:tcBorders>
          </w:tcPr>
          <w:p w14:paraId="6CC06CAA" w14:textId="77777777" w:rsidR="00D94F95" w:rsidRPr="00F25A60" w:rsidRDefault="00D94F95" w:rsidP="0048111F">
            <w:pPr>
              <w:pStyle w:val="Table"/>
              <w:keepNext w:val="0"/>
              <w:keepLines w:val="0"/>
              <w:suppressLineNumbers/>
              <w:tabs>
                <w:tab w:val="clear" w:pos="284"/>
                <w:tab w:val="clear" w:pos="567"/>
              </w:tabs>
              <w:snapToGrid w:val="0"/>
              <w:spacing w:before="0" w:after="0"/>
              <w:ind w:left="489" w:hanging="489"/>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1.</w:t>
            </w:r>
            <w:r w:rsidRPr="00F25A60">
              <w:rPr>
                <w:rFonts w:ascii="Times New Roman" w:hAnsi="Times New Roman" w:cs="Times New Roman"/>
                <w:color w:val="000000"/>
                <w:sz w:val="22"/>
                <w:szCs w:val="22"/>
                <w:lang w:val="cs-CZ"/>
              </w:rPr>
              <w:tab/>
              <w:t xml:space="preserve">Přerušte podávání Glivecu, dokud není ANC </w:t>
            </w:r>
            <w:r w:rsidRPr="00F25A60">
              <w:rPr>
                <w:rFonts w:ascii="Symbol" w:hAnsi="Symbol"/>
                <w:color w:val="000000"/>
                <w:sz w:val="22"/>
                <w:szCs w:val="22"/>
                <w:lang w:val="cs-CZ"/>
              </w:rPr>
              <w:t></w:t>
            </w:r>
            <w:r w:rsidRPr="00F25A60">
              <w:rPr>
                <w:rFonts w:ascii="Times New Roman" w:hAnsi="Times New Roman" w:cs="Times New Roman"/>
                <w:color w:val="000000"/>
                <w:sz w:val="22"/>
                <w:szCs w:val="22"/>
                <w:lang w:val="cs-CZ"/>
              </w:rPr>
              <w:t> 1,5 x 10</w:t>
            </w:r>
            <w:r w:rsidRPr="00F25A60">
              <w:rPr>
                <w:rFonts w:ascii="Times New Roman" w:hAnsi="Times New Roman" w:cs="Times New Roman"/>
                <w:color w:val="000000"/>
                <w:sz w:val="22"/>
                <w:szCs w:val="22"/>
                <w:vertAlign w:val="superscript"/>
                <w:lang w:val="cs-CZ"/>
              </w:rPr>
              <w:t>9</w:t>
            </w:r>
            <w:r w:rsidRPr="00F25A60">
              <w:rPr>
                <w:rFonts w:ascii="Times New Roman" w:hAnsi="Times New Roman" w:cs="Times New Roman"/>
                <w:color w:val="000000"/>
                <w:sz w:val="22"/>
                <w:szCs w:val="22"/>
                <w:lang w:val="cs-CZ"/>
              </w:rPr>
              <w:t xml:space="preserve">/l a </w:t>
            </w:r>
            <w:r w:rsidR="009A13EC" w:rsidRPr="00F25A60">
              <w:rPr>
                <w:rFonts w:ascii="Times New Roman" w:hAnsi="Times New Roman" w:cs="Times New Roman"/>
                <w:color w:val="000000"/>
                <w:sz w:val="22"/>
                <w:szCs w:val="22"/>
                <w:lang w:val="cs-CZ"/>
              </w:rPr>
              <w:t>trombocyty</w:t>
            </w:r>
            <w:r w:rsidRPr="00F25A60">
              <w:rPr>
                <w:rFonts w:ascii="Symbol" w:hAnsi="Symbol"/>
                <w:color w:val="000000"/>
                <w:sz w:val="22"/>
                <w:szCs w:val="22"/>
                <w:lang w:val="cs-CZ"/>
              </w:rPr>
              <w:t></w:t>
            </w:r>
            <w:r w:rsidRPr="00F25A60">
              <w:rPr>
                <w:rFonts w:ascii="Times New Roman" w:hAnsi="Times New Roman" w:cs="Times New Roman"/>
                <w:color w:val="000000"/>
                <w:sz w:val="22"/>
                <w:szCs w:val="22"/>
                <w:lang w:val="cs-CZ"/>
              </w:rPr>
              <w:t> 75 x 10</w:t>
            </w:r>
            <w:r w:rsidRPr="00F25A60">
              <w:rPr>
                <w:rFonts w:ascii="Times New Roman" w:hAnsi="Times New Roman" w:cs="Times New Roman"/>
                <w:color w:val="000000"/>
                <w:sz w:val="22"/>
                <w:szCs w:val="22"/>
                <w:vertAlign w:val="superscript"/>
                <w:lang w:val="cs-CZ"/>
              </w:rPr>
              <w:t>9</w:t>
            </w:r>
            <w:r w:rsidRPr="00F25A60">
              <w:rPr>
                <w:rFonts w:ascii="Times New Roman" w:hAnsi="Times New Roman" w:cs="Times New Roman"/>
                <w:color w:val="000000"/>
                <w:sz w:val="22"/>
                <w:szCs w:val="22"/>
                <w:lang w:val="cs-CZ"/>
              </w:rPr>
              <w:t>/l.</w:t>
            </w:r>
          </w:p>
          <w:p w14:paraId="2D15B729" w14:textId="77777777" w:rsidR="00D94F95" w:rsidRPr="00F25A60" w:rsidRDefault="00D94F95" w:rsidP="0048111F">
            <w:pPr>
              <w:pStyle w:val="Table"/>
              <w:keepNext w:val="0"/>
              <w:keepLines w:val="0"/>
              <w:suppressLineNumbers/>
              <w:tabs>
                <w:tab w:val="clear" w:pos="284"/>
                <w:tab w:val="clear" w:pos="567"/>
              </w:tabs>
              <w:spacing w:before="0" w:after="0"/>
              <w:ind w:left="489" w:hanging="489"/>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2.</w:t>
            </w:r>
            <w:r w:rsidRPr="00F25A60">
              <w:rPr>
                <w:rFonts w:ascii="Times New Roman" w:hAnsi="Times New Roman" w:cs="Times New Roman"/>
                <w:color w:val="000000"/>
                <w:sz w:val="22"/>
                <w:szCs w:val="22"/>
                <w:lang w:val="cs-CZ"/>
              </w:rPr>
              <w:tab/>
              <w:t xml:space="preserve">Obnovte léčbu Glivecem na úroveň předchozí dávky (tj. před </w:t>
            </w:r>
            <w:r w:rsidR="009A13EC" w:rsidRPr="00F25A60">
              <w:rPr>
                <w:rFonts w:ascii="Times New Roman" w:hAnsi="Times New Roman" w:cs="Times New Roman"/>
                <w:color w:val="000000"/>
                <w:sz w:val="22"/>
                <w:szCs w:val="22"/>
                <w:lang w:val="cs-CZ"/>
              </w:rPr>
              <w:t>zá</w:t>
            </w:r>
            <w:r w:rsidRPr="00F25A60">
              <w:rPr>
                <w:rFonts w:ascii="Times New Roman" w:hAnsi="Times New Roman" w:cs="Times New Roman"/>
                <w:color w:val="000000"/>
                <w:sz w:val="22"/>
                <w:szCs w:val="22"/>
                <w:lang w:val="cs-CZ"/>
              </w:rPr>
              <w:t>v</w:t>
            </w:r>
            <w:r w:rsidR="009A13EC" w:rsidRPr="00F25A60">
              <w:rPr>
                <w:rFonts w:ascii="Times New Roman" w:hAnsi="Times New Roman" w:cs="Times New Roman"/>
                <w:color w:val="000000"/>
                <w:sz w:val="22"/>
                <w:szCs w:val="22"/>
                <w:lang w:val="cs-CZ"/>
              </w:rPr>
              <w:t>a</w:t>
            </w:r>
            <w:r w:rsidRPr="00F25A60">
              <w:rPr>
                <w:rFonts w:ascii="Times New Roman" w:hAnsi="Times New Roman" w:cs="Times New Roman"/>
                <w:color w:val="000000"/>
                <w:sz w:val="22"/>
                <w:szCs w:val="22"/>
                <w:lang w:val="cs-CZ"/>
              </w:rPr>
              <w:t xml:space="preserve">žnými nežádoucími </w:t>
            </w:r>
            <w:r w:rsidR="009A13EC" w:rsidRPr="00F25A60">
              <w:rPr>
                <w:rFonts w:ascii="Times New Roman" w:hAnsi="Times New Roman" w:cs="Times New Roman"/>
                <w:color w:val="000000"/>
                <w:sz w:val="22"/>
                <w:szCs w:val="22"/>
                <w:lang w:val="cs-CZ"/>
              </w:rPr>
              <w:t>účinky</w:t>
            </w:r>
            <w:r w:rsidRPr="00F25A60">
              <w:rPr>
                <w:rFonts w:ascii="Times New Roman" w:hAnsi="Times New Roman" w:cs="Times New Roman"/>
                <w:color w:val="000000"/>
                <w:sz w:val="22"/>
                <w:szCs w:val="22"/>
                <w:lang w:val="cs-CZ"/>
              </w:rPr>
              <w:t>).</w:t>
            </w:r>
          </w:p>
          <w:p w14:paraId="35206E0C" w14:textId="77777777" w:rsidR="00D94F95" w:rsidRPr="00F25A60" w:rsidRDefault="00D94F95" w:rsidP="0048111F">
            <w:pPr>
              <w:pStyle w:val="Table"/>
              <w:keepNext w:val="0"/>
              <w:keepLines w:val="0"/>
              <w:suppressLineNumbers/>
              <w:tabs>
                <w:tab w:val="clear" w:pos="284"/>
                <w:tab w:val="clear" w:pos="567"/>
              </w:tabs>
              <w:spacing w:before="0" w:after="0"/>
              <w:ind w:left="489" w:hanging="489"/>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3.</w:t>
            </w:r>
            <w:r w:rsidRPr="00F25A60">
              <w:rPr>
                <w:rFonts w:ascii="Times New Roman" w:hAnsi="Times New Roman" w:cs="Times New Roman"/>
                <w:color w:val="000000"/>
                <w:sz w:val="22"/>
                <w:szCs w:val="22"/>
                <w:lang w:val="cs-CZ"/>
              </w:rPr>
              <w:tab/>
              <w:t>V případě opakování ANC &lt; 1,0 x10</w:t>
            </w:r>
            <w:r w:rsidRPr="00F25A60">
              <w:rPr>
                <w:rFonts w:ascii="Times New Roman" w:hAnsi="Times New Roman" w:cs="Times New Roman"/>
                <w:color w:val="000000"/>
                <w:sz w:val="22"/>
                <w:szCs w:val="22"/>
                <w:vertAlign w:val="superscript"/>
                <w:lang w:val="cs-CZ"/>
              </w:rPr>
              <w:t>9</w:t>
            </w:r>
            <w:r w:rsidRPr="00F25A60">
              <w:rPr>
                <w:rFonts w:ascii="Times New Roman" w:hAnsi="Times New Roman" w:cs="Times New Roman"/>
                <w:color w:val="000000"/>
                <w:sz w:val="22"/>
                <w:szCs w:val="22"/>
                <w:lang w:val="cs-CZ"/>
              </w:rPr>
              <w:t xml:space="preserve">/l a/nebo </w:t>
            </w:r>
            <w:r w:rsidR="009A13EC" w:rsidRPr="00F25A60">
              <w:rPr>
                <w:rFonts w:ascii="Times New Roman" w:hAnsi="Times New Roman" w:cs="Times New Roman"/>
                <w:color w:val="000000"/>
                <w:sz w:val="22"/>
                <w:szCs w:val="22"/>
                <w:lang w:val="cs-CZ"/>
              </w:rPr>
              <w:t>trombocytů</w:t>
            </w:r>
            <w:r w:rsidRPr="00F25A60">
              <w:rPr>
                <w:rFonts w:ascii="Times New Roman" w:hAnsi="Times New Roman" w:cs="Times New Roman"/>
                <w:color w:val="000000"/>
                <w:sz w:val="22"/>
                <w:szCs w:val="22"/>
                <w:lang w:val="cs-CZ"/>
              </w:rPr>
              <w:t>&lt; 50 x10</w:t>
            </w:r>
            <w:r w:rsidRPr="00F25A60">
              <w:rPr>
                <w:rFonts w:ascii="Times New Roman" w:hAnsi="Times New Roman" w:cs="Times New Roman"/>
                <w:color w:val="000000"/>
                <w:sz w:val="22"/>
                <w:szCs w:val="22"/>
                <w:vertAlign w:val="superscript"/>
                <w:lang w:val="cs-CZ"/>
              </w:rPr>
              <w:t>9</w:t>
            </w:r>
            <w:r w:rsidRPr="00F25A60">
              <w:rPr>
                <w:rFonts w:ascii="Times New Roman" w:hAnsi="Times New Roman" w:cs="Times New Roman"/>
                <w:color w:val="000000"/>
                <w:sz w:val="22"/>
                <w:szCs w:val="22"/>
                <w:lang w:val="cs-CZ"/>
              </w:rPr>
              <w:t>/l, opakujte bod 1 a léčbu Glivecem obnovte sníženou dávkou 260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w:t>
            </w:r>
          </w:p>
        </w:tc>
      </w:tr>
      <w:tr w:rsidR="00D94F95" w:rsidRPr="00F25A60" w14:paraId="42DB4FEF" w14:textId="77777777" w:rsidTr="000E0B78">
        <w:trPr>
          <w:cantSplit/>
        </w:trPr>
        <w:tc>
          <w:tcPr>
            <w:tcW w:w="2376" w:type="dxa"/>
            <w:tcBorders>
              <w:top w:val="single" w:sz="4" w:space="0" w:color="000000"/>
              <w:left w:val="single" w:sz="4" w:space="0" w:color="000000"/>
            </w:tcBorders>
          </w:tcPr>
          <w:p w14:paraId="528F668A" w14:textId="77777777" w:rsidR="00D94F95" w:rsidRPr="00F25A60" w:rsidRDefault="00D94F95" w:rsidP="0048111F">
            <w:pPr>
              <w:pStyle w:val="EndnoteText"/>
              <w:tabs>
                <w:tab w:val="clear" w:pos="567"/>
              </w:tabs>
              <w:snapToGrid w:val="0"/>
              <w:rPr>
                <w:color w:val="000000"/>
              </w:rPr>
            </w:pPr>
            <w:r w:rsidRPr="00F25A60">
              <w:rPr>
                <w:color w:val="000000"/>
              </w:rPr>
              <w:t xml:space="preserve">Akcelerovaná fáze CML a blastická krize a Ph+ </w:t>
            </w:r>
            <w:smartTag w:uri="urn:schemas-microsoft-com:office:smarttags" w:element="stockticker">
              <w:r w:rsidRPr="00F25A60">
                <w:rPr>
                  <w:color w:val="000000"/>
                </w:rPr>
                <w:t>ALL</w:t>
              </w:r>
            </w:smartTag>
            <w:r w:rsidRPr="00F25A60">
              <w:rPr>
                <w:color w:val="000000"/>
              </w:rPr>
              <w:t xml:space="preserve"> (počáteční dávka 600 mg)</w:t>
            </w:r>
          </w:p>
        </w:tc>
        <w:tc>
          <w:tcPr>
            <w:tcW w:w="2400" w:type="dxa"/>
            <w:tcBorders>
              <w:top w:val="single" w:sz="4" w:space="0" w:color="000000"/>
              <w:left w:val="single" w:sz="4" w:space="0" w:color="000000"/>
            </w:tcBorders>
          </w:tcPr>
          <w:p w14:paraId="625D9CA4" w14:textId="77777777" w:rsidR="00D94F95" w:rsidRPr="00F25A60" w:rsidRDefault="00D94F95" w:rsidP="0048111F">
            <w:pPr>
              <w:pStyle w:val="Table"/>
              <w:keepNext w:val="0"/>
              <w:keepLines w:val="0"/>
              <w:suppressLineNumbers/>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vertAlign w:val="superscript"/>
                <w:lang w:val="cs-CZ"/>
              </w:rPr>
              <w:t>a</w:t>
            </w:r>
            <w:r w:rsidRPr="00F25A60">
              <w:rPr>
                <w:rFonts w:ascii="Times New Roman" w:hAnsi="Times New Roman" w:cs="Times New Roman"/>
                <w:color w:val="000000"/>
                <w:sz w:val="22"/>
                <w:szCs w:val="22"/>
                <w:lang w:val="cs-CZ"/>
              </w:rPr>
              <w:t>ANC &lt; 0,5 x 10</w:t>
            </w:r>
            <w:r w:rsidRPr="00F25A60">
              <w:rPr>
                <w:rFonts w:ascii="Times New Roman" w:hAnsi="Times New Roman" w:cs="Times New Roman"/>
                <w:color w:val="000000"/>
                <w:sz w:val="22"/>
                <w:szCs w:val="22"/>
                <w:vertAlign w:val="superscript"/>
                <w:lang w:val="cs-CZ"/>
              </w:rPr>
              <w:t>9</w:t>
            </w:r>
            <w:r w:rsidRPr="00F25A60">
              <w:rPr>
                <w:rFonts w:ascii="Times New Roman" w:hAnsi="Times New Roman" w:cs="Times New Roman"/>
                <w:color w:val="000000"/>
                <w:sz w:val="22"/>
                <w:szCs w:val="22"/>
                <w:lang w:val="cs-CZ"/>
              </w:rPr>
              <w:t>/l</w:t>
            </w:r>
          </w:p>
          <w:p w14:paraId="3C4F179F" w14:textId="77777777" w:rsidR="00D94F95" w:rsidRPr="00F25A60" w:rsidRDefault="00D94F95" w:rsidP="0048111F">
            <w:pPr>
              <w:pStyle w:val="Table"/>
              <w:keepNext w:val="0"/>
              <w:keepLines w:val="0"/>
              <w:suppressLineNumbers/>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a/nebo</w:t>
            </w:r>
          </w:p>
          <w:p w14:paraId="4149F2A6" w14:textId="77777777" w:rsidR="00D94F95" w:rsidRPr="00F25A60" w:rsidRDefault="009A13EC" w:rsidP="0048111F">
            <w:pPr>
              <w:pStyle w:val="EndnoteText"/>
              <w:tabs>
                <w:tab w:val="clear" w:pos="567"/>
              </w:tabs>
              <w:rPr>
                <w:color w:val="000000"/>
              </w:rPr>
            </w:pPr>
            <w:r w:rsidRPr="00F25A60">
              <w:rPr>
                <w:color w:val="000000"/>
              </w:rPr>
              <w:t>trombocyty</w:t>
            </w:r>
            <w:r w:rsidR="00D94F95" w:rsidRPr="00F25A60">
              <w:rPr>
                <w:color w:val="000000"/>
              </w:rPr>
              <w:t>&lt; 10 x 10</w:t>
            </w:r>
            <w:r w:rsidR="00D94F95" w:rsidRPr="00F25A60">
              <w:rPr>
                <w:color w:val="000000"/>
                <w:vertAlign w:val="superscript"/>
              </w:rPr>
              <w:t>9</w:t>
            </w:r>
            <w:r w:rsidR="00D94F95" w:rsidRPr="00F25A60">
              <w:rPr>
                <w:color w:val="000000"/>
              </w:rPr>
              <w:t>/l</w:t>
            </w:r>
          </w:p>
        </w:tc>
        <w:tc>
          <w:tcPr>
            <w:tcW w:w="4444" w:type="dxa"/>
            <w:tcBorders>
              <w:top w:val="single" w:sz="4" w:space="0" w:color="000000"/>
              <w:left w:val="single" w:sz="4" w:space="0" w:color="000000"/>
              <w:right w:val="single" w:sz="4" w:space="0" w:color="000000"/>
            </w:tcBorders>
          </w:tcPr>
          <w:p w14:paraId="4CEE9382" w14:textId="77777777" w:rsidR="00D94F95" w:rsidRPr="00F25A60" w:rsidRDefault="00D94F95" w:rsidP="0048111F">
            <w:pPr>
              <w:pStyle w:val="Table"/>
              <w:keepNext w:val="0"/>
              <w:keepLines w:val="0"/>
              <w:suppressLineNumbers/>
              <w:tabs>
                <w:tab w:val="clear" w:pos="284"/>
                <w:tab w:val="clear" w:pos="567"/>
              </w:tabs>
              <w:snapToGrid w:val="0"/>
              <w:spacing w:before="0" w:after="0"/>
              <w:ind w:left="489" w:hanging="489"/>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1.</w:t>
            </w:r>
            <w:r w:rsidRPr="00F25A60">
              <w:rPr>
                <w:rFonts w:ascii="Times New Roman" w:hAnsi="Times New Roman" w:cs="Times New Roman"/>
                <w:color w:val="000000"/>
                <w:sz w:val="22"/>
                <w:szCs w:val="22"/>
                <w:lang w:val="cs-CZ"/>
              </w:rPr>
              <w:tab/>
              <w:t>Zjistěte, zda cytopenie souvisí s leukemií (aspirací kostní dřeně nebo biopsií).</w:t>
            </w:r>
          </w:p>
          <w:p w14:paraId="779DCDD2" w14:textId="77777777" w:rsidR="00D94F95" w:rsidRPr="00F25A60" w:rsidRDefault="00D94F95" w:rsidP="0048111F">
            <w:pPr>
              <w:pStyle w:val="Table"/>
              <w:keepNext w:val="0"/>
              <w:keepLines w:val="0"/>
              <w:suppressLineNumbers/>
              <w:tabs>
                <w:tab w:val="clear" w:pos="284"/>
                <w:tab w:val="clear" w:pos="567"/>
              </w:tabs>
              <w:spacing w:before="0" w:after="0"/>
              <w:ind w:left="489" w:hanging="489"/>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2.</w:t>
            </w:r>
            <w:r w:rsidRPr="00F25A60">
              <w:rPr>
                <w:rFonts w:ascii="Times New Roman" w:hAnsi="Times New Roman" w:cs="Times New Roman"/>
                <w:color w:val="000000"/>
                <w:sz w:val="22"/>
                <w:szCs w:val="22"/>
                <w:lang w:val="cs-CZ"/>
              </w:rPr>
              <w:tab/>
              <w:t>Pokud cytopenie nesouvisí s leukemií, snižte dávku Glivecu na 400 mg.</w:t>
            </w:r>
          </w:p>
          <w:p w14:paraId="7BEDEB32" w14:textId="77777777" w:rsidR="00D94F95" w:rsidRPr="00F25A60" w:rsidRDefault="00D94F95" w:rsidP="0048111F">
            <w:pPr>
              <w:pStyle w:val="Table"/>
              <w:keepNext w:val="0"/>
              <w:keepLines w:val="0"/>
              <w:suppressLineNumbers/>
              <w:tabs>
                <w:tab w:val="clear" w:pos="284"/>
                <w:tab w:val="clear" w:pos="567"/>
              </w:tabs>
              <w:spacing w:before="0" w:after="0"/>
              <w:ind w:left="489" w:hanging="489"/>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3.</w:t>
            </w:r>
            <w:r w:rsidRPr="00F25A60">
              <w:rPr>
                <w:rFonts w:ascii="Times New Roman" w:hAnsi="Times New Roman" w:cs="Times New Roman"/>
                <w:color w:val="000000"/>
                <w:sz w:val="22"/>
                <w:szCs w:val="22"/>
                <w:lang w:val="cs-CZ"/>
              </w:rPr>
              <w:tab/>
              <w:t>Pokud cytopenie přetrvává po 2 týdny, snižte dále dávku na 300 mg.</w:t>
            </w:r>
          </w:p>
          <w:p w14:paraId="7164CB62" w14:textId="77777777" w:rsidR="00D94F95" w:rsidRPr="00F25A60" w:rsidRDefault="00D94F95" w:rsidP="0048111F">
            <w:pPr>
              <w:pStyle w:val="EndnoteText"/>
              <w:tabs>
                <w:tab w:val="clear" w:pos="567"/>
              </w:tabs>
              <w:ind w:left="489" w:hanging="489"/>
              <w:rPr>
                <w:color w:val="000000"/>
              </w:rPr>
            </w:pPr>
            <w:r w:rsidRPr="00F25A60">
              <w:rPr>
                <w:color w:val="000000"/>
              </w:rPr>
              <w:t>4.</w:t>
            </w:r>
            <w:r w:rsidRPr="00F25A60">
              <w:rPr>
                <w:color w:val="000000"/>
              </w:rPr>
              <w:tab/>
              <w:t xml:space="preserve">Pokud cytopenie přetrvává po 4 týdny a stále nesouvisí s leukemií, přerušte podávání Glivecu dokud není ANC </w:t>
            </w:r>
            <w:r w:rsidRPr="00F25A60">
              <w:rPr>
                <w:rFonts w:ascii="Symbol" w:hAnsi="Symbol"/>
                <w:color w:val="000000"/>
              </w:rPr>
              <w:t></w:t>
            </w:r>
            <w:r w:rsidRPr="00F25A60">
              <w:rPr>
                <w:color w:val="000000"/>
              </w:rPr>
              <w:t> 1 x 10</w:t>
            </w:r>
            <w:r w:rsidRPr="00F25A60">
              <w:rPr>
                <w:color w:val="000000"/>
                <w:vertAlign w:val="superscript"/>
              </w:rPr>
              <w:t>9</w:t>
            </w:r>
            <w:r w:rsidRPr="00F25A60">
              <w:rPr>
                <w:color w:val="000000"/>
              </w:rPr>
              <w:t xml:space="preserve">/l a </w:t>
            </w:r>
            <w:r w:rsidR="009A13EC" w:rsidRPr="00F25A60">
              <w:rPr>
                <w:color w:val="000000"/>
              </w:rPr>
              <w:t>trombocyty</w:t>
            </w:r>
            <w:r w:rsidRPr="00F25A60">
              <w:rPr>
                <w:rFonts w:ascii="Symbol" w:hAnsi="Symbol"/>
                <w:color w:val="000000"/>
              </w:rPr>
              <w:t></w:t>
            </w:r>
            <w:r w:rsidRPr="00F25A60">
              <w:rPr>
                <w:color w:val="000000"/>
              </w:rPr>
              <w:t> 20 x 10</w:t>
            </w:r>
            <w:r w:rsidRPr="00F25A60">
              <w:rPr>
                <w:color w:val="000000"/>
                <w:vertAlign w:val="superscript"/>
              </w:rPr>
              <w:t>9</w:t>
            </w:r>
            <w:r w:rsidRPr="00F25A60">
              <w:rPr>
                <w:color w:val="000000"/>
              </w:rPr>
              <w:t>/l, potom obnovte léčbu dávkou 300 mg.</w:t>
            </w:r>
          </w:p>
        </w:tc>
      </w:tr>
      <w:tr w:rsidR="00D94F95" w:rsidRPr="00F25A60" w14:paraId="3133F15F" w14:textId="77777777" w:rsidTr="000E0B78">
        <w:trPr>
          <w:cantSplit/>
        </w:trPr>
        <w:tc>
          <w:tcPr>
            <w:tcW w:w="2376" w:type="dxa"/>
            <w:tcBorders>
              <w:top w:val="single" w:sz="4" w:space="0" w:color="000000"/>
              <w:left w:val="single" w:sz="4" w:space="0" w:color="000000"/>
            </w:tcBorders>
          </w:tcPr>
          <w:p w14:paraId="72965BDD" w14:textId="77777777" w:rsidR="00D94F95" w:rsidRPr="00F25A60" w:rsidRDefault="00D94F95" w:rsidP="0048111F">
            <w:pPr>
              <w:pStyle w:val="EndnoteText"/>
              <w:tabs>
                <w:tab w:val="clear" w:pos="567"/>
              </w:tabs>
              <w:snapToGrid w:val="0"/>
              <w:rPr>
                <w:color w:val="000000"/>
              </w:rPr>
            </w:pPr>
            <w:r w:rsidRPr="00F25A60">
              <w:rPr>
                <w:color w:val="000000"/>
              </w:rPr>
              <w:t>Akcelerovaná fáze CML a blastická krize u dětí (počáteční dávka 340 mg/m</w:t>
            </w:r>
            <w:r w:rsidRPr="00F25A60">
              <w:rPr>
                <w:color w:val="000000"/>
                <w:vertAlign w:val="superscript"/>
              </w:rPr>
              <w:t>2</w:t>
            </w:r>
            <w:r w:rsidRPr="00F25A60">
              <w:rPr>
                <w:color w:val="000000"/>
              </w:rPr>
              <w:t>)</w:t>
            </w:r>
          </w:p>
        </w:tc>
        <w:tc>
          <w:tcPr>
            <w:tcW w:w="2400" w:type="dxa"/>
            <w:tcBorders>
              <w:top w:val="single" w:sz="4" w:space="0" w:color="000000"/>
              <w:left w:val="single" w:sz="4" w:space="0" w:color="000000"/>
            </w:tcBorders>
          </w:tcPr>
          <w:p w14:paraId="0D4F1789" w14:textId="77777777" w:rsidR="00D94F95" w:rsidRPr="00F25A60" w:rsidRDefault="00D94F95" w:rsidP="0048111F">
            <w:pPr>
              <w:pStyle w:val="Table"/>
              <w:keepNext w:val="0"/>
              <w:keepLines w:val="0"/>
              <w:suppressLineNumbers/>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vertAlign w:val="superscript"/>
                <w:lang w:val="cs-CZ"/>
              </w:rPr>
              <w:t>a</w:t>
            </w:r>
            <w:r w:rsidRPr="00F25A60">
              <w:rPr>
                <w:rFonts w:ascii="Times New Roman" w:hAnsi="Times New Roman" w:cs="Times New Roman"/>
                <w:color w:val="000000"/>
                <w:sz w:val="22"/>
                <w:szCs w:val="22"/>
                <w:lang w:val="cs-CZ"/>
              </w:rPr>
              <w:t>ANC &lt; 0,5 x 10</w:t>
            </w:r>
            <w:r w:rsidRPr="00F25A60">
              <w:rPr>
                <w:rFonts w:ascii="Times New Roman" w:hAnsi="Times New Roman" w:cs="Times New Roman"/>
                <w:color w:val="000000"/>
                <w:sz w:val="22"/>
                <w:szCs w:val="22"/>
                <w:vertAlign w:val="superscript"/>
                <w:lang w:val="cs-CZ"/>
              </w:rPr>
              <w:t>9</w:t>
            </w:r>
            <w:r w:rsidRPr="00F25A60">
              <w:rPr>
                <w:rFonts w:ascii="Times New Roman" w:hAnsi="Times New Roman" w:cs="Times New Roman"/>
                <w:color w:val="000000"/>
                <w:sz w:val="22"/>
                <w:szCs w:val="22"/>
                <w:lang w:val="cs-CZ"/>
              </w:rPr>
              <w:t>/l</w:t>
            </w:r>
          </w:p>
          <w:p w14:paraId="2E46AC20" w14:textId="77777777" w:rsidR="00D94F95" w:rsidRPr="00F25A60" w:rsidRDefault="00D94F95" w:rsidP="0048111F">
            <w:pPr>
              <w:pStyle w:val="Table"/>
              <w:keepNext w:val="0"/>
              <w:keepLines w:val="0"/>
              <w:suppressLineNumbers/>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a/nebo</w:t>
            </w:r>
          </w:p>
          <w:p w14:paraId="68461ACB" w14:textId="77777777" w:rsidR="00D94F95" w:rsidRPr="00F25A60" w:rsidRDefault="009A13EC" w:rsidP="0048111F">
            <w:pPr>
              <w:pStyle w:val="EndnoteText"/>
              <w:tabs>
                <w:tab w:val="clear" w:pos="567"/>
              </w:tabs>
              <w:rPr>
                <w:color w:val="000000"/>
              </w:rPr>
            </w:pPr>
            <w:r w:rsidRPr="00F25A60">
              <w:rPr>
                <w:color w:val="000000"/>
              </w:rPr>
              <w:t>trombocyty</w:t>
            </w:r>
            <w:r w:rsidR="00D94F95" w:rsidRPr="00F25A60">
              <w:rPr>
                <w:color w:val="000000"/>
              </w:rPr>
              <w:t>&lt; 10 x 10</w:t>
            </w:r>
            <w:r w:rsidR="00D94F95" w:rsidRPr="00F25A60">
              <w:rPr>
                <w:color w:val="000000"/>
                <w:vertAlign w:val="superscript"/>
              </w:rPr>
              <w:t>9</w:t>
            </w:r>
            <w:r w:rsidR="00D94F95" w:rsidRPr="00F25A60">
              <w:rPr>
                <w:color w:val="000000"/>
              </w:rPr>
              <w:t>/l</w:t>
            </w:r>
          </w:p>
        </w:tc>
        <w:tc>
          <w:tcPr>
            <w:tcW w:w="4444" w:type="dxa"/>
            <w:tcBorders>
              <w:top w:val="single" w:sz="4" w:space="0" w:color="000000"/>
              <w:left w:val="single" w:sz="4" w:space="0" w:color="000000"/>
              <w:right w:val="single" w:sz="4" w:space="0" w:color="000000"/>
            </w:tcBorders>
          </w:tcPr>
          <w:p w14:paraId="647ECF69" w14:textId="77777777" w:rsidR="00D94F95" w:rsidRPr="00F25A60" w:rsidRDefault="00D94F95" w:rsidP="0048111F">
            <w:pPr>
              <w:pStyle w:val="Table"/>
              <w:keepNext w:val="0"/>
              <w:keepLines w:val="0"/>
              <w:suppressLineNumbers/>
              <w:tabs>
                <w:tab w:val="clear" w:pos="284"/>
                <w:tab w:val="clear" w:pos="567"/>
              </w:tabs>
              <w:snapToGrid w:val="0"/>
              <w:spacing w:before="0" w:after="0"/>
              <w:ind w:left="489" w:hanging="489"/>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1.</w:t>
            </w:r>
            <w:r w:rsidRPr="00F25A60">
              <w:rPr>
                <w:rFonts w:ascii="Times New Roman" w:hAnsi="Times New Roman" w:cs="Times New Roman"/>
                <w:color w:val="000000"/>
                <w:sz w:val="22"/>
                <w:szCs w:val="22"/>
                <w:lang w:val="cs-CZ"/>
              </w:rPr>
              <w:tab/>
              <w:t>Zjistěte, zda cytopenie souvisí s leukemií (aspirací kostní dřeně nebo biopsií).</w:t>
            </w:r>
          </w:p>
          <w:p w14:paraId="6FE7DE09" w14:textId="77777777" w:rsidR="00D94F95" w:rsidRPr="00F25A60" w:rsidRDefault="00D94F95" w:rsidP="0048111F">
            <w:pPr>
              <w:pStyle w:val="Table"/>
              <w:keepNext w:val="0"/>
              <w:keepLines w:val="0"/>
              <w:suppressLineNumbers/>
              <w:tabs>
                <w:tab w:val="clear" w:pos="284"/>
                <w:tab w:val="clear" w:pos="567"/>
              </w:tabs>
              <w:spacing w:before="0" w:after="0"/>
              <w:ind w:left="489" w:hanging="489"/>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2.</w:t>
            </w:r>
            <w:r w:rsidRPr="00F25A60">
              <w:rPr>
                <w:rFonts w:ascii="Times New Roman" w:hAnsi="Times New Roman" w:cs="Times New Roman"/>
                <w:color w:val="000000"/>
                <w:sz w:val="22"/>
                <w:szCs w:val="22"/>
                <w:lang w:val="cs-CZ"/>
              </w:rPr>
              <w:tab/>
              <w:t>Pokud cytopenie nesouvisí s leukemií, snižte dávku Glivecu na 260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w:t>
            </w:r>
          </w:p>
          <w:p w14:paraId="2D3DF8E1" w14:textId="77777777" w:rsidR="00D94F95" w:rsidRPr="00F25A60" w:rsidRDefault="00D94F95" w:rsidP="0048111F">
            <w:pPr>
              <w:pStyle w:val="Table"/>
              <w:keepNext w:val="0"/>
              <w:keepLines w:val="0"/>
              <w:suppressLineNumbers/>
              <w:tabs>
                <w:tab w:val="clear" w:pos="284"/>
                <w:tab w:val="clear" w:pos="567"/>
              </w:tabs>
              <w:spacing w:before="0" w:after="0"/>
              <w:ind w:left="489" w:hanging="489"/>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3.</w:t>
            </w:r>
            <w:r w:rsidRPr="00F25A60">
              <w:rPr>
                <w:rFonts w:ascii="Times New Roman" w:hAnsi="Times New Roman" w:cs="Times New Roman"/>
                <w:color w:val="000000"/>
                <w:sz w:val="22"/>
                <w:szCs w:val="22"/>
                <w:lang w:val="cs-CZ"/>
              </w:rPr>
              <w:tab/>
              <w:t>Pokud cytopenie přetrvává po 2 týdny, snižte dále dávku na 200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w:t>
            </w:r>
          </w:p>
          <w:p w14:paraId="3D81A216" w14:textId="77777777" w:rsidR="00D94F95" w:rsidRPr="00F25A60" w:rsidRDefault="00D94F95" w:rsidP="0048111F">
            <w:pPr>
              <w:pStyle w:val="EndnoteText"/>
              <w:tabs>
                <w:tab w:val="clear" w:pos="567"/>
              </w:tabs>
              <w:ind w:left="489" w:hanging="489"/>
              <w:rPr>
                <w:color w:val="000000"/>
              </w:rPr>
            </w:pPr>
            <w:r w:rsidRPr="00F25A60">
              <w:rPr>
                <w:color w:val="000000"/>
              </w:rPr>
              <w:t>4.</w:t>
            </w:r>
            <w:r w:rsidRPr="00F25A60">
              <w:rPr>
                <w:color w:val="000000"/>
              </w:rPr>
              <w:tab/>
              <w:t xml:space="preserve">Pokud cytopenie přetrvává po 4 týdny a stále nesouvisí s leukemií, přerušte podávání Glivecu, dokud není ANC </w:t>
            </w:r>
            <w:r w:rsidRPr="00F25A60">
              <w:rPr>
                <w:rFonts w:ascii="Symbol" w:hAnsi="Symbol"/>
                <w:color w:val="000000"/>
              </w:rPr>
              <w:t></w:t>
            </w:r>
            <w:r w:rsidRPr="00F25A60">
              <w:rPr>
                <w:color w:val="000000"/>
              </w:rPr>
              <w:t> 1 x 10</w:t>
            </w:r>
            <w:r w:rsidRPr="00F25A60">
              <w:rPr>
                <w:color w:val="000000"/>
                <w:vertAlign w:val="superscript"/>
              </w:rPr>
              <w:t>9</w:t>
            </w:r>
            <w:r w:rsidRPr="00F25A60">
              <w:rPr>
                <w:color w:val="000000"/>
              </w:rPr>
              <w:t xml:space="preserve">/l a </w:t>
            </w:r>
            <w:r w:rsidR="009A13EC" w:rsidRPr="00F25A60">
              <w:rPr>
                <w:color w:val="000000"/>
              </w:rPr>
              <w:t>trombocyty</w:t>
            </w:r>
            <w:r w:rsidRPr="00F25A60">
              <w:rPr>
                <w:rFonts w:ascii="Symbol" w:hAnsi="Symbol"/>
                <w:color w:val="000000"/>
              </w:rPr>
              <w:t></w:t>
            </w:r>
            <w:r w:rsidRPr="00F25A60">
              <w:rPr>
                <w:color w:val="000000"/>
              </w:rPr>
              <w:t> 20 x 10</w:t>
            </w:r>
            <w:r w:rsidRPr="00F25A60">
              <w:rPr>
                <w:color w:val="000000"/>
                <w:vertAlign w:val="superscript"/>
              </w:rPr>
              <w:t>9</w:t>
            </w:r>
            <w:r w:rsidRPr="00F25A60">
              <w:rPr>
                <w:color w:val="000000"/>
              </w:rPr>
              <w:t>/l, potom obnovte léčbu dávkou 200 mg/m</w:t>
            </w:r>
            <w:r w:rsidRPr="00F25A60">
              <w:rPr>
                <w:color w:val="000000"/>
                <w:vertAlign w:val="superscript"/>
              </w:rPr>
              <w:t>2</w:t>
            </w:r>
            <w:r w:rsidRPr="00F25A60">
              <w:rPr>
                <w:color w:val="000000"/>
              </w:rPr>
              <w:t>.</w:t>
            </w:r>
          </w:p>
        </w:tc>
      </w:tr>
      <w:tr w:rsidR="00D94F95" w:rsidRPr="00F25A60" w14:paraId="569A8FED" w14:textId="77777777" w:rsidTr="000E0B78">
        <w:trPr>
          <w:cantSplit/>
        </w:trPr>
        <w:tc>
          <w:tcPr>
            <w:tcW w:w="2376" w:type="dxa"/>
            <w:tcBorders>
              <w:top w:val="single" w:sz="4" w:space="0" w:color="000000"/>
              <w:left w:val="single" w:sz="4" w:space="0" w:color="000000"/>
            </w:tcBorders>
          </w:tcPr>
          <w:p w14:paraId="30BF9903" w14:textId="77777777" w:rsidR="00D94F95" w:rsidRPr="00F25A60" w:rsidRDefault="00D94F95" w:rsidP="0048111F">
            <w:pPr>
              <w:pStyle w:val="Table"/>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DFSP</w:t>
            </w:r>
          </w:p>
          <w:p w14:paraId="415DD737" w14:textId="77777777" w:rsidR="00D94F95" w:rsidRPr="00F25A60" w:rsidRDefault="00D94F95" w:rsidP="0048111F">
            <w:pPr>
              <w:pStyle w:val="EndnoteText"/>
              <w:tabs>
                <w:tab w:val="clear" w:pos="567"/>
              </w:tabs>
              <w:rPr>
                <w:color w:val="000000"/>
              </w:rPr>
            </w:pPr>
            <w:r w:rsidRPr="00F25A60">
              <w:rPr>
                <w:color w:val="000000"/>
              </w:rPr>
              <w:t>(při dávce 800 mg)</w:t>
            </w:r>
          </w:p>
        </w:tc>
        <w:tc>
          <w:tcPr>
            <w:tcW w:w="2400" w:type="dxa"/>
            <w:tcBorders>
              <w:top w:val="single" w:sz="4" w:space="0" w:color="000000"/>
              <w:left w:val="single" w:sz="4" w:space="0" w:color="000000"/>
            </w:tcBorders>
          </w:tcPr>
          <w:p w14:paraId="48162BA0" w14:textId="77777777" w:rsidR="00D94F95" w:rsidRPr="00F25A60" w:rsidRDefault="00D94F95" w:rsidP="0048111F">
            <w:pPr>
              <w:pStyle w:val="Table"/>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ANC &lt; 1,0 x 10</w:t>
            </w:r>
            <w:r w:rsidRPr="00F25A60">
              <w:rPr>
                <w:rFonts w:ascii="Times New Roman" w:hAnsi="Times New Roman" w:cs="Times New Roman"/>
                <w:color w:val="000000"/>
                <w:sz w:val="22"/>
                <w:szCs w:val="22"/>
                <w:vertAlign w:val="superscript"/>
                <w:lang w:val="cs-CZ"/>
              </w:rPr>
              <w:t>9</w:t>
            </w:r>
            <w:r w:rsidRPr="00F25A60">
              <w:rPr>
                <w:rFonts w:ascii="Times New Roman" w:hAnsi="Times New Roman" w:cs="Times New Roman"/>
                <w:color w:val="000000"/>
                <w:sz w:val="22"/>
                <w:szCs w:val="22"/>
                <w:lang w:val="cs-CZ"/>
              </w:rPr>
              <w:t>/l</w:t>
            </w:r>
          </w:p>
          <w:p w14:paraId="15948061" w14:textId="77777777" w:rsidR="00D94F95" w:rsidRPr="00F25A60" w:rsidRDefault="00D94F95" w:rsidP="0048111F">
            <w:pPr>
              <w:pStyle w:val="Table"/>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a/nebo</w:t>
            </w:r>
          </w:p>
          <w:p w14:paraId="7D0DC840" w14:textId="77777777" w:rsidR="00D94F95" w:rsidRPr="00F25A60" w:rsidRDefault="009A13EC" w:rsidP="0048111F">
            <w:pPr>
              <w:pStyle w:val="Table"/>
              <w:keepNext w:val="0"/>
              <w:keepLines w:val="0"/>
              <w:suppressLineNumbers/>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trombocyty</w:t>
            </w:r>
            <w:r w:rsidR="00D94F95" w:rsidRPr="00F25A60">
              <w:rPr>
                <w:rFonts w:ascii="Times New Roman" w:hAnsi="Times New Roman" w:cs="Times New Roman"/>
                <w:color w:val="000000"/>
                <w:sz w:val="22"/>
                <w:szCs w:val="22"/>
                <w:lang w:val="cs-CZ"/>
              </w:rPr>
              <w:t>&lt; 50 x 10</w:t>
            </w:r>
            <w:r w:rsidR="00D94F95" w:rsidRPr="00F25A60">
              <w:rPr>
                <w:rFonts w:ascii="Times New Roman" w:hAnsi="Times New Roman" w:cs="Times New Roman"/>
                <w:color w:val="000000"/>
                <w:sz w:val="22"/>
                <w:szCs w:val="22"/>
                <w:vertAlign w:val="superscript"/>
                <w:lang w:val="cs-CZ"/>
              </w:rPr>
              <w:t>9</w:t>
            </w:r>
            <w:r w:rsidR="00D94F95" w:rsidRPr="00F25A60">
              <w:rPr>
                <w:rFonts w:ascii="Times New Roman" w:hAnsi="Times New Roman" w:cs="Times New Roman"/>
                <w:color w:val="000000"/>
                <w:sz w:val="22"/>
                <w:szCs w:val="22"/>
                <w:lang w:val="cs-CZ"/>
              </w:rPr>
              <w:t>/l</w:t>
            </w:r>
          </w:p>
        </w:tc>
        <w:tc>
          <w:tcPr>
            <w:tcW w:w="4444" w:type="dxa"/>
            <w:tcBorders>
              <w:top w:val="single" w:sz="4" w:space="0" w:color="000000"/>
              <w:left w:val="single" w:sz="4" w:space="0" w:color="000000"/>
              <w:right w:val="single" w:sz="4" w:space="0" w:color="000000"/>
            </w:tcBorders>
          </w:tcPr>
          <w:p w14:paraId="14C8363D" w14:textId="77777777" w:rsidR="00D94F95" w:rsidRPr="00F25A60" w:rsidRDefault="00D94F95" w:rsidP="0048111F">
            <w:pPr>
              <w:pStyle w:val="EndnoteText"/>
              <w:tabs>
                <w:tab w:val="clear" w:pos="567"/>
                <w:tab w:val="left" w:pos="3053"/>
              </w:tabs>
              <w:snapToGrid w:val="0"/>
              <w:ind w:left="489" w:hanging="489"/>
              <w:rPr>
                <w:color w:val="000000"/>
              </w:rPr>
            </w:pPr>
            <w:r w:rsidRPr="00F25A60">
              <w:rPr>
                <w:color w:val="000000"/>
              </w:rPr>
              <w:t>1.</w:t>
            </w:r>
            <w:r w:rsidRPr="00F25A60">
              <w:rPr>
                <w:color w:val="000000"/>
              </w:rPr>
              <w:tab/>
              <w:t xml:space="preserve">Přerušte podávání Glivecu, dokud není ANC </w:t>
            </w:r>
            <w:r w:rsidRPr="00F25A60">
              <w:rPr>
                <w:rFonts w:ascii="Symbol" w:hAnsi="Symbol"/>
                <w:color w:val="000000"/>
              </w:rPr>
              <w:t></w:t>
            </w:r>
            <w:r w:rsidRPr="00F25A60">
              <w:rPr>
                <w:color w:val="000000"/>
              </w:rPr>
              <w:t> 1,5 x 10</w:t>
            </w:r>
            <w:r w:rsidRPr="00F25A60">
              <w:rPr>
                <w:color w:val="000000"/>
                <w:vertAlign w:val="superscript"/>
              </w:rPr>
              <w:t>9</w:t>
            </w:r>
            <w:r w:rsidRPr="00F25A60">
              <w:rPr>
                <w:color w:val="000000"/>
              </w:rPr>
              <w:t xml:space="preserve">/l a </w:t>
            </w:r>
            <w:r w:rsidR="009A13EC" w:rsidRPr="00F25A60">
              <w:rPr>
                <w:color w:val="000000"/>
              </w:rPr>
              <w:t>trombocyty</w:t>
            </w:r>
            <w:r w:rsidRPr="00F25A60">
              <w:rPr>
                <w:rFonts w:ascii="Symbol" w:hAnsi="Symbol"/>
                <w:color w:val="000000"/>
              </w:rPr>
              <w:t></w:t>
            </w:r>
            <w:r w:rsidRPr="00F25A60">
              <w:rPr>
                <w:color w:val="000000"/>
              </w:rPr>
              <w:t> 75 x 10</w:t>
            </w:r>
            <w:r w:rsidRPr="00F25A60">
              <w:rPr>
                <w:color w:val="000000"/>
                <w:vertAlign w:val="superscript"/>
              </w:rPr>
              <w:t>9</w:t>
            </w:r>
            <w:r w:rsidRPr="00F25A60">
              <w:rPr>
                <w:color w:val="000000"/>
              </w:rPr>
              <w:t>/l.</w:t>
            </w:r>
          </w:p>
          <w:p w14:paraId="5FD586B8" w14:textId="77777777" w:rsidR="00D94F95" w:rsidRPr="00F25A60" w:rsidRDefault="00D94F95" w:rsidP="0048111F">
            <w:pPr>
              <w:pStyle w:val="EndnoteText"/>
              <w:tabs>
                <w:tab w:val="clear" w:pos="567"/>
                <w:tab w:val="left" w:pos="3053"/>
              </w:tabs>
              <w:ind w:left="489" w:hanging="489"/>
              <w:rPr>
                <w:color w:val="000000"/>
              </w:rPr>
            </w:pPr>
            <w:r w:rsidRPr="00F25A60">
              <w:rPr>
                <w:color w:val="000000"/>
              </w:rPr>
              <w:t>2.</w:t>
            </w:r>
            <w:r w:rsidRPr="00F25A60">
              <w:rPr>
                <w:color w:val="000000"/>
              </w:rPr>
              <w:tab/>
              <w:t>Obnovte léčbu Glivecem v dávce 600 mg.</w:t>
            </w:r>
          </w:p>
          <w:p w14:paraId="1D9E2267" w14:textId="77777777" w:rsidR="00D94F95" w:rsidRPr="00F25A60" w:rsidRDefault="00D94F95" w:rsidP="0048111F">
            <w:pPr>
              <w:pStyle w:val="Table"/>
              <w:keepNext w:val="0"/>
              <w:keepLines w:val="0"/>
              <w:suppressLineNumbers/>
              <w:tabs>
                <w:tab w:val="clear" w:pos="284"/>
                <w:tab w:val="clear" w:pos="567"/>
                <w:tab w:val="left" w:pos="2400"/>
                <w:tab w:val="left" w:pos="3055"/>
              </w:tabs>
              <w:spacing w:before="0" w:after="0"/>
              <w:ind w:left="489" w:hanging="489"/>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3.</w:t>
            </w:r>
            <w:r w:rsidRPr="00F25A60">
              <w:rPr>
                <w:rFonts w:ascii="Times New Roman" w:hAnsi="Times New Roman" w:cs="Times New Roman"/>
                <w:color w:val="000000"/>
                <w:sz w:val="22"/>
                <w:szCs w:val="22"/>
                <w:lang w:val="cs-CZ"/>
              </w:rPr>
              <w:tab/>
              <w:t>V případě opakování ANC &lt; 1,0 x 10</w:t>
            </w:r>
            <w:r w:rsidRPr="00F25A60">
              <w:rPr>
                <w:rFonts w:ascii="Times New Roman" w:hAnsi="Times New Roman" w:cs="Times New Roman"/>
                <w:color w:val="000000"/>
                <w:sz w:val="22"/>
                <w:szCs w:val="22"/>
                <w:vertAlign w:val="superscript"/>
                <w:lang w:val="cs-CZ"/>
              </w:rPr>
              <w:t>9</w:t>
            </w:r>
            <w:r w:rsidRPr="00F25A60">
              <w:rPr>
                <w:rFonts w:ascii="Times New Roman" w:hAnsi="Times New Roman" w:cs="Times New Roman"/>
                <w:color w:val="000000"/>
                <w:sz w:val="22"/>
                <w:szCs w:val="22"/>
                <w:lang w:val="cs-CZ"/>
              </w:rPr>
              <w:t xml:space="preserve">/l a/nebo </w:t>
            </w:r>
            <w:r w:rsidR="009A13EC" w:rsidRPr="00F25A60">
              <w:rPr>
                <w:rFonts w:ascii="Times New Roman" w:hAnsi="Times New Roman" w:cs="Times New Roman"/>
                <w:color w:val="000000"/>
                <w:sz w:val="22"/>
                <w:szCs w:val="22"/>
                <w:lang w:val="cs-CZ"/>
              </w:rPr>
              <w:t>trombocytů</w:t>
            </w:r>
            <w:r w:rsidRPr="00F25A60">
              <w:rPr>
                <w:rFonts w:ascii="Times New Roman" w:hAnsi="Times New Roman" w:cs="Times New Roman"/>
                <w:color w:val="000000"/>
                <w:sz w:val="22"/>
                <w:szCs w:val="22"/>
                <w:lang w:val="cs-CZ"/>
              </w:rPr>
              <w:t>k</w:t>
            </w:r>
            <w:r w:rsidRPr="00F25A60">
              <w:rPr>
                <w:color w:val="000000"/>
                <w:lang w:val="cs-CZ"/>
              </w:rPr>
              <w:t> </w:t>
            </w:r>
            <w:r w:rsidRPr="00F25A60">
              <w:rPr>
                <w:rFonts w:ascii="Times New Roman" w:hAnsi="Times New Roman" w:cs="Times New Roman"/>
                <w:color w:val="000000"/>
                <w:sz w:val="22"/>
                <w:szCs w:val="22"/>
                <w:lang w:val="cs-CZ"/>
              </w:rPr>
              <w:t>&lt; 50 x 10</w:t>
            </w:r>
            <w:r w:rsidRPr="00F25A60">
              <w:rPr>
                <w:rFonts w:ascii="Times New Roman" w:hAnsi="Times New Roman" w:cs="Times New Roman"/>
                <w:color w:val="000000"/>
                <w:sz w:val="22"/>
                <w:szCs w:val="22"/>
                <w:vertAlign w:val="superscript"/>
                <w:lang w:val="cs-CZ"/>
              </w:rPr>
              <w:t>9</w:t>
            </w:r>
            <w:r w:rsidRPr="00F25A60">
              <w:rPr>
                <w:rFonts w:ascii="Times New Roman" w:hAnsi="Times New Roman" w:cs="Times New Roman"/>
                <w:color w:val="000000"/>
                <w:sz w:val="22"/>
                <w:szCs w:val="22"/>
                <w:lang w:val="cs-CZ"/>
              </w:rPr>
              <w:t xml:space="preserve">/l, opakujte </w:t>
            </w:r>
            <w:r w:rsidR="00A11398" w:rsidRPr="00F25A60">
              <w:rPr>
                <w:rFonts w:ascii="Times New Roman" w:hAnsi="Times New Roman" w:cs="Times New Roman"/>
                <w:color w:val="000000"/>
                <w:sz w:val="22"/>
                <w:szCs w:val="22"/>
                <w:lang w:val="cs-CZ"/>
              </w:rPr>
              <w:t>krok</w:t>
            </w:r>
            <w:r w:rsidRPr="00F25A60">
              <w:rPr>
                <w:rFonts w:ascii="Times New Roman" w:hAnsi="Times New Roman" w:cs="Times New Roman"/>
                <w:color w:val="000000"/>
                <w:sz w:val="22"/>
                <w:szCs w:val="22"/>
                <w:lang w:val="cs-CZ"/>
              </w:rPr>
              <w:t> 1 a léčbu Glivecem obnovte se sníženou dávkou 400 mg.</w:t>
            </w:r>
          </w:p>
        </w:tc>
      </w:tr>
      <w:tr w:rsidR="00D94F95" w:rsidRPr="00F25A60" w14:paraId="750DBDE6" w14:textId="77777777" w:rsidTr="000E0B78">
        <w:trPr>
          <w:cantSplit/>
        </w:trPr>
        <w:tc>
          <w:tcPr>
            <w:tcW w:w="9220" w:type="dxa"/>
            <w:gridSpan w:val="3"/>
            <w:tcBorders>
              <w:top w:val="single" w:sz="4" w:space="0" w:color="000000"/>
              <w:left w:val="single" w:sz="4" w:space="0" w:color="000000"/>
              <w:right w:val="single" w:sz="4" w:space="0" w:color="000000"/>
            </w:tcBorders>
          </w:tcPr>
          <w:p w14:paraId="02904E05" w14:textId="77777777" w:rsidR="00D94F95" w:rsidRPr="00D567F2" w:rsidRDefault="00D94F95" w:rsidP="0048111F">
            <w:pPr>
              <w:pStyle w:val="EndnoteText"/>
              <w:keepNext/>
              <w:tabs>
                <w:tab w:val="clear" w:pos="567"/>
              </w:tabs>
              <w:snapToGrid w:val="0"/>
              <w:rPr>
                <w:color w:val="000000"/>
                <w:sz w:val="20"/>
                <w:szCs w:val="20"/>
                <w:rPrChange w:id="41" w:author="Author">
                  <w:rPr>
                    <w:color w:val="000000"/>
                  </w:rPr>
                </w:rPrChange>
              </w:rPr>
            </w:pPr>
            <w:r w:rsidRPr="00D567F2">
              <w:rPr>
                <w:color w:val="000000"/>
                <w:sz w:val="20"/>
                <w:szCs w:val="20"/>
                <w:rPrChange w:id="42" w:author="Author">
                  <w:rPr>
                    <w:color w:val="000000"/>
                  </w:rPr>
                </w:rPrChange>
              </w:rPr>
              <w:t>ANC = absolutní počet neutrofilů</w:t>
            </w:r>
          </w:p>
        </w:tc>
      </w:tr>
      <w:tr w:rsidR="00D94F95" w:rsidRPr="00F25A60" w14:paraId="176A2F76" w14:textId="77777777" w:rsidTr="000E0B78">
        <w:trPr>
          <w:cantSplit/>
        </w:trPr>
        <w:tc>
          <w:tcPr>
            <w:tcW w:w="9220" w:type="dxa"/>
            <w:gridSpan w:val="3"/>
            <w:tcBorders>
              <w:left w:val="single" w:sz="4" w:space="0" w:color="000000"/>
              <w:bottom w:val="single" w:sz="4" w:space="0" w:color="000000"/>
              <w:right w:val="single" w:sz="4" w:space="0" w:color="000000"/>
            </w:tcBorders>
          </w:tcPr>
          <w:p w14:paraId="2B3B2794" w14:textId="77777777" w:rsidR="00D94F95" w:rsidRPr="00D567F2" w:rsidRDefault="00D94F95" w:rsidP="0048111F">
            <w:pPr>
              <w:pStyle w:val="EndnoteText"/>
              <w:tabs>
                <w:tab w:val="clear" w:pos="567"/>
              </w:tabs>
              <w:snapToGrid w:val="0"/>
              <w:rPr>
                <w:sz w:val="20"/>
                <w:szCs w:val="20"/>
                <w:rPrChange w:id="43" w:author="Author">
                  <w:rPr/>
                </w:rPrChange>
              </w:rPr>
            </w:pPr>
            <w:r w:rsidRPr="00D567F2">
              <w:rPr>
                <w:color w:val="000000"/>
                <w:sz w:val="20"/>
                <w:szCs w:val="20"/>
                <w:vertAlign w:val="superscript"/>
                <w:rPrChange w:id="44" w:author="Author">
                  <w:rPr>
                    <w:color w:val="000000"/>
                    <w:vertAlign w:val="superscript"/>
                  </w:rPr>
                </w:rPrChange>
              </w:rPr>
              <w:t>a</w:t>
            </w:r>
            <w:r w:rsidRPr="00D567F2">
              <w:rPr>
                <w:color w:val="000000"/>
                <w:sz w:val="20"/>
                <w:szCs w:val="20"/>
                <w:rPrChange w:id="45" w:author="Author">
                  <w:rPr>
                    <w:color w:val="000000"/>
                  </w:rPr>
                </w:rPrChange>
              </w:rPr>
              <w:t xml:space="preserve"> výskyt </w:t>
            </w:r>
            <w:r w:rsidR="00C663D2" w:rsidRPr="00D567F2">
              <w:rPr>
                <w:color w:val="000000"/>
                <w:sz w:val="20"/>
                <w:szCs w:val="20"/>
                <w:rPrChange w:id="46" w:author="Author">
                  <w:rPr>
                    <w:color w:val="000000"/>
                  </w:rPr>
                </w:rPrChange>
              </w:rPr>
              <w:t xml:space="preserve">alespoň </w:t>
            </w:r>
            <w:r w:rsidRPr="00D567F2">
              <w:rPr>
                <w:color w:val="000000"/>
                <w:sz w:val="20"/>
                <w:szCs w:val="20"/>
                <w:rPrChange w:id="47" w:author="Author">
                  <w:rPr>
                    <w:color w:val="000000"/>
                  </w:rPr>
                </w:rPrChange>
              </w:rPr>
              <w:t>po 1 měsíci léčby</w:t>
            </w:r>
          </w:p>
        </w:tc>
      </w:tr>
    </w:tbl>
    <w:p w14:paraId="5FAB7B69" w14:textId="77777777" w:rsidR="000C75E6" w:rsidRPr="00F25A60" w:rsidRDefault="000C75E6" w:rsidP="0048111F">
      <w:pPr>
        <w:pStyle w:val="EndnoteText"/>
        <w:tabs>
          <w:tab w:val="clear" w:pos="567"/>
        </w:tabs>
      </w:pPr>
    </w:p>
    <w:p w14:paraId="50AA582A" w14:textId="715D2282" w:rsidR="000C75E6" w:rsidRPr="00F25A60" w:rsidRDefault="000C75E6" w:rsidP="0048111F">
      <w:pPr>
        <w:pStyle w:val="EndnoteText"/>
        <w:keepNext/>
        <w:tabs>
          <w:tab w:val="clear" w:pos="567"/>
        </w:tabs>
        <w:rPr>
          <w:u w:val="single"/>
        </w:rPr>
      </w:pPr>
      <w:r w:rsidRPr="00F25A60">
        <w:rPr>
          <w:u w:val="single"/>
        </w:rPr>
        <w:t>Zvláštní populace</w:t>
      </w:r>
    </w:p>
    <w:p w14:paraId="1D01C6F9" w14:textId="77777777" w:rsidR="00350B5E" w:rsidRPr="00F25A60" w:rsidRDefault="00350B5E" w:rsidP="0048111F">
      <w:pPr>
        <w:pStyle w:val="EndnoteText"/>
        <w:keepNext/>
        <w:tabs>
          <w:tab w:val="clear" w:pos="567"/>
        </w:tabs>
      </w:pPr>
    </w:p>
    <w:p w14:paraId="63E1FACB" w14:textId="1684AFF6" w:rsidR="00350B5E" w:rsidRPr="00F25A60" w:rsidRDefault="00350B5E" w:rsidP="0048111F">
      <w:pPr>
        <w:pStyle w:val="EndnoteText"/>
        <w:keepNext/>
        <w:tabs>
          <w:tab w:val="clear" w:pos="567"/>
        </w:tabs>
        <w:rPr>
          <w:color w:val="000000"/>
        </w:rPr>
      </w:pPr>
      <w:r w:rsidRPr="00F25A60">
        <w:rPr>
          <w:i/>
          <w:color w:val="000000"/>
          <w:u w:val="single"/>
        </w:rPr>
        <w:t>Pediatrická populace</w:t>
      </w:r>
    </w:p>
    <w:p w14:paraId="3205281D" w14:textId="0ECFAFD9" w:rsidR="000C75E6" w:rsidRPr="00F25A60" w:rsidRDefault="000C75E6" w:rsidP="0048111F">
      <w:pPr>
        <w:pStyle w:val="EndnoteText"/>
        <w:tabs>
          <w:tab w:val="clear" w:pos="567"/>
        </w:tabs>
        <w:rPr>
          <w:color w:val="000000"/>
        </w:rPr>
      </w:pPr>
      <w:r w:rsidRPr="00F25A60">
        <w:rPr>
          <w:color w:val="000000"/>
        </w:rPr>
        <w:t xml:space="preserve">Nejsou žádné zkušenosti s podáváním u dětí s CML mladších než 2 roky </w:t>
      </w:r>
      <w:r w:rsidR="00AD05C4" w:rsidRPr="00F25A60">
        <w:rPr>
          <w:color w:val="000000"/>
        </w:rPr>
        <w:t xml:space="preserve">a u dětí s Ph+ </w:t>
      </w:r>
      <w:smartTag w:uri="urn:schemas-microsoft-com:office:smarttags" w:element="stockticker">
        <w:r w:rsidR="00AD05C4" w:rsidRPr="00F25A60">
          <w:rPr>
            <w:color w:val="000000"/>
          </w:rPr>
          <w:t>ALL</w:t>
        </w:r>
      </w:smartTag>
      <w:r w:rsidR="00AD05C4" w:rsidRPr="00F25A60">
        <w:rPr>
          <w:color w:val="000000"/>
        </w:rPr>
        <w:t xml:space="preserve"> mladších než 1 rok </w:t>
      </w:r>
      <w:r w:rsidRPr="00F25A60">
        <w:rPr>
          <w:color w:val="000000"/>
        </w:rPr>
        <w:t>(viz bod</w:t>
      </w:r>
      <w:ins w:id="48" w:author="Author">
        <w:r w:rsidR="00A806C3" w:rsidRPr="00F25A60">
          <w:rPr>
            <w:color w:val="000000"/>
          </w:rPr>
          <w:t> </w:t>
        </w:r>
      </w:ins>
      <w:del w:id="49" w:author="Author">
        <w:r w:rsidRPr="00F25A60" w:rsidDel="00A806C3">
          <w:rPr>
            <w:color w:val="000000"/>
          </w:rPr>
          <w:delText xml:space="preserve"> </w:delText>
        </w:r>
      </w:del>
      <w:r w:rsidRPr="00F25A60">
        <w:rPr>
          <w:color w:val="000000"/>
        </w:rPr>
        <w:t xml:space="preserve">5.1). </w:t>
      </w:r>
      <w:r w:rsidR="00AD05C4" w:rsidRPr="00F25A60">
        <w:rPr>
          <w:color w:val="000000"/>
        </w:rPr>
        <w:t>Z</w:t>
      </w:r>
      <w:r w:rsidRPr="00F25A60">
        <w:rPr>
          <w:color w:val="000000"/>
        </w:rPr>
        <w:t>kušenosti u dětí s </w:t>
      </w:r>
      <w:smartTag w:uri="urn:schemas-microsoft-com:office:smarttags" w:element="stockticker">
        <w:r w:rsidRPr="00F25A60">
          <w:rPr>
            <w:color w:val="000000"/>
          </w:rPr>
          <w:t>MDS</w:t>
        </w:r>
      </w:smartTag>
      <w:r w:rsidRPr="00F25A60">
        <w:rPr>
          <w:color w:val="000000"/>
        </w:rPr>
        <w:t>/MPD</w:t>
      </w:r>
      <w:r w:rsidR="00C40427" w:rsidRPr="00F25A60">
        <w:rPr>
          <w:color w:val="000000"/>
        </w:rPr>
        <w:t>,</w:t>
      </w:r>
      <w:r w:rsidRPr="00F25A60">
        <w:rPr>
          <w:color w:val="000000"/>
        </w:rPr>
        <w:t xml:space="preserve"> DFSP</w:t>
      </w:r>
      <w:r w:rsidR="00C40427" w:rsidRPr="00F25A60">
        <w:rPr>
          <w:color w:val="000000"/>
        </w:rPr>
        <w:t>, GIST a HES/</w:t>
      </w:r>
      <w:smartTag w:uri="urn:schemas-microsoft-com:office:smarttags" w:element="stockticker">
        <w:r w:rsidR="00C40427" w:rsidRPr="00F25A60">
          <w:rPr>
            <w:color w:val="000000"/>
          </w:rPr>
          <w:t>CEL</w:t>
        </w:r>
      </w:smartTag>
      <w:r w:rsidR="00C40427" w:rsidRPr="00F25A60">
        <w:rPr>
          <w:color w:val="000000"/>
        </w:rPr>
        <w:t xml:space="preserve"> </w:t>
      </w:r>
      <w:r w:rsidRPr="00F25A60">
        <w:rPr>
          <w:color w:val="000000"/>
        </w:rPr>
        <w:t>jsou velmi omezené.</w:t>
      </w:r>
    </w:p>
    <w:p w14:paraId="0AE0A6BF" w14:textId="77777777" w:rsidR="00C40427" w:rsidRPr="00F25A60" w:rsidRDefault="00C40427" w:rsidP="0048111F">
      <w:pPr>
        <w:spacing w:line="240" w:lineRule="auto"/>
        <w:rPr>
          <w:color w:val="000000"/>
        </w:rPr>
      </w:pPr>
    </w:p>
    <w:p w14:paraId="6769A86E" w14:textId="5C541820" w:rsidR="00C40427" w:rsidRPr="00F25A60" w:rsidRDefault="00C40427" w:rsidP="0048111F">
      <w:pPr>
        <w:spacing w:line="240" w:lineRule="auto"/>
        <w:rPr>
          <w:color w:val="000000"/>
        </w:rPr>
      </w:pPr>
      <w:r w:rsidRPr="00F25A60">
        <w:rPr>
          <w:color w:val="000000"/>
        </w:rPr>
        <w:t>Bezpečnost a účinnost imatinibu u dětí mladších než 18</w:t>
      </w:r>
      <w:r w:rsidRPr="00F25A60">
        <w:t xml:space="preserve"> let </w:t>
      </w:r>
      <w:r w:rsidRPr="00F25A60">
        <w:rPr>
          <w:color w:val="000000"/>
        </w:rPr>
        <w:t xml:space="preserve">s MDS/MPD, DFSP, GIST a HES/CEL </w:t>
      </w:r>
      <w:r w:rsidRPr="00F25A60">
        <w:t>nebyla v</w:t>
      </w:r>
      <w:r w:rsidRPr="00F25A60">
        <w:rPr>
          <w:color w:val="000000"/>
        </w:rPr>
        <w:t> klinických studiích stanovena. V současnosti dostupné publikované údaje jsou shrnuty v bodě</w:t>
      </w:r>
      <w:ins w:id="50" w:author="Author">
        <w:r w:rsidR="006743BE" w:rsidRPr="00F25A60">
          <w:rPr>
            <w:color w:val="000000"/>
          </w:rPr>
          <w:t> </w:t>
        </w:r>
      </w:ins>
      <w:del w:id="51" w:author="Author">
        <w:r w:rsidRPr="00F25A60" w:rsidDel="006743BE">
          <w:rPr>
            <w:color w:val="000000"/>
          </w:rPr>
          <w:delText xml:space="preserve"> </w:delText>
        </w:r>
      </w:del>
      <w:r w:rsidRPr="00F25A60">
        <w:rPr>
          <w:color w:val="000000"/>
        </w:rPr>
        <w:t>5.1, ale na jejich základě nelze učinit žádná doporučení ohledně dávkování.</w:t>
      </w:r>
    </w:p>
    <w:p w14:paraId="5B6F62E5" w14:textId="77777777" w:rsidR="00C40427" w:rsidRPr="00F25A60" w:rsidRDefault="00C40427" w:rsidP="0048111F">
      <w:pPr>
        <w:pStyle w:val="EndnoteText"/>
        <w:tabs>
          <w:tab w:val="clear" w:pos="567"/>
        </w:tabs>
        <w:rPr>
          <w:color w:val="000000"/>
        </w:rPr>
      </w:pPr>
    </w:p>
    <w:p w14:paraId="3E552C44" w14:textId="7B5F244A" w:rsidR="00350B5E" w:rsidRPr="00F25A60" w:rsidRDefault="00C663D2" w:rsidP="0048111F">
      <w:pPr>
        <w:pStyle w:val="EndnoteText"/>
        <w:keepNext/>
        <w:tabs>
          <w:tab w:val="clear" w:pos="567"/>
        </w:tabs>
        <w:rPr>
          <w:color w:val="000000"/>
        </w:rPr>
      </w:pPr>
      <w:r w:rsidRPr="00F25A60">
        <w:rPr>
          <w:i/>
          <w:color w:val="000000"/>
          <w:u w:val="single"/>
        </w:rPr>
        <w:lastRenderedPageBreak/>
        <w:t>Porucha funkce jater</w:t>
      </w:r>
    </w:p>
    <w:p w14:paraId="5B31CA59" w14:textId="71552A3E" w:rsidR="000C75E6" w:rsidRPr="00F25A60" w:rsidRDefault="000C75E6" w:rsidP="0048111F">
      <w:pPr>
        <w:pStyle w:val="EndnoteText"/>
        <w:tabs>
          <w:tab w:val="clear" w:pos="567"/>
        </w:tabs>
        <w:rPr>
          <w:color w:val="000000"/>
        </w:rPr>
      </w:pPr>
      <w:r w:rsidRPr="00F25A60">
        <w:rPr>
          <w:color w:val="000000"/>
        </w:rPr>
        <w:t>Imatinib je metabolizován především játry. Pacientům s </w:t>
      </w:r>
      <w:r w:rsidR="00C663D2" w:rsidRPr="00F25A60">
        <w:rPr>
          <w:color w:val="000000"/>
        </w:rPr>
        <w:t>lehkou</w:t>
      </w:r>
      <w:r w:rsidRPr="00F25A60">
        <w:rPr>
          <w:color w:val="000000"/>
        </w:rPr>
        <w:t xml:space="preserve">, středně těžkou nebo těžkou dysfunkcí jater </w:t>
      </w:r>
      <w:r w:rsidR="00C663D2" w:rsidRPr="00F25A60">
        <w:rPr>
          <w:color w:val="000000"/>
        </w:rPr>
        <w:t>má</w:t>
      </w:r>
      <w:r w:rsidRPr="00F25A60">
        <w:rPr>
          <w:color w:val="000000"/>
        </w:rPr>
        <w:t xml:space="preserve"> být podávána minimální doporučená dávka 400 mg denně. Dávka může být snížena, pokud není tolerována (viz body</w:t>
      </w:r>
      <w:ins w:id="52" w:author="Author">
        <w:r w:rsidR="006743BE" w:rsidRPr="00F25A60">
          <w:rPr>
            <w:color w:val="000000"/>
          </w:rPr>
          <w:t> </w:t>
        </w:r>
      </w:ins>
      <w:del w:id="53" w:author="Author">
        <w:r w:rsidRPr="00F25A60" w:rsidDel="006743BE">
          <w:rPr>
            <w:color w:val="000000"/>
          </w:rPr>
          <w:delText xml:space="preserve"> </w:delText>
        </w:r>
      </w:del>
      <w:r w:rsidRPr="00F25A60">
        <w:rPr>
          <w:color w:val="000000"/>
        </w:rPr>
        <w:t xml:space="preserve">4.4, </w:t>
      </w:r>
      <w:smartTag w:uri="urn:schemas-microsoft-com:office:smarttags" w:element="metricconverter">
        <w:smartTagPr>
          <w:attr w:name="ProductID" w:val="4.8 a"/>
        </w:smartTagPr>
        <w:r w:rsidRPr="00F25A60">
          <w:rPr>
            <w:color w:val="000000"/>
          </w:rPr>
          <w:t>4.8 a</w:t>
        </w:r>
      </w:smartTag>
      <w:r w:rsidRPr="00F25A60">
        <w:rPr>
          <w:color w:val="000000"/>
        </w:rPr>
        <w:t xml:space="preserve"> 5.2).</w:t>
      </w:r>
    </w:p>
    <w:p w14:paraId="202CAC66" w14:textId="77777777" w:rsidR="000C75E6" w:rsidRPr="00F25A60" w:rsidRDefault="000C75E6" w:rsidP="0048111F">
      <w:pPr>
        <w:pStyle w:val="EndnoteText"/>
        <w:tabs>
          <w:tab w:val="clear" w:pos="567"/>
        </w:tabs>
        <w:rPr>
          <w:color w:val="000000"/>
        </w:rPr>
      </w:pPr>
    </w:p>
    <w:p w14:paraId="6CDE8664" w14:textId="77777777" w:rsidR="000C75E6" w:rsidRPr="00F25A60" w:rsidRDefault="000C75E6" w:rsidP="0048111F">
      <w:pPr>
        <w:pStyle w:val="Text"/>
        <w:keepNext/>
        <w:spacing w:before="0"/>
        <w:jc w:val="left"/>
        <w:rPr>
          <w:color w:val="000000"/>
          <w:sz w:val="22"/>
          <w:szCs w:val="22"/>
          <w:lang w:val="cs-CZ"/>
        </w:rPr>
      </w:pPr>
      <w:r w:rsidRPr="00F25A60">
        <w:rPr>
          <w:color w:val="000000"/>
          <w:sz w:val="22"/>
          <w:szCs w:val="22"/>
          <w:lang w:val="cs-CZ"/>
        </w:rPr>
        <w:t>Klasifikace dysfunkce jater:</w:t>
      </w:r>
    </w:p>
    <w:p w14:paraId="2FD69327" w14:textId="77777777" w:rsidR="000C75E6" w:rsidRPr="00F25A60" w:rsidRDefault="000C75E6" w:rsidP="0048111F">
      <w:pPr>
        <w:pStyle w:val="Text"/>
        <w:keepNext/>
        <w:spacing w:before="0"/>
        <w:jc w:val="left"/>
        <w:rPr>
          <w:color w:val="000000"/>
          <w:sz w:val="22"/>
          <w:szCs w:val="22"/>
          <w:lang w:val="cs-CZ"/>
        </w:rPr>
      </w:pPr>
    </w:p>
    <w:tbl>
      <w:tblPr>
        <w:tblW w:w="9327" w:type="dxa"/>
        <w:tblInd w:w="-20" w:type="dxa"/>
        <w:tblBorders>
          <w:top w:val="single" w:sz="4" w:space="0" w:color="000000"/>
          <w:bottom w:val="single" w:sz="4" w:space="0" w:color="auto"/>
          <w:right w:val="single" w:sz="4" w:space="0" w:color="000000"/>
          <w:insideH w:val="single" w:sz="4" w:space="0" w:color="000000"/>
          <w:insideV w:val="single" w:sz="4" w:space="0" w:color="000000"/>
        </w:tblBorders>
        <w:tblLayout w:type="fixed"/>
        <w:tblLook w:val="0000" w:firstRow="0" w:lastRow="0" w:firstColumn="0" w:lastColumn="0" w:noHBand="0" w:noVBand="0"/>
        <w:tblPrChange w:id="54" w:author="Author">
          <w:tblPr>
            <w:tblW w:w="0" w:type="auto"/>
            <w:tblInd w:w="-20" w:type="dxa"/>
            <w:tblLayout w:type="fixed"/>
            <w:tblLook w:val="0000" w:firstRow="0" w:lastRow="0" w:firstColumn="0" w:lastColumn="0" w:noHBand="0" w:noVBand="0"/>
          </w:tblPr>
        </w:tblPrChange>
      </w:tblPr>
      <w:tblGrid>
        <w:gridCol w:w="3369"/>
        <w:gridCol w:w="5958"/>
        <w:tblGridChange w:id="55">
          <w:tblGrid>
            <w:gridCol w:w="275"/>
            <w:gridCol w:w="5"/>
            <w:gridCol w:w="3089"/>
            <w:gridCol w:w="280"/>
            <w:gridCol w:w="5678"/>
            <w:gridCol w:w="275"/>
            <w:gridCol w:w="5"/>
          </w:tblGrid>
        </w:tblGridChange>
      </w:tblGrid>
      <w:tr w:rsidR="000C75E6" w:rsidRPr="00F25A60" w14:paraId="51F57AE2" w14:textId="77777777" w:rsidTr="00D567F2">
        <w:trPr>
          <w:cantSplit/>
          <w:trPrChange w:id="56" w:author="Author">
            <w:trPr>
              <w:gridBefore w:val="2"/>
              <w:cantSplit/>
            </w:trPr>
          </w:trPrChange>
        </w:trPr>
        <w:tc>
          <w:tcPr>
            <w:tcW w:w="3369" w:type="dxa"/>
            <w:tcPrChange w:id="57" w:author="Author">
              <w:tcPr>
                <w:tcW w:w="3369" w:type="dxa"/>
                <w:gridSpan w:val="2"/>
                <w:tcBorders>
                  <w:top w:val="single" w:sz="4" w:space="0" w:color="000000"/>
                  <w:left w:val="single" w:sz="4" w:space="0" w:color="000000"/>
                  <w:bottom w:val="single" w:sz="4" w:space="0" w:color="000000"/>
                </w:tcBorders>
              </w:tcPr>
            </w:tcPrChange>
          </w:tcPr>
          <w:p w14:paraId="55D81D80" w14:textId="77777777" w:rsidR="000C75E6" w:rsidRPr="00F25A60" w:rsidRDefault="000C75E6" w:rsidP="0048111F">
            <w:pPr>
              <w:pStyle w:val="Text"/>
              <w:keepNext/>
              <w:snapToGrid w:val="0"/>
              <w:spacing w:before="0"/>
              <w:jc w:val="left"/>
              <w:rPr>
                <w:color w:val="000000"/>
                <w:sz w:val="22"/>
                <w:szCs w:val="22"/>
                <w:lang w:val="cs-CZ"/>
              </w:rPr>
            </w:pPr>
            <w:r w:rsidRPr="00F25A60">
              <w:rPr>
                <w:color w:val="000000"/>
                <w:sz w:val="22"/>
                <w:szCs w:val="22"/>
                <w:lang w:val="cs-CZ"/>
              </w:rPr>
              <w:t>Dysfunkce jater</w:t>
            </w:r>
          </w:p>
        </w:tc>
        <w:tc>
          <w:tcPr>
            <w:tcW w:w="5958" w:type="dxa"/>
            <w:tcPrChange w:id="58" w:author="Author">
              <w:tcPr>
                <w:tcW w:w="5958" w:type="dxa"/>
                <w:gridSpan w:val="3"/>
                <w:tcBorders>
                  <w:top w:val="single" w:sz="4" w:space="0" w:color="000000"/>
                  <w:left w:val="single" w:sz="4" w:space="0" w:color="000000"/>
                  <w:bottom w:val="single" w:sz="4" w:space="0" w:color="000000"/>
                  <w:right w:val="single" w:sz="4" w:space="0" w:color="000000"/>
                </w:tcBorders>
              </w:tcPr>
            </w:tcPrChange>
          </w:tcPr>
          <w:p w14:paraId="5EF0ABA3" w14:textId="77777777" w:rsidR="000C75E6" w:rsidRPr="00F25A60" w:rsidRDefault="000C75E6" w:rsidP="0048111F">
            <w:pPr>
              <w:pStyle w:val="Text"/>
              <w:keepNext/>
              <w:snapToGrid w:val="0"/>
              <w:spacing w:before="0"/>
              <w:jc w:val="left"/>
              <w:rPr>
                <w:color w:val="000000"/>
                <w:sz w:val="22"/>
                <w:szCs w:val="22"/>
                <w:lang w:val="cs-CZ"/>
              </w:rPr>
            </w:pPr>
            <w:r w:rsidRPr="00F25A60">
              <w:rPr>
                <w:color w:val="000000"/>
                <w:sz w:val="22"/>
                <w:szCs w:val="22"/>
                <w:lang w:val="cs-CZ"/>
              </w:rPr>
              <w:t>Vyšetření jaterních funkcí</w:t>
            </w:r>
          </w:p>
        </w:tc>
      </w:tr>
      <w:tr w:rsidR="000C75E6" w:rsidRPr="00F25A60" w14:paraId="112622B6" w14:textId="77777777" w:rsidTr="00D567F2">
        <w:trPr>
          <w:cantSplit/>
          <w:trPrChange w:id="59" w:author="Author">
            <w:trPr>
              <w:gridBefore w:val="2"/>
              <w:cantSplit/>
            </w:trPr>
          </w:trPrChange>
        </w:trPr>
        <w:tc>
          <w:tcPr>
            <w:tcW w:w="3369" w:type="dxa"/>
            <w:tcPrChange w:id="60" w:author="Author">
              <w:tcPr>
                <w:tcW w:w="3369" w:type="dxa"/>
                <w:gridSpan w:val="2"/>
                <w:tcBorders>
                  <w:top w:val="single" w:sz="4" w:space="0" w:color="000000"/>
                  <w:left w:val="single" w:sz="4" w:space="0" w:color="000000"/>
                  <w:bottom w:val="single" w:sz="4" w:space="0" w:color="000000"/>
                </w:tcBorders>
              </w:tcPr>
            </w:tcPrChange>
          </w:tcPr>
          <w:p w14:paraId="517814CE" w14:textId="77777777" w:rsidR="000C75E6" w:rsidRPr="00F25A60" w:rsidRDefault="00C663D2" w:rsidP="0048111F">
            <w:pPr>
              <w:pStyle w:val="Text"/>
              <w:keepNext/>
              <w:snapToGrid w:val="0"/>
              <w:spacing w:before="0"/>
              <w:jc w:val="left"/>
              <w:rPr>
                <w:color w:val="000000"/>
                <w:sz w:val="22"/>
                <w:szCs w:val="22"/>
                <w:lang w:val="cs-CZ"/>
              </w:rPr>
            </w:pPr>
            <w:r w:rsidRPr="00F25A60">
              <w:rPr>
                <w:color w:val="000000"/>
                <w:sz w:val="22"/>
                <w:szCs w:val="22"/>
                <w:lang w:val="cs-CZ"/>
              </w:rPr>
              <w:t>Lehká</w:t>
            </w:r>
          </w:p>
        </w:tc>
        <w:tc>
          <w:tcPr>
            <w:tcW w:w="5958" w:type="dxa"/>
            <w:tcPrChange w:id="61" w:author="Author">
              <w:tcPr>
                <w:tcW w:w="5958" w:type="dxa"/>
                <w:gridSpan w:val="3"/>
                <w:tcBorders>
                  <w:top w:val="single" w:sz="4" w:space="0" w:color="000000"/>
                  <w:left w:val="single" w:sz="4" w:space="0" w:color="000000"/>
                  <w:bottom w:val="single" w:sz="4" w:space="0" w:color="000000"/>
                  <w:right w:val="single" w:sz="4" w:space="0" w:color="000000"/>
                </w:tcBorders>
              </w:tcPr>
            </w:tcPrChange>
          </w:tcPr>
          <w:p w14:paraId="06C30179" w14:textId="77777777" w:rsidR="000C75E6" w:rsidRPr="00F25A60" w:rsidRDefault="000C75E6" w:rsidP="0048111F">
            <w:pPr>
              <w:keepNext/>
              <w:snapToGrid w:val="0"/>
              <w:spacing w:line="240" w:lineRule="auto"/>
              <w:rPr>
                <w:color w:val="000000"/>
              </w:rPr>
            </w:pPr>
            <w:r w:rsidRPr="00F25A60">
              <w:rPr>
                <w:color w:val="000000"/>
              </w:rPr>
              <w:t>Celkový bilirubin: = 1,5 ULN</w:t>
            </w:r>
          </w:p>
          <w:p w14:paraId="021C423F" w14:textId="77777777" w:rsidR="000C75E6" w:rsidRPr="00F25A60" w:rsidRDefault="000C75E6" w:rsidP="0048111F">
            <w:pPr>
              <w:pStyle w:val="Text"/>
              <w:keepNext/>
              <w:spacing w:before="0"/>
              <w:jc w:val="left"/>
              <w:rPr>
                <w:color w:val="000000"/>
                <w:sz w:val="22"/>
                <w:szCs w:val="22"/>
                <w:lang w:val="cs-CZ"/>
              </w:rPr>
            </w:pPr>
            <w:r w:rsidRPr="00F25A60">
              <w:rPr>
                <w:color w:val="000000"/>
                <w:sz w:val="22"/>
                <w:szCs w:val="22"/>
                <w:lang w:val="cs-CZ"/>
              </w:rPr>
              <w:t>AST: &gt; ULN (může být normální nebo &lt; ULN, pokud celkový bilirubin je &gt; ULN)</w:t>
            </w:r>
          </w:p>
        </w:tc>
      </w:tr>
      <w:tr w:rsidR="000C75E6" w:rsidRPr="00F25A60" w14:paraId="67B20B33" w14:textId="77777777" w:rsidTr="00D567F2">
        <w:trPr>
          <w:cantSplit/>
          <w:trPrChange w:id="62" w:author="Author">
            <w:trPr>
              <w:gridBefore w:val="2"/>
              <w:cantSplit/>
            </w:trPr>
          </w:trPrChange>
        </w:trPr>
        <w:tc>
          <w:tcPr>
            <w:tcW w:w="3369" w:type="dxa"/>
            <w:tcPrChange w:id="63" w:author="Author">
              <w:tcPr>
                <w:tcW w:w="3369" w:type="dxa"/>
                <w:gridSpan w:val="2"/>
                <w:tcBorders>
                  <w:top w:val="single" w:sz="4" w:space="0" w:color="000000"/>
                  <w:left w:val="single" w:sz="4" w:space="0" w:color="000000"/>
                  <w:bottom w:val="single" w:sz="4" w:space="0" w:color="000000"/>
                </w:tcBorders>
              </w:tcPr>
            </w:tcPrChange>
          </w:tcPr>
          <w:p w14:paraId="7F0E5FF4" w14:textId="77777777" w:rsidR="000C75E6" w:rsidRPr="00F25A60" w:rsidRDefault="000C75E6" w:rsidP="0048111F">
            <w:pPr>
              <w:pStyle w:val="Text"/>
              <w:keepNext/>
              <w:snapToGrid w:val="0"/>
              <w:spacing w:before="0"/>
              <w:jc w:val="left"/>
              <w:rPr>
                <w:color w:val="000000"/>
                <w:sz w:val="22"/>
                <w:szCs w:val="22"/>
                <w:lang w:val="cs-CZ"/>
              </w:rPr>
            </w:pPr>
            <w:r w:rsidRPr="00F25A60">
              <w:rPr>
                <w:color w:val="000000"/>
                <w:sz w:val="22"/>
                <w:szCs w:val="22"/>
                <w:lang w:val="cs-CZ"/>
              </w:rPr>
              <w:t>Středně těžká</w:t>
            </w:r>
          </w:p>
        </w:tc>
        <w:tc>
          <w:tcPr>
            <w:tcW w:w="5958" w:type="dxa"/>
            <w:tcPrChange w:id="64" w:author="Author">
              <w:tcPr>
                <w:tcW w:w="5958" w:type="dxa"/>
                <w:gridSpan w:val="3"/>
                <w:tcBorders>
                  <w:top w:val="single" w:sz="4" w:space="0" w:color="000000"/>
                  <w:left w:val="single" w:sz="4" w:space="0" w:color="000000"/>
                  <w:bottom w:val="single" w:sz="4" w:space="0" w:color="000000"/>
                  <w:right w:val="single" w:sz="4" w:space="0" w:color="000000"/>
                </w:tcBorders>
              </w:tcPr>
            </w:tcPrChange>
          </w:tcPr>
          <w:p w14:paraId="6584218E" w14:textId="77777777" w:rsidR="000C75E6" w:rsidRPr="00F25A60" w:rsidRDefault="000C75E6" w:rsidP="0048111F">
            <w:pPr>
              <w:keepNext/>
              <w:spacing w:line="240" w:lineRule="auto"/>
              <w:rPr>
                <w:snapToGrid w:val="0"/>
                <w:color w:val="000000"/>
              </w:rPr>
            </w:pPr>
            <w:r w:rsidRPr="00F25A60">
              <w:rPr>
                <w:snapToGrid w:val="0"/>
                <w:color w:val="000000"/>
              </w:rPr>
              <w:t>Celkový bilirubin: &gt; 1,5</w:t>
            </w:r>
            <w:r w:rsidRPr="00F25A60">
              <w:rPr>
                <w:color w:val="000000"/>
              </w:rPr>
              <w:t>–</w:t>
            </w:r>
            <w:r w:rsidRPr="00F25A60">
              <w:rPr>
                <w:snapToGrid w:val="0"/>
                <w:color w:val="000000"/>
              </w:rPr>
              <w:t>3,0 ULN</w:t>
            </w:r>
          </w:p>
          <w:p w14:paraId="19081FA0" w14:textId="77777777" w:rsidR="000C75E6" w:rsidRPr="00F25A60" w:rsidRDefault="000C75E6" w:rsidP="0048111F">
            <w:pPr>
              <w:keepNext/>
              <w:snapToGrid w:val="0"/>
              <w:spacing w:line="240" w:lineRule="auto"/>
              <w:rPr>
                <w:color w:val="000000"/>
              </w:rPr>
            </w:pPr>
            <w:r w:rsidRPr="00F25A60">
              <w:rPr>
                <w:snapToGrid w:val="0"/>
                <w:color w:val="000000"/>
              </w:rPr>
              <w:t>AST: jakákoliv</w:t>
            </w:r>
          </w:p>
        </w:tc>
      </w:tr>
      <w:tr w:rsidR="000C75E6" w:rsidRPr="00F25A60" w14:paraId="61B25A6B" w14:textId="77777777" w:rsidTr="00D567F2">
        <w:trPr>
          <w:cantSplit/>
          <w:trPrChange w:id="65" w:author="Author">
            <w:trPr>
              <w:gridBefore w:val="2"/>
              <w:cantSplit/>
            </w:trPr>
          </w:trPrChange>
        </w:trPr>
        <w:tc>
          <w:tcPr>
            <w:tcW w:w="3369" w:type="dxa"/>
            <w:tcBorders>
              <w:bottom w:val="single" w:sz="4" w:space="0" w:color="000000"/>
            </w:tcBorders>
            <w:tcPrChange w:id="66" w:author="Author">
              <w:tcPr>
                <w:tcW w:w="3369" w:type="dxa"/>
                <w:gridSpan w:val="2"/>
                <w:tcBorders>
                  <w:top w:val="single" w:sz="4" w:space="0" w:color="000000"/>
                  <w:left w:val="single" w:sz="4" w:space="0" w:color="000000"/>
                  <w:bottom w:val="single" w:sz="4" w:space="0" w:color="000000"/>
                </w:tcBorders>
              </w:tcPr>
            </w:tcPrChange>
          </w:tcPr>
          <w:p w14:paraId="346487B5" w14:textId="77777777" w:rsidR="000C75E6" w:rsidRPr="00F25A60" w:rsidRDefault="000C75E6" w:rsidP="0048111F">
            <w:pPr>
              <w:pStyle w:val="Text"/>
              <w:keepNext/>
              <w:snapToGrid w:val="0"/>
              <w:spacing w:before="0"/>
              <w:jc w:val="left"/>
              <w:rPr>
                <w:color w:val="000000"/>
                <w:lang w:val="cs-CZ"/>
              </w:rPr>
            </w:pPr>
            <w:r w:rsidRPr="00F25A60">
              <w:rPr>
                <w:color w:val="000000"/>
                <w:sz w:val="22"/>
                <w:szCs w:val="22"/>
                <w:lang w:val="cs-CZ"/>
              </w:rPr>
              <w:t>Těžká</w:t>
            </w:r>
          </w:p>
        </w:tc>
        <w:tc>
          <w:tcPr>
            <w:tcW w:w="5958" w:type="dxa"/>
            <w:tcBorders>
              <w:bottom w:val="single" w:sz="4" w:space="0" w:color="000000"/>
            </w:tcBorders>
            <w:tcPrChange w:id="67" w:author="Author">
              <w:tcPr>
                <w:tcW w:w="5958" w:type="dxa"/>
                <w:gridSpan w:val="3"/>
                <w:tcBorders>
                  <w:top w:val="single" w:sz="4" w:space="0" w:color="000000"/>
                  <w:left w:val="single" w:sz="4" w:space="0" w:color="000000"/>
                  <w:bottom w:val="single" w:sz="4" w:space="0" w:color="000000"/>
                  <w:right w:val="single" w:sz="4" w:space="0" w:color="000000"/>
                </w:tcBorders>
              </w:tcPr>
            </w:tcPrChange>
          </w:tcPr>
          <w:p w14:paraId="0FB6FEFA" w14:textId="77777777" w:rsidR="000C75E6" w:rsidRPr="00F25A60" w:rsidRDefault="000C75E6" w:rsidP="0048111F">
            <w:pPr>
              <w:keepNext/>
              <w:snapToGrid w:val="0"/>
              <w:spacing w:line="240" w:lineRule="auto"/>
              <w:rPr>
                <w:color w:val="000000"/>
              </w:rPr>
            </w:pPr>
            <w:r w:rsidRPr="00F25A60">
              <w:rPr>
                <w:color w:val="000000"/>
              </w:rPr>
              <w:t>Celkový bilirubin: &gt; 3–10 ULN</w:t>
            </w:r>
          </w:p>
          <w:p w14:paraId="7A607696" w14:textId="77777777" w:rsidR="000C75E6" w:rsidRPr="00F25A60" w:rsidRDefault="000C75E6" w:rsidP="0048111F">
            <w:pPr>
              <w:pStyle w:val="Text"/>
              <w:keepNext/>
              <w:spacing w:before="0"/>
              <w:jc w:val="left"/>
              <w:rPr>
                <w:color w:val="000000"/>
                <w:sz w:val="22"/>
                <w:szCs w:val="22"/>
                <w:lang w:val="cs-CZ"/>
              </w:rPr>
            </w:pPr>
            <w:r w:rsidRPr="00F25A60">
              <w:rPr>
                <w:color w:val="000000"/>
                <w:sz w:val="22"/>
                <w:szCs w:val="22"/>
                <w:lang w:val="cs-CZ"/>
              </w:rPr>
              <w:t>AST: jakákoliv</w:t>
            </w:r>
          </w:p>
        </w:tc>
      </w:tr>
      <w:tr w:rsidR="00810709" w:rsidRPr="00F25A60" w14:paraId="251853E6" w14:textId="77777777" w:rsidTr="00D567F2">
        <w:tblPrEx>
          <w:tblPrExChange w:id="68" w:author="Author">
            <w:tblPrEx>
              <w:tblW w:w="9327" w:type="dxa"/>
              <w:tblBorders>
                <w:top w:val="single" w:sz="4" w:space="0" w:color="000000"/>
                <w:bottom w:val="single" w:sz="4" w:space="0" w:color="auto"/>
                <w:right w:val="single" w:sz="4" w:space="0" w:color="000000"/>
                <w:insideH w:val="single" w:sz="4" w:space="0" w:color="000000"/>
                <w:insideV w:val="single" w:sz="4" w:space="0" w:color="000000"/>
              </w:tblBorders>
            </w:tblPrEx>
          </w:tblPrExChange>
        </w:tblPrEx>
        <w:trPr>
          <w:cantSplit/>
          <w:ins w:id="69" w:author="Author"/>
          <w:trPrChange w:id="70" w:author="Author">
            <w:trPr>
              <w:gridBefore w:val="1"/>
              <w:gridAfter w:val="0"/>
              <w:cantSplit/>
            </w:trPr>
          </w:trPrChange>
        </w:trPr>
        <w:tc>
          <w:tcPr>
            <w:tcW w:w="9327" w:type="dxa"/>
            <w:gridSpan w:val="2"/>
            <w:tcBorders>
              <w:left w:val="single" w:sz="4" w:space="0" w:color="auto"/>
              <w:bottom w:val="single" w:sz="4" w:space="0" w:color="000000"/>
            </w:tcBorders>
            <w:tcPrChange w:id="71" w:author="Author">
              <w:tcPr>
                <w:tcW w:w="9327" w:type="dxa"/>
                <w:gridSpan w:val="5"/>
                <w:tcBorders>
                  <w:bottom w:val="single" w:sz="4" w:space="0" w:color="000000"/>
                </w:tcBorders>
              </w:tcPr>
            </w:tcPrChange>
          </w:tcPr>
          <w:p w14:paraId="72ADCA97" w14:textId="77777777" w:rsidR="000066C0" w:rsidRPr="006F7776" w:rsidDel="00810709" w:rsidRDefault="000066C0" w:rsidP="0048111F">
            <w:pPr>
              <w:pStyle w:val="Text"/>
              <w:keepNext/>
              <w:spacing w:before="0"/>
              <w:jc w:val="left"/>
              <w:rPr>
                <w:ins w:id="72" w:author="Author"/>
                <w:color w:val="000000"/>
                <w:sz w:val="20"/>
                <w:szCs w:val="20"/>
                <w:lang w:val="cs-CZ"/>
              </w:rPr>
            </w:pPr>
            <w:ins w:id="73" w:author="Author">
              <w:r w:rsidRPr="006F7776" w:rsidDel="00810709">
                <w:rPr>
                  <w:color w:val="000000"/>
                  <w:sz w:val="20"/>
                  <w:szCs w:val="20"/>
                  <w:lang w:val="cs-CZ"/>
                </w:rPr>
                <w:t>ULN = horní hranice normy</w:t>
              </w:r>
            </w:ins>
          </w:p>
          <w:p w14:paraId="4CCB0F57" w14:textId="6CCFDC12" w:rsidR="00810709" w:rsidRPr="00F25A60" w:rsidRDefault="000066C0" w:rsidP="006F7776">
            <w:pPr>
              <w:autoSpaceDE w:val="0"/>
              <w:spacing w:line="240" w:lineRule="auto"/>
              <w:ind w:left="992" w:hanging="992"/>
              <w:rPr>
                <w:ins w:id="74" w:author="Author"/>
                <w:color w:val="000000"/>
              </w:rPr>
            </w:pPr>
            <w:ins w:id="75" w:author="Author">
              <w:r w:rsidRPr="006F7776" w:rsidDel="00810709">
                <w:rPr>
                  <w:rFonts w:eastAsia="MS Mincho"/>
                  <w:color w:val="000000"/>
                  <w:sz w:val="20"/>
                  <w:szCs w:val="20"/>
                </w:rPr>
                <w:t xml:space="preserve">AST = </w:t>
              </w:r>
              <w:r w:rsidRPr="006F7776" w:rsidDel="00810709">
                <w:rPr>
                  <w:color w:val="000000"/>
                  <w:sz w:val="20"/>
                  <w:szCs w:val="20"/>
                </w:rPr>
                <w:t>aspartátaminotransferáza</w:t>
              </w:r>
            </w:ins>
          </w:p>
        </w:tc>
      </w:tr>
    </w:tbl>
    <w:p w14:paraId="12439384" w14:textId="0EF7AB2A" w:rsidR="000C75E6" w:rsidRPr="00F25A60" w:rsidDel="000066C0" w:rsidRDefault="000C75E6" w:rsidP="0048111F">
      <w:pPr>
        <w:pStyle w:val="Text"/>
        <w:keepNext/>
        <w:spacing w:before="0"/>
        <w:jc w:val="left"/>
        <w:rPr>
          <w:del w:id="76" w:author="Author"/>
          <w:color w:val="000000"/>
          <w:sz w:val="22"/>
          <w:szCs w:val="22"/>
          <w:lang w:val="cs-CZ"/>
        </w:rPr>
      </w:pPr>
      <w:del w:id="77" w:author="Author">
        <w:r w:rsidRPr="00F25A60" w:rsidDel="000066C0">
          <w:rPr>
            <w:color w:val="000000"/>
            <w:sz w:val="22"/>
            <w:szCs w:val="22"/>
            <w:lang w:val="cs-CZ"/>
          </w:rPr>
          <w:delText>ULN = horní hranice normy</w:delText>
        </w:r>
      </w:del>
    </w:p>
    <w:p w14:paraId="457EDDDC" w14:textId="3AC8A700" w:rsidR="000C75E6" w:rsidRPr="00F25A60" w:rsidDel="000066C0" w:rsidRDefault="000C75E6" w:rsidP="0048111F">
      <w:pPr>
        <w:autoSpaceDE w:val="0"/>
        <w:spacing w:line="240" w:lineRule="auto"/>
        <w:ind w:left="992" w:hanging="992"/>
        <w:rPr>
          <w:del w:id="78" w:author="Author"/>
          <w:color w:val="000000"/>
        </w:rPr>
      </w:pPr>
      <w:del w:id="79" w:author="Author">
        <w:r w:rsidRPr="00F25A60" w:rsidDel="000066C0">
          <w:rPr>
            <w:rFonts w:eastAsia="MS Mincho"/>
            <w:color w:val="000000"/>
          </w:rPr>
          <w:delText xml:space="preserve">AST = </w:delText>
        </w:r>
        <w:r w:rsidRPr="00F25A60" w:rsidDel="000066C0">
          <w:rPr>
            <w:color w:val="000000"/>
          </w:rPr>
          <w:delText>aspartátaminotransferáza</w:delText>
        </w:r>
      </w:del>
    </w:p>
    <w:p w14:paraId="2F120F86" w14:textId="77777777" w:rsidR="000C75E6" w:rsidRPr="00F25A60" w:rsidRDefault="000C75E6" w:rsidP="0048111F">
      <w:pPr>
        <w:pStyle w:val="EndnoteText"/>
        <w:tabs>
          <w:tab w:val="clear" w:pos="567"/>
        </w:tabs>
        <w:rPr>
          <w:color w:val="000000"/>
        </w:rPr>
      </w:pPr>
    </w:p>
    <w:p w14:paraId="7514180B" w14:textId="0C00265E" w:rsidR="00350B5E" w:rsidRPr="00F25A60" w:rsidRDefault="00C663D2" w:rsidP="0048111F">
      <w:pPr>
        <w:pStyle w:val="EndnoteText"/>
        <w:keepNext/>
        <w:tabs>
          <w:tab w:val="clear" w:pos="567"/>
        </w:tabs>
        <w:rPr>
          <w:color w:val="000000"/>
        </w:rPr>
      </w:pPr>
      <w:r w:rsidRPr="00F25A60">
        <w:rPr>
          <w:i/>
          <w:color w:val="000000"/>
          <w:u w:val="single"/>
        </w:rPr>
        <w:t xml:space="preserve">Porucha funkce </w:t>
      </w:r>
      <w:r w:rsidR="00350B5E" w:rsidRPr="00F25A60">
        <w:rPr>
          <w:i/>
          <w:color w:val="000000"/>
          <w:u w:val="single"/>
        </w:rPr>
        <w:t>ledvin</w:t>
      </w:r>
    </w:p>
    <w:p w14:paraId="62EA4FE9" w14:textId="6D326DBA" w:rsidR="000C75E6" w:rsidRPr="00F25A60" w:rsidRDefault="000C75E6" w:rsidP="0048111F">
      <w:pPr>
        <w:pStyle w:val="EndnoteText"/>
        <w:tabs>
          <w:tab w:val="clear" w:pos="567"/>
        </w:tabs>
        <w:rPr>
          <w:color w:val="000000"/>
        </w:rPr>
      </w:pPr>
      <w:r w:rsidRPr="00F25A60">
        <w:rPr>
          <w:color w:val="000000"/>
        </w:rPr>
        <w:t>U pacientů s dysfunkcí ledvin nebo u dialyzovaných pacientů má být použita počáteční minimální dávka 400 mg denně. U těchto pacientů se však doporučuje opatrnost. Pokud dávka není tolerována, může být snížena. Pokud je tolerována, může být v případě nedostatečné účinnosti zvýšena (viz bod</w:t>
      </w:r>
      <w:r w:rsidR="00C663D2" w:rsidRPr="00F25A60">
        <w:rPr>
          <w:color w:val="000000"/>
        </w:rPr>
        <w:t>y</w:t>
      </w:r>
      <w:ins w:id="80" w:author="Author">
        <w:r w:rsidR="006743BE" w:rsidRPr="00F25A60">
          <w:rPr>
            <w:color w:val="000000"/>
          </w:rPr>
          <w:t> </w:t>
        </w:r>
      </w:ins>
      <w:del w:id="81" w:author="Author">
        <w:r w:rsidRPr="00F25A60" w:rsidDel="006743BE">
          <w:rPr>
            <w:color w:val="000000"/>
          </w:rPr>
          <w:delText xml:space="preserve"> </w:delText>
        </w:r>
      </w:del>
      <w:smartTag w:uri="urn:schemas-microsoft-com:office:smarttags" w:element="metricconverter">
        <w:smartTagPr>
          <w:attr w:name="ProductID" w:val="4.4 a"/>
        </w:smartTagPr>
        <w:r w:rsidRPr="00F25A60">
          <w:rPr>
            <w:color w:val="000000"/>
          </w:rPr>
          <w:t>4.4 a</w:t>
        </w:r>
      </w:smartTag>
      <w:r w:rsidRPr="00F25A60">
        <w:rPr>
          <w:color w:val="000000"/>
        </w:rPr>
        <w:t xml:space="preserve"> 5.2).</w:t>
      </w:r>
    </w:p>
    <w:p w14:paraId="52087B61" w14:textId="77777777" w:rsidR="000C75E6" w:rsidRPr="00F25A60" w:rsidRDefault="000C75E6" w:rsidP="0048111F">
      <w:pPr>
        <w:pStyle w:val="EndnoteText"/>
        <w:tabs>
          <w:tab w:val="clear" w:pos="567"/>
        </w:tabs>
        <w:rPr>
          <w:color w:val="000000"/>
        </w:rPr>
      </w:pPr>
    </w:p>
    <w:p w14:paraId="105963E5" w14:textId="7CCCA4CF" w:rsidR="00350B5E" w:rsidRPr="00F25A60" w:rsidRDefault="000C75E6" w:rsidP="0048111F">
      <w:pPr>
        <w:pStyle w:val="EndnoteText"/>
        <w:keepNext/>
        <w:tabs>
          <w:tab w:val="clear" w:pos="567"/>
        </w:tabs>
        <w:rPr>
          <w:color w:val="000000"/>
        </w:rPr>
      </w:pPr>
      <w:r w:rsidRPr="00F25A60">
        <w:rPr>
          <w:i/>
          <w:color w:val="000000"/>
          <w:u w:val="single"/>
        </w:rPr>
        <w:t xml:space="preserve">Starší </w:t>
      </w:r>
      <w:r w:rsidR="00C663D2" w:rsidRPr="00F25A60">
        <w:rPr>
          <w:i/>
          <w:color w:val="000000"/>
          <w:u w:val="single"/>
        </w:rPr>
        <w:t>pacienti</w:t>
      </w:r>
    </w:p>
    <w:p w14:paraId="2A721AFF" w14:textId="414F0AAD" w:rsidR="000C75E6" w:rsidRPr="00F25A60" w:rsidRDefault="000C75E6" w:rsidP="0048111F">
      <w:pPr>
        <w:pStyle w:val="EndnoteText"/>
        <w:tabs>
          <w:tab w:val="clear" w:pos="567"/>
        </w:tabs>
        <w:rPr>
          <w:color w:val="000000"/>
        </w:rPr>
      </w:pPr>
      <w:r w:rsidRPr="00F25A60">
        <w:rPr>
          <w:color w:val="000000"/>
        </w:rPr>
        <w:t xml:space="preserve">U starších </w:t>
      </w:r>
      <w:r w:rsidR="00C663D2" w:rsidRPr="00F25A60">
        <w:rPr>
          <w:color w:val="000000"/>
        </w:rPr>
        <w:t>pacientů</w:t>
      </w:r>
      <w:r w:rsidRPr="00F25A60">
        <w:rPr>
          <w:color w:val="000000"/>
        </w:rPr>
        <w:t xml:space="preserve"> nebyla farmakokinetika imatinibu cíleně studována. V klinických studiích, které zahrnovaly 20</w:t>
      </w:r>
      <w:r w:rsidR="004B270C" w:rsidRPr="00F25A60">
        <w:rPr>
          <w:color w:val="000000"/>
        </w:rPr>
        <w:t> </w:t>
      </w:r>
      <w:r w:rsidRPr="00F25A60">
        <w:rPr>
          <w:color w:val="000000"/>
        </w:rPr>
        <w:t xml:space="preserve">% pacientů ve věku 65 let a starších, nebyly u dospělých pacientů pozorovány významné rozdíly ve farmakokinetice v závislosti na věku. U starších </w:t>
      </w:r>
      <w:r w:rsidR="00C663D2" w:rsidRPr="00F25A60">
        <w:rPr>
          <w:color w:val="000000"/>
        </w:rPr>
        <w:t>pacientů</w:t>
      </w:r>
      <w:r w:rsidRPr="00F25A60">
        <w:rPr>
          <w:color w:val="000000"/>
        </w:rPr>
        <w:t xml:space="preserve"> není nutné doporučovat zvláštní dávkování.</w:t>
      </w:r>
    </w:p>
    <w:p w14:paraId="76826B8B" w14:textId="77777777" w:rsidR="000C75E6" w:rsidRPr="00F25A60" w:rsidRDefault="000C75E6" w:rsidP="0048111F">
      <w:pPr>
        <w:pStyle w:val="EndnoteText"/>
        <w:tabs>
          <w:tab w:val="clear" w:pos="567"/>
        </w:tabs>
        <w:rPr>
          <w:color w:val="000000"/>
        </w:rPr>
      </w:pPr>
    </w:p>
    <w:p w14:paraId="0464BB92" w14:textId="77777777" w:rsidR="00EA5993" w:rsidRPr="00F25A60" w:rsidRDefault="00EA5993" w:rsidP="0048111F">
      <w:pPr>
        <w:keepNext/>
        <w:tabs>
          <w:tab w:val="clear" w:pos="567"/>
        </w:tabs>
        <w:spacing w:line="240" w:lineRule="auto"/>
        <w:ind w:left="567" w:hanging="567"/>
        <w:rPr>
          <w:b/>
          <w:bCs/>
          <w:color w:val="000000"/>
        </w:rPr>
      </w:pPr>
      <w:r w:rsidRPr="00F25A60">
        <w:rPr>
          <w:b/>
          <w:bCs/>
          <w:color w:val="000000"/>
        </w:rPr>
        <w:t>4.3</w:t>
      </w:r>
      <w:r w:rsidRPr="00F25A60">
        <w:rPr>
          <w:b/>
          <w:bCs/>
          <w:color w:val="000000"/>
        </w:rPr>
        <w:tab/>
        <w:t>Kontraindikace</w:t>
      </w:r>
    </w:p>
    <w:p w14:paraId="277C7E1F" w14:textId="77777777" w:rsidR="00EA5993" w:rsidRPr="00F25A60" w:rsidRDefault="00EA5993" w:rsidP="0048111F">
      <w:pPr>
        <w:pStyle w:val="EndnoteText"/>
        <w:keepNext/>
        <w:tabs>
          <w:tab w:val="clear" w:pos="567"/>
        </w:tabs>
        <w:rPr>
          <w:color w:val="000000"/>
        </w:rPr>
      </w:pPr>
    </w:p>
    <w:p w14:paraId="6DFF39EF" w14:textId="023AAC3B" w:rsidR="00EA5993" w:rsidRPr="00F25A60" w:rsidRDefault="00EA5993" w:rsidP="0048111F">
      <w:pPr>
        <w:pStyle w:val="EndnoteText"/>
        <w:tabs>
          <w:tab w:val="clear" w:pos="567"/>
        </w:tabs>
        <w:rPr>
          <w:color w:val="000000"/>
        </w:rPr>
      </w:pPr>
      <w:r w:rsidRPr="00F25A60">
        <w:rPr>
          <w:color w:val="000000"/>
        </w:rPr>
        <w:t>Hypersenzitivita na léčivou látku nebo na kteroukoli pomocnou látku uvedenou v bodě</w:t>
      </w:r>
      <w:ins w:id="82" w:author="Author">
        <w:r w:rsidR="00377063" w:rsidRPr="00F25A60">
          <w:rPr>
            <w:color w:val="000000"/>
          </w:rPr>
          <w:t> </w:t>
        </w:r>
      </w:ins>
      <w:del w:id="83" w:author="Author">
        <w:r w:rsidRPr="00F25A60" w:rsidDel="00377063">
          <w:rPr>
            <w:color w:val="000000"/>
          </w:rPr>
          <w:delText xml:space="preserve"> </w:delText>
        </w:r>
      </w:del>
      <w:r w:rsidRPr="00F25A60">
        <w:rPr>
          <w:color w:val="000000"/>
        </w:rPr>
        <w:t>6.1.</w:t>
      </w:r>
    </w:p>
    <w:p w14:paraId="735E7B62" w14:textId="77777777" w:rsidR="00EA5993" w:rsidRPr="00F25A60" w:rsidRDefault="00EA5993" w:rsidP="0048111F">
      <w:pPr>
        <w:pStyle w:val="EndnoteText"/>
        <w:tabs>
          <w:tab w:val="clear" w:pos="567"/>
        </w:tabs>
        <w:rPr>
          <w:color w:val="000000"/>
        </w:rPr>
      </w:pPr>
    </w:p>
    <w:p w14:paraId="0AB05EA8" w14:textId="77777777" w:rsidR="00EA5993" w:rsidRPr="00F25A60" w:rsidRDefault="00EA5993" w:rsidP="0048111F">
      <w:pPr>
        <w:keepNext/>
        <w:tabs>
          <w:tab w:val="clear" w:pos="567"/>
        </w:tabs>
        <w:spacing w:line="240" w:lineRule="auto"/>
        <w:ind w:left="567" w:hanging="567"/>
        <w:rPr>
          <w:b/>
          <w:bCs/>
          <w:color w:val="000000"/>
        </w:rPr>
      </w:pPr>
      <w:r w:rsidRPr="00F25A60">
        <w:rPr>
          <w:b/>
          <w:bCs/>
          <w:color w:val="000000"/>
        </w:rPr>
        <w:t>4.4</w:t>
      </w:r>
      <w:r w:rsidRPr="00F25A60">
        <w:rPr>
          <w:b/>
          <w:bCs/>
          <w:color w:val="000000"/>
        </w:rPr>
        <w:tab/>
        <w:t>Zvláštní upozornění a opatření pro použití</w:t>
      </w:r>
    </w:p>
    <w:p w14:paraId="2B2C16D8" w14:textId="77777777" w:rsidR="00EA5993" w:rsidRPr="00F25A60" w:rsidRDefault="00EA5993" w:rsidP="0048111F">
      <w:pPr>
        <w:pStyle w:val="EndnoteText"/>
        <w:keepNext/>
        <w:tabs>
          <w:tab w:val="clear" w:pos="567"/>
        </w:tabs>
        <w:rPr>
          <w:color w:val="000000"/>
        </w:rPr>
      </w:pPr>
    </w:p>
    <w:p w14:paraId="55751EB4" w14:textId="54A07568" w:rsidR="00EA5993" w:rsidRPr="00F25A60" w:rsidRDefault="00EA5993" w:rsidP="0048111F">
      <w:pPr>
        <w:pStyle w:val="EndnoteText"/>
        <w:tabs>
          <w:tab w:val="clear" w:pos="567"/>
          <w:tab w:val="left" w:pos="7655"/>
        </w:tabs>
        <w:rPr>
          <w:color w:val="000000"/>
        </w:rPr>
      </w:pPr>
      <w:r w:rsidRPr="00F25A60">
        <w:rPr>
          <w:color w:val="000000"/>
        </w:rPr>
        <w:t xml:space="preserve">Pokud je Glivec podáván společně s jinými léčivými přípravky, je možné očekávat lékové interakce. </w:t>
      </w:r>
      <w:r w:rsidRPr="00F25A60">
        <w:t>Při užívání Glivecu s</w:t>
      </w:r>
      <w:r w:rsidRPr="00F25A60">
        <w:rPr>
          <w:color w:val="000000"/>
        </w:rPr>
        <w:t> inhibitory proteáz, azolovými antimykotiky, některými makrolidy (viz bod</w:t>
      </w:r>
      <w:ins w:id="84" w:author="Author">
        <w:r w:rsidR="00377063" w:rsidRPr="00F25A60">
          <w:rPr>
            <w:color w:val="000000"/>
          </w:rPr>
          <w:t> </w:t>
        </w:r>
      </w:ins>
      <w:del w:id="85" w:author="Author">
        <w:r w:rsidRPr="00F25A60" w:rsidDel="00377063">
          <w:rPr>
            <w:color w:val="000000"/>
          </w:rPr>
          <w:delText xml:space="preserve"> </w:delText>
        </w:r>
      </w:del>
      <w:r w:rsidRPr="00F25A60">
        <w:rPr>
          <w:color w:val="000000"/>
        </w:rPr>
        <w:t>4.5)</w:t>
      </w:r>
      <w:r w:rsidRPr="00F25A60">
        <w:t xml:space="preserve">, substráty CYP3A4 s úzkým terapeutickým </w:t>
      </w:r>
      <w:r w:rsidR="00D65C17" w:rsidRPr="00F25A60">
        <w:t>oknem</w:t>
      </w:r>
      <w:r w:rsidRPr="00F25A60">
        <w:t xml:space="preserve"> (např. cyklosporin, pimozid, takrolimus, sirolimus, ergotamin, diergotamin, fentanyl, alfentanil, terf</w:t>
      </w:r>
      <w:r w:rsidR="00D65C17" w:rsidRPr="00F25A60">
        <w:t>e</w:t>
      </w:r>
      <w:r w:rsidRPr="00F25A60">
        <w:t>nadin, bortezomib, docetaxel, chinidin) nebo warfarinem a jinými deriváty kumarinu je nutné dbát opatrnosti (viz bod</w:t>
      </w:r>
      <w:ins w:id="86" w:author="Author">
        <w:r w:rsidR="00377063" w:rsidRPr="00F25A60">
          <w:rPr>
            <w:color w:val="000000"/>
          </w:rPr>
          <w:t> </w:t>
        </w:r>
      </w:ins>
      <w:del w:id="87" w:author="Author">
        <w:r w:rsidRPr="00F25A60" w:rsidDel="00377063">
          <w:delText xml:space="preserve"> </w:delText>
        </w:r>
      </w:del>
      <w:r w:rsidRPr="00F25A60">
        <w:t>4.5).</w:t>
      </w:r>
    </w:p>
    <w:p w14:paraId="0927CF1D" w14:textId="77777777" w:rsidR="00EA5993" w:rsidRPr="00F25A60" w:rsidRDefault="00EA5993" w:rsidP="0048111F">
      <w:pPr>
        <w:pStyle w:val="EndnoteText"/>
        <w:tabs>
          <w:tab w:val="clear" w:pos="567"/>
          <w:tab w:val="left" w:pos="7655"/>
        </w:tabs>
        <w:rPr>
          <w:color w:val="000000"/>
        </w:rPr>
      </w:pPr>
    </w:p>
    <w:p w14:paraId="57413857" w14:textId="3C5D546E" w:rsidR="00EA5993" w:rsidRPr="00F25A60" w:rsidRDefault="00EA5993" w:rsidP="0048111F">
      <w:pPr>
        <w:pStyle w:val="EndnoteText"/>
        <w:tabs>
          <w:tab w:val="clear" w:pos="567"/>
          <w:tab w:val="left" w:pos="7655"/>
        </w:tabs>
        <w:rPr>
          <w:color w:val="000000"/>
        </w:rPr>
      </w:pPr>
      <w:r w:rsidRPr="00F25A60">
        <w:rPr>
          <w:color w:val="000000"/>
        </w:rPr>
        <w:t xml:space="preserve">Souběžné užívání imatinibu a léčivých přípravků, které indukují CYP3A4 (např. dexamethason, fenytoin, karbamazepin, rifampicin, fenobarbital nebo </w:t>
      </w:r>
      <w:r w:rsidRPr="00F25A60">
        <w:rPr>
          <w:i/>
          <w:iCs/>
          <w:color w:val="000000"/>
        </w:rPr>
        <w:t>Hypericum perforatum</w:t>
      </w:r>
      <w:r w:rsidRPr="00F25A60">
        <w:rPr>
          <w:color w:val="000000"/>
        </w:rPr>
        <w:t>, také známé jako třezalka tečkovaná) mohou významně snižovat hladinu Glivecu a potenciálně zvyšovat riziko selhání léčby</w:t>
      </w:r>
      <w:r w:rsidR="00124347">
        <w:rPr>
          <w:color w:val="000000"/>
        </w:rPr>
        <w:t>.</w:t>
      </w:r>
      <w:r w:rsidRPr="00F25A60">
        <w:rPr>
          <w:color w:val="000000"/>
        </w:rPr>
        <w:t xml:space="preserve"> Proto se </w:t>
      </w:r>
      <w:r w:rsidR="00D65C17" w:rsidRPr="00F25A60">
        <w:rPr>
          <w:color w:val="000000"/>
        </w:rPr>
        <w:t>má</w:t>
      </w:r>
      <w:r w:rsidRPr="00F25A60">
        <w:rPr>
          <w:color w:val="000000"/>
        </w:rPr>
        <w:t xml:space="preserve"> zabránit souběžnému užívání silných induktorů CYP3A4 a imatinibu (viz bod</w:t>
      </w:r>
      <w:ins w:id="88" w:author="Author">
        <w:r w:rsidR="00377063" w:rsidRPr="00F25A60">
          <w:rPr>
            <w:color w:val="000000"/>
          </w:rPr>
          <w:t> </w:t>
        </w:r>
      </w:ins>
      <w:del w:id="89" w:author="Author">
        <w:r w:rsidRPr="00F25A60" w:rsidDel="00377063">
          <w:rPr>
            <w:color w:val="000000"/>
          </w:rPr>
          <w:delText xml:space="preserve"> </w:delText>
        </w:r>
      </w:del>
      <w:r w:rsidRPr="00F25A60">
        <w:rPr>
          <w:color w:val="000000"/>
        </w:rPr>
        <w:t>4.5).</w:t>
      </w:r>
    </w:p>
    <w:p w14:paraId="7C1B5345" w14:textId="77777777" w:rsidR="00EA5993" w:rsidRPr="00F25A60" w:rsidRDefault="00EA5993" w:rsidP="0048111F">
      <w:pPr>
        <w:pStyle w:val="EndnoteText"/>
        <w:tabs>
          <w:tab w:val="clear" w:pos="567"/>
          <w:tab w:val="left" w:pos="7655"/>
        </w:tabs>
        <w:rPr>
          <w:color w:val="000000"/>
        </w:rPr>
      </w:pPr>
    </w:p>
    <w:p w14:paraId="3F566CF6" w14:textId="2D79DA02" w:rsidR="00EA5993" w:rsidRPr="00F25A60" w:rsidRDefault="00EA5993" w:rsidP="0048111F">
      <w:pPr>
        <w:pStyle w:val="EndnoteText"/>
        <w:keepNext/>
        <w:tabs>
          <w:tab w:val="clear" w:pos="567"/>
          <w:tab w:val="left" w:pos="7655"/>
        </w:tabs>
        <w:rPr>
          <w:color w:val="000000"/>
          <w:u w:val="single"/>
        </w:rPr>
      </w:pPr>
      <w:r w:rsidRPr="00F25A60">
        <w:rPr>
          <w:color w:val="000000"/>
          <w:u w:val="single"/>
        </w:rPr>
        <w:t>Hypotyreóza</w:t>
      </w:r>
    </w:p>
    <w:p w14:paraId="36AD4DB4" w14:textId="77777777" w:rsidR="0096691F" w:rsidRPr="00F25A60" w:rsidRDefault="0096691F" w:rsidP="0048111F">
      <w:pPr>
        <w:pStyle w:val="EndnoteText"/>
        <w:keepNext/>
        <w:tabs>
          <w:tab w:val="clear" w:pos="567"/>
          <w:tab w:val="left" w:pos="7655"/>
        </w:tabs>
        <w:rPr>
          <w:color w:val="000000"/>
        </w:rPr>
      </w:pPr>
    </w:p>
    <w:p w14:paraId="719EEC9C" w14:textId="66D5CA7F" w:rsidR="00EA5993" w:rsidRPr="00F25A60" w:rsidRDefault="00EA5993" w:rsidP="0048111F">
      <w:pPr>
        <w:pStyle w:val="EndnoteText"/>
        <w:tabs>
          <w:tab w:val="clear" w:pos="567"/>
          <w:tab w:val="left" w:pos="7655"/>
        </w:tabs>
        <w:rPr>
          <w:color w:val="000000"/>
        </w:rPr>
      </w:pPr>
      <w:r w:rsidRPr="00F25A60">
        <w:rPr>
          <w:color w:val="000000"/>
        </w:rPr>
        <w:t>Během léčby Glivecem byly hlášeny klinické případy hypotyreózy u pacientů, kterým byla provedena tyreoidektomie a kteří byli substitučně léčeni levothyroxinem (viz bod</w:t>
      </w:r>
      <w:ins w:id="90" w:author="Author">
        <w:r w:rsidR="00377063" w:rsidRPr="00F25A60">
          <w:rPr>
            <w:color w:val="000000"/>
          </w:rPr>
          <w:t> </w:t>
        </w:r>
      </w:ins>
      <w:del w:id="91" w:author="Author">
        <w:r w:rsidRPr="00F25A60" w:rsidDel="00377063">
          <w:rPr>
            <w:color w:val="000000"/>
          </w:rPr>
          <w:delText xml:space="preserve"> </w:delText>
        </w:r>
      </w:del>
      <w:r w:rsidRPr="00F25A60">
        <w:rPr>
          <w:color w:val="000000"/>
        </w:rPr>
        <w:t>4.5). U těchto pacientů je třeba důkladně kontrolovat hladiny tyreotropního hormonu (TSH).</w:t>
      </w:r>
    </w:p>
    <w:p w14:paraId="78E8154E" w14:textId="77777777" w:rsidR="00EA5993" w:rsidRPr="00F25A60" w:rsidRDefault="00EA5993" w:rsidP="0048111F">
      <w:pPr>
        <w:pStyle w:val="EndnoteText"/>
        <w:tabs>
          <w:tab w:val="clear" w:pos="567"/>
          <w:tab w:val="left" w:pos="7655"/>
        </w:tabs>
        <w:rPr>
          <w:color w:val="000000"/>
        </w:rPr>
      </w:pPr>
    </w:p>
    <w:p w14:paraId="7A863C41" w14:textId="08246F51" w:rsidR="00EA5993" w:rsidRPr="00F25A60" w:rsidRDefault="00EA5993" w:rsidP="0048111F">
      <w:pPr>
        <w:pStyle w:val="EndnoteText"/>
        <w:keepNext/>
        <w:tabs>
          <w:tab w:val="clear" w:pos="567"/>
          <w:tab w:val="left" w:pos="7655"/>
        </w:tabs>
        <w:rPr>
          <w:color w:val="000000"/>
          <w:u w:val="single"/>
        </w:rPr>
      </w:pPr>
      <w:r w:rsidRPr="00F25A60">
        <w:rPr>
          <w:color w:val="000000"/>
          <w:u w:val="single"/>
        </w:rPr>
        <w:t>Hepatotoxicita</w:t>
      </w:r>
    </w:p>
    <w:p w14:paraId="78CF3DFB" w14:textId="77777777" w:rsidR="0096691F" w:rsidRPr="00F25A60" w:rsidRDefault="0096691F" w:rsidP="0048111F">
      <w:pPr>
        <w:pStyle w:val="EndnoteText"/>
        <w:keepNext/>
        <w:tabs>
          <w:tab w:val="clear" w:pos="567"/>
          <w:tab w:val="left" w:pos="7655"/>
        </w:tabs>
        <w:rPr>
          <w:color w:val="000000"/>
        </w:rPr>
      </w:pPr>
    </w:p>
    <w:p w14:paraId="0AC2919D" w14:textId="23EBF207" w:rsidR="00EA5993" w:rsidRPr="00F25A60" w:rsidRDefault="00EA5993" w:rsidP="0048111F">
      <w:pPr>
        <w:pStyle w:val="EndnoteText"/>
        <w:tabs>
          <w:tab w:val="clear" w:pos="567"/>
        </w:tabs>
        <w:rPr>
          <w:color w:val="000000"/>
        </w:rPr>
      </w:pPr>
      <w:r w:rsidRPr="00F25A60">
        <w:rPr>
          <w:color w:val="000000"/>
        </w:rPr>
        <w:t>Glivec je metabolizován převážně játry a pouze 13</w:t>
      </w:r>
      <w:r w:rsidR="004B270C" w:rsidRPr="00F25A60">
        <w:rPr>
          <w:color w:val="000000"/>
        </w:rPr>
        <w:t> </w:t>
      </w:r>
      <w:r w:rsidRPr="00F25A60">
        <w:rPr>
          <w:color w:val="000000"/>
        </w:rPr>
        <w:t>% je vylučováno ledvinami. U pacientů s dysfunkcí jater (</w:t>
      </w:r>
      <w:r w:rsidR="00D65C17" w:rsidRPr="00F25A60">
        <w:rPr>
          <w:color w:val="000000"/>
        </w:rPr>
        <w:t>lehkou</w:t>
      </w:r>
      <w:r w:rsidRPr="00F25A60">
        <w:rPr>
          <w:color w:val="000000"/>
        </w:rPr>
        <w:t xml:space="preserve">, středně </w:t>
      </w:r>
      <w:r w:rsidR="00D65C17" w:rsidRPr="00F25A60">
        <w:rPr>
          <w:color w:val="000000"/>
        </w:rPr>
        <w:t>těžkou</w:t>
      </w:r>
      <w:r w:rsidRPr="00F25A60">
        <w:rPr>
          <w:color w:val="000000"/>
        </w:rPr>
        <w:t xml:space="preserve"> nebo </w:t>
      </w:r>
      <w:r w:rsidR="00D65C17" w:rsidRPr="00F25A60">
        <w:rPr>
          <w:color w:val="000000"/>
        </w:rPr>
        <w:t>těžkou</w:t>
      </w:r>
      <w:r w:rsidRPr="00F25A60">
        <w:rPr>
          <w:color w:val="000000"/>
        </w:rPr>
        <w:t xml:space="preserve">) </w:t>
      </w:r>
      <w:r w:rsidR="00D65C17" w:rsidRPr="00F25A60">
        <w:rPr>
          <w:color w:val="000000"/>
        </w:rPr>
        <w:t>má</w:t>
      </w:r>
      <w:r w:rsidRPr="00F25A60">
        <w:rPr>
          <w:color w:val="000000"/>
        </w:rPr>
        <w:t xml:space="preserve"> být pečlivě sledován počet krevních elementů </w:t>
      </w:r>
      <w:r w:rsidRPr="00F25A60">
        <w:rPr>
          <w:color w:val="000000"/>
        </w:rPr>
        <w:lastRenderedPageBreak/>
        <w:t>v periferní krvi a jaterní enzymy (viz body</w:t>
      </w:r>
      <w:ins w:id="92" w:author="Author">
        <w:r w:rsidR="00564AC2" w:rsidRPr="00F25A60">
          <w:rPr>
            <w:color w:val="000000"/>
          </w:rPr>
          <w:t> </w:t>
        </w:r>
      </w:ins>
      <w:del w:id="93" w:author="Author">
        <w:r w:rsidRPr="00F25A60" w:rsidDel="00564AC2">
          <w:rPr>
            <w:color w:val="000000"/>
          </w:rPr>
          <w:delText xml:space="preserve"> </w:delText>
        </w:r>
      </w:del>
      <w:r w:rsidRPr="00F25A60">
        <w:rPr>
          <w:color w:val="000000"/>
        </w:rPr>
        <w:t xml:space="preserve">4.2, </w:t>
      </w:r>
      <w:smartTag w:uri="urn:schemas-microsoft-com:office:smarttags" w:element="metricconverter">
        <w:smartTagPr>
          <w:attr w:name="ProductID" w:val="4.8 a"/>
        </w:smartTagPr>
        <w:r w:rsidRPr="00F25A60">
          <w:rPr>
            <w:color w:val="000000"/>
          </w:rPr>
          <w:t>4.8 a</w:t>
        </w:r>
      </w:smartTag>
      <w:r w:rsidRPr="00F25A60">
        <w:rPr>
          <w:color w:val="000000"/>
        </w:rPr>
        <w:t xml:space="preserve"> 5.2). Je nutné si uvědomit, že pacienti s GIST mohou mít jaterní metastázy, které mohou vést ke zhoršení jaterních funkcí.</w:t>
      </w:r>
    </w:p>
    <w:p w14:paraId="6558DB39" w14:textId="77777777" w:rsidR="00EA5993" w:rsidRPr="00F25A60" w:rsidRDefault="00EA5993" w:rsidP="0048111F">
      <w:pPr>
        <w:pStyle w:val="EndnoteText"/>
        <w:tabs>
          <w:tab w:val="clear" w:pos="567"/>
        </w:tabs>
        <w:rPr>
          <w:color w:val="000000"/>
        </w:rPr>
      </w:pPr>
    </w:p>
    <w:p w14:paraId="1CDEF379" w14:textId="6262BB59" w:rsidR="00EA5993" w:rsidRPr="00F25A60" w:rsidRDefault="00EA5993" w:rsidP="0048111F">
      <w:pPr>
        <w:pStyle w:val="EndnoteText"/>
        <w:tabs>
          <w:tab w:val="clear" w:pos="567"/>
        </w:tabs>
        <w:rPr>
          <w:color w:val="000000"/>
        </w:rPr>
      </w:pPr>
      <w:r w:rsidRPr="00F25A60">
        <w:rPr>
          <w:color w:val="000000"/>
        </w:rPr>
        <w:t xml:space="preserve">Při léčbě imatinibem byly pozorovány případy jaterního poškození včetně jaterního selhání a jaterní nekrózy. Pokud bylo podávání imatinibu kombinováno s vysokodávkovými chemoterapeutickými režimy, byl zjištěn nárůst závažných jaterních reakcí. Jaterní funkce </w:t>
      </w:r>
      <w:r w:rsidR="00D65C17" w:rsidRPr="00F25A60">
        <w:rPr>
          <w:color w:val="000000"/>
        </w:rPr>
        <w:t>mají</w:t>
      </w:r>
      <w:r w:rsidRPr="00F25A60">
        <w:rPr>
          <w:color w:val="000000"/>
        </w:rPr>
        <w:t xml:space="preserve"> být pečlivě monitorovány, jestliže se imatinib kombinuje s chemoterapeutickými režimy, o kterých je také známo, že bývají spojeny s poruchou jaterních funkcí (viz bod</w:t>
      </w:r>
      <w:r w:rsidR="00D65C17" w:rsidRPr="00F25A60">
        <w:rPr>
          <w:color w:val="000000"/>
        </w:rPr>
        <w:t>y</w:t>
      </w:r>
      <w:ins w:id="94" w:author="Author">
        <w:r w:rsidR="00564AC2" w:rsidRPr="00F25A60">
          <w:rPr>
            <w:color w:val="000000"/>
          </w:rPr>
          <w:t> </w:t>
        </w:r>
      </w:ins>
      <w:del w:id="95" w:author="Author">
        <w:r w:rsidRPr="00F25A60" w:rsidDel="00564AC2">
          <w:rPr>
            <w:color w:val="000000"/>
          </w:rPr>
          <w:delText xml:space="preserve"> </w:delText>
        </w:r>
      </w:del>
      <w:smartTag w:uri="urn:schemas-microsoft-com:office:smarttags" w:element="metricconverter">
        <w:smartTagPr>
          <w:attr w:name="ProductID" w:val="4.5 a"/>
        </w:smartTagPr>
        <w:r w:rsidRPr="00F25A60">
          <w:rPr>
            <w:color w:val="000000"/>
          </w:rPr>
          <w:t>4.5 a</w:t>
        </w:r>
      </w:smartTag>
      <w:r w:rsidRPr="00F25A60">
        <w:rPr>
          <w:color w:val="000000"/>
        </w:rPr>
        <w:t xml:space="preserve"> 4.8).</w:t>
      </w:r>
    </w:p>
    <w:p w14:paraId="302F33A9" w14:textId="77777777" w:rsidR="00EA5993" w:rsidRPr="00F25A60" w:rsidRDefault="00EA5993" w:rsidP="0048111F">
      <w:pPr>
        <w:pStyle w:val="EndnoteText"/>
        <w:tabs>
          <w:tab w:val="clear" w:pos="567"/>
        </w:tabs>
        <w:rPr>
          <w:color w:val="000000"/>
        </w:rPr>
      </w:pPr>
    </w:p>
    <w:p w14:paraId="1DDDB7E8" w14:textId="3E2A59DA" w:rsidR="00EA5993" w:rsidRPr="00F25A60" w:rsidRDefault="00EA5993" w:rsidP="0048111F">
      <w:pPr>
        <w:pStyle w:val="EndnoteText"/>
        <w:keepNext/>
        <w:tabs>
          <w:tab w:val="clear" w:pos="567"/>
        </w:tabs>
        <w:rPr>
          <w:color w:val="000000"/>
          <w:u w:val="single"/>
        </w:rPr>
      </w:pPr>
      <w:r w:rsidRPr="00F25A60">
        <w:rPr>
          <w:color w:val="000000"/>
          <w:u w:val="single"/>
        </w:rPr>
        <w:t>Retence tekutin</w:t>
      </w:r>
    </w:p>
    <w:p w14:paraId="79C5D011" w14:textId="77777777" w:rsidR="0096691F" w:rsidRPr="00F25A60" w:rsidRDefault="0096691F" w:rsidP="0048111F">
      <w:pPr>
        <w:pStyle w:val="EndnoteText"/>
        <w:keepNext/>
        <w:tabs>
          <w:tab w:val="clear" w:pos="567"/>
        </w:tabs>
        <w:rPr>
          <w:color w:val="000000"/>
        </w:rPr>
      </w:pPr>
    </w:p>
    <w:p w14:paraId="5DE50D21" w14:textId="77777777" w:rsidR="00EA5993" w:rsidRPr="00F25A60" w:rsidRDefault="00EA5993" w:rsidP="0048111F">
      <w:pPr>
        <w:pStyle w:val="EndnoteText"/>
        <w:tabs>
          <w:tab w:val="clear" w:pos="567"/>
        </w:tabs>
        <w:rPr>
          <w:color w:val="000000"/>
        </w:rPr>
      </w:pPr>
      <w:r w:rsidRPr="00F25A60">
        <w:rPr>
          <w:color w:val="000000"/>
        </w:rPr>
        <w:t>Výskyt závažné retence tekutin (pleurální výpotek, edém, plicní edém, ascites, povrchový edém) byl hlášen přibližně u 2,5</w:t>
      </w:r>
      <w:r w:rsidR="004B270C" w:rsidRPr="00F25A60">
        <w:rPr>
          <w:color w:val="000000"/>
        </w:rPr>
        <w:t> </w:t>
      </w:r>
      <w:r w:rsidRPr="00F25A60">
        <w:rPr>
          <w:color w:val="000000"/>
        </w:rPr>
        <w:t xml:space="preserve">% nově diagnostikovaných pacientů s CML užívajících Glivec. Proto se velice doporučuje pravidelné vážení pacientů. Neočekávaný, rychlý nárůst tělesné hmotnosti </w:t>
      </w:r>
      <w:r w:rsidR="00D65C17" w:rsidRPr="00F25A60">
        <w:rPr>
          <w:color w:val="000000"/>
        </w:rPr>
        <w:t>má</w:t>
      </w:r>
      <w:r w:rsidRPr="00F25A60">
        <w:rPr>
          <w:color w:val="000000"/>
        </w:rPr>
        <w:t xml:space="preserve"> být pečlivě vyšetřen, a pokud je to nezbytné, </w:t>
      </w:r>
      <w:r w:rsidR="00D65C17" w:rsidRPr="00F25A60">
        <w:rPr>
          <w:color w:val="000000"/>
        </w:rPr>
        <w:t>mají být</w:t>
      </w:r>
      <w:r w:rsidRPr="00F25A60">
        <w:rPr>
          <w:color w:val="000000"/>
        </w:rPr>
        <w:t xml:space="preserve"> zavedena příslušná podpůrná a léčebná opatření. V klinických studiích byl zvýšený výskyt těchto příhod u starších </w:t>
      </w:r>
      <w:r w:rsidR="00D65C17" w:rsidRPr="00F25A60">
        <w:rPr>
          <w:color w:val="000000"/>
        </w:rPr>
        <w:t xml:space="preserve">pacientů </w:t>
      </w:r>
      <w:r w:rsidRPr="00F25A60">
        <w:rPr>
          <w:color w:val="000000"/>
        </w:rPr>
        <w:t>a u pacientů se srdečním onemocněním v anamnéze. Proto je nutné pacientům se srdeční dysfunkcí věnovat zvýšenou pozornost.</w:t>
      </w:r>
    </w:p>
    <w:p w14:paraId="3735A0A0" w14:textId="77777777" w:rsidR="00EA5993" w:rsidRPr="00F25A60" w:rsidRDefault="00EA5993" w:rsidP="0048111F">
      <w:pPr>
        <w:pStyle w:val="EndnoteText"/>
        <w:tabs>
          <w:tab w:val="clear" w:pos="567"/>
        </w:tabs>
        <w:rPr>
          <w:color w:val="000000"/>
          <w:u w:val="single"/>
        </w:rPr>
      </w:pPr>
    </w:p>
    <w:p w14:paraId="1F5FFAB6" w14:textId="4B4F13BD" w:rsidR="00EA5993" w:rsidRPr="00F25A60" w:rsidRDefault="00EA5993" w:rsidP="0048111F">
      <w:pPr>
        <w:pStyle w:val="EndnoteText"/>
        <w:keepNext/>
        <w:tabs>
          <w:tab w:val="clear" w:pos="567"/>
        </w:tabs>
        <w:rPr>
          <w:color w:val="000000"/>
          <w:u w:val="single"/>
        </w:rPr>
      </w:pPr>
      <w:r w:rsidRPr="00F25A60">
        <w:rPr>
          <w:color w:val="000000"/>
          <w:u w:val="single"/>
        </w:rPr>
        <w:t>Pacienti se srdečním onemocněním</w:t>
      </w:r>
    </w:p>
    <w:p w14:paraId="33B526C2" w14:textId="77777777" w:rsidR="0096691F" w:rsidRPr="00F25A60" w:rsidRDefault="0096691F" w:rsidP="0048111F">
      <w:pPr>
        <w:pStyle w:val="EndnoteText"/>
        <w:keepNext/>
        <w:tabs>
          <w:tab w:val="clear" w:pos="567"/>
        </w:tabs>
        <w:rPr>
          <w:color w:val="000000"/>
        </w:rPr>
      </w:pPr>
    </w:p>
    <w:p w14:paraId="4021D0C3" w14:textId="77777777" w:rsidR="00EA5993" w:rsidRPr="00F25A60" w:rsidRDefault="00EA5993" w:rsidP="0048111F">
      <w:pPr>
        <w:pStyle w:val="EndnoteText"/>
        <w:tabs>
          <w:tab w:val="clear" w:pos="567"/>
        </w:tabs>
        <w:rPr>
          <w:color w:val="000000"/>
        </w:rPr>
      </w:pPr>
      <w:r w:rsidRPr="00F25A60">
        <w:rPr>
          <w:color w:val="000000"/>
        </w:rPr>
        <w:t xml:space="preserve">Pacienti se srdečním onemocněním, s rizikovými faktory vzniku srdečního selhání nebo renálním selháním v anamnéze </w:t>
      </w:r>
      <w:r w:rsidR="00D65C17" w:rsidRPr="00F25A60">
        <w:rPr>
          <w:color w:val="000000"/>
        </w:rPr>
        <w:t>mají</w:t>
      </w:r>
      <w:r w:rsidRPr="00F25A60">
        <w:rPr>
          <w:color w:val="000000"/>
        </w:rPr>
        <w:t xml:space="preserve"> být pečlivě sledováni, a každý pacient s</w:t>
      </w:r>
      <w:r w:rsidR="00D65C17" w:rsidRPr="00F25A60">
        <w:rPr>
          <w:color w:val="000000"/>
        </w:rPr>
        <w:t>e známkami nebo</w:t>
      </w:r>
      <w:r w:rsidRPr="00F25A60">
        <w:rPr>
          <w:color w:val="000000"/>
        </w:rPr>
        <w:t xml:space="preserve"> příznaky shodnými s příznaky srdečního nebo renálního selhání </w:t>
      </w:r>
      <w:r w:rsidR="00D65C17" w:rsidRPr="00F25A60">
        <w:rPr>
          <w:color w:val="000000"/>
        </w:rPr>
        <w:t>má</w:t>
      </w:r>
      <w:r w:rsidRPr="00F25A60">
        <w:rPr>
          <w:color w:val="000000"/>
        </w:rPr>
        <w:t xml:space="preserve"> být vyšetřen a léčen.</w:t>
      </w:r>
    </w:p>
    <w:p w14:paraId="6C52AEF7" w14:textId="77777777" w:rsidR="00EA5993" w:rsidRPr="00F25A60" w:rsidRDefault="00EA5993" w:rsidP="0048111F">
      <w:pPr>
        <w:pStyle w:val="EndnoteText"/>
        <w:tabs>
          <w:tab w:val="clear" w:pos="567"/>
        </w:tabs>
        <w:rPr>
          <w:color w:val="000000"/>
        </w:rPr>
      </w:pPr>
    </w:p>
    <w:p w14:paraId="3B0F29AD" w14:textId="77777777" w:rsidR="00EA5993" w:rsidRPr="00F25A60" w:rsidRDefault="00EA5993" w:rsidP="0048111F">
      <w:pPr>
        <w:pStyle w:val="EndnoteText"/>
        <w:tabs>
          <w:tab w:val="clear" w:pos="567"/>
        </w:tabs>
        <w:rPr>
          <w:color w:val="000000"/>
        </w:rPr>
      </w:pPr>
      <w:r w:rsidRPr="00F25A60">
        <w:rPr>
          <w:color w:val="000000"/>
        </w:rPr>
        <w:t xml:space="preserve">U pacientů s hypereosinofilním syndromem (HES) s okultní infiltrací HES buněk do myokardu byly ojedinělé případy kardiogenního šoku či dysfunkce levé komory spojeny s degranulací HES buněk po zahájení léčby imatinibem. Dle hlášení byl stav reverzibilní při podávání systémových kortikosteroidů, zavedení opatření k podpoře cirkulace a dočasném vysazení imatinibu. Protože byly hlášeny méně časté kardiální nežádoucí účinky při podávání Glivecu, </w:t>
      </w:r>
      <w:r w:rsidR="00D65C17" w:rsidRPr="00F25A60">
        <w:rPr>
          <w:color w:val="000000"/>
        </w:rPr>
        <w:t>má</w:t>
      </w:r>
      <w:r w:rsidRPr="00F25A60">
        <w:rPr>
          <w:color w:val="000000"/>
        </w:rPr>
        <w:t xml:space="preserve"> být před zahájením léčby pečlivě zváženo stanovení prospěchu/rizika léčby imatinibem u pacientů s HES/</w:t>
      </w:r>
      <w:smartTag w:uri="urn:schemas-microsoft-com:office:smarttags" w:element="stockticker">
        <w:r w:rsidRPr="00F25A60">
          <w:rPr>
            <w:color w:val="000000"/>
          </w:rPr>
          <w:t>CEL</w:t>
        </w:r>
      </w:smartTag>
      <w:r w:rsidRPr="00F25A60">
        <w:rPr>
          <w:color w:val="000000"/>
        </w:rPr>
        <w:t>.</w:t>
      </w:r>
    </w:p>
    <w:p w14:paraId="4FBE93B6" w14:textId="77777777" w:rsidR="00EA5993" w:rsidRPr="00F25A60" w:rsidRDefault="00EA5993" w:rsidP="0048111F">
      <w:pPr>
        <w:pStyle w:val="EndnoteText"/>
        <w:tabs>
          <w:tab w:val="clear" w:pos="567"/>
        </w:tabs>
        <w:rPr>
          <w:color w:val="000000"/>
        </w:rPr>
      </w:pPr>
    </w:p>
    <w:p w14:paraId="5D3579FE" w14:textId="77777777" w:rsidR="00EA5993" w:rsidRPr="00F25A60" w:rsidRDefault="00EA5993" w:rsidP="0048111F">
      <w:pPr>
        <w:pStyle w:val="EndnoteText"/>
        <w:tabs>
          <w:tab w:val="clear" w:pos="567"/>
        </w:tabs>
        <w:rPr>
          <w:color w:val="000000"/>
        </w:rPr>
      </w:pPr>
      <w:r w:rsidRPr="00F25A60">
        <w:rPr>
          <w:color w:val="000000"/>
        </w:rPr>
        <w:t>Myelodysplastické/myeloproliferativní onemocnění s </w:t>
      </w:r>
      <w:r w:rsidR="00D65C17" w:rsidRPr="00F25A60">
        <w:rPr>
          <w:color w:val="000000"/>
        </w:rPr>
        <w:t>přeskupením</w:t>
      </w:r>
      <w:r w:rsidRPr="00F25A60">
        <w:rPr>
          <w:color w:val="000000"/>
        </w:rPr>
        <w:t xml:space="preserve"> genu receptoru PDGFR by mohlo být spojeno s vysokými hladinami eosinofilů. Proto se </w:t>
      </w:r>
      <w:r w:rsidR="00D65C17" w:rsidRPr="00F25A60">
        <w:rPr>
          <w:color w:val="000000"/>
        </w:rPr>
        <w:t>má</w:t>
      </w:r>
      <w:r w:rsidRPr="00F25A60">
        <w:rPr>
          <w:color w:val="000000"/>
        </w:rPr>
        <w:t xml:space="preserve"> před podáním Glivecu pacientům s HES/</w:t>
      </w:r>
      <w:smartTag w:uri="urn:schemas-microsoft-com:office:smarttags" w:element="stockticker">
        <w:r w:rsidRPr="00F25A60">
          <w:rPr>
            <w:color w:val="000000"/>
          </w:rPr>
          <w:t>CEL</w:t>
        </w:r>
      </w:smartTag>
      <w:r w:rsidRPr="00F25A60">
        <w:rPr>
          <w:color w:val="000000"/>
        </w:rPr>
        <w:t xml:space="preserve"> a pacientům s </w:t>
      </w:r>
      <w:smartTag w:uri="urn:schemas-microsoft-com:office:smarttags" w:element="stockticker">
        <w:r w:rsidRPr="00F25A60">
          <w:rPr>
            <w:color w:val="000000"/>
          </w:rPr>
          <w:t>MDS</w:t>
        </w:r>
      </w:smartTag>
      <w:r w:rsidRPr="00F25A60">
        <w:rPr>
          <w:color w:val="000000"/>
        </w:rPr>
        <w:t xml:space="preserve">/MPD spojeným s vysokými hladinami eosinofilů zvážit vyšetření kardiologem, provedení echokardiogramu a stanovení troponinu v séru. Pokud je výsledek kteréhokoli vyšetření abnormální, </w:t>
      </w:r>
      <w:r w:rsidR="00D65C17" w:rsidRPr="00F25A60">
        <w:rPr>
          <w:color w:val="000000"/>
        </w:rPr>
        <w:t>má</w:t>
      </w:r>
      <w:r w:rsidRPr="00F25A60">
        <w:rPr>
          <w:color w:val="000000"/>
        </w:rPr>
        <w:t xml:space="preserve"> být zváženo </w:t>
      </w:r>
      <w:r w:rsidR="00D65C17" w:rsidRPr="00F25A60">
        <w:rPr>
          <w:color w:val="000000"/>
        </w:rPr>
        <w:t>sledování</w:t>
      </w:r>
      <w:r w:rsidRPr="00F25A60">
        <w:rPr>
          <w:color w:val="000000"/>
        </w:rPr>
        <w:t xml:space="preserve"> kardiologem a profylaktické podávání systémových kortikosteroidů (1</w:t>
      </w:r>
      <w:r w:rsidRPr="00F25A60">
        <w:rPr>
          <w:color w:val="000000"/>
        </w:rPr>
        <w:noBreakHyphen/>
        <w:t>2 mg/kg) po dobu jednoho až dvou týdnů souběžně se zahájením léčby imatinibem.</w:t>
      </w:r>
    </w:p>
    <w:p w14:paraId="6795ED0C" w14:textId="77777777" w:rsidR="00EA5993" w:rsidRPr="00F25A60" w:rsidRDefault="00EA5993" w:rsidP="0048111F">
      <w:pPr>
        <w:pStyle w:val="EndnoteText"/>
        <w:tabs>
          <w:tab w:val="clear" w:pos="567"/>
        </w:tabs>
        <w:rPr>
          <w:color w:val="000000"/>
          <w:u w:val="single"/>
        </w:rPr>
      </w:pPr>
    </w:p>
    <w:p w14:paraId="7DB3D526" w14:textId="2836B484" w:rsidR="00EA5993" w:rsidRPr="00F25A60" w:rsidRDefault="00EA5993" w:rsidP="0048111F">
      <w:pPr>
        <w:pStyle w:val="EndnoteText"/>
        <w:keepNext/>
        <w:tabs>
          <w:tab w:val="clear" w:pos="567"/>
        </w:tabs>
        <w:rPr>
          <w:color w:val="000000"/>
          <w:u w:val="single"/>
        </w:rPr>
      </w:pPr>
      <w:r w:rsidRPr="00F25A60">
        <w:rPr>
          <w:color w:val="000000"/>
          <w:u w:val="single"/>
        </w:rPr>
        <w:t>Gastrointestinální krvácení</w:t>
      </w:r>
    </w:p>
    <w:p w14:paraId="55B7FB4D" w14:textId="77777777" w:rsidR="0096691F" w:rsidRPr="00F25A60" w:rsidRDefault="0096691F" w:rsidP="0048111F">
      <w:pPr>
        <w:pStyle w:val="EndnoteText"/>
        <w:keepNext/>
        <w:tabs>
          <w:tab w:val="clear" w:pos="567"/>
        </w:tabs>
        <w:rPr>
          <w:color w:val="000000"/>
        </w:rPr>
      </w:pPr>
    </w:p>
    <w:p w14:paraId="7705134E" w14:textId="49ACD762" w:rsidR="00EA5993" w:rsidRPr="00F25A60" w:rsidRDefault="00EA5993" w:rsidP="0048111F">
      <w:pPr>
        <w:pStyle w:val="EndnoteText"/>
        <w:tabs>
          <w:tab w:val="clear" w:pos="567"/>
        </w:tabs>
        <w:rPr>
          <w:color w:val="000000"/>
        </w:rPr>
      </w:pPr>
      <w:r w:rsidRPr="00F25A60">
        <w:rPr>
          <w:color w:val="000000"/>
        </w:rPr>
        <w:t>Ve studii u pacientů s inoperabilním a/nebo metastatickým GIST bylo hlášeno jak gastrointestinální, tak i intratumorózní krvácení (viz bod</w:t>
      </w:r>
      <w:ins w:id="96" w:author="Author">
        <w:r w:rsidR="00564AC2" w:rsidRPr="00F25A60">
          <w:rPr>
            <w:color w:val="000000"/>
          </w:rPr>
          <w:t> </w:t>
        </w:r>
      </w:ins>
      <w:del w:id="97" w:author="Author">
        <w:r w:rsidRPr="00F25A60" w:rsidDel="00564AC2">
          <w:rPr>
            <w:color w:val="000000"/>
          </w:rPr>
          <w:delText xml:space="preserve"> </w:delText>
        </w:r>
      </w:del>
      <w:r w:rsidRPr="00F25A60">
        <w:rPr>
          <w:color w:val="000000"/>
        </w:rPr>
        <w:t>4.8). Na základě dostupných údajů nebyly identifikovány žádné predispoziční faktory (např.</w:t>
      </w:r>
      <w:r w:rsidR="00A12785" w:rsidRPr="00F25A60">
        <w:rPr>
          <w:color w:val="000000"/>
        </w:rPr>
        <w:t xml:space="preserve"> </w:t>
      </w:r>
      <w:r w:rsidRPr="00F25A60">
        <w:rPr>
          <w:color w:val="000000"/>
        </w:rPr>
        <w:t xml:space="preserve">velikost nádoru, lokalizace nádoru, poruchy koagulace), které by zařadily pacienty s GIST do skupiny s vyšším rizikem kteréhokoli typu krvácení. Protože je zvýšená vaskularizace a sklon ke krvácivosti součástí povahy a klinického průběhu GIST, </w:t>
      </w:r>
      <w:r w:rsidR="00FA3EC1" w:rsidRPr="00F25A60">
        <w:rPr>
          <w:color w:val="000000"/>
        </w:rPr>
        <w:t>má</w:t>
      </w:r>
      <w:r w:rsidRPr="00F25A60">
        <w:rPr>
          <w:color w:val="000000"/>
        </w:rPr>
        <w:t xml:space="preserve"> být u všech pacientů použit standardní postup pro monitorování a zvládání krvácení.</w:t>
      </w:r>
    </w:p>
    <w:p w14:paraId="18C284F5" w14:textId="77777777" w:rsidR="005E2891" w:rsidRPr="00F25A60" w:rsidRDefault="005E2891" w:rsidP="0048111F">
      <w:pPr>
        <w:pStyle w:val="EndnoteText"/>
        <w:tabs>
          <w:tab w:val="clear" w:pos="567"/>
        </w:tabs>
      </w:pPr>
    </w:p>
    <w:p w14:paraId="79737AF3" w14:textId="0A6A9763" w:rsidR="005E2891" w:rsidRPr="00F25A60" w:rsidRDefault="005E2891" w:rsidP="0048111F">
      <w:pPr>
        <w:pStyle w:val="EndnoteText"/>
        <w:tabs>
          <w:tab w:val="clear" w:pos="567"/>
        </w:tabs>
        <w:rPr>
          <w:snapToGrid w:val="0"/>
        </w:rPr>
      </w:pPr>
      <w:r w:rsidRPr="00F25A60">
        <w:t>V postmarketingovém období byla u</w:t>
      </w:r>
      <w:r w:rsidRPr="00F25A60">
        <w:rPr>
          <w:color w:val="000000"/>
        </w:rPr>
        <w:t> </w:t>
      </w:r>
      <w:r w:rsidRPr="00F25A60">
        <w:t>pacientů s</w:t>
      </w:r>
      <w:r w:rsidRPr="00F25A60">
        <w:rPr>
          <w:color w:val="000000"/>
        </w:rPr>
        <w:t> </w:t>
      </w:r>
      <w:r w:rsidRPr="00F25A60">
        <w:t>CML, ALL a jinými onemocněními hlášena také gastrická antrální vaskulární ektázie (GAVE), vzácný typ gastrointestinálního krvácení (viz bod</w:t>
      </w:r>
      <w:ins w:id="98" w:author="Author">
        <w:r w:rsidR="00564AC2" w:rsidRPr="00F25A60">
          <w:rPr>
            <w:color w:val="000000"/>
          </w:rPr>
          <w:t> </w:t>
        </w:r>
      </w:ins>
      <w:del w:id="99" w:author="Author">
        <w:r w:rsidRPr="00F25A60" w:rsidDel="00564AC2">
          <w:delText xml:space="preserve"> </w:delText>
        </w:r>
      </w:del>
      <w:r w:rsidRPr="00F25A60">
        <w:t>4.8). V případě potřeby může být léčba přípravkem Glivec ukončena.</w:t>
      </w:r>
    </w:p>
    <w:p w14:paraId="5E40B536" w14:textId="77777777" w:rsidR="00EA5993" w:rsidRPr="00F25A60" w:rsidRDefault="00EA5993" w:rsidP="0048111F">
      <w:pPr>
        <w:pStyle w:val="EndnoteText"/>
        <w:tabs>
          <w:tab w:val="clear" w:pos="567"/>
        </w:tabs>
        <w:rPr>
          <w:color w:val="000000"/>
          <w:u w:val="single"/>
        </w:rPr>
      </w:pPr>
    </w:p>
    <w:p w14:paraId="7374B90C" w14:textId="702E5E39" w:rsidR="00EA5993" w:rsidRPr="00F25A60" w:rsidRDefault="00EA5993" w:rsidP="0048111F">
      <w:pPr>
        <w:pStyle w:val="EndnoteText"/>
        <w:keepNext/>
        <w:tabs>
          <w:tab w:val="clear" w:pos="567"/>
        </w:tabs>
        <w:rPr>
          <w:color w:val="000000"/>
          <w:u w:val="single"/>
        </w:rPr>
      </w:pPr>
      <w:r w:rsidRPr="00F25A60">
        <w:rPr>
          <w:color w:val="000000"/>
          <w:u w:val="single"/>
        </w:rPr>
        <w:lastRenderedPageBreak/>
        <w:t>Syndrom nádorového rozpadu</w:t>
      </w:r>
    </w:p>
    <w:p w14:paraId="3DE1B33C" w14:textId="77777777" w:rsidR="0096691F" w:rsidRPr="00F25A60" w:rsidRDefault="0096691F" w:rsidP="0048111F">
      <w:pPr>
        <w:pStyle w:val="EndnoteText"/>
        <w:keepNext/>
        <w:tabs>
          <w:tab w:val="clear" w:pos="567"/>
        </w:tabs>
        <w:rPr>
          <w:color w:val="000000"/>
        </w:rPr>
      </w:pPr>
    </w:p>
    <w:p w14:paraId="5FEBF8CB" w14:textId="535CA363" w:rsidR="00D270F6" w:rsidRPr="00F25A60" w:rsidRDefault="00EA5993" w:rsidP="0048111F">
      <w:pPr>
        <w:pStyle w:val="EndnoteText"/>
        <w:tabs>
          <w:tab w:val="clear" w:pos="567"/>
        </w:tabs>
        <w:rPr>
          <w:snapToGrid w:val="0"/>
          <w:color w:val="000000"/>
        </w:rPr>
      </w:pPr>
      <w:r w:rsidRPr="00F25A60">
        <w:rPr>
          <w:snapToGrid w:val="0"/>
          <w:color w:val="000000"/>
        </w:rPr>
        <w:t xml:space="preserve">Před </w:t>
      </w:r>
      <w:r w:rsidR="00FA3EC1" w:rsidRPr="00F25A60">
        <w:rPr>
          <w:snapToGrid w:val="0"/>
          <w:color w:val="000000"/>
        </w:rPr>
        <w:t>zahájením</w:t>
      </w:r>
      <w:r w:rsidRPr="00F25A60">
        <w:rPr>
          <w:snapToGrid w:val="0"/>
          <w:color w:val="000000"/>
        </w:rPr>
        <w:t xml:space="preserve"> léčby přípravkem Glivec je doporučená úprava klinicky významné dehydratace a léčba vysokých hladin kyseliny močové z</w:t>
      </w:r>
      <w:r w:rsidRPr="00F25A60">
        <w:rPr>
          <w:color w:val="000000"/>
        </w:rPr>
        <w:t> </w:t>
      </w:r>
      <w:r w:rsidRPr="00F25A60">
        <w:rPr>
          <w:snapToGrid w:val="0"/>
          <w:color w:val="000000"/>
        </w:rPr>
        <w:t>důvodu možného výskytu syndromu nádorového rozpadu (TLS) (viz bod</w:t>
      </w:r>
      <w:ins w:id="100" w:author="Author">
        <w:r w:rsidR="004F21DC" w:rsidRPr="00F25A60">
          <w:rPr>
            <w:color w:val="000000"/>
          </w:rPr>
          <w:t> </w:t>
        </w:r>
      </w:ins>
      <w:del w:id="101" w:author="Author">
        <w:r w:rsidRPr="00F25A60" w:rsidDel="004F21DC">
          <w:rPr>
            <w:snapToGrid w:val="0"/>
            <w:color w:val="000000"/>
          </w:rPr>
          <w:delText xml:space="preserve"> </w:delText>
        </w:r>
      </w:del>
      <w:r w:rsidRPr="00F25A60">
        <w:rPr>
          <w:snapToGrid w:val="0"/>
          <w:color w:val="000000"/>
        </w:rPr>
        <w:t>4.8).</w:t>
      </w:r>
    </w:p>
    <w:p w14:paraId="7AB47243" w14:textId="77777777" w:rsidR="00D270F6" w:rsidRPr="00F25A60" w:rsidRDefault="00D270F6" w:rsidP="0048111F">
      <w:pPr>
        <w:pStyle w:val="EndnoteText"/>
        <w:tabs>
          <w:tab w:val="clear" w:pos="567"/>
        </w:tabs>
        <w:rPr>
          <w:snapToGrid w:val="0"/>
          <w:color w:val="000000"/>
        </w:rPr>
      </w:pPr>
    </w:p>
    <w:p w14:paraId="77907178" w14:textId="483E4094" w:rsidR="00D270F6" w:rsidRPr="00F25A60" w:rsidRDefault="00D270F6" w:rsidP="0048111F">
      <w:pPr>
        <w:pStyle w:val="EndnoteText"/>
        <w:keepNext/>
        <w:tabs>
          <w:tab w:val="clear" w:pos="567"/>
        </w:tabs>
        <w:rPr>
          <w:snapToGrid w:val="0"/>
          <w:color w:val="000000"/>
          <w:u w:val="single"/>
        </w:rPr>
      </w:pPr>
      <w:r w:rsidRPr="00F25A60">
        <w:rPr>
          <w:snapToGrid w:val="0"/>
          <w:color w:val="000000"/>
          <w:u w:val="single"/>
        </w:rPr>
        <w:t>Reaktivace hepatitidy B</w:t>
      </w:r>
    </w:p>
    <w:p w14:paraId="174053E5" w14:textId="77777777" w:rsidR="0096691F" w:rsidRPr="00F25A60" w:rsidRDefault="0096691F" w:rsidP="0048111F">
      <w:pPr>
        <w:pStyle w:val="EndnoteText"/>
        <w:keepNext/>
        <w:tabs>
          <w:tab w:val="clear" w:pos="567"/>
        </w:tabs>
        <w:rPr>
          <w:snapToGrid w:val="0"/>
          <w:color w:val="000000"/>
        </w:rPr>
      </w:pPr>
    </w:p>
    <w:p w14:paraId="7B5DEF9E" w14:textId="77777777" w:rsidR="00D270F6" w:rsidRPr="00F25A60" w:rsidRDefault="00D270F6" w:rsidP="0048111F">
      <w:pPr>
        <w:pStyle w:val="EndnoteText"/>
        <w:tabs>
          <w:tab w:val="clear" w:pos="567"/>
        </w:tabs>
        <w:rPr>
          <w:snapToGrid w:val="0"/>
          <w:color w:val="000000"/>
        </w:rPr>
      </w:pPr>
      <w:r w:rsidRPr="00F25A60">
        <w:rPr>
          <w:snapToGrid w:val="0"/>
          <w:color w:val="000000"/>
        </w:rPr>
        <w:t>U pacientů, kteří jsou chronickými nosiči hepatitidy B, dochází k reaktivaci po zahájení léčby inhibitory tyrosinkinázy bcr-abl. Některé případy vyústily v akutní selhání jater nebo ve fulminantní hepatitidu vedoucí k transplantaci jater nebo došlo k úmrtí pacienta.</w:t>
      </w:r>
    </w:p>
    <w:p w14:paraId="5DBE774F" w14:textId="77777777" w:rsidR="00D270F6" w:rsidRPr="00F25A60" w:rsidRDefault="00D270F6" w:rsidP="0048111F">
      <w:pPr>
        <w:pStyle w:val="EndnoteText"/>
        <w:tabs>
          <w:tab w:val="clear" w:pos="567"/>
        </w:tabs>
        <w:rPr>
          <w:snapToGrid w:val="0"/>
          <w:color w:val="000000"/>
        </w:rPr>
      </w:pPr>
    </w:p>
    <w:p w14:paraId="6EF3F5BA" w14:textId="51BF711C" w:rsidR="00D270F6" w:rsidRPr="00F25A60" w:rsidRDefault="00D270F6" w:rsidP="0048111F">
      <w:pPr>
        <w:pStyle w:val="EndnoteText"/>
        <w:tabs>
          <w:tab w:val="clear" w:pos="567"/>
        </w:tabs>
        <w:rPr>
          <w:snapToGrid w:val="0"/>
          <w:color w:val="000000"/>
        </w:rPr>
      </w:pPr>
      <w:r w:rsidRPr="00F25A60">
        <w:rPr>
          <w:snapToGrid w:val="0"/>
          <w:color w:val="000000"/>
        </w:rPr>
        <w:t>Před zahájením léčby přípravkem GLIVEC mají být pacienti vyšetřeni na infekci HBV. Před zahájením léčby u pacientů s pozitivní sérologií hepatitidy B (včetně těch s aktivním onemocněním) a u pacientů, u kterých v průběhu léčby vyjde pozitivní test infekce HBV, je třeba se obrátit na odborníky na onemocnění jater a léčbu hepatitidy B. Nosiči HBV, kteří potřebují léčbu přípravkem GLIVEC, mají být po celou dobu léčby a několik měsíců po jejím ukončení pečlivě sledováni s</w:t>
      </w:r>
      <w:ins w:id="102" w:author="Author">
        <w:r w:rsidR="009274D5" w:rsidRPr="00F25A60">
          <w:rPr>
            <w:color w:val="000000"/>
          </w:rPr>
          <w:t> </w:t>
        </w:r>
      </w:ins>
      <w:del w:id="103" w:author="Author">
        <w:r w:rsidRPr="00F25A60" w:rsidDel="009274D5">
          <w:rPr>
            <w:snapToGrid w:val="0"/>
            <w:color w:val="000000"/>
          </w:rPr>
          <w:delText xml:space="preserve"> </w:delText>
        </w:r>
      </w:del>
      <w:r w:rsidRPr="00F25A60">
        <w:rPr>
          <w:snapToGrid w:val="0"/>
          <w:color w:val="000000"/>
        </w:rPr>
        <w:t>ohledem na možný výskyt známek a příznaků aktivní infekce HBV (viz bod</w:t>
      </w:r>
      <w:r w:rsidR="003104BF" w:rsidRPr="00F25A60">
        <w:rPr>
          <w:snapToGrid w:val="0"/>
          <w:color w:val="000000"/>
        </w:rPr>
        <w:t> </w:t>
      </w:r>
      <w:r w:rsidRPr="00F25A60">
        <w:rPr>
          <w:snapToGrid w:val="0"/>
          <w:color w:val="000000"/>
        </w:rPr>
        <w:t>4.8).</w:t>
      </w:r>
    </w:p>
    <w:p w14:paraId="2026CD38" w14:textId="77777777" w:rsidR="00904EDA" w:rsidRPr="00F25A60" w:rsidRDefault="00904EDA" w:rsidP="0048111F">
      <w:pPr>
        <w:pStyle w:val="EndnoteText"/>
        <w:tabs>
          <w:tab w:val="clear" w:pos="567"/>
        </w:tabs>
        <w:rPr>
          <w:snapToGrid w:val="0"/>
        </w:rPr>
      </w:pPr>
    </w:p>
    <w:p w14:paraId="0B9B9F82" w14:textId="09152471" w:rsidR="00AD1512" w:rsidRPr="00F25A60" w:rsidRDefault="00904EDA" w:rsidP="0048111F">
      <w:pPr>
        <w:pStyle w:val="EndnoteText"/>
        <w:keepNext/>
        <w:tabs>
          <w:tab w:val="clear" w:pos="567"/>
        </w:tabs>
        <w:rPr>
          <w:u w:val="single"/>
        </w:rPr>
      </w:pPr>
      <w:r w:rsidRPr="00F25A60">
        <w:rPr>
          <w:u w:val="single"/>
        </w:rPr>
        <w:t>Fototoxicita</w:t>
      </w:r>
    </w:p>
    <w:p w14:paraId="0B23C7C3" w14:textId="77777777" w:rsidR="0096691F" w:rsidRPr="00F25A60" w:rsidRDefault="0096691F" w:rsidP="0048111F">
      <w:pPr>
        <w:pStyle w:val="EndnoteText"/>
        <w:keepNext/>
        <w:tabs>
          <w:tab w:val="clear" w:pos="567"/>
        </w:tabs>
        <w:rPr>
          <w:snapToGrid w:val="0"/>
        </w:rPr>
      </w:pPr>
    </w:p>
    <w:p w14:paraId="6C43009C" w14:textId="77777777" w:rsidR="00904EDA" w:rsidRPr="00F25A60" w:rsidRDefault="00904EDA" w:rsidP="0048111F">
      <w:pPr>
        <w:pStyle w:val="EndnoteText"/>
        <w:tabs>
          <w:tab w:val="clear" w:pos="567"/>
        </w:tabs>
        <w:rPr>
          <w:snapToGrid w:val="0"/>
        </w:rPr>
      </w:pPr>
      <w:r w:rsidRPr="00F25A60">
        <w:rPr>
          <w:snapToGrid w:val="0"/>
        </w:rPr>
        <w:t>Z důvodu možného rizika fototoxicity spojeného s léčbou imatinibem je třeba se vyhnout nebo minimalizovat přímou expozici slunečnímu záření. Pacienti mají být o tomto riziku poučeni a mají používat ochranný oděv a opalovací krém s vysokým ochranným faktorem proti slunečnímu záření (OF).</w:t>
      </w:r>
    </w:p>
    <w:p w14:paraId="617B5E53" w14:textId="77777777" w:rsidR="00EA5993" w:rsidRPr="00F25A60" w:rsidRDefault="00EA5993" w:rsidP="0048111F">
      <w:pPr>
        <w:pStyle w:val="EndnoteText"/>
        <w:tabs>
          <w:tab w:val="clear" w:pos="567"/>
        </w:tabs>
      </w:pPr>
    </w:p>
    <w:p w14:paraId="54DE8785" w14:textId="4CB3A05C" w:rsidR="00A12785" w:rsidRPr="00F25A60" w:rsidRDefault="00A12785" w:rsidP="0048111F">
      <w:pPr>
        <w:pStyle w:val="EndnoteText"/>
        <w:keepNext/>
        <w:tabs>
          <w:tab w:val="clear" w:pos="567"/>
        </w:tabs>
        <w:rPr>
          <w:u w:val="single"/>
        </w:rPr>
      </w:pPr>
      <w:r w:rsidRPr="00F25A60">
        <w:rPr>
          <w:u w:val="single"/>
        </w:rPr>
        <w:t>Trombotická mikroangiopatie</w:t>
      </w:r>
    </w:p>
    <w:p w14:paraId="221BB926" w14:textId="77777777" w:rsidR="0096691F" w:rsidRPr="00F25A60" w:rsidRDefault="0096691F" w:rsidP="0048111F">
      <w:pPr>
        <w:pStyle w:val="EndnoteText"/>
        <w:keepNext/>
        <w:tabs>
          <w:tab w:val="clear" w:pos="567"/>
        </w:tabs>
      </w:pPr>
    </w:p>
    <w:p w14:paraId="7801CC55" w14:textId="77777777" w:rsidR="00A12785" w:rsidRPr="00F25A60" w:rsidRDefault="00A12785" w:rsidP="0048111F">
      <w:pPr>
        <w:pStyle w:val="EndnoteText"/>
        <w:tabs>
          <w:tab w:val="clear" w:pos="567"/>
        </w:tabs>
        <w:rPr>
          <w:snapToGrid w:val="0"/>
          <w:color w:val="000000"/>
        </w:rPr>
      </w:pPr>
      <w:r w:rsidRPr="00F25A60">
        <w:t>Inhibitory tyrosinkinázy BCR-ABL, včetně případů souvisejících s užíváním přípravku Glivec, jsou spojovány s výskytem trombotické mikroangiopatie (TMA) (viz bod</w:t>
      </w:r>
      <w:r w:rsidR="00570E90" w:rsidRPr="00F25A60">
        <w:t> </w:t>
      </w:r>
      <w:r w:rsidRPr="00F25A60">
        <w:t>4.8). Pokud se u pacienta, který užívá přípravek Glivec, vyskytnou laboratorní nebo klinické nálezy spojené s TMA, má se léčba přerušit a mají se důkladně vyhodnotit příznaky TMA včetně aktivity ADAMTS13 a stanovení anti-ADAMTS13 protilátek. Pokud je protilátka proti ADAMTS13 zvýšená ve spojení s nízkou aktivitou ADAMTS13, léčba přípravkem Glivec nemá být obnovena.</w:t>
      </w:r>
    </w:p>
    <w:p w14:paraId="7808E2F8" w14:textId="77777777" w:rsidR="00A12785" w:rsidRPr="00F25A60" w:rsidRDefault="00A12785" w:rsidP="0048111F">
      <w:pPr>
        <w:pStyle w:val="EndnoteText"/>
        <w:tabs>
          <w:tab w:val="clear" w:pos="567"/>
        </w:tabs>
        <w:rPr>
          <w:snapToGrid w:val="0"/>
          <w:color w:val="000000"/>
        </w:rPr>
      </w:pPr>
    </w:p>
    <w:p w14:paraId="07F83B4F" w14:textId="4FEEE3F5" w:rsidR="00EA5993" w:rsidRPr="00F25A60" w:rsidRDefault="00EA5993" w:rsidP="0048111F">
      <w:pPr>
        <w:pStyle w:val="EndnoteText"/>
        <w:keepNext/>
        <w:tabs>
          <w:tab w:val="clear" w:pos="567"/>
        </w:tabs>
        <w:rPr>
          <w:color w:val="000000"/>
          <w:u w:val="single"/>
        </w:rPr>
      </w:pPr>
      <w:r w:rsidRPr="00F25A60">
        <w:rPr>
          <w:color w:val="000000"/>
          <w:u w:val="single"/>
        </w:rPr>
        <w:t>Laboratorní testy</w:t>
      </w:r>
    </w:p>
    <w:p w14:paraId="1AAC164F" w14:textId="77777777" w:rsidR="0096691F" w:rsidRPr="00F25A60" w:rsidRDefault="0096691F" w:rsidP="0048111F">
      <w:pPr>
        <w:pStyle w:val="EndnoteText"/>
        <w:keepNext/>
        <w:tabs>
          <w:tab w:val="clear" w:pos="567"/>
        </w:tabs>
        <w:rPr>
          <w:color w:val="000000"/>
        </w:rPr>
      </w:pPr>
    </w:p>
    <w:p w14:paraId="5907F8E0" w14:textId="6ECD8CEA" w:rsidR="00EA5993" w:rsidRPr="00F25A60" w:rsidRDefault="00EA5993" w:rsidP="0048111F">
      <w:pPr>
        <w:pStyle w:val="EndnoteText"/>
        <w:tabs>
          <w:tab w:val="clear" w:pos="567"/>
        </w:tabs>
        <w:rPr>
          <w:color w:val="000000"/>
        </w:rPr>
      </w:pPr>
      <w:r w:rsidRPr="00F25A60">
        <w:rPr>
          <w:color w:val="000000"/>
        </w:rPr>
        <w:t>Během léčby Glivecem musí být pravidelně vyšetřován kompletní krevní obraz. Léčba Glivecem u pacientů s CML byla doprovázena výskytem neutropenie nebo trombocytopenie. Avšak výskyt těchto cytopenií pravděpodobně souvisí se st</w:t>
      </w:r>
      <w:r w:rsidR="00FA3EC1" w:rsidRPr="00F25A60">
        <w:rPr>
          <w:color w:val="000000"/>
        </w:rPr>
        <w:t>a</w:t>
      </w:r>
      <w:r w:rsidRPr="00F25A60">
        <w:rPr>
          <w:color w:val="000000"/>
        </w:rPr>
        <w:t>diem léčeného onemocnění a byl častější u pacientů s akcelerovanou fází CML nebo v blastické krizi než u pacientů s chronickou fází CML. Léčba Glivecem může být přerušena nebo dávky mohou být sníženy, jak je doporučeno v bod</w:t>
      </w:r>
      <w:r w:rsidR="00FA3EC1" w:rsidRPr="00F25A60">
        <w:rPr>
          <w:color w:val="000000"/>
        </w:rPr>
        <w:t>ě</w:t>
      </w:r>
      <w:ins w:id="104" w:author="Author">
        <w:r w:rsidR="004F21DC" w:rsidRPr="00F25A60">
          <w:rPr>
            <w:color w:val="000000"/>
          </w:rPr>
          <w:t> </w:t>
        </w:r>
      </w:ins>
      <w:del w:id="105" w:author="Author">
        <w:r w:rsidRPr="00F25A60" w:rsidDel="004F21DC">
          <w:rPr>
            <w:color w:val="000000"/>
          </w:rPr>
          <w:delText xml:space="preserve"> </w:delText>
        </w:r>
      </w:del>
      <w:r w:rsidRPr="00F25A60">
        <w:rPr>
          <w:color w:val="000000"/>
        </w:rPr>
        <w:t>4.2.</w:t>
      </w:r>
    </w:p>
    <w:p w14:paraId="21E3858A" w14:textId="77777777" w:rsidR="00EA5993" w:rsidRPr="00F25A60" w:rsidRDefault="00EA5993" w:rsidP="0048111F">
      <w:pPr>
        <w:pStyle w:val="EndnoteText"/>
        <w:tabs>
          <w:tab w:val="clear" w:pos="567"/>
        </w:tabs>
        <w:rPr>
          <w:color w:val="000000"/>
        </w:rPr>
      </w:pPr>
    </w:p>
    <w:p w14:paraId="3086C2A5" w14:textId="77777777" w:rsidR="00EA5993" w:rsidRPr="00F25A60" w:rsidRDefault="00EA5993" w:rsidP="0048111F">
      <w:pPr>
        <w:pStyle w:val="EndnoteText"/>
        <w:tabs>
          <w:tab w:val="clear" w:pos="567"/>
        </w:tabs>
        <w:rPr>
          <w:color w:val="000000"/>
        </w:rPr>
      </w:pPr>
      <w:r w:rsidRPr="00F25A60">
        <w:rPr>
          <w:color w:val="000000"/>
        </w:rPr>
        <w:t xml:space="preserve">U pacientů užívajících Glivec </w:t>
      </w:r>
      <w:r w:rsidR="00FA3EC1" w:rsidRPr="00F25A60">
        <w:rPr>
          <w:color w:val="000000"/>
        </w:rPr>
        <w:t>mají</w:t>
      </w:r>
      <w:r w:rsidRPr="00F25A60">
        <w:rPr>
          <w:color w:val="000000"/>
        </w:rPr>
        <w:t xml:space="preserve"> být pravidelně monitorovány jaterní funkce (transaminázy, bilirubin, alkalická fosfatáza).</w:t>
      </w:r>
    </w:p>
    <w:p w14:paraId="3CE600AB" w14:textId="77777777" w:rsidR="00EA5993" w:rsidRPr="00F25A60" w:rsidRDefault="00EA5993" w:rsidP="0048111F">
      <w:pPr>
        <w:pStyle w:val="EndnoteText"/>
        <w:tabs>
          <w:tab w:val="clear" w:pos="567"/>
        </w:tabs>
        <w:rPr>
          <w:color w:val="000000"/>
        </w:rPr>
      </w:pPr>
    </w:p>
    <w:p w14:paraId="5EB479F5" w14:textId="6223D53F" w:rsidR="00EA5993" w:rsidRPr="00F25A60" w:rsidRDefault="00EA5993" w:rsidP="0048111F">
      <w:pPr>
        <w:pStyle w:val="EndnoteText"/>
        <w:tabs>
          <w:tab w:val="clear" w:pos="567"/>
        </w:tabs>
        <w:rPr>
          <w:color w:val="000000"/>
        </w:rPr>
      </w:pPr>
      <w:r w:rsidRPr="00F25A60">
        <w:rPr>
          <w:color w:val="000000"/>
        </w:rPr>
        <w:t>U pacientů s poruchou renálních funkcí je expozice imatinib</w:t>
      </w:r>
      <w:r w:rsidR="00FA3EC1" w:rsidRPr="00F25A60">
        <w:rPr>
          <w:color w:val="000000"/>
        </w:rPr>
        <w:t>u</w:t>
      </w:r>
      <w:r w:rsidRPr="00F25A60">
        <w:rPr>
          <w:color w:val="000000"/>
        </w:rPr>
        <w:t xml:space="preserve"> v plazmě patrně vyšší, než u pacientů s normální funkcí ledvin, pravděpodobně v důsledku zvýšené hladiny alfa-</w:t>
      </w:r>
      <w:r w:rsidR="00FA3EC1" w:rsidRPr="00F25A60">
        <w:rPr>
          <w:color w:val="000000"/>
        </w:rPr>
        <w:t>kyselého</w:t>
      </w:r>
      <w:r w:rsidRPr="00F25A60">
        <w:rPr>
          <w:color w:val="000000"/>
        </w:rPr>
        <w:t xml:space="preserve"> gly</w:t>
      </w:r>
      <w:r w:rsidR="002F04EE" w:rsidRPr="00F25A60">
        <w:rPr>
          <w:color w:val="000000"/>
        </w:rPr>
        <w:t>k</w:t>
      </w:r>
      <w:r w:rsidRPr="00F25A60">
        <w:rPr>
          <w:color w:val="000000"/>
        </w:rPr>
        <w:t xml:space="preserve">oproteinu (AGP) a vazby imatinibu na proteiny u těchto pacientů. Pacientům s renální nedostatečností </w:t>
      </w:r>
      <w:r w:rsidR="002F04EE" w:rsidRPr="00F25A60">
        <w:rPr>
          <w:color w:val="000000"/>
        </w:rPr>
        <w:t>se má</w:t>
      </w:r>
      <w:r w:rsidRPr="00F25A60">
        <w:rPr>
          <w:color w:val="000000"/>
        </w:rPr>
        <w:t xml:space="preserve"> podávat minimální zahajovací dávka. Pacienti s </w:t>
      </w:r>
      <w:r w:rsidR="002F04EE" w:rsidRPr="00F25A60">
        <w:rPr>
          <w:color w:val="000000"/>
        </w:rPr>
        <w:t xml:space="preserve">těžkou </w:t>
      </w:r>
      <w:r w:rsidRPr="00F25A60">
        <w:rPr>
          <w:color w:val="000000"/>
        </w:rPr>
        <w:t xml:space="preserve">renální nedostatečností </w:t>
      </w:r>
      <w:r w:rsidR="002F04EE" w:rsidRPr="00F25A60">
        <w:rPr>
          <w:color w:val="000000"/>
        </w:rPr>
        <w:t>mají</w:t>
      </w:r>
      <w:r w:rsidRPr="00F25A60">
        <w:rPr>
          <w:color w:val="000000"/>
        </w:rPr>
        <w:t xml:space="preserve"> být léčeni s opatrností. Pokud není dávka imatinibu tolerována, může být snížena (viz body</w:t>
      </w:r>
      <w:ins w:id="106" w:author="Author">
        <w:r w:rsidR="004F21DC" w:rsidRPr="00F25A60">
          <w:rPr>
            <w:color w:val="000000"/>
          </w:rPr>
          <w:t> </w:t>
        </w:r>
      </w:ins>
      <w:del w:id="107" w:author="Author">
        <w:r w:rsidRPr="00F25A60" w:rsidDel="004F21DC">
          <w:rPr>
            <w:color w:val="000000"/>
          </w:rPr>
          <w:delText xml:space="preserve"> </w:delText>
        </w:r>
      </w:del>
      <w:smartTag w:uri="urn:schemas-microsoft-com:office:smarttags" w:element="metricconverter">
        <w:smartTagPr>
          <w:attr w:name="ProductID" w:val="4.2 a"/>
        </w:smartTagPr>
        <w:r w:rsidRPr="00F25A60">
          <w:rPr>
            <w:color w:val="000000"/>
          </w:rPr>
          <w:t>4.2 a</w:t>
        </w:r>
      </w:smartTag>
      <w:r w:rsidRPr="00F25A60">
        <w:rPr>
          <w:color w:val="000000"/>
        </w:rPr>
        <w:t xml:space="preserve"> 5.2).</w:t>
      </w:r>
    </w:p>
    <w:p w14:paraId="4CB7A40A" w14:textId="77777777" w:rsidR="008913CE" w:rsidRPr="00F25A60" w:rsidRDefault="008913CE" w:rsidP="0048111F">
      <w:pPr>
        <w:pStyle w:val="EndnoteText"/>
        <w:tabs>
          <w:tab w:val="clear" w:pos="567"/>
        </w:tabs>
        <w:rPr>
          <w:color w:val="000000"/>
        </w:rPr>
      </w:pPr>
    </w:p>
    <w:p w14:paraId="3C1CED06" w14:textId="77777777" w:rsidR="008913CE" w:rsidRPr="00F25A60" w:rsidRDefault="008913CE" w:rsidP="0048111F">
      <w:pPr>
        <w:pStyle w:val="EndnoteText"/>
        <w:tabs>
          <w:tab w:val="clear" w:pos="567"/>
        </w:tabs>
        <w:rPr>
          <w:color w:val="000000"/>
        </w:rPr>
      </w:pPr>
      <w:r w:rsidRPr="00F25A60">
        <w:rPr>
          <w:color w:val="000000"/>
        </w:rPr>
        <w:t>Dlouhodobá léčba imatinibem může být spojená s klinicky významným omezením renálních funkcí. Proto mají být renální funkce před zahájením léčby imatinibem vyhodnoceny a během léčby pečlivě sledovány, pozornost má být věnována pacientům, u nichž se projevují rizikové faktory pro renální dysfunkci. Pokud je zjištěna renální dysfunkce, musí být předepsána vhodná opatření a léčba, která je v souladu se standardními léčebnými doporučeními.</w:t>
      </w:r>
    </w:p>
    <w:p w14:paraId="3CBDCD68" w14:textId="77777777" w:rsidR="00EA5993" w:rsidRPr="00F25A60" w:rsidRDefault="00EA5993" w:rsidP="0048111F">
      <w:pPr>
        <w:pStyle w:val="EndnoteText"/>
        <w:tabs>
          <w:tab w:val="clear" w:pos="567"/>
        </w:tabs>
        <w:rPr>
          <w:color w:val="000000"/>
        </w:rPr>
      </w:pPr>
    </w:p>
    <w:p w14:paraId="587DDA88" w14:textId="21E2EC70" w:rsidR="00EA5993" w:rsidRPr="00F25A60" w:rsidRDefault="00EA5993" w:rsidP="0048111F">
      <w:pPr>
        <w:pStyle w:val="EndnoteText"/>
        <w:keepNext/>
        <w:tabs>
          <w:tab w:val="clear" w:pos="567"/>
        </w:tabs>
        <w:rPr>
          <w:color w:val="000000"/>
          <w:u w:val="single"/>
        </w:rPr>
      </w:pPr>
      <w:r w:rsidRPr="00F25A60">
        <w:rPr>
          <w:color w:val="000000"/>
          <w:u w:val="single"/>
        </w:rPr>
        <w:t>Pediatrická populace</w:t>
      </w:r>
    </w:p>
    <w:p w14:paraId="199549C6" w14:textId="77777777" w:rsidR="0096691F" w:rsidRPr="00F25A60" w:rsidRDefault="0096691F" w:rsidP="0048111F">
      <w:pPr>
        <w:pStyle w:val="EndnoteText"/>
        <w:keepNext/>
        <w:tabs>
          <w:tab w:val="clear" w:pos="567"/>
        </w:tabs>
        <w:rPr>
          <w:color w:val="000000"/>
        </w:rPr>
      </w:pPr>
    </w:p>
    <w:p w14:paraId="6F3585BF" w14:textId="7D23A94E" w:rsidR="00EA5993" w:rsidRPr="00F25A60" w:rsidRDefault="00EA5993" w:rsidP="0048111F">
      <w:pPr>
        <w:pStyle w:val="EndnoteText"/>
        <w:tabs>
          <w:tab w:val="clear" w:pos="567"/>
        </w:tabs>
        <w:rPr>
          <w:color w:val="000000"/>
        </w:rPr>
      </w:pPr>
      <w:r w:rsidRPr="00F25A60">
        <w:rPr>
          <w:color w:val="000000"/>
        </w:rPr>
        <w:t xml:space="preserve">U dětí a jedinců v prepubertálním věku (preadolescentů) užívajících imatinib byly hlášené případy retardace růstu. </w:t>
      </w:r>
      <w:r w:rsidR="00293B73" w:rsidRPr="00F25A60">
        <w:rPr>
          <w:color w:val="000000"/>
        </w:rPr>
        <w:t xml:space="preserve">V observační studii provedené u pediatrických pacientů s CML byl ve dvou malých podskupinách bez ohledu na </w:t>
      </w:r>
      <w:r w:rsidR="00C82AC7" w:rsidRPr="00F25A60">
        <w:rPr>
          <w:color w:val="000000"/>
        </w:rPr>
        <w:t xml:space="preserve">stupeň </w:t>
      </w:r>
      <w:r w:rsidR="00293B73" w:rsidRPr="00F25A60">
        <w:rPr>
          <w:color w:val="000000"/>
        </w:rPr>
        <w:t>pubertální</w:t>
      </w:r>
      <w:r w:rsidR="00C82AC7" w:rsidRPr="00F25A60">
        <w:rPr>
          <w:color w:val="000000"/>
        </w:rPr>
        <w:t>ho</w:t>
      </w:r>
      <w:r w:rsidR="00293B73" w:rsidRPr="00F25A60">
        <w:rPr>
          <w:color w:val="000000"/>
        </w:rPr>
        <w:t xml:space="preserve"> </w:t>
      </w:r>
      <w:r w:rsidR="00C82AC7" w:rsidRPr="00F25A60">
        <w:rPr>
          <w:color w:val="000000"/>
        </w:rPr>
        <w:t>vývoje</w:t>
      </w:r>
      <w:r w:rsidR="00293B73" w:rsidRPr="00F25A60">
        <w:rPr>
          <w:color w:val="000000"/>
        </w:rPr>
        <w:t xml:space="preserve"> a pohlaví po 12 a 24 měsících léčby hlášen </w:t>
      </w:r>
      <w:r w:rsidR="00FB51D0" w:rsidRPr="00F25A60">
        <w:rPr>
          <w:color w:val="000000"/>
        </w:rPr>
        <w:t>statisticky významný</w:t>
      </w:r>
      <w:r w:rsidR="00C30394" w:rsidRPr="00F25A60">
        <w:rPr>
          <w:color w:val="000000"/>
        </w:rPr>
        <w:t xml:space="preserve"> pokles </w:t>
      </w:r>
      <w:r w:rsidR="00FB51D0" w:rsidRPr="00F25A60">
        <w:rPr>
          <w:color w:val="000000"/>
        </w:rPr>
        <w:t>(</w:t>
      </w:r>
      <w:r w:rsidR="00C82AC7" w:rsidRPr="00F25A60">
        <w:rPr>
          <w:color w:val="000000"/>
        </w:rPr>
        <w:t xml:space="preserve">ale </w:t>
      </w:r>
      <w:r w:rsidR="00FB51D0" w:rsidRPr="00F25A60">
        <w:rPr>
          <w:color w:val="000000"/>
        </w:rPr>
        <w:t xml:space="preserve">s nejistým klinickým významem) </w:t>
      </w:r>
      <w:r w:rsidR="00C30394" w:rsidRPr="00F25A60">
        <w:rPr>
          <w:color w:val="000000"/>
        </w:rPr>
        <w:t>skóre směrodatné odchylky střední výšky</w:t>
      </w:r>
      <w:r w:rsidR="00293B73" w:rsidRPr="00F25A60">
        <w:rPr>
          <w:color w:val="000000"/>
        </w:rPr>
        <w:t xml:space="preserve">. </w:t>
      </w:r>
      <w:r w:rsidR="00392971">
        <w:rPr>
          <w:color w:val="000000"/>
        </w:rPr>
        <w:t xml:space="preserve">Podobné výsledky byly pozorovány v observační studii u pediatrických pacientů s ALL. </w:t>
      </w:r>
      <w:r w:rsidR="00293B73" w:rsidRPr="00F25A60">
        <w:rPr>
          <w:color w:val="000000"/>
        </w:rPr>
        <w:t>D</w:t>
      </w:r>
      <w:r w:rsidRPr="00F25A60">
        <w:rPr>
          <w:color w:val="000000"/>
        </w:rPr>
        <w:t>oporuč</w:t>
      </w:r>
      <w:r w:rsidR="00293B73" w:rsidRPr="00F25A60">
        <w:rPr>
          <w:color w:val="000000"/>
        </w:rPr>
        <w:t>uje se</w:t>
      </w:r>
      <w:r w:rsidRPr="00F25A60">
        <w:rPr>
          <w:color w:val="000000"/>
        </w:rPr>
        <w:t xml:space="preserve"> pečlivé sledování růstu dětí léčených imatinibem (viz </w:t>
      </w:r>
      <w:r w:rsidR="00A31542" w:rsidRPr="00F25A60">
        <w:rPr>
          <w:color w:val="000000"/>
        </w:rPr>
        <w:t>bod </w:t>
      </w:r>
      <w:r w:rsidRPr="00F25A60">
        <w:rPr>
          <w:color w:val="000000"/>
        </w:rPr>
        <w:t>4.8).</w:t>
      </w:r>
    </w:p>
    <w:p w14:paraId="7358D144" w14:textId="77777777" w:rsidR="00EA5993" w:rsidRPr="00F25A60" w:rsidRDefault="00EA5993" w:rsidP="0048111F">
      <w:pPr>
        <w:pStyle w:val="EndnoteText"/>
        <w:tabs>
          <w:tab w:val="clear" w:pos="567"/>
        </w:tabs>
        <w:rPr>
          <w:color w:val="000000"/>
        </w:rPr>
      </w:pPr>
    </w:p>
    <w:p w14:paraId="316118A9" w14:textId="77777777" w:rsidR="00EA5993" w:rsidRPr="00F25A60" w:rsidRDefault="00EA5993" w:rsidP="0048111F">
      <w:pPr>
        <w:keepNext/>
        <w:tabs>
          <w:tab w:val="clear" w:pos="567"/>
        </w:tabs>
        <w:spacing w:line="240" w:lineRule="auto"/>
        <w:ind w:left="567" w:hanging="567"/>
        <w:rPr>
          <w:b/>
          <w:bCs/>
          <w:color w:val="000000"/>
        </w:rPr>
      </w:pPr>
      <w:r w:rsidRPr="00F25A60">
        <w:rPr>
          <w:b/>
          <w:bCs/>
          <w:color w:val="000000"/>
        </w:rPr>
        <w:t>4.5</w:t>
      </w:r>
      <w:r w:rsidRPr="00F25A60">
        <w:rPr>
          <w:b/>
          <w:bCs/>
          <w:color w:val="000000"/>
        </w:rPr>
        <w:tab/>
        <w:t>Interakce s jinými léčivými přípravky a jiné formy interakce</w:t>
      </w:r>
    </w:p>
    <w:p w14:paraId="74FBE814" w14:textId="77777777" w:rsidR="00EA5993" w:rsidRPr="00F25A60" w:rsidRDefault="00EA5993" w:rsidP="0048111F">
      <w:pPr>
        <w:pStyle w:val="EndnoteText"/>
        <w:keepNext/>
        <w:tabs>
          <w:tab w:val="clear" w:pos="567"/>
        </w:tabs>
        <w:rPr>
          <w:color w:val="000000"/>
        </w:rPr>
      </w:pPr>
    </w:p>
    <w:p w14:paraId="7F033B8D" w14:textId="51DB9009" w:rsidR="00EA5993" w:rsidRPr="00F25A60" w:rsidRDefault="00EA5993" w:rsidP="0048111F">
      <w:pPr>
        <w:pStyle w:val="Text"/>
        <w:keepNext/>
        <w:spacing w:before="0"/>
        <w:jc w:val="left"/>
        <w:rPr>
          <w:color w:val="000000"/>
          <w:sz w:val="22"/>
          <w:szCs w:val="22"/>
          <w:u w:val="single"/>
          <w:lang w:val="cs-CZ"/>
        </w:rPr>
      </w:pPr>
      <w:r w:rsidRPr="00F25A60">
        <w:rPr>
          <w:color w:val="000000"/>
          <w:sz w:val="22"/>
          <w:szCs w:val="22"/>
          <w:u w:val="single"/>
          <w:lang w:val="cs-CZ"/>
        </w:rPr>
        <w:t xml:space="preserve">Léčivé látky, které mohou </w:t>
      </w:r>
      <w:r w:rsidRPr="00F25A60">
        <w:rPr>
          <w:b/>
          <w:bCs/>
          <w:color w:val="000000"/>
          <w:sz w:val="22"/>
          <w:szCs w:val="22"/>
          <w:u w:val="single"/>
          <w:lang w:val="cs-CZ"/>
        </w:rPr>
        <w:t>zvyšovat</w:t>
      </w:r>
      <w:r w:rsidRPr="00F25A60">
        <w:rPr>
          <w:color w:val="000000"/>
          <w:sz w:val="22"/>
          <w:szCs w:val="22"/>
          <w:u w:val="single"/>
          <w:lang w:val="cs-CZ"/>
        </w:rPr>
        <w:t xml:space="preserve"> koncentraci imatinibu v plazmě</w:t>
      </w:r>
    </w:p>
    <w:p w14:paraId="6E4BA681" w14:textId="77777777" w:rsidR="001472B2" w:rsidRPr="00F25A60" w:rsidRDefault="001472B2" w:rsidP="0048111F">
      <w:pPr>
        <w:pStyle w:val="Text"/>
        <w:keepNext/>
        <w:spacing w:before="0"/>
        <w:jc w:val="left"/>
        <w:rPr>
          <w:color w:val="000000"/>
          <w:sz w:val="22"/>
          <w:szCs w:val="22"/>
          <w:lang w:val="cs-CZ"/>
        </w:rPr>
      </w:pPr>
    </w:p>
    <w:p w14:paraId="3A108CD4" w14:textId="77777777" w:rsidR="00EA5993" w:rsidRPr="00F25A60" w:rsidRDefault="00EA5993" w:rsidP="0048111F">
      <w:pPr>
        <w:pStyle w:val="Text"/>
        <w:spacing w:before="0"/>
        <w:jc w:val="left"/>
        <w:rPr>
          <w:color w:val="000000"/>
          <w:sz w:val="22"/>
          <w:szCs w:val="22"/>
          <w:lang w:val="cs-CZ"/>
        </w:rPr>
      </w:pPr>
      <w:r w:rsidRPr="00F25A60">
        <w:rPr>
          <w:color w:val="000000"/>
          <w:sz w:val="22"/>
          <w:szCs w:val="22"/>
          <w:lang w:val="cs-CZ"/>
        </w:rPr>
        <w:t>Látky, které inhibují aktivitu izoenzymu CYP3A4 cytochromu P450 (např. inhibitory proteáz jako je indinavir, lopinavir/ritonavir, ritonavir, sachinavir, telaprevir, nelfinavir, boceprevir; azolová antimykotika zahrnující ketokonazol, itrakonazol, posakonazol, vorikonazol; některé makrolidy jako je erythromycin, klarithromycin a telithromycin) by mohly snižovat metabolismus a zvyšovat koncentraci imatinibu. Při souběžné jednotlivé dávce ketokonazolu (inhibitoru CYP3A4) zdravým jedincům bylo pozorováno významné zvýšení účinku imatinibu (průměrná C</w:t>
      </w:r>
      <w:r w:rsidRPr="00F25A60">
        <w:rPr>
          <w:color w:val="000000"/>
          <w:sz w:val="22"/>
          <w:szCs w:val="22"/>
          <w:vertAlign w:val="subscript"/>
          <w:lang w:val="cs-CZ"/>
        </w:rPr>
        <w:t>max</w:t>
      </w:r>
      <w:r w:rsidRPr="00F25A60">
        <w:rPr>
          <w:color w:val="000000"/>
          <w:sz w:val="22"/>
          <w:szCs w:val="22"/>
          <w:lang w:val="cs-CZ"/>
        </w:rPr>
        <w:t xml:space="preserve"> imatinibu vzrostla o 26</w:t>
      </w:r>
      <w:r w:rsidR="002F04EE" w:rsidRPr="00F25A60">
        <w:rPr>
          <w:color w:val="000000"/>
          <w:sz w:val="22"/>
          <w:szCs w:val="22"/>
          <w:lang w:val="cs-CZ"/>
        </w:rPr>
        <w:t> </w:t>
      </w:r>
      <w:r w:rsidRPr="00F25A60">
        <w:rPr>
          <w:color w:val="000000"/>
          <w:sz w:val="22"/>
          <w:szCs w:val="22"/>
          <w:lang w:val="cs-CZ"/>
        </w:rPr>
        <w:t>% a AUC o 40</w:t>
      </w:r>
      <w:r w:rsidR="002F04EE" w:rsidRPr="00F25A60">
        <w:rPr>
          <w:color w:val="000000"/>
          <w:sz w:val="22"/>
          <w:szCs w:val="22"/>
          <w:lang w:val="cs-CZ"/>
        </w:rPr>
        <w:t> </w:t>
      </w:r>
      <w:r w:rsidRPr="00F25A60">
        <w:rPr>
          <w:color w:val="000000"/>
          <w:sz w:val="22"/>
          <w:szCs w:val="22"/>
          <w:lang w:val="cs-CZ"/>
        </w:rPr>
        <w:t>%). Při podávání Glivecu s inhibitory skupiny CYP3A4 je nutná opatrnost.</w:t>
      </w:r>
    </w:p>
    <w:p w14:paraId="27F77D8E" w14:textId="77777777" w:rsidR="00EA5993" w:rsidRPr="00F25A60" w:rsidRDefault="00EA5993" w:rsidP="0048111F">
      <w:pPr>
        <w:pStyle w:val="Text"/>
        <w:spacing w:before="0"/>
        <w:jc w:val="left"/>
        <w:rPr>
          <w:color w:val="000000"/>
          <w:sz w:val="22"/>
          <w:szCs w:val="22"/>
          <w:lang w:val="cs-CZ"/>
        </w:rPr>
      </w:pPr>
    </w:p>
    <w:p w14:paraId="5C987093" w14:textId="6F318667" w:rsidR="00EA5993" w:rsidRPr="00F25A60" w:rsidRDefault="00EA5993" w:rsidP="0048111F">
      <w:pPr>
        <w:pStyle w:val="Text"/>
        <w:keepNext/>
        <w:spacing w:before="0"/>
        <w:jc w:val="left"/>
        <w:rPr>
          <w:color w:val="000000"/>
          <w:sz w:val="22"/>
          <w:szCs w:val="22"/>
          <w:u w:val="single"/>
          <w:lang w:val="cs-CZ"/>
        </w:rPr>
      </w:pPr>
      <w:r w:rsidRPr="00F25A60">
        <w:rPr>
          <w:color w:val="000000"/>
          <w:sz w:val="22"/>
          <w:szCs w:val="22"/>
          <w:u w:val="single"/>
          <w:lang w:val="cs-CZ"/>
        </w:rPr>
        <w:t xml:space="preserve">Léčivé látky, které mohou </w:t>
      </w:r>
      <w:r w:rsidRPr="00F25A60">
        <w:rPr>
          <w:b/>
          <w:bCs/>
          <w:color w:val="000000"/>
          <w:sz w:val="22"/>
          <w:szCs w:val="22"/>
          <w:u w:val="single"/>
          <w:lang w:val="cs-CZ"/>
        </w:rPr>
        <w:t xml:space="preserve">snižovat </w:t>
      </w:r>
      <w:r w:rsidRPr="00F25A60">
        <w:rPr>
          <w:color w:val="000000"/>
          <w:sz w:val="22"/>
          <w:szCs w:val="22"/>
          <w:u w:val="single"/>
          <w:lang w:val="cs-CZ"/>
        </w:rPr>
        <w:t>koncentraci</w:t>
      </w:r>
      <w:r w:rsidRPr="00F25A60">
        <w:rPr>
          <w:b/>
          <w:bCs/>
          <w:color w:val="000000"/>
          <w:sz w:val="22"/>
          <w:szCs w:val="22"/>
          <w:u w:val="single"/>
          <w:lang w:val="cs-CZ"/>
        </w:rPr>
        <w:t xml:space="preserve"> </w:t>
      </w:r>
      <w:r w:rsidRPr="00F25A60">
        <w:rPr>
          <w:color w:val="000000"/>
          <w:sz w:val="22"/>
          <w:szCs w:val="22"/>
          <w:u w:val="single"/>
          <w:lang w:val="cs-CZ"/>
        </w:rPr>
        <w:t>imatinibu v plazmě</w:t>
      </w:r>
    </w:p>
    <w:p w14:paraId="12EE460F" w14:textId="77777777" w:rsidR="001472B2" w:rsidRPr="00F25A60" w:rsidRDefault="001472B2" w:rsidP="0048111F">
      <w:pPr>
        <w:pStyle w:val="Text"/>
        <w:keepNext/>
        <w:spacing w:before="0"/>
        <w:jc w:val="left"/>
        <w:rPr>
          <w:color w:val="000000"/>
          <w:sz w:val="22"/>
          <w:szCs w:val="22"/>
          <w:lang w:val="cs-CZ"/>
        </w:rPr>
      </w:pPr>
    </w:p>
    <w:p w14:paraId="5F2395E3" w14:textId="77777777" w:rsidR="00EA5993" w:rsidRPr="00F25A60" w:rsidRDefault="00EA5993" w:rsidP="0048111F">
      <w:pPr>
        <w:pStyle w:val="Text"/>
        <w:spacing w:before="0"/>
        <w:jc w:val="left"/>
        <w:rPr>
          <w:color w:val="000000"/>
          <w:sz w:val="22"/>
          <w:szCs w:val="22"/>
          <w:lang w:val="cs-CZ"/>
        </w:rPr>
      </w:pPr>
      <w:r w:rsidRPr="00F25A60">
        <w:rPr>
          <w:color w:val="000000"/>
          <w:sz w:val="22"/>
          <w:szCs w:val="22"/>
          <w:lang w:val="cs-CZ"/>
        </w:rPr>
        <w:t xml:space="preserve">Látky, které indukují aktivitu CYP3A4 (např. dexamethason, fenytoin, karbamazepin, rifampicin, fenobarbital, fosfenytoin, primidon nebo </w:t>
      </w:r>
      <w:r w:rsidRPr="00F25A60">
        <w:rPr>
          <w:i/>
          <w:iCs/>
          <w:color w:val="000000"/>
          <w:sz w:val="22"/>
          <w:szCs w:val="22"/>
          <w:lang w:val="cs-CZ"/>
        </w:rPr>
        <w:t>Hypericum perforatum</w:t>
      </w:r>
      <w:r w:rsidRPr="00F25A60">
        <w:rPr>
          <w:color w:val="000000"/>
          <w:sz w:val="22"/>
          <w:szCs w:val="22"/>
          <w:lang w:val="cs-CZ"/>
        </w:rPr>
        <w:t xml:space="preserve">, známé také jako třezalka tečkovaná) mohou významně snižovat </w:t>
      </w:r>
      <w:r w:rsidR="002F04EE" w:rsidRPr="00F25A60">
        <w:rPr>
          <w:color w:val="000000"/>
          <w:sz w:val="22"/>
          <w:szCs w:val="22"/>
          <w:lang w:val="cs-CZ"/>
        </w:rPr>
        <w:t>expozici</w:t>
      </w:r>
      <w:r w:rsidRPr="00F25A60">
        <w:rPr>
          <w:color w:val="000000"/>
          <w:sz w:val="22"/>
          <w:szCs w:val="22"/>
          <w:lang w:val="cs-CZ"/>
        </w:rPr>
        <w:t xml:space="preserve"> Glivecu a potenciálně zvyšovat riziko selhání léčby. Předchozí léčba opakovaný</w:t>
      </w:r>
      <w:r w:rsidR="002F04EE" w:rsidRPr="00F25A60">
        <w:rPr>
          <w:color w:val="000000"/>
          <w:sz w:val="22"/>
          <w:szCs w:val="22"/>
          <w:lang w:val="cs-CZ"/>
        </w:rPr>
        <w:t>mi</w:t>
      </w:r>
      <w:r w:rsidRPr="00F25A60">
        <w:rPr>
          <w:color w:val="000000"/>
          <w:sz w:val="22"/>
          <w:szCs w:val="22"/>
          <w:lang w:val="cs-CZ"/>
        </w:rPr>
        <w:t xml:space="preserve"> </w:t>
      </w:r>
      <w:r w:rsidR="002F04EE" w:rsidRPr="00F25A60">
        <w:rPr>
          <w:color w:val="000000"/>
          <w:sz w:val="22"/>
          <w:szCs w:val="22"/>
          <w:lang w:val="cs-CZ"/>
        </w:rPr>
        <w:t>dávkami</w:t>
      </w:r>
      <w:r w:rsidRPr="00F25A60">
        <w:rPr>
          <w:color w:val="000000"/>
          <w:sz w:val="22"/>
          <w:szCs w:val="22"/>
          <w:lang w:val="cs-CZ"/>
        </w:rPr>
        <w:t xml:space="preserve"> rifampicinu 600 mg následovaná jednorázovou dávkou 400 mg Glivecu měla za následek snížení C</w:t>
      </w:r>
      <w:r w:rsidRPr="00F25A60">
        <w:rPr>
          <w:color w:val="000000"/>
          <w:sz w:val="22"/>
          <w:szCs w:val="22"/>
          <w:vertAlign w:val="subscript"/>
          <w:lang w:val="cs-CZ"/>
        </w:rPr>
        <w:t>max</w:t>
      </w:r>
      <w:r w:rsidRPr="00F25A60">
        <w:rPr>
          <w:color w:val="000000"/>
          <w:sz w:val="22"/>
          <w:szCs w:val="22"/>
          <w:lang w:val="cs-CZ"/>
        </w:rPr>
        <w:t xml:space="preserve"> nejméně o 54</w:t>
      </w:r>
      <w:r w:rsidR="004B270C" w:rsidRPr="00F25A60">
        <w:rPr>
          <w:color w:val="000000"/>
          <w:sz w:val="22"/>
          <w:szCs w:val="22"/>
          <w:lang w:val="cs-CZ"/>
        </w:rPr>
        <w:t> </w:t>
      </w:r>
      <w:r w:rsidRPr="00F25A60">
        <w:rPr>
          <w:color w:val="000000"/>
          <w:sz w:val="22"/>
          <w:szCs w:val="22"/>
          <w:lang w:val="cs-CZ"/>
        </w:rPr>
        <w:t>% a AUC</w:t>
      </w:r>
      <w:r w:rsidRPr="00F25A60">
        <w:rPr>
          <w:color w:val="000000"/>
          <w:sz w:val="22"/>
          <w:szCs w:val="22"/>
          <w:vertAlign w:val="subscript"/>
          <w:lang w:val="cs-CZ"/>
        </w:rPr>
        <w:t>(0-∞)</w:t>
      </w:r>
      <w:r w:rsidRPr="00F25A60">
        <w:rPr>
          <w:color w:val="000000"/>
          <w:sz w:val="22"/>
          <w:szCs w:val="22"/>
          <w:lang w:val="cs-CZ"/>
        </w:rPr>
        <w:t xml:space="preserve"> o 74</w:t>
      </w:r>
      <w:r w:rsidR="004B270C" w:rsidRPr="00F25A60">
        <w:rPr>
          <w:color w:val="000000"/>
          <w:sz w:val="22"/>
          <w:szCs w:val="22"/>
          <w:lang w:val="cs-CZ"/>
        </w:rPr>
        <w:t> </w:t>
      </w:r>
      <w:r w:rsidRPr="00F25A60">
        <w:rPr>
          <w:color w:val="000000"/>
          <w:sz w:val="22"/>
          <w:szCs w:val="22"/>
          <w:lang w:val="cs-CZ"/>
        </w:rPr>
        <w:t>% ve srovnání s hodnotami bez předchozí léčby rifampicinem. Podobné výsledky byly pozorovány u pacientů s maligními gliomy, kteří byli léčeni Glivecem a užívali antiepilepti</w:t>
      </w:r>
      <w:r w:rsidR="002F04EE" w:rsidRPr="00F25A60">
        <w:rPr>
          <w:color w:val="000000"/>
          <w:sz w:val="22"/>
          <w:szCs w:val="22"/>
          <w:lang w:val="cs-CZ"/>
        </w:rPr>
        <w:t>ka</w:t>
      </w:r>
      <w:r w:rsidRPr="00F25A60">
        <w:rPr>
          <w:color w:val="000000"/>
          <w:sz w:val="22"/>
          <w:szCs w:val="22"/>
          <w:lang w:val="cs-CZ"/>
        </w:rPr>
        <w:t xml:space="preserve"> (EIAED) jako např. karbamazepin, oxkarbazepin a fenytoin, které indukovaly příslušné jaterní enzymy. Došlo ke snížení AUC imatinibu v plazmě o 73</w:t>
      </w:r>
      <w:r w:rsidR="004B270C" w:rsidRPr="00F25A60">
        <w:rPr>
          <w:color w:val="000000"/>
          <w:sz w:val="22"/>
          <w:szCs w:val="22"/>
          <w:lang w:val="cs-CZ"/>
        </w:rPr>
        <w:t> </w:t>
      </w:r>
      <w:r w:rsidRPr="00F25A60">
        <w:rPr>
          <w:color w:val="000000"/>
          <w:sz w:val="22"/>
          <w:szCs w:val="22"/>
          <w:lang w:val="cs-CZ"/>
        </w:rPr>
        <w:t xml:space="preserve">% oproti pacientům, kteří neužívali EIAED. </w:t>
      </w:r>
      <w:r w:rsidR="002F04EE" w:rsidRPr="00F25A60">
        <w:rPr>
          <w:color w:val="000000"/>
          <w:sz w:val="22"/>
          <w:szCs w:val="22"/>
          <w:lang w:val="cs-CZ"/>
        </w:rPr>
        <w:t>Má</w:t>
      </w:r>
      <w:r w:rsidRPr="00F25A60">
        <w:rPr>
          <w:color w:val="000000"/>
          <w:sz w:val="22"/>
          <w:szCs w:val="22"/>
          <w:lang w:val="cs-CZ"/>
        </w:rPr>
        <w:t xml:space="preserve"> se zabránit souběžnému užívání rifampicinu nebo jiných silných induktorů CYP3A4 a imatinibu.</w:t>
      </w:r>
    </w:p>
    <w:p w14:paraId="733A012D" w14:textId="77777777" w:rsidR="00EA5993" w:rsidRPr="00F25A60" w:rsidRDefault="00EA5993" w:rsidP="0048111F">
      <w:pPr>
        <w:pStyle w:val="Text"/>
        <w:spacing w:before="0"/>
        <w:jc w:val="left"/>
        <w:rPr>
          <w:color w:val="000000"/>
          <w:sz w:val="22"/>
          <w:szCs w:val="22"/>
          <w:lang w:val="cs-CZ"/>
        </w:rPr>
      </w:pPr>
    </w:p>
    <w:p w14:paraId="134C01C7" w14:textId="73DE38D9" w:rsidR="00EA5993" w:rsidRPr="00F25A60" w:rsidRDefault="00EA5993" w:rsidP="0048111F">
      <w:pPr>
        <w:pStyle w:val="Text"/>
        <w:keepNext/>
        <w:spacing w:before="0"/>
        <w:jc w:val="left"/>
        <w:rPr>
          <w:bCs/>
          <w:color w:val="000000"/>
          <w:sz w:val="22"/>
          <w:szCs w:val="22"/>
          <w:u w:val="single"/>
          <w:lang w:val="cs-CZ"/>
        </w:rPr>
      </w:pPr>
      <w:r w:rsidRPr="00F25A60">
        <w:rPr>
          <w:bCs/>
          <w:color w:val="000000"/>
          <w:sz w:val="22"/>
          <w:szCs w:val="22"/>
          <w:u w:val="single"/>
          <w:lang w:val="cs-CZ"/>
        </w:rPr>
        <w:t>Léčivé látky, jejichž koncentrace v plazmě by mohla být ovlivněna Glivecem</w:t>
      </w:r>
    </w:p>
    <w:p w14:paraId="2F37CCB4" w14:textId="77777777" w:rsidR="001472B2" w:rsidRPr="00F25A60" w:rsidRDefault="001472B2" w:rsidP="0048111F">
      <w:pPr>
        <w:pStyle w:val="Text"/>
        <w:keepNext/>
        <w:spacing w:before="0"/>
        <w:jc w:val="left"/>
        <w:rPr>
          <w:bCs/>
          <w:color w:val="000000"/>
          <w:sz w:val="22"/>
          <w:szCs w:val="22"/>
          <w:lang w:val="cs-CZ"/>
        </w:rPr>
      </w:pPr>
    </w:p>
    <w:p w14:paraId="65ECEE75" w14:textId="77777777" w:rsidR="00EA5993" w:rsidRPr="00F25A60" w:rsidRDefault="00EA5993" w:rsidP="0048111F">
      <w:pPr>
        <w:pStyle w:val="Text"/>
        <w:spacing w:before="0"/>
        <w:jc w:val="left"/>
        <w:rPr>
          <w:color w:val="000000"/>
          <w:sz w:val="22"/>
          <w:szCs w:val="22"/>
          <w:lang w:val="cs-CZ"/>
        </w:rPr>
      </w:pPr>
      <w:r w:rsidRPr="00F25A60">
        <w:rPr>
          <w:color w:val="000000"/>
          <w:sz w:val="22"/>
          <w:szCs w:val="22"/>
          <w:lang w:val="cs-CZ"/>
        </w:rPr>
        <w:t>Imatinib zvyšuje průměrnou C</w:t>
      </w:r>
      <w:r w:rsidRPr="00F25A60">
        <w:rPr>
          <w:color w:val="000000"/>
          <w:sz w:val="22"/>
          <w:szCs w:val="22"/>
          <w:vertAlign w:val="subscript"/>
          <w:lang w:val="cs-CZ"/>
        </w:rPr>
        <w:t>max</w:t>
      </w:r>
      <w:r w:rsidRPr="00F25A60">
        <w:rPr>
          <w:color w:val="000000"/>
          <w:sz w:val="22"/>
          <w:szCs w:val="22"/>
          <w:lang w:val="cs-CZ"/>
        </w:rPr>
        <w:t xml:space="preserve"> simvastatinu 2krát a AUC simvastatinu (CYP3A4 substrát) 3,5krát, což znamená, že je CYP3A4 inhibován imatinibem. Při podávání Glivecu se substráty CYP3A4 s úzkým terapeutickým oknem se proto doporučuje opatrnost (např. cyklosporin, pimozid, takrolimus, sirolimus, ergotamin, diergotamin, fentanyl, alfentanil, terfenadin, bortezomib, docetaxel a chinidin). Glivec může zvyšovat plazmatickou koncentraci jiných léků metabolizovaných CYP3A4 (např. triazolo-benzodiazepinů, dihydropyridinových blokátorů kalciových kanálů, některých inhibitorů </w:t>
      </w:r>
      <w:smartTag w:uri="urn:schemas-microsoft-com:office:smarttags" w:element="stockticker">
        <w:r w:rsidRPr="00F25A60">
          <w:rPr>
            <w:color w:val="000000"/>
            <w:sz w:val="22"/>
            <w:szCs w:val="22"/>
            <w:lang w:val="cs-CZ"/>
          </w:rPr>
          <w:t>HMG</w:t>
        </w:r>
      </w:smartTag>
      <w:r w:rsidRPr="00F25A60">
        <w:rPr>
          <w:color w:val="000000"/>
          <w:sz w:val="22"/>
          <w:szCs w:val="22"/>
          <w:lang w:val="cs-CZ"/>
        </w:rPr>
        <w:t>-CoA reduktázy, tj. statinů, atd.).</w:t>
      </w:r>
    </w:p>
    <w:p w14:paraId="4D84DD10" w14:textId="77777777" w:rsidR="00EA5993" w:rsidRPr="00F25A60" w:rsidRDefault="00EA5993" w:rsidP="0048111F">
      <w:pPr>
        <w:pStyle w:val="Text"/>
        <w:spacing w:before="0"/>
        <w:jc w:val="left"/>
        <w:rPr>
          <w:color w:val="000000"/>
          <w:sz w:val="22"/>
          <w:szCs w:val="22"/>
          <w:lang w:val="cs-CZ"/>
        </w:rPr>
      </w:pPr>
    </w:p>
    <w:p w14:paraId="7D21917D" w14:textId="77777777" w:rsidR="00EA5993" w:rsidRPr="00F25A60" w:rsidRDefault="00EA5993" w:rsidP="0048111F">
      <w:pPr>
        <w:pStyle w:val="Text"/>
        <w:spacing w:before="0"/>
        <w:jc w:val="left"/>
        <w:rPr>
          <w:color w:val="000000"/>
          <w:sz w:val="22"/>
          <w:szCs w:val="22"/>
          <w:lang w:val="cs-CZ"/>
        </w:rPr>
      </w:pPr>
      <w:r w:rsidRPr="00F25A60">
        <w:rPr>
          <w:color w:val="000000"/>
          <w:sz w:val="22"/>
          <w:szCs w:val="22"/>
          <w:lang w:val="cs-CZ"/>
        </w:rPr>
        <w:t xml:space="preserve">Vzhledem ke známému zvýšenému riziku krvácení spojenému s užíváním imatinibu (např. hemoragie) </w:t>
      </w:r>
      <w:r w:rsidR="002F04EE" w:rsidRPr="00F25A60">
        <w:rPr>
          <w:color w:val="000000"/>
          <w:sz w:val="22"/>
          <w:szCs w:val="22"/>
          <w:lang w:val="cs-CZ"/>
        </w:rPr>
        <w:t>mají</w:t>
      </w:r>
      <w:r w:rsidRPr="00F25A60">
        <w:rPr>
          <w:color w:val="000000"/>
          <w:sz w:val="22"/>
          <w:szCs w:val="22"/>
          <w:lang w:val="cs-CZ"/>
        </w:rPr>
        <w:t xml:space="preserve"> pacienti vyžadující antikoagulační léčbu místo kumarinových derivátů, jako je warfarin, dostávat nízkomolekulární nebo standardní heparin.</w:t>
      </w:r>
    </w:p>
    <w:p w14:paraId="0BD77115" w14:textId="77777777" w:rsidR="00EA5993" w:rsidRPr="00F25A60" w:rsidRDefault="00EA5993" w:rsidP="0048111F">
      <w:pPr>
        <w:pStyle w:val="Text"/>
        <w:spacing w:before="0"/>
        <w:rPr>
          <w:color w:val="000000"/>
          <w:sz w:val="22"/>
          <w:szCs w:val="22"/>
          <w:lang w:val="cs-CZ"/>
        </w:rPr>
      </w:pPr>
    </w:p>
    <w:p w14:paraId="6319F217" w14:textId="77777777" w:rsidR="00EA5993" w:rsidRPr="00F25A60" w:rsidRDefault="00EA5993" w:rsidP="0048111F">
      <w:pPr>
        <w:pStyle w:val="Text"/>
        <w:spacing w:before="0"/>
        <w:jc w:val="left"/>
        <w:rPr>
          <w:color w:val="000000"/>
          <w:sz w:val="22"/>
          <w:szCs w:val="22"/>
          <w:lang w:val="cs-CZ"/>
        </w:rPr>
      </w:pPr>
      <w:r w:rsidRPr="00F25A60">
        <w:rPr>
          <w:i/>
          <w:iCs/>
          <w:color w:val="000000"/>
          <w:sz w:val="22"/>
          <w:szCs w:val="22"/>
          <w:lang w:val="cs-CZ"/>
        </w:rPr>
        <w:t>In vitro</w:t>
      </w:r>
      <w:r w:rsidRPr="00F25A60">
        <w:rPr>
          <w:color w:val="000000"/>
          <w:sz w:val="22"/>
          <w:szCs w:val="22"/>
          <w:lang w:val="cs-CZ"/>
        </w:rPr>
        <w:t xml:space="preserve"> Glivec inhibuje aktivitu izoenzymu CYP2D6 cytochromu P450 v koncentraci podobné té, která ovlivňuje aktivitu CYP3A4. Imatinib v dávce 400 mg dvakrát denně působil inhibičně na metabolismus metoprololu zprostředkovaný CYP2D6; došlo ke zvýšení C</w:t>
      </w:r>
      <w:r w:rsidRPr="00F25A60">
        <w:rPr>
          <w:color w:val="000000"/>
          <w:sz w:val="22"/>
          <w:szCs w:val="22"/>
          <w:vertAlign w:val="subscript"/>
          <w:lang w:val="cs-CZ"/>
        </w:rPr>
        <w:t>max</w:t>
      </w:r>
      <w:r w:rsidRPr="00F25A60">
        <w:rPr>
          <w:color w:val="000000"/>
          <w:sz w:val="22"/>
          <w:szCs w:val="22"/>
          <w:lang w:val="cs-CZ"/>
        </w:rPr>
        <w:t xml:space="preserve"> a AUC metoprololu o přibližně 23</w:t>
      </w:r>
      <w:r w:rsidR="004B270C" w:rsidRPr="00F25A60">
        <w:rPr>
          <w:color w:val="000000"/>
          <w:sz w:val="22"/>
          <w:szCs w:val="22"/>
          <w:lang w:val="cs-CZ"/>
        </w:rPr>
        <w:t> </w:t>
      </w:r>
      <w:r w:rsidRPr="00F25A60">
        <w:rPr>
          <w:color w:val="000000"/>
          <w:sz w:val="22"/>
          <w:szCs w:val="22"/>
          <w:lang w:val="cs-CZ"/>
        </w:rPr>
        <w:t>% (90% CI [1,16</w:t>
      </w:r>
      <w:r w:rsidRPr="00F25A60">
        <w:rPr>
          <w:color w:val="000000"/>
          <w:sz w:val="22"/>
          <w:szCs w:val="22"/>
          <w:lang w:val="cs-CZ"/>
        </w:rPr>
        <w:noBreakHyphen/>
        <w:t>1,30]).</w:t>
      </w:r>
      <w:r w:rsidR="00C56CC8" w:rsidRPr="00F25A60">
        <w:rPr>
          <w:color w:val="000000"/>
          <w:sz w:val="22"/>
          <w:szCs w:val="22"/>
          <w:lang w:val="cs-CZ"/>
        </w:rPr>
        <w:t xml:space="preserve"> </w:t>
      </w:r>
      <w:r w:rsidRPr="00F25A60">
        <w:rPr>
          <w:color w:val="000000"/>
          <w:sz w:val="22"/>
          <w:szCs w:val="22"/>
          <w:lang w:val="cs-CZ"/>
        </w:rPr>
        <w:t>Zdá se, že při souběžném podávání imatinibu se substráty CYP2D6 není nutno upravovat dávkování, doporučuje se však věnovat zvýšenou pozornost substrátům CYP2D6 s úzkým terapeutickým oknem, jako je např. metoprolol. U pacientů léčených metoprololem je nutno zvážit klinické monitorování.</w:t>
      </w:r>
    </w:p>
    <w:p w14:paraId="756956C9" w14:textId="77777777" w:rsidR="00EA5993" w:rsidRPr="00F25A60" w:rsidRDefault="00EA5993" w:rsidP="0048111F">
      <w:pPr>
        <w:pStyle w:val="Text"/>
        <w:spacing w:before="0"/>
        <w:jc w:val="left"/>
        <w:rPr>
          <w:color w:val="000000"/>
          <w:sz w:val="22"/>
          <w:szCs w:val="22"/>
          <w:lang w:val="cs-CZ"/>
        </w:rPr>
      </w:pPr>
    </w:p>
    <w:p w14:paraId="65335594" w14:textId="3DC72EC0" w:rsidR="00EA5993" w:rsidRPr="00F25A60" w:rsidRDefault="00EA5993" w:rsidP="0048111F">
      <w:pPr>
        <w:pStyle w:val="Text"/>
        <w:spacing w:before="0"/>
        <w:jc w:val="left"/>
        <w:rPr>
          <w:color w:val="000000"/>
          <w:sz w:val="22"/>
          <w:szCs w:val="22"/>
          <w:lang w:val="cs-CZ"/>
        </w:rPr>
      </w:pPr>
      <w:r w:rsidRPr="00F25A60">
        <w:rPr>
          <w:i/>
          <w:iCs/>
          <w:color w:val="000000"/>
          <w:sz w:val="22"/>
          <w:szCs w:val="22"/>
          <w:lang w:val="cs-CZ"/>
        </w:rPr>
        <w:lastRenderedPageBreak/>
        <w:t>In vitro</w:t>
      </w:r>
      <w:r w:rsidRPr="00F25A60">
        <w:rPr>
          <w:color w:val="000000"/>
          <w:sz w:val="22"/>
          <w:szCs w:val="22"/>
          <w:lang w:val="cs-CZ"/>
        </w:rPr>
        <w:t xml:space="preserve"> Glivec inhibuje O-glukuronidaci paracetamolu s Ki hodnotou 58,5 mikromol/l. </w:t>
      </w:r>
      <w:r w:rsidRPr="00F25A60">
        <w:rPr>
          <w:iCs/>
          <w:color w:val="000000"/>
          <w:sz w:val="22"/>
          <w:szCs w:val="22"/>
          <w:lang w:val="cs-CZ"/>
        </w:rPr>
        <w:t>Tato</w:t>
      </w:r>
      <w:r w:rsidRPr="00F25A60">
        <w:rPr>
          <w:iCs/>
          <w:color w:val="000000"/>
          <w:sz w:val="22"/>
          <w:szCs w:val="22"/>
          <w:u w:val="single"/>
          <w:lang w:val="cs-CZ"/>
        </w:rPr>
        <w:t xml:space="preserve"> </w:t>
      </w:r>
      <w:r w:rsidRPr="00F25A60">
        <w:rPr>
          <w:iCs/>
          <w:color w:val="000000"/>
          <w:sz w:val="22"/>
          <w:szCs w:val="22"/>
          <w:lang w:val="cs-CZ"/>
        </w:rPr>
        <w:t>inhibice nebyla zjištěna po podání Glivecu 400 mg a paracetamolu 1</w:t>
      </w:r>
      <w:ins w:id="108" w:author="Author">
        <w:r w:rsidR="00AC5D3E" w:rsidRPr="00F25A60">
          <w:rPr>
            <w:iCs/>
            <w:color w:val="000000"/>
            <w:sz w:val="22"/>
            <w:szCs w:val="22"/>
            <w:lang w:val="cs-CZ"/>
          </w:rPr>
          <w:t> </w:t>
        </w:r>
      </w:ins>
      <w:r w:rsidRPr="00F25A60">
        <w:rPr>
          <w:iCs/>
          <w:color w:val="000000"/>
          <w:sz w:val="22"/>
          <w:szCs w:val="22"/>
          <w:lang w:val="cs-CZ"/>
        </w:rPr>
        <w:t xml:space="preserve">000 mg </w:t>
      </w:r>
      <w:r w:rsidRPr="00F25A60">
        <w:rPr>
          <w:i/>
          <w:iCs/>
          <w:color w:val="000000"/>
          <w:sz w:val="22"/>
          <w:szCs w:val="22"/>
          <w:lang w:val="cs-CZ"/>
        </w:rPr>
        <w:t>in vivo</w:t>
      </w:r>
      <w:r w:rsidRPr="00F25A60">
        <w:rPr>
          <w:iCs/>
          <w:color w:val="000000"/>
          <w:sz w:val="22"/>
          <w:szCs w:val="22"/>
          <w:lang w:val="cs-CZ"/>
        </w:rPr>
        <w:t>. Vyšší dávky Glivecu a paracetamolu nebyly studovány.</w:t>
      </w:r>
    </w:p>
    <w:p w14:paraId="7D66F2A4" w14:textId="77777777" w:rsidR="00EA5993" w:rsidRPr="00F25A60" w:rsidRDefault="00EA5993" w:rsidP="0048111F">
      <w:pPr>
        <w:pStyle w:val="Text"/>
        <w:spacing w:before="0"/>
        <w:jc w:val="left"/>
        <w:rPr>
          <w:color w:val="000000"/>
          <w:sz w:val="22"/>
          <w:szCs w:val="22"/>
          <w:lang w:val="cs-CZ"/>
        </w:rPr>
      </w:pPr>
    </w:p>
    <w:p w14:paraId="717782A6" w14:textId="77777777" w:rsidR="00EA5993" w:rsidRPr="00F25A60" w:rsidRDefault="00EA5993" w:rsidP="0048111F">
      <w:pPr>
        <w:pStyle w:val="Text"/>
        <w:spacing w:before="0"/>
        <w:jc w:val="left"/>
        <w:rPr>
          <w:color w:val="000000"/>
          <w:sz w:val="22"/>
          <w:szCs w:val="22"/>
          <w:lang w:val="cs-CZ"/>
        </w:rPr>
      </w:pPr>
      <w:r w:rsidRPr="00F25A60">
        <w:rPr>
          <w:color w:val="000000"/>
          <w:sz w:val="22"/>
          <w:szCs w:val="22"/>
          <w:lang w:val="cs-CZ"/>
        </w:rPr>
        <w:t xml:space="preserve">Obezřetnost proto </w:t>
      </w:r>
      <w:r w:rsidR="002F04EE" w:rsidRPr="00F25A60">
        <w:rPr>
          <w:color w:val="000000"/>
          <w:sz w:val="22"/>
          <w:szCs w:val="22"/>
          <w:lang w:val="cs-CZ"/>
        </w:rPr>
        <w:t>má</w:t>
      </w:r>
      <w:r w:rsidRPr="00F25A60">
        <w:rPr>
          <w:color w:val="000000"/>
          <w:sz w:val="22"/>
          <w:szCs w:val="22"/>
          <w:lang w:val="cs-CZ"/>
        </w:rPr>
        <w:t xml:space="preserve"> být uplatněna při souběžném užívání vyšších dávek Glivecu a paracetamolu.</w:t>
      </w:r>
    </w:p>
    <w:p w14:paraId="10DC0AED" w14:textId="77777777" w:rsidR="00EA5993" w:rsidRPr="00F25A60" w:rsidRDefault="00EA5993" w:rsidP="0048111F">
      <w:pPr>
        <w:pStyle w:val="Text"/>
        <w:spacing w:before="0"/>
        <w:jc w:val="left"/>
        <w:rPr>
          <w:color w:val="000000"/>
          <w:sz w:val="22"/>
          <w:szCs w:val="22"/>
          <w:lang w:val="cs-CZ"/>
        </w:rPr>
      </w:pPr>
    </w:p>
    <w:p w14:paraId="649BD9DF" w14:textId="1647C8D6" w:rsidR="00EA5993" w:rsidRPr="00F25A60" w:rsidRDefault="00EA5993" w:rsidP="0048111F">
      <w:pPr>
        <w:pStyle w:val="Text"/>
        <w:spacing w:before="0"/>
        <w:jc w:val="left"/>
        <w:rPr>
          <w:color w:val="000000"/>
          <w:sz w:val="22"/>
          <w:szCs w:val="22"/>
          <w:lang w:val="cs-CZ"/>
        </w:rPr>
      </w:pPr>
      <w:r w:rsidRPr="00F25A60">
        <w:rPr>
          <w:color w:val="000000"/>
          <w:sz w:val="22"/>
          <w:szCs w:val="22"/>
          <w:lang w:val="cs-CZ"/>
        </w:rPr>
        <w:t>U pacientů s tyreoidektomií léčených levothyroxinem, může být plazmatická expozice levothyroxinu snížena, pokud se podává spolu s Glivecem (viz bod</w:t>
      </w:r>
      <w:ins w:id="109" w:author="Author">
        <w:r w:rsidR="004F21DC" w:rsidRPr="00F25A60">
          <w:rPr>
            <w:color w:val="000000"/>
          </w:rPr>
          <w:t> </w:t>
        </w:r>
      </w:ins>
      <w:del w:id="110" w:author="Author">
        <w:r w:rsidRPr="00F25A60" w:rsidDel="004F21DC">
          <w:rPr>
            <w:color w:val="000000"/>
            <w:sz w:val="22"/>
            <w:szCs w:val="22"/>
            <w:lang w:val="cs-CZ"/>
          </w:rPr>
          <w:delText xml:space="preserve"> </w:delText>
        </w:r>
      </w:del>
      <w:r w:rsidRPr="00F25A60">
        <w:rPr>
          <w:color w:val="000000"/>
          <w:sz w:val="22"/>
          <w:szCs w:val="22"/>
          <w:lang w:val="cs-CZ"/>
        </w:rPr>
        <w:t>4.4). Proto se doporučuje opatrnost. Nicméně mechanismus pozorované interakce v současnosti není znám.</w:t>
      </w:r>
    </w:p>
    <w:p w14:paraId="4A022D8E" w14:textId="77777777" w:rsidR="00EA5993" w:rsidRPr="00F25A60" w:rsidRDefault="00EA5993" w:rsidP="0048111F">
      <w:pPr>
        <w:pStyle w:val="Text"/>
        <w:spacing w:before="0"/>
        <w:jc w:val="left"/>
        <w:rPr>
          <w:color w:val="000000"/>
          <w:sz w:val="22"/>
          <w:szCs w:val="22"/>
          <w:lang w:val="cs-CZ"/>
        </w:rPr>
      </w:pPr>
    </w:p>
    <w:p w14:paraId="509A8FDB" w14:textId="1A88EA3D" w:rsidR="00EA5993" w:rsidRDefault="00EA5993" w:rsidP="0048111F">
      <w:pPr>
        <w:pStyle w:val="Text"/>
        <w:spacing w:before="0"/>
        <w:jc w:val="left"/>
        <w:rPr>
          <w:ins w:id="111" w:author="Author"/>
          <w:color w:val="000000"/>
          <w:sz w:val="22"/>
          <w:szCs w:val="22"/>
          <w:lang w:val="cs-CZ"/>
        </w:rPr>
      </w:pPr>
      <w:r w:rsidRPr="00F25A60">
        <w:rPr>
          <w:color w:val="000000"/>
          <w:sz w:val="22"/>
          <w:szCs w:val="22"/>
          <w:lang w:val="cs-CZ"/>
        </w:rPr>
        <w:t xml:space="preserve">U pacientů s Ph+ </w:t>
      </w:r>
      <w:smartTag w:uri="urn:schemas-microsoft-com:office:smarttags" w:element="stockticker">
        <w:r w:rsidRPr="00F25A60">
          <w:rPr>
            <w:color w:val="000000"/>
            <w:sz w:val="22"/>
            <w:szCs w:val="22"/>
            <w:lang w:val="cs-CZ"/>
          </w:rPr>
          <w:t>ALL</w:t>
        </w:r>
      </w:smartTag>
      <w:r w:rsidRPr="00F25A60">
        <w:rPr>
          <w:color w:val="000000"/>
          <w:sz w:val="22"/>
          <w:szCs w:val="22"/>
          <w:lang w:val="cs-CZ"/>
        </w:rPr>
        <w:t xml:space="preserve"> existují klinické zkušenosti souběžného podávání Glivecu a chemoterapie (viz bod</w:t>
      </w:r>
      <w:ins w:id="112" w:author="Author">
        <w:r w:rsidR="004F21DC" w:rsidRPr="00F25A60">
          <w:rPr>
            <w:color w:val="000000"/>
          </w:rPr>
          <w:t> </w:t>
        </w:r>
      </w:ins>
      <w:del w:id="113" w:author="Author">
        <w:r w:rsidRPr="00F25A60" w:rsidDel="004F21DC">
          <w:rPr>
            <w:color w:val="000000"/>
            <w:sz w:val="22"/>
            <w:szCs w:val="22"/>
            <w:lang w:val="cs-CZ"/>
          </w:rPr>
          <w:delText xml:space="preserve"> </w:delText>
        </w:r>
      </w:del>
      <w:r w:rsidRPr="00F25A60">
        <w:rPr>
          <w:color w:val="000000"/>
          <w:sz w:val="22"/>
          <w:szCs w:val="22"/>
          <w:lang w:val="cs-CZ"/>
        </w:rPr>
        <w:t xml:space="preserve">5.1), avšak lékové interakce mezi imatinibem a chemoterapeutickými režimy nejsou dobře známy. Nežádoucí účinky imatinibu jako jaterní toxicita, myelosuprese a další se mohou zvyšovat, </w:t>
      </w:r>
      <w:r w:rsidR="002F04EE" w:rsidRPr="00F25A60">
        <w:rPr>
          <w:color w:val="000000"/>
          <w:sz w:val="22"/>
          <w:szCs w:val="22"/>
          <w:lang w:val="cs-CZ"/>
        </w:rPr>
        <w:t>protože bylo hlášeno, že</w:t>
      </w:r>
      <w:r w:rsidRPr="00F25A60">
        <w:rPr>
          <w:color w:val="000000"/>
          <w:sz w:val="22"/>
          <w:szCs w:val="22"/>
          <w:lang w:val="cs-CZ"/>
        </w:rPr>
        <w:t xml:space="preserve"> souběžné užívání s L-asparaginázou by mohlo být spojeno se zvýšením jaterní toxicity (viz bod</w:t>
      </w:r>
      <w:ins w:id="114" w:author="Author">
        <w:r w:rsidR="00F87E06" w:rsidRPr="00F25A60">
          <w:rPr>
            <w:color w:val="000000"/>
          </w:rPr>
          <w:t> </w:t>
        </w:r>
      </w:ins>
      <w:del w:id="115" w:author="Author">
        <w:r w:rsidRPr="00F25A60" w:rsidDel="00F87E06">
          <w:rPr>
            <w:color w:val="000000"/>
            <w:sz w:val="22"/>
            <w:szCs w:val="22"/>
            <w:lang w:val="cs-CZ"/>
          </w:rPr>
          <w:delText xml:space="preserve"> </w:delText>
        </w:r>
      </w:del>
      <w:r w:rsidRPr="00F25A60">
        <w:rPr>
          <w:color w:val="000000"/>
          <w:sz w:val="22"/>
          <w:szCs w:val="22"/>
          <w:lang w:val="cs-CZ"/>
        </w:rPr>
        <w:t>4.8). Proto je třeba zvláštní opatrnosti, pokud se Glivec užívá v kombinaci.</w:t>
      </w:r>
    </w:p>
    <w:p w14:paraId="4685261F" w14:textId="77777777" w:rsidR="00F93246" w:rsidRDefault="00F93246" w:rsidP="0048111F">
      <w:pPr>
        <w:pStyle w:val="Text"/>
        <w:spacing w:before="0"/>
        <w:jc w:val="left"/>
        <w:rPr>
          <w:ins w:id="116" w:author="Author"/>
          <w:color w:val="000000"/>
          <w:sz w:val="22"/>
          <w:szCs w:val="22"/>
          <w:lang w:val="cs-CZ"/>
        </w:rPr>
      </w:pPr>
    </w:p>
    <w:p w14:paraId="06438B4D" w14:textId="495421D6" w:rsidR="00F93246" w:rsidRPr="00F25A60" w:rsidRDefault="00897079" w:rsidP="0048111F">
      <w:pPr>
        <w:pStyle w:val="Text"/>
        <w:spacing w:before="0"/>
        <w:jc w:val="left"/>
        <w:rPr>
          <w:color w:val="000000"/>
          <w:sz w:val="22"/>
          <w:szCs w:val="22"/>
          <w:lang w:val="cs-CZ"/>
        </w:rPr>
      </w:pPr>
      <w:ins w:id="117" w:author="Author">
        <w:r w:rsidRPr="00897079">
          <w:rPr>
            <w:color w:val="000000"/>
            <w:sz w:val="22"/>
            <w:szCs w:val="22"/>
            <w:lang w:val="cs-CZ"/>
          </w:rPr>
          <w:t>Imatinib může mít potenciál zpomali</w:t>
        </w:r>
        <w:r w:rsidRPr="0048111F">
          <w:rPr>
            <w:color w:val="000000"/>
            <w:sz w:val="22"/>
            <w:szCs w:val="22"/>
            <w:lang w:val="cs-CZ"/>
          </w:rPr>
          <w:t xml:space="preserve">t </w:t>
        </w:r>
        <w:r w:rsidR="00E54AB8" w:rsidRPr="0048111F">
          <w:rPr>
            <w:color w:val="000000"/>
            <w:sz w:val="22"/>
            <w:szCs w:val="22"/>
            <w:lang w:val="cs-CZ"/>
          </w:rPr>
          <w:t>clearance</w:t>
        </w:r>
        <w:r w:rsidRPr="0048111F">
          <w:rPr>
            <w:color w:val="000000"/>
            <w:sz w:val="22"/>
            <w:szCs w:val="22"/>
            <w:lang w:val="cs-CZ"/>
          </w:rPr>
          <w:t xml:space="preserve"> methotrexátu, zejména pokud je methotrexát podáván ve vysokých dávkách (&gt;</w:t>
        </w:r>
        <w:r w:rsidR="00F87E06" w:rsidRPr="0048111F">
          <w:rPr>
            <w:color w:val="000000"/>
          </w:rPr>
          <w:t> </w:t>
        </w:r>
        <w:r w:rsidRPr="0048111F">
          <w:rPr>
            <w:color w:val="000000"/>
            <w:sz w:val="22"/>
            <w:szCs w:val="22"/>
            <w:lang w:val="cs-CZ"/>
          </w:rPr>
          <w:t>500</w:t>
        </w:r>
        <w:r w:rsidR="00976D35" w:rsidRPr="0048111F">
          <w:rPr>
            <w:color w:val="000000"/>
            <w:sz w:val="22"/>
            <w:szCs w:val="22"/>
            <w:lang w:val="cs-CZ"/>
          </w:rPr>
          <w:t> </w:t>
        </w:r>
        <w:r w:rsidRPr="0048111F">
          <w:rPr>
            <w:color w:val="000000"/>
            <w:sz w:val="22"/>
            <w:szCs w:val="22"/>
            <w:lang w:val="cs-CZ"/>
          </w:rPr>
          <w:t>mg/m</w:t>
        </w:r>
        <w:r w:rsidR="000C01BF" w:rsidRPr="0048111F">
          <w:rPr>
            <w:bCs/>
            <w:iCs/>
            <w:color w:val="000000"/>
            <w:szCs w:val="22"/>
            <w:vertAlign w:val="superscript"/>
          </w:rPr>
          <w:t>2</w:t>
        </w:r>
        <w:r w:rsidRPr="0048111F">
          <w:rPr>
            <w:color w:val="000000"/>
            <w:sz w:val="22"/>
            <w:szCs w:val="22"/>
            <w:lang w:val="cs-CZ"/>
          </w:rPr>
          <w:t xml:space="preserve">). Při současném podávání přípravku Glivec </w:t>
        </w:r>
        <w:r w:rsidR="00E54AB8" w:rsidRPr="0048111F">
          <w:rPr>
            <w:color w:val="000000"/>
            <w:sz w:val="22"/>
            <w:szCs w:val="22"/>
            <w:lang w:val="cs-CZ"/>
          </w:rPr>
          <w:t>s</w:t>
        </w:r>
        <w:r w:rsidRPr="0048111F">
          <w:rPr>
            <w:color w:val="000000"/>
            <w:sz w:val="22"/>
            <w:szCs w:val="22"/>
            <w:lang w:val="cs-CZ"/>
          </w:rPr>
          <w:t xml:space="preserve"> methotrexát</w:t>
        </w:r>
        <w:r w:rsidR="00E54AB8" w:rsidRPr="0048111F">
          <w:rPr>
            <w:color w:val="000000"/>
            <w:sz w:val="22"/>
            <w:szCs w:val="22"/>
            <w:lang w:val="cs-CZ"/>
          </w:rPr>
          <w:t>em</w:t>
        </w:r>
        <w:r w:rsidRPr="0048111F">
          <w:rPr>
            <w:color w:val="000000"/>
            <w:sz w:val="22"/>
            <w:szCs w:val="22"/>
            <w:lang w:val="cs-CZ"/>
          </w:rPr>
          <w:t xml:space="preserve"> se doporučuje opatrnost.</w:t>
        </w:r>
      </w:ins>
    </w:p>
    <w:p w14:paraId="548D9448" w14:textId="77777777" w:rsidR="00EA5993" w:rsidRPr="00F25A60" w:rsidRDefault="00EA5993" w:rsidP="0048111F">
      <w:pPr>
        <w:pStyle w:val="EndnoteText"/>
        <w:tabs>
          <w:tab w:val="clear" w:pos="567"/>
        </w:tabs>
        <w:rPr>
          <w:color w:val="000000"/>
        </w:rPr>
      </w:pPr>
    </w:p>
    <w:p w14:paraId="567E722F" w14:textId="77777777" w:rsidR="00EA5993" w:rsidRPr="00F25A60" w:rsidRDefault="00EA5993" w:rsidP="0048111F">
      <w:pPr>
        <w:keepNext/>
        <w:tabs>
          <w:tab w:val="clear" w:pos="567"/>
        </w:tabs>
        <w:spacing w:line="240" w:lineRule="auto"/>
        <w:ind w:left="567" w:hanging="567"/>
        <w:rPr>
          <w:b/>
          <w:bCs/>
          <w:color w:val="000000"/>
        </w:rPr>
      </w:pPr>
      <w:r w:rsidRPr="00F25A60">
        <w:rPr>
          <w:b/>
          <w:bCs/>
          <w:color w:val="000000"/>
        </w:rPr>
        <w:t>4.6</w:t>
      </w:r>
      <w:r w:rsidRPr="00F25A60">
        <w:rPr>
          <w:b/>
          <w:bCs/>
          <w:color w:val="000000"/>
        </w:rPr>
        <w:tab/>
        <w:t>Fertilita, těhotenství a kojení</w:t>
      </w:r>
    </w:p>
    <w:p w14:paraId="4BEF61B8" w14:textId="77777777" w:rsidR="00EA5993" w:rsidRPr="00F25A60" w:rsidRDefault="00EA5993" w:rsidP="0048111F">
      <w:pPr>
        <w:pStyle w:val="EndnoteText"/>
        <w:keepNext/>
        <w:rPr>
          <w:color w:val="000000"/>
        </w:rPr>
      </w:pPr>
    </w:p>
    <w:p w14:paraId="3984B838" w14:textId="19B3810E" w:rsidR="00EA5993" w:rsidRPr="00F25A60" w:rsidRDefault="00EA5993" w:rsidP="0048111F">
      <w:pPr>
        <w:pStyle w:val="EndnoteText"/>
        <w:keepNext/>
        <w:rPr>
          <w:color w:val="000000"/>
          <w:u w:val="single"/>
        </w:rPr>
      </w:pPr>
      <w:r w:rsidRPr="00F25A60">
        <w:rPr>
          <w:color w:val="000000"/>
          <w:u w:val="single"/>
        </w:rPr>
        <w:t>Ženy ve fertilním věku</w:t>
      </w:r>
    </w:p>
    <w:p w14:paraId="00A5BC35" w14:textId="6E0F2302" w:rsidR="001472B2" w:rsidRPr="00F25A60" w:rsidRDefault="001472B2" w:rsidP="0048111F">
      <w:pPr>
        <w:pStyle w:val="EndnoteText"/>
        <w:keepNext/>
        <w:rPr>
          <w:color w:val="000000"/>
        </w:rPr>
      </w:pPr>
    </w:p>
    <w:p w14:paraId="339C1728" w14:textId="13D6847E" w:rsidR="00EA5993" w:rsidRPr="00F25A60" w:rsidRDefault="00EA5993" w:rsidP="0048111F">
      <w:pPr>
        <w:pStyle w:val="EndnoteText"/>
        <w:rPr>
          <w:color w:val="000000"/>
        </w:rPr>
      </w:pPr>
      <w:r w:rsidRPr="00F25A60">
        <w:rPr>
          <w:color w:val="000000"/>
        </w:rPr>
        <w:t>Ženám ve fertilním věku musí být doporučeno</w:t>
      </w:r>
      <w:r w:rsidR="0068183E" w:rsidRPr="00F25A60">
        <w:rPr>
          <w:color w:val="000000"/>
        </w:rPr>
        <w:t>, aby</w:t>
      </w:r>
      <w:r w:rsidRPr="00F25A60">
        <w:rPr>
          <w:color w:val="000000"/>
        </w:rPr>
        <w:t xml:space="preserve"> </w:t>
      </w:r>
      <w:r w:rsidR="0068183E" w:rsidRPr="00F25A60">
        <w:rPr>
          <w:color w:val="000000"/>
        </w:rPr>
        <w:t>po</w:t>
      </w:r>
      <w:r w:rsidRPr="00F25A60">
        <w:rPr>
          <w:color w:val="000000"/>
        </w:rPr>
        <w:t>užív</w:t>
      </w:r>
      <w:r w:rsidR="0068183E" w:rsidRPr="00F25A60">
        <w:rPr>
          <w:color w:val="000000"/>
        </w:rPr>
        <w:t>aly</w:t>
      </w:r>
      <w:r w:rsidRPr="00F25A60">
        <w:rPr>
          <w:color w:val="000000"/>
        </w:rPr>
        <w:t xml:space="preserve"> účinn</w:t>
      </w:r>
      <w:r w:rsidR="0068183E" w:rsidRPr="00F25A60">
        <w:rPr>
          <w:color w:val="000000"/>
        </w:rPr>
        <w:t>ou</w:t>
      </w:r>
      <w:r w:rsidRPr="00F25A60">
        <w:rPr>
          <w:color w:val="000000"/>
        </w:rPr>
        <w:t xml:space="preserve"> antikoncepc</w:t>
      </w:r>
      <w:r w:rsidR="0068183E" w:rsidRPr="00F25A60">
        <w:rPr>
          <w:color w:val="000000"/>
        </w:rPr>
        <w:t>i</w:t>
      </w:r>
      <w:r w:rsidRPr="00F25A60">
        <w:rPr>
          <w:color w:val="000000"/>
        </w:rPr>
        <w:t xml:space="preserve"> během léčby</w:t>
      </w:r>
      <w:r w:rsidR="00275730" w:rsidRPr="00F25A60">
        <w:rPr>
          <w:color w:val="000000"/>
        </w:rPr>
        <w:t xml:space="preserve"> a po dobu nejméně 15</w:t>
      </w:r>
      <w:r w:rsidR="00577E6F" w:rsidRPr="00F25A60">
        <w:rPr>
          <w:color w:val="000000"/>
        </w:rPr>
        <w:t> </w:t>
      </w:r>
      <w:r w:rsidR="00275730" w:rsidRPr="00F25A60">
        <w:rPr>
          <w:color w:val="000000"/>
        </w:rPr>
        <w:t>dnů po ukončení léčby přípravkem Glivec</w:t>
      </w:r>
      <w:r w:rsidRPr="00F25A60">
        <w:rPr>
          <w:color w:val="000000"/>
        </w:rPr>
        <w:t>.</w:t>
      </w:r>
    </w:p>
    <w:p w14:paraId="06313912" w14:textId="77777777" w:rsidR="00EA5993" w:rsidRPr="00F25A60" w:rsidRDefault="00EA5993" w:rsidP="0048111F">
      <w:pPr>
        <w:pStyle w:val="EndnoteText"/>
        <w:rPr>
          <w:color w:val="000000"/>
        </w:rPr>
      </w:pPr>
    </w:p>
    <w:p w14:paraId="29670B5B" w14:textId="438062C4" w:rsidR="00EA5993" w:rsidRPr="00F25A60" w:rsidRDefault="00EA5993" w:rsidP="0048111F">
      <w:pPr>
        <w:pStyle w:val="EndnoteText"/>
        <w:keepNext/>
        <w:rPr>
          <w:color w:val="000000"/>
          <w:u w:val="single"/>
        </w:rPr>
      </w:pPr>
      <w:r w:rsidRPr="00F25A60">
        <w:rPr>
          <w:color w:val="000000"/>
          <w:u w:val="single"/>
        </w:rPr>
        <w:t>Těhotenství</w:t>
      </w:r>
    </w:p>
    <w:p w14:paraId="2F59D61E" w14:textId="77777777" w:rsidR="001472B2" w:rsidRPr="00F25A60" w:rsidRDefault="001472B2" w:rsidP="0048111F">
      <w:pPr>
        <w:pStyle w:val="EndnoteText"/>
        <w:keepNext/>
        <w:rPr>
          <w:color w:val="000000"/>
        </w:rPr>
      </w:pPr>
    </w:p>
    <w:p w14:paraId="712B7527" w14:textId="0BA31FBE" w:rsidR="00EA5993" w:rsidRPr="00F25A60" w:rsidRDefault="00EA5993" w:rsidP="0048111F">
      <w:pPr>
        <w:pStyle w:val="EndnoteText"/>
        <w:rPr>
          <w:color w:val="000000"/>
        </w:rPr>
      </w:pPr>
      <w:del w:id="118" w:author="Author">
        <w:r w:rsidRPr="00F25A60" w:rsidDel="00D56FFC">
          <w:rPr>
            <w:color w:val="000000"/>
          </w:rPr>
          <w:delText>K dispozici jsou omezené ú</w:delText>
        </w:r>
      </w:del>
      <w:ins w:id="119" w:author="Author">
        <w:r w:rsidR="00D56FFC">
          <w:rPr>
            <w:color w:val="000000"/>
          </w:rPr>
          <w:t>Ú</w:t>
        </w:r>
      </w:ins>
      <w:r w:rsidRPr="00F25A60">
        <w:rPr>
          <w:color w:val="000000"/>
        </w:rPr>
        <w:t>daje o po</w:t>
      </w:r>
      <w:r w:rsidR="00BF0D78" w:rsidRPr="00F25A60">
        <w:rPr>
          <w:color w:val="000000"/>
        </w:rPr>
        <w:t>dávání imatinibu těhotným ženám</w:t>
      </w:r>
      <w:ins w:id="120" w:author="Author">
        <w:r w:rsidR="00D56FFC">
          <w:rPr>
            <w:color w:val="000000"/>
          </w:rPr>
          <w:t xml:space="preserve"> jsou omezené</w:t>
        </w:r>
      </w:ins>
      <w:r w:rsidRPr="00F25A60">
        <w:rPr>
          <w:color w:val="000000"/>
        </w:rPr>
        <w:t xml:space="preserve">. </w:t>
      </w:r>
      <w:r w:rsidR="00BF0D78" w:rsidRPr="00F25A60">
        <w:rPr>
          <w:color w:val="000000"/>
        </w:rPr>
        <w:t xml:space="preserve">Po uvedení přípravku na trh byly u žen užívajících Glivec hlášeny případy spontánních potratů a vrozených vad u narozených dětí. </w:t>
      </w:r>
      <w:r w:rsidRPr="00F25A60">
        <w:rPr>
          <w:color w:val="000000"/>
        </w:rPr>
        <w:t>Studie na zvířatech však prokázaly reprodukční toxicitu (viz bod</w:t>
      </w:r>
      <w:r w:rsidR="001141A0">
        <w:rPr>
          <w:color w:val="000000"/>
        </w:rPr>
        <w:t> </w:t>
      </w:r>
      <w:r w:rsidRPr="00F25A60">
        <w:rPr>
          <w:color w:val="000000"/>
        </w:rPr>
        <w:t>5.3). Potenciální riziko pro plod není známé. Glivec lze v těhotenství použít</w:t>
      </w:r>
      <w:r w:rsidR="00C56CC8" w:rsidRPr="00F25A60">
        <w:rPr>
          <w:color w:val="000000"/>
        </w:rPr>
        <w:t xml:space="preserve">, </w:t>
      </w:r>
      <w:r w:rsidRPr="00F25A60">
        <w:rPr>
          <w:color w:val="000000"/>
        </w:rPr>
        <w:t>pouze pokud je to nezbytně nutné. Pokud je během těhotenství užíván, pacientka musí být informována o možném riziku pro plod.</w:t>
      </w:r>
    </w:p>
    <w:p w14:paraId="2B3A43DE" w14:textId="77777777" w:rsidR="00EA5993" w:rsidRPr="00F25A60" w:rsidRDefault="00EA5993" w:rsidP="0048111F">
      <w:pPr>
        <w:pStyle w:val="EndnoteText"/>
        <w:rPr>
          <w:color w:val="000000"/>
        </w:rPr>
      </w:pPr>
    </w:p>
    <w:p w14:paraId="754A684C" w14:textId="10F068B3" w:rsidR="00EA5993" w:rsidRPr="00F25A60" w:rsidRDefault="00EA5993" w:rsidP="0048111F">
      <w:pPr>
        <w:pStyle w:val="EndnoteText"/>
        <w:keepNext/>
        <w:rPr>
          <w:color w:val="000000"/>
          <w:u w:val="single"/>
        </w:rPr>
      </w:pPr>
      <w:r w:rsidRPr="00F25A60">
        <w:rPr>
          <w:color w:val="000000"/>
          <w:u w:val="single"/>
        </w:rPr>
        <w:t>Kojení</w:t>
      </w:r>
    </w:p>
    <w:p w14:paraId="71ED4BF4" w14:textId="77777777" w:rsidR="001472B2" w:rsidRPr="00F25A60" w:rsidRDefault="001472B2" w:rsidP="0048111F">
      <w:pPr>
        <w:pStyle w:val="EndnoteText"/>
        <w:keepNext/>
        <w:rPr>
          <w:color w:val="000000"/>
        </w:rPr>
      </w:pPr>
    </w:p>
    <w:p w14:paraId="429024D8" w14:textId="150228C0" w:rsidR="00EA5993" w:rsidRPr="00F25A60" w:rsidRDefault="00EA5993" w:rsidP="0048111F">
      <w:pPr>
        <w:pStyle w:val="EndnoteText"/>
        <w:rPr>
          <w:color w:val="000000"/>
        </w:rPr>
      </w:pPr>
      <w:r w:rsidRPr="00F25A60">
        <w:rPr>
          <w:color w:val="000000"/>
        </w:rPr>
        <w:t xml:space="preserve">O vylučování imatinibu do mateřského mléka jsou jen omezené informace. Studie </w:t>
      </w:r>
      <w:r w:rsidR="008A11E8" w:rsidRPr="00F25A60">
        <w:rPr>
          <w:color w:val="000000"/>
        </w:rPr>
        <w:t>u</w:t>
      </w:r>
      <w:r w:rsidRPr="00F25A60">
        <w:rPr>
          <w:color w:val="000000"/>
        </w:rPr>
        <w:t xml:space="preserve"> dvou kojících žen ukázaly, že jak imatinib, tak jeho aktivní metabolit může být vylučován do mateřského mléka. Koeficient mléko/plazma imatinibu a jeho metabolitu </w:t>
      </w:r>
      <w:r w:rsidR="008A11E8" w:rsidRPr="00F25A60">
        <w:rPr>
          <w:color w:val="000000"/>
        </w:rPr>
        <w:t>hodnocený</w:t>
      </w:r>
      <w:r w:rsidRPr="00F25A60">
        <w:rPr>
          <w:color w:val="000000"/>
        </w:rPr>
        <w:t xml:space="preserve"> u jedné pacientky byl stanoven 0,5 pro imatinib a 0,9 pro jeho metab</w:t>
      </w:r>
      <w:r w:rsidR="008A11E8" w:rsidRPr="00F25A60">
        <w:rPr>
          <w:color w:val="000000"/>
        </w:rPr>
        <w:t>o</w:t>
      </w:r>
      <w:r w:rsidRPr="00F25A60">
        <w:rPr>
          <w:color w:val="000000"/>
        </w:rPr>
        <w:t>lit, což nasvědčuje zvýšenému vylučování metabolitu do mléka. Zvážíme-li kombinovanou koncentraci imatinibu a jeho metabolitu a maximální denní příjem mléka kojenci, byla by očekávaná celková expozice nízká (přibližně 10</w:t>
      </w:r>
      <w:r w:rsidR="004B270C" w:rsidRPr="00F25A60">
        <w:rPr>
          <w:color w:val="000000"/>
        </w:rPr>
        <w:t> </w:t>
      </w:r>
      <w:r w:rsidRPr="001141A0">
        <w:rPr>
          <w:color w:val="000000"/>
        </w:rPr>
        <w:t>%</w:t>
      </w:r>
      <w:r w:rsidRPr="00F25A60">
        <w:rPr>
          <w:color w:val="000000"/>
        </w:rPr>
        <w:t xml:space="preserve"> terapeutické dávky). Nicméně jelikož účinky expozice nízké dávce imatinibu u kojenců nejsou známé, </w:t>
      </w:r>
      <w:r w:rsidR="008A11E8" w:rsidRPr="00F25A60">
        <w:rPr>
          <w:color w:val="000000"/>
        </w:rPr>
        <w:t>nemají</w:t>
      </w:r>
      <w:r w:rsidRPr="00F25A60">
        <w:rPr>
          <w:color w:val="000000"/>
        </w:rPr>
        <w:t xml:space="preserve"> ženy kojit</w:t>
      </w:r>
      <w:r w:rsidR="00275730" w:rsidRPr="00F25A60">
        <w:rPr>
          <w:color w:val="000000"/>
        </w:rPr>
        <w:t xml:space="preserve"> během léčby a po dobu nejméně 15</w:t>
      </w:r>
      <w:r w:rsidR="00577E6F" w:rsidRPr="00F25A60">
        <w:rPr>
          <w:color w:val="000000"/>
        </w:rPr>
        <w:t> </w:t>
      </w:r>
      <w:r w:rsidR="00275730" w:rsidRPr="00F25A60">
        <w:rPr>
          <w:color w:val="000000"/>
        </w:rPr>
        <w:t>dnů po ukončení léčby přípravkem Glivec</w:t>
      </w:r>
      <w:r w:rsidRPr="00F25A60">
        <w:rPr>
          <w:color w:val="000000"/>
        </w:rPr>
        <w:t>.</w:t>
      </w:r>
    </w:p>
    <w:p w14:paraId="2EE2486A" w14:textId="77777777" w:rsidR="00EA5993" w:rsidRPr="00F25A60" w:rsidRDefault="00EA5993" w:rsidP="0048111F">
      <w:pPr>
        <w:pStyle w:val="EndnoteText"/>
        <w:rPr>
          <w:u w:val="single"/>
        </w:rPr>
      </w:pPr>
    </w:p>
    <w:p w14:paraId="3A00CB19" w14:textId="77927C70" w:rsidR="00EA5993" w:rsidRPr="00F25A60" w:rsidRDefault="00EA5993" w:rsidP="0048111F">
      <w:pPr>
        <w:pStyle w:val="EndnoteText"/>
        <w:keepNext/>
        <w:rPr>
          <w:u w:val="single"/>
        </w:rPr>
      </w:pPr>
      <w:r w:rsidRPr="00F25A60">
        <w:rPr>
          <w:u w:val="single"/>
        </w:rPr>
        <w:t>Fertilita</w:t>
      </w:r>
    </w:p>
    <w:p w14:paraId="49BCC681" w14:textId="77777777" w:rsidR="001472B2" w:rsidRPr="00F25A60" w:rsidRDefault="001472B2" w:rsidP="0048111F">
      <w:pPr>
        <w:pStyle w:val="EndnoteText"/>
        <w:keepNext/>
      </w:pPr>
    </w:p>
    <w:p w14:paraId="4B7C4796" w14:textId="7C7C11D5" w:rsidR="00EA5993" w:rsidRPr="00F25A60" w:rsidRDefault="00EA5993" w:rsidP="0048111F">
      <w:pPr>
        <w:pStyle w:val="EndnoteText"/>
        <w:rPr>
          <w:color w:val="000000"/>
        </w:rPr>
      </w:pPr>
      <w:r w:rsidRPr="00F25A60">
        <w:t>Fertilita u samců a samic potkanů nebyla v neklinických studiích ovlivněna</w:t>
      </w:r>
      <w:r w:rsidR="00437DDB" w:rsidRPr="00F25A60">
        <w:t>, byly však pozorovány účinky na reprodukční parametry</w:t>
      </w:r>
      <w:r w:rsidRPr="00F25A60">
        <w:t xml:space="preserve"> (viz bod</w:t>
      </w:r>
      <w:r w:rsidR="00035785">
        <w:t> </w:t>
      </w:r>
      <w:r w:rsidRPr="00F25A60">
        <w:t>5.3). Studie u</w:t>
      </w:r>
      <w:r w:rsidRPr="00F25A60">
        <w:rPr>
          <w:color w:val="000000"/>
        </w:rPr>
        <w:t> </w:t>
      </w:r>
      <w:r w:rsidRPr="00F25A60">
        <w:t xml:space="preserve">pacientů užívajících </w:t>
      </w:r>
      <w:r w:rsidRPr="00F25A60">
        <w:rPr>
          <w:color w:val="000000"/>
          <w:szCs w:val="24"/>
        </w:rPr>
        <w:t>Glivec</w:t>
      </w:r>
      <w:r w:rsidRPr="00F25A60">
        <w:t xml:space="preserve"> zabývající se jeho účinky na fertilitu a spermatogenezi nebyly provedeny. Pacienti, kteří se obávají o</w:t>
      </w:r>
      <w:r w:rsidRPr="00F25A60">
        <w:rPr>
          <w:color w:val="000000"/>
        </w:rPr>
        <w:t> </w:t>
      </w:r>
      <w:r w:rsidRPr="00F25A60">
        <w:t>svou fertilitu během léčby Glivecem, by se měli poradit se svým lékařem.</w:t>
      </w:r>
    </w:p>
    <w:p w14:paraId="79D32699" w14:textId="77777777" w:rsidR="00EA5993" w:rsidRPr="00F25A60" w:rsidRDefault="00EA5993" w:rsidP="0048111F">
      <w:pPr>
        <w:pStyle w:val="EndnoteText"/>
        <w:rPr>
          <w:color w:val="000000"/>
        </w:rPr>
      </w:pPr>
    </w:p>
    <w:p w14:paraId="347CA502" w14:textId="77777777" w:rsidR="00EA5993" w:rsidRPr="00F25A60" w:rsidRDefault="00EA5993" w:rsidP="0048111F">
      <w:pPr>
        <w:keepNext/>
        <w:tabs>
          <w:tab w:val="clear" w:pos="567"/>
        </w:tabs>
        <w:spacing w:line="240" w:lineRule="auto"/>
        <w:ind w:left="567" w:hanging="567"/>
        <w:rPr>
          <w:b/>
          <w:bCs/>
          <w:color w:val="000000"/>
        </w:rPr>
      </w:pPr>
      <w:r w:rsidRPr="00F25A60">
        <w:rPr>
          <w:b/>
          <w:bCs/>
          <w:color w:val="000000"/>
        </w:rPr>
        <w:t>4.7</w:t>
      </w:r>
      <w:r w:rsidRPr="00F25A60">
        <w:rPr>
          <w:b/>
          <w:bCs/>
          <w:color w:val="000000"/>
        </w:rPr>
        <w:tab/>
        <w:t>Účinky na schopnost řídit a obsluhovat stroje</w:t>
      </w:r>
    </w:p>
    <w:p w14:paraId="2CD30715" w14:textId="77777777" w:rsidR="00EA5993" w:rsidRPr="00F25A60" w:rsidRDefault="00EA5993" w:rsidP="0048111F">
      <w:pPr>
        <w:pStyle w:val="EndnoteText"/>
        <w:keepNext/>
        <w:tabs>
          <w:tab w:val="clear" w:pos="567"/>
        </w:tabs>
        <w:rPr>
          <w:color w:val="000000"/>
        </w:rPr>
      </w:pPr>
    </w:p>
    <w:p w14:paraId="36C383CD" w14:textId="77777777" w:rsidR="00EA5993" w:rsidRPr="00F25A60" w:rsidRDefault="00EA5993" w:rsidP="0048111F">
      <w:pPr>
        <w:pStyle w:val="EndnoteText"/>
        <w:tabs>
          <w:tab w:val="clear" w:pos="567"/>
        </w:tabs>
        <w:rPr>
          <w:color w:val="000000"/>
        </w:rPr>
      </w:pPr>
      <w:r w:rsidRPr="00F25A60">
        <w:rPr>
          <w:snapToGrid w:val="0"/>
          <w:color w:val="000000"/>
        </w:rPr>
        <w:t>P</w:t>
      </w:r>
      <w:r w:rsidRPr="00F25A60">
        <w:rPr>
          <w:color w:val="000000"/>
        </w:rPr>
        <w:t xml:space="preserve">acienti </w:t>
      </w:r>
      <w:r w:rsidR="008A11E8" w:rsidRPr="00F25A60">
        <w:rPr>
          <w:color w:val="000000"/>
        </w:rPr>
        <w:t>mají</w:t>
      </w:r>
      <w:r w:rsidRPr="00F25A60">
        <w:rPr>
          <w:color w:val="000000"/>
        </w:rPr>
        <w:t xml:space="preserve"> být upozorněni, že se u nich mohou během léčby imatinibem vyskytnout nežádoucí účinky, jako jsou závratě, </w:t>
      </w:r>
      <w:r w:rsidR="008A11E8" w:rsidRPr="00F25A60">
        <w:rPr>
          <w:color w:val="000000"/>
        </w:rPr>
        <w:t xml:space="preserve">rozmazané </w:t>
      </w:r>
      <w:r w:rsidRPr="00F25A60">
        <w:rPr>
          <w:color w:val="000000"/>
        </w:rPr>
        <w:t xml:space="preserve">vidění nebo </w:t>
      </w:r>
      <w:r w:rsidR="008A11E8" w:rsidRPr="00F25A60">
        <w:rPr>
          <w:color w:val="000000"/>
        </w:rPr>
        <w:t>somnolence</w:t>
      </w:r>
      <w:r w:rsidRPr="00F25A60">
        <w:rPr>
          <w:color w:val="000000"/>
        </w:rPr>
        <w:t>. Proto se při řízení nebo obsluze strojů doporučuje zvýšená opatrnost.</w:t>
      </w:r>
    </w:p>
    <w:p w14:paraId="05A41AC8" w14:textId="77777777" w:rsidR="00EA5993" w:rsidRPr="00F25A60" w:rsidRDefault="00EA5993" w:rsidP="0048111F">
      <w:pPr>
        <w:pStyle w:val="EndnoteText"/>
        <w:tabs>
          <w:tab w:val="clear" w:pos="567"/>
        </w:tabs>
        <w:rPr>
          <w:color w:val="000000"/>
        </w:rPr>
      </w:pPr>
    </w:p>
    <w:p w14:paraId="03A40CD4" w14:textId="77777777" w:rsidR="00EA5993" w:rsidRPr="00F25A60" w:rsidRDefault="00EA5993" w:rsidP="0048111F">
      <w:pPr>
        <w:keepNext/>
        <w:tabs>
          <w:tab w:val="clear" w:pos="567"/>
        </w:tabs>
        <w:spacing w:line="240" w:lineRule="auto"/>
        <w:ind w:left="567" w:hanging="567"/>
        <w:rPr>
          <w:b/>
          <w:bCs/>
          <w:color w:val="000000"/>
        </w:rPr>
      </w:pPr>
      <w:r w:rsidRPr="00F25A60">
        <w:rPr>
          <w:b/>
          <w:bCs/>
          <w:color w:val="000000"/>
        </w:rPr>
        <w:lastRenderedPageBreak/>
        <w:t>4.8</w:t>
      </w:r>
      <w:r w:rsidRPr="00F25A60">
        <w:rPr>
          <w:b/>
          <w:bCs/>
          <w:color w:val="000000"/>
        </w:rPr>
        <w:tab/>
        <w:t>Nežádoucí účinky</w:t>
      </w:r>
    </w:p>
    <w:p w14:paraId="478CCDE6" w14:textId="77777777" w:rsidR="00EA5993" w:rsidRPr="00F25A60" w:rsidRDefault="00EA5993" w:rsidP="0048111F">
      <w:pPr>
        <w:keepNext/>
        <w:tabs>
          <w:tab w:val="clear" w:pos="567"/>
        </w:tabs>
        <w:spacing w:line="240" w:lineRule="auto"/>
        <w:rPr>
          <w:color w:val="000000"/>
        </w:rPr>
      </w:pPr>
    </w:p>
    <w:p w14:paraId="7FC3C2D3" w14:textId="77777777" w:rsidR="00EA5993" w:rsidRPr="00F25A60" w:rsidRDefault="00EA5993" w:rsidP="0048111F">
      <w:pPr>
        <w:pStyle w:val="Text"/>
        <w:spacing w:before="0"/>
        <w:jc w:val="left"/>
        <w:rPr>
          <w:color w:val="000000"/>
          <w:sz w:val="22"/>
          <w:szCs w:val="22"/>
          <w:lang w:val="cs-CZ"/>
        </w:rPr>
      </w:pPr>
      <w:r w:rsidRPr="00F25A60">
        <w:rPr>
          <w:color w:val="000000"/>
          <w:sz w:val="22"/>
          <w:szCs w:val="22"/>
          <w:lang w:val="cs-CZ"/>
        </w:rPr>
        <w:t xml:space="preserve">U pacientů s pokročilým stadiem malignit se může vyskytovat řada </w:t>
      </w:r>
      <w:r w:rsidR="008A11E8" w:rsidRPr="00F25A60">
        <w:rPr>
          <w:color w:val="000000"/>
          <w:sz w:val="22"/>
          <w:szCs w:val="22"/>
          <w:lang w:val="cs-CZ"/>
        </w:rPr>
        <w:t>matoucích</w:t>
      </w:r>
      <w:r w:rsidRPr="00F25A60">
        <w:rPr>
          <w:color w:val="000000"/>
          <w:sz w:val="22"/>
          <w:szCs w:val="22"/>
          <w:lang w:val="cs-CZ"/>
        </w:rPr>
        <w:t xml:space="preserve"> zdravotních potíží vyvolaných </w:t>
      </w:r>
      <w:r w:rsidR="008A11E8" w:rsidRPr="00F25A60">
        <w:rPr>
          <w:color w:val="000000"/>
          <w:sz w:val="22"/>
          <w:szCs w:val="22"/>
          <w:lang w:val="cs-CZ"/>
        </w:rPr>
        <w:t xml:space="preserve">různorodými příznaky souvisejícími se </w:t>
      </w:r>
      <w:r w:rsidRPr="00F25A60">
        <w:rPr>
          <w:color w:val="000000"/>
          <w:sz w:val="22"/>
          <w:szCs w:val="22"/>
          <w:lang w:val="cs-CZ"/>
        </w:rPr>
        <w:t xml:space="preserve">základním onemocněním, jeho progresí nebo množstvím souběžně užívaných léčivých přípravků, což ztěžuje stanovení příčinné souvislosti výskytu nežádoucích </w:t>
      </w:r>
      <w:r w:rsidR="008A11E8" w:rsidRPr="00F25A60">
        <w:rPr>
          <w:color w:val="000000"/>
          <w:sz w:val="22"/>
          <w:szCs w:val="22"/>
          <w:lang w:val="cs-CZ"/>
        </w:rPr>
        <w:t>účinků</w:t>
      </w:r>
      <w:r w:rsidRPr="00F25A60">
        <w:rPr>
          <w:color w:val="000000"/>
          <w:sz w:val="22"/>
          <w:szCs w:val="22"/>
          <w:lang w:val="cs-CZ"/>
        </w:rPr>
        <w:t>.</w:t>
      </w:r>
    </w:p>
    <w:p w14:paraId="1416036E" w14:textId="77777777" w:rsidR="00EA5993" w:rsidRPr="00F25A60" w:rsidRDefault="00EA5993" w:rsidP="0048111F">
      <w:pPr>
        <w:pStyle w:val="Text"/>
        <w:spacing w:before="0"/>
        <w:jc w:val="left"/>
        <w:rPr>
          <w:color w:val="000000"/>
          <w:sz w:val="22"/>
          <w:szCs w:val="22"/>
          <w:lang w:val="cs-CZ"/>
        </w:rPr>
      </w:pPr>
    </w:p>
    <w:p w14:paraId="2B8E404B" w14:textId="77777777" w:rsidR="00EA5993" w:rsidRPr="00F25A60" w:rsidRDefault="00EA5993" w:rsidP="0048111F">
      <w:pPr>
        <w:pStyle w:val="Text"/>
        <w:spacing w:before="0"/>
        <w:jc w:val="left"/>
        <w:rPr>
          <w:color w:val="000000"/>
          <w:sz w:val="22"/>
          <w:szCs w:val="22"/>
          <w:lang w:val="cs-CZ"/>
        </w:rPr>
      </w:pPr>
      <w:r w:rsidRPr="00F25A60">
        <w:rPr>
          <w:color w:val="000000"/>
          <w:sz w:val="22"/>
          <w:szCs w:val="22"/>
          <w:lang w:val="cs-CZ"/>
        </w:rPr>
        <w:t xml:space="preserve">Během klinického hodnocení léku u CML musela být z důvodu nežádoucích </w:t>
      </w:r>
      <w:r w:rsidR="008A11E8" w:rsidRPr="00F25A60">
        <w:rPr>
          <w:color w:val="000000"/>
          <w:sz w:val="22"/>
          <w:szCs w:val="22"/>
          <w:lang w:val="cs-CZ"/>
        </w:rPr>
        <w:t>účinků</w:t>
      </w:r>
      <w:r w:rsidRPr="00F25A60">
        <w:rPr>
          <w:color w:val="000000"/>
          <w:sz w:val="22"/>
          <w:szCs w:val="22"/>
          <w:lang w:val="cs-CZ"/>
        </w:rPr>
        <w:t>, které byly v příčinné souvislosti s podáváním léku, léčba přerušena pouze u 2,4</w:t>
      </w:r>
      <w:r w:rsidR="008A11E8" w:rsidRPr="00F25A60">
        <w:rPr>
          <w:color w:val="000000"/>
          <w:sz w:val="22"/>
          <w:szCs w:val="22"/>
          <w:lang w:val="cs-CZ"/>
        </w:rPr>
        <w:t> </w:t>
      </w:r>
      <w:r w:rsidRPr="00F25A60">
        <w:rPr>
          <w:color w:val="000000"/>
          <w:sz w:val="22"/>
          <w:szCs w:val="22"/>
          <w:lang w:val="cs-CZ"/>
        </w:rPr>
        <w:t>% nově diagnostikovaných pacientů, u</w:t>
      </w:r>
      <w:r w:rsidRPr="00F25A60">
        <w:rPr>
          <w:color w:val="000000"/>
          <w:lang w:val="cs-CZ"/>
        </w:rPr>
        <w:t> </w:t>
      </w:r>
      <w:r w:rsidRPr="00F25A60">
        <w:rPr>
          <w:color w:val="000000"/>
          <w:sz w:val="22"/>
          <w:szCs w:val="22"/>
          <w:lang w:val="cs-CZ"/>
        </w:rPr>
        <w:t>4</w:t>
      </w:r>
      <w:r w:rsidR="008A11E8" w:rsidRPr="00F25A60">
        <w:rPr>
          <w:color w:val="000000"/>
          <w:sz w:val="22"/>
          <w:szCs w:val="22"/>
          <w:lang w:val="cs-CZ"/>
        </w:rPr>
        <w:t> </w:t>
      </w:r>
      <w:r w:rsidRPr="00F25A60">
        <w:rPr>
          <w:color w:val="000000"/>
          <w:sz w:val="22"/>
          <w:szCs w:val="22"/>
          <w:lang w:val="cs-CZ"/>
        </w:rPr>
        <w:t>% pacientů v pozdní chronické fázi po selhání léčby interferonem, u 4</w:t>
      </w:r>
      <w:r w:rsidR="008A11E8" w:rsidRPr="00F25A60">
        <w:rPr>
          <w:color w:val="000000"/>
          <w:sz w:val="22"/>
          <w:szCs w:val="22"/>
          <w:lang w:val="cs-CZ"/>
        </w:rPr>
        <w:t> </w:t>
      </w:r>
      <w:r w:rsidRPr="00F25A60">
        <w:rPr>
          <w:color w:val="000000"/>
          <w:sz w:val="22"/>
          <w:szCs w:val="22"/>
          <w:lang w:val="cs-CZ"/>
        </w:rPr>
        <w:t>% pacientů v akcelerované fázi po selhání léčby interferonem a u 5</w:t>
      </w:r>
      <w:r w:rsidR="008A11E8" w:rsidRPr="00F25A60">
        <w:rPr>
          <w:color w:val="000000"/>
          <w:sz w:val="22"/>
          <w:szCs w:val="22"/>
          <w:lang w:val="cs-CZ"/>
        </w:rPr>
        <w:t> </w:t>
      </w:r>
      <w:r w:rsidRPr="00F25A60">
        <w:rPr>
          <w:color w:val="000000"/>
          <w:sz w:val="22"/>
          <w:szCs w:val="22"/>
          <w:lang w:val="cs-CZ"/>
        </w:rPr>
        <w:t>% pacientů v blastické krizi po selhání léčby interferonem. U pacientů s GIST bylo podávání hodnoceného léku přerušeno pro nežádoucí reakce související s lékem u 4</w:t>
      </w:r>
      <w:r w:rsidR="008A11E8" w:rsidRPr="00F25A60">
        <w:rPr>
          <w:color w:val="000000"/>
          <w:sz w:val="22"/>
          <w:szCs w:val="22"/>
          <w:lang w:val="cs-CZ"/>
        </w:rPr>
        <w:t> </w:t>
      </w:r>
      <w:r w:rsidRPr="00F25A60">
        <w:rPr>
          <w:color w:val="000000"/>
          <w:sz w:val="22"/>
          <w:szCs w:val="22"/>
          <w:lang w:val="cs-CZ"/>
        </w:rPr>
        <w:t>% pacientů.</w:t>
      </w:r>
    </w:p>
    <w:p w14:paraId="0B4552F8" w14:textId="77777777" w:rsidR="00EA5993" w:rsidRPr="00F25A60" w:rsidRDefault="00EA5993" w:rsidP="0048111F">
      <w:pPr>
        <w:pStyle w:val="Text"/>
        <w:spacing w:before="0"/>
        <w:jc w:val="left"/>
        <w:rPr>
          <w:color w:val="000000"/>
          <w:sz w:val="22"/>
          <w:szCs w:val="22"/>
          <w:lang w:val="cs-CZ"/>
        </w:rPr>
      </w:pPr>
    </w:p>
    <w:p w14:paraId="7D8C9FC6" w14:textId="135C6EE4" w:rsidR="00EA5993" w:rsidRPr="00F25A60" w:rsidRDefault="00EA5993" w:rsidP="0048111F">
      <w:pPr>
        <w:pStyle w:val="Text"/>
        <w:spacing w:before="0"/>
        <w:jc w:val="left"/>
        <w:rPr>
          <w:color w:val="000000"/>
          <w:sz w:val="22"/>
          <w:szCs w:val="22"/>
          <w:lang w:val="cs-CZ"/>
        </w:rPr>
      </w:pPr>
      <w:r w:rsidRPr="00F25A60">
        <w:rPr>
          <w:color w:val="000000"/>
          <w:sz w:val="22"/>
          <w:szCs w:val="22"/>
          <w:lang w:val="cs-CZ"/>
        </w:rPr>
        <w:t>Nežádoucí účinky byly ve všech indikacích podobné, s výjimkou dvou reakcí. U pacientů s CML byla častěji pozorována myelosuprese než u pacientů s GIST, pravděpodobně způsobené základním onemocněním. Ve studii u pacientů s inoperabilním a/nebo metastatickým GIST se u 7 (5</w:t>
      </w:r>
      <w:r w:rsidR="003372DD" w:rsidRPr="00F25A60">
        <w:rPr>
          <w:color w:val="000000"/>
          <w:sz w:val="22"/>
          <w:szCs w:val="22"/>
          <w:lang w:val="cs-CZ"/>
        </w:rPr>
        <w:t> </w:t>
      </w:r>
      <w:r w:rsidRPr="00F25A60">
        <w:rPr>
          <w:color w:val="000000"/>
          <w:sz w:val="22"/>
          <w:szCs w:val="22"/>
          <w:lang w:val="cs-CZ"/>
        </w:rPr>
        <w:t xml:space="preserve">%) pacientů vyskytl </w:t>
      </w:r>
      <w:smartTag w:uri="urn:schemas-microsoft-com:office:smarttags" w:element="stockticker">
        <w:r w:rsidRPr="00F25A60">
          <w:rPr>
            <w:color w:val="000000"/>
            <w:sz w:val="22"/>
            <w:szCs w:val="22"/>
            <w:lang w:val="cs-CZ"/>
          </w:rPr>
          <w:t>CTC</w:t>
        </w:r>
      </w:smartTag>
      <w:r w:rsidRPr="00F25A60">
        <w:rPr>
          <w:color w:val="000000"/>
          <w:sz w:val="22"/>
          <w:szCs w:val="22"/>
          <w:lang w:val="cs-CZ"/>
        </w:rPr>
        <w:t xml:space="preserve"> stupeň 3/4 </w:t>
      </w:r>
      <w:r w:rsidR="003372DD" w:rsidRPr="00F25A60">
        <w:rPr>
          <w:color w:val="000000"/>
          <w:sz w:val="22"/>
          <w:szCs w:val="22"/>
          <w:lang w:val="cs-CZ"/>
        </w:rPr>
        <w:t>gastrointestinální</w:t>
      </w:r>
      <w:r w:rsidRPr="00F25A60">
        <w:rPr>
          <w:color w:val="000000"/>
          <w:sz w:val="22"/>
          <w:szCs w:val="22"/>
          <w:lang w:val="cs-CZ"/>
        </w:rPr>
        <w:t xml:space="preserve"> krvácení (3 pacienti), krvácení do nádoru (3 pacienti) nebo obojí (1 pacient). Lokalizace GI nádorů může být zdrojem krvácení do </w:t>
      </w:r>
      <w:r w:rsidR="003372DD" w:rsidRPr="00F25A60">
        <w:rPr>
          <w:color w:val="000000"/>
          <w:sz w:val="22"/>
          <w:szCs w:val="22"/>
          <w:lang w:val="cs-CZ"/>
        </w:rPr>
        <w:t>gastrointestinálního</w:t>
      </w:r>
      <w:r w:rsidRPr="00F25A60">
        <w:rPr>
          <w:color w:val="000000"/>
          <w:sz w:val="22"/>
          <w:szCs w:val="22"/>
          <w:lang w:val="cs-CZ"/>
        </w:rPr>
        <w:t xml:space="preserve"> traktu (viz bod</w:t>
      </w:r>
      <w:r w:rsidR="00C822D7">
        <w:rPr>
          <w:color w:val="000000"/>
          <w:sz w:val="22"/>
          <w:szCs w:val="22"/>
          <w:lang w:val="cs-CZ"/>
        </w:rPr>
        <w:t> </w:t>
      </w:r>
      <w:r w:rsidRPr="00F25A60">
        <w:rPr>
          <w:color w:val="000000"/>
          <w:sz w:val="22"/>
          <w:szCs w:val="22"/>
          <w:lang w:val="cs-CZ"/>
        </w:rPr>
        <w:t>4.4). Krvácení do zažívacího traktu nebo z nádoru může být někdy velmi vážné, v některých případech až fatální. Nejčastěji hlášené (</w:t>
      </w:r>
      <w:r w:rsidRPr="00F25A60">
        <w:rPr>
          <w:rFonts w:ascii="Symbol" w:hAnsi="Symbol"/>
          <w:color w:val="000000"/>
          <w:sz w:val="22"/>
          <w:szCs w:val="22"/>
          <w:lang w:val="cs-CZ"/>
        </w:rPr>
        <w:t></w:t>
      </w:r>
      <w:r w:rsidRPr="00F25A60">
        <w:rPr>
          <w:color w:val="000000"/>
          <w:sz w:val="22"/>
          <w:szCs w:val="22"/>
          <w:lang w:val="cs-CZ"/>
        </w:rPr>
        <w:t> 10</w:t>
      </w:r>
      <w:r w:rsidR="004B270C" w:rsidRPr="00F25A60">
        <w:rPr>
          <w:color w:val="000000"/>
          <w:sz w:val="22"/>
          <w:szCs w:val="22"/>
          <w:lang w:val="cs-CZ"/>
        </w:rPr>
        <w:t> </w:t>
      </w:r>
      <w:r w:rsidRPr="00F25A60">
        <w:rPr>
          <w:color w:val="000000"/>
          <w:sz w:val="22"/>
          <w:szCs w:val="22"/>
          <w:lang w:val="cs-CZ"/>
        </w:rPr>
        <w:t xml:space="preserve">%) nežádoucí </w:t>
      </w:r>
      <w:r w:rsidR="00C758AA" w:rsidRPr="00F25A60">
        <w:rPr>
          <w:color w:val="000000"/>
          <w:sz w:val="22"/>
          <w:szCs w:val="22"/>
          <w:lang w:val="cs-CZ"/>
        </w:rPr>
        <w:t>účinky</w:t>
      </w:r>
      <w:r w:rsidRPr="00F25A60">
        <w:rPr>
          <w:color w:val="000000"/>
          <w:sz w:val="22"/>
          <w:szCs w:val="22"/>
          <w:lang w:val="cs-CZ"/>
        </w:rPr>
        <w:t xml:space="preserve"> vyvolané lékem v obou souborech byly </w:t>
      </w:r>
      <w:r w:rsidR="00C758AA" w:rsidRPr="00F25A60">
        <w:rPr>
          <w:color w:val="000000"/>
          <w:sz w:val="22"/>
          <w:szCs w:val="22"/>
          <w:lang w:val="cs-CZ"/>
        </w:rPr>
        <w:t>lehká</w:t>
      </w:r>
      <w:r w:rsidRPr="00F25A60">
        <w:rPr>
          <w:color w:val="000000"/>
          <w:sz w:val="22"/>
          <w:szCs w:val="22"/>
          <w:lang w:val="cs-CZ"/>
        </w:rPr>
        <w:t xml:space="preserve"> nauzea, zvracení, průjem, bolest břicha, únava, svalov</w:t>
      </w:r>
      <w:r w:rsidR="00C758AA" w:rsidRPr="00F25A60">
        <w:rPr>
          <w:color w:val="000000"/>
          <w:sz w:val="22"/>
          <w:szCs w:val="22"/>
          <w:lang w:val="cs-CZ"/>
        </w:rPr>
        <w:t>á</w:t>
      </w:r>
      <w:r w:rsidRPr="00F25A60">
        <w:rPr>
          <w:color w:val="000000"/>
          <w:sz w:val="22"/>
          <w:szCs w:val="22"/>
          <w:lang w:val="cs-CZ"/>
        </w:rPr>
        <w:t xml:space="preserve"> bolest, svalové křeče a vyrážka. Povrchové otoky byly společným nálezem ve všech studiích a byly popisovány hlavně jako otoky kolem očí nebo otoky dolních končetin. Tyto otoky však byly jen vzácně závažné a bylo možné je zvládnout diuretiky, jinou podpůrnou léčbou nebo snížením dávky Glivecu.</w:t>
      </w:r>
    </w:p>
    <w:p w14:paraId="16DA6B2A" w14:textId="77777777" w:rsidR="00EA5993" w:rsidRPr="00F25A60" w:rsidRDefault="00EA5993" w:rsidP="0048111F">
      <w:pPr>
        <w:pStyle w:val="Text"/>
        <w:spacing w:before="0"/>
        <w:jc w:val="left"/>
        <w:rPr>
          <w:color w:val="000000"/>
          <w:sz w:val="22"/>
          <w:szCs w:val="22"/>
          <w:lang w:val="cs-CZ"/>
        </w:rPr>
      </w:pPr>
    </w:p>
    <w:p w14:paraId="544DE407" w14:textId="77777777" w:rsidR="00EA5993" w:rsidRPr="00F25A60" w:rsidRDefault="00EA5993" w:rsidP="0048111F">
      <w:pPr>
        <w:pStyle w:val="Text"/>
        <w:spacing w:before="0"/>
        <w:jc w:val="left"/>
        <w:rPr>
          <w:color w:val="000000"/>
          <w:sz w:val="22"/>
          <w:szCs w:val="22"/>
          <w:lang w:val="cs-CZ"/>
        </w:rPr>
      </w:pPr>
      <w:r w:rsidRPr="00F25A60">
        <w:rPr>
          <w:color w:val="000000"/>
          <w:sz w:val="22"/>
          <w:szCs w:val="22"/>
          <w:lang w:val="cs-CZ"/>
        </w:rPr>
        <w:t xml:space="preserve">Pokud se imatinib kombinoval s vysokou dávkou chemoterapie u pacientů s Ph+ </w:t>
      </w:r>
      <w:smartTag w:uri="urn:schemas-microsoft-com:office:smarttags" w:element="stockticker">
        <w:r w:rsidRPr="00F25A60">
          <w:rPr>
            <w:color w:val="000000"/>
            <w:sz w:val="22"/>
            <w:szCs w:val="22"/>
            <w:lang w:val="cs-CZ"/>
          </w:rPr>
          <w:t>ALL</w:t>
        </w:r>
      </w:smartTag>
      <w:r w:rsidRPr="00F25A60">
        <w:rPr>
          <w:color w:val="000000"/>
          <w:sz w:val="22"/>
          <w:szCs w:val="22"/>
          <w:lang w:val="cs-CZ"/>
        </w:rPr>
        <w:t xml:space="preserve">, byla pozorována přechodná jaterní toxicita ve formě zvýšení transamináz a hyperbilirubinemie. Při použití omezených údajů z bezpečnostních databází se dosud hlášené nežádoucí účinky u dětí shodují se známým bezpečnostním profilem u dospělých pacientů s Ph+ ALL. Databáze týkající se bezpečnosti u dětí s Ph+ ALL je velmi omezená, </w:t>
      </w:r>
      <w:r w:rsidR="00C758AA" w:rsidRPr="00F25A60">
        <w:rPr>
          <w:color w:val="000000"/>
          <w:sz w:val="22"/>
          <w:szCs w:val="22"/>
          <w:lang w:val="cs-CZ"/>
        </w:rPr>
        <w:t>i když</w:t>
      </w:r>
      <w:r w:rsidRPr="00F25A60">
        <w:rPr>
          <w:color w:val="000000"/>
          <w:sz w:val="22"/>
          <w:szCs w:val="22"/>
          <w:lang w:val="cs-CZ"/>
        </w:rPr>
        <w:t xml:space="preserve"> nebyly zjistěné nové </w:t>
      </w:r>
      <w:r w:rsidR="00C758AA" w:rsidRPr="00F25A60">
        <w:rPr>
          <w:color w:val="000000"/>
          <w:sz w:val="22"/>
          <w:szCs w:val="22"/>
          <w:lang w:val="cs-CZ"/>
        </w:rPr>
        <w:t xml:space="preserve">obavy týkající se </w:t>
      </w:r>
      <w:r w:rsidRPr="00F25A60">
        <w:rPr>
          <w:color w:val="000000"/>
          <w:sz w:val="22"/>
          <w:szCs w:val="22"/>
          <w:lang w:val="cs-CZ"/>
        </w:rPr>
        <w:t>bezpečnost</w:t>
      </w:r>
      <w:r w:rsidR="00C758AA" w:rsidRPr="00F25A60">
        <w:rPr>
          <w:color w:val="000000"/>
          <w:sz w:val="22"/>
          <w:szCs w:val="22"/>
          <w:lang w:val="cs-CZ"/>
        </w:rPr>
        <w:t>i</w:t>
      </w:r>
      <w:r w:rsidRPr="00F25A60">
        <w:rPr>
          <w:color w:val="000000"/>
          <w:sz w:val="22"/>
          <w:szCs w:val="22"/>
          <w:lang w:val="cs-CZ"/>
        </w:rPr>
        <w:t>.</w:t>
      </w:r>
    </w:p>
    <w:p w14:paraId="4B31BC1B" w14:textId="77777777" w:rsidR="00EA5993" w:rsidRPr="00F25A60" w:rsidRDefault="00EA5993" w:rsidP="0048111F">
      <w:pPr>
        <w:pStyle w:val="Text"/>
        <w:spacing w:before="0"/>
        <w:jc w:val="left"/>
        <w:rPr>
          <w:color w:val="000000"/>
          <w:sz w:val="22"/>
          <w:szCs w:val="22"/>
          <w:lang w:val="cs-CZ"/>
        </w:rPr>
      </w:pPr>
    </w:p>
    <w:p w14:paraId="4E0A304C" w14:textId="77777777" w:rsidR="00EA5993" w:rsidRPr="00F25A60" w:rsidRDefault="00EA5993" w:rsidP="0048111F">
      <w:pPr>
        <w:pStyle w:val="Text"/>
        <w:spacing w:before="0"/>
        <w:jc w:val="left"/>
        <w:rPr>
          <w:color w:val="000000"/>
          <w:sz w:val="22"/>
          <w:szCs w:val="22"/>
          <w:lang w:val="cs-CZ"/>
        </w:rPr>
      </w:pPr>
      <w:r w:rsidRPr="00F25A60">
        <w:rPr>
          <w:color w:val="000000"/>
          <w:sz w:val="22"/>
          <w:szCs w:val="22"/>
          <w:lang w:val="cs-CZ"/>
        </w:rPr>
        <w:t xml:space="preserve">Různorodé nežádoucí účinky, jako je pleurální výpotek, ascites, plicní edém a rychlý přírůstek tělesné hmotnosti s nebo bez superficiálních otoků, je možné souhrnně popsat jako „retence tekutin“. Tyto nežádoucí </w:t>
      </w:r>
      <w:r w:rsidR="004C6D93" w:rsidRPr="00F25A60">
        <w:rPr>
          <w:color w:val="000000"/>
          <w:sz w:val="22"/>
          <w:szCs w:val="22"/>
          <w:lang w:val="cs-CZ"/>
        </w:rPr>
        <w:t>účinky</w:t>
      </w:r>
      <w:r w:rsidRPr="00F25A60">
        <w:rPr>
          <w:color w:val="000000"/>
          <w:sz w:val="22"/>
          <w:szCs w:val="22"/>
          <w:lang w:val="cs-CZ"/>
        </w:rPr>
        <w:t xml:space="preserve"> je možné obvykle zvládnout dočasným vysazením Glivecu a diuretiky a jinou vhodnou podpůrnou léčbou. Avšak některé z těchto </w:t>
      </w:r>
      <w:r w:rsidR="004C6D93" w:rsidRPr="00F25A60">
        <w:rPr>
          <w:color w:val="000000"/>
          <w:sz w:val="22"/>
          <w:szCs w:val="22"/>
          <w:lang w:val="cs-CZ"/>
        </w:rPr>
        <w:t>nežádoucích účinků</w:t>
      </w:r>
      <w:r w:rsidRPr="00F25A60">
        <w:rPr>
          <w:color w:val="000000"/>
          <w:sz w:val="22"/>
          <w:szCs w:val="22"/>
          <w:lang w:val="cs-CZ"/>
        </w:rPr>
        <w:t xml:space="preserve"> mohou být velmi závažné nebo život ohrožující a několik pacientů s blastickou krizí zemřelo s komplexním klinickým nálezem zahrnujícím pleurální výpotek, městnavé srdeční selhání a selhání ledvin. V klinických studiích nebyly u dětí pozorovány specificky odlišné nežádoucí účinky.</w:t>
      </w:r>
    </w:p>
    <w:p w14:paraId="77EBC14D" w14:textId="77777777" w:rsidR="00EA5993" w:rsidRPr="00F25A60" w:rsidRDefault="00EA5993" w:rsidP="0048111F">
      <w:pPr>
        <w:pStyle w:val="Text"/>
        <w:spacing w:before="0"/>
        <w:jc w:val="left"/>
        <w:rPr>
          <w:color w:val="000000"/>
          <w:sz w:val="22"/>
          <w:szCs w:val="22"/>
          <w:lang w:val="cs-CZ"/>
        </w:rPr>
      </w:pPr>
    </w:p>
    <w:p w14:paraId="2A63A42E" w14:textId="5F87EF00" w:rsidR="00EA5993" w:rsidRPr="00F25A60" w:rsidRDefault="00EA5993" w:rsidP="0048111F">
      <w:pPr>
        <w:pStyle w:val="Text"/>
        <w:keepNext/>
        <w:spacing w:before="0"/>
        <w:jc w:val="left"/>
        <w:rPr>
          <w:bCs/>
          <w:color w:val="000000"/>
          <w:sz w:val="22"/>
          <w:szCs w:val="22"/>
          <w:u w:val="single"/>
          <w:lang w:val="cs-CZ"/>
        </w:rPr>
      </w:pPr>
      <w:r w:rsidRPr="00F25A60">
        <w:rPr>
          <w:bCs/>
          <w:color w:val="000000"/>
          <w:sz w:val="22"/>
          <w:szCs w:val="22"/>
          <w:u w:val="single"/>
          <w:lang w:val="cs-CZ"/>
        </w:rPr>
        <w:t>Nežádoucí účinky</w:t>
      </w:r>
    </w:p>
    <w:p w14:paraId="7CE8B0E2" w14:textId="77777777" w:rsidR="0096691F" w:rsidRPr="00F25A60" w:rsidRDefault="0096691F" w:rsidP="0048111F">
      <w:pPr>
        <w:pStyle w:val="Text"/>
        <w:keepNext/>
        <w:spacing w:before="0"/>
        <w:jc w:val="left"/>
        <w:rPr>
          <w:color w:val="000000"/>
          <w:sz w:val="22"/>
          <w:szCs w:val="22"/>
          <w:lang w:val="cs-CZ"/>
        </w:rPr>
      </w:pPr>
    </w:p>
    <w:p w14:paraId="4B9E4044" w14:textId="77777777" w:rsidR="00EA5993" w:rsidRPr="00F25A60" w:rsidRDefault="00EA5993" w:rsidP="0048111F">
      <w:pPr>
        <w:pStyle w:val="Text"/>
        <w:spacing w:before="0"/>
        <w:jc w:val="left"/>
        <w:rPr>
          <w:color w:val="000000"/>
          <w:sz w:val="22"/>
          <w:szCs w:val="22"/>
          <w:lang w:val="cs-CZ"/>
        </w:rPr>
      </w:pPr>
      <w:r w:rsidRPr="00F25A60">
        <w:rPr>
          <w:color w:val="000000"/>
          <w:sz w:val="22"/>
          <w:szCs w:val="22"/>
          <w:lang w:val="cs-CZ"/>
        </w:rPr>
        <w:t>Nežádoucí účinky, které se vyskytly častěji než v ojedinělých případech</w:t>
      </w:r>
      <w:r w:rsidR="00F55D84" w:rsidRPr="00F25A60">
        <w:rPr>
          <w:color w:val="000000"/>
          <w:sz w:val="22"/>
          <w:szCs w:val="22"/>
          <w:lang w:val="cs-CZ"/>
        </w:rPr>
        <w:t>,</w:t>
      </w:r>
      <w:r w:rsidRPr="00F25A60">
        <w:rPr>
          <w:color w:val="000000"/>
          <w:sz w:val="22"/>
          <w:szCs w:val="22"/>
          <w:lang w:val="cs-CZ"/>
        </w:rPr>
        <w:t xml:space="preserve"> jsou uvedeny níže podle </w:t>
      </w:r>
      <w:r w:rsidR="004C6D93" w:rsidRPr="00F25A60">
        <w:rPr>
          <w:color w:val="000000"/>
          <w:sz w:val="22"/>
          <w:szCs w:val="22"/>
          <w:lang w:val="cs-CZ"/>
        </w:rPr>
        <w:t xml:space="preserve">tříd </w:t>
      </w:r>
      <w:r w:rsidRPr="00F25A60">
        <w:rPr>
          <w:color w:val="000000"/>
          <w:sz w:val="22"/>
          <w:szCs w:val="22"/>
          <w:lang w:val="cs-CZ"/>
        </w:rPr>
        <w:t>orgánov</w:t>
      </w:r>
      <w:r w:rsidR="004C6D93" w:rsidRPr="00F25A60">
        <w:rPr>
          <w:color w:val="000000"/>
          <w:sz w:val="22"/>
          <w:szCs w:val="22"/>
          <w:lang w:val="cs-CZ"/>
        </w:rPr>
        <w:t>ých systémů</w:t>
      </w:r>
      <w:r w:rsidRPr="00F25A60">
        <w:rPr>
          <w:color w:val="000000"/>
          <w:sz w:val="22"/>
          <w:szCs w:val="22"/>
          <w:lang w:val="cs-CZ"/>
        </w:rPr>
        <w:t xml:space="preserve"> a frekvence výskytu. Kategorie </w:t>
      </w:r>
      <w:r w:rsidR="004C6D93" w:rsidRPr="00F25A60">
        <w:rPr>
          <w:color w:val="000000"/>
          <w:sz w:val="22"/>
          <w:szCs w:val="22"/>
          <w:lang w:val="cs-CZ"/>
        </w:rPr>
        <w:t>četnosti</w:t>
      </w:r>
      <w:r w:rsidRPr="00F25A60">
        <w:rPr>
          <w:color w:val="000000"/>
          <w:sz w:val="22"/>
          <w:szCs w:val="22"/>
          <w:lang w:val="cs-CZ"/>
        </w:rPr>
        <w:t xml:space="preserve"> výskytu jsou definovány podle následujících pravidel jako: velmi časté (</w:t>
      </w:r>
      <w:r w:rsidRPr="00F25A60">
        <w:rPr>
          <w:sz w:val="22"/>
          <w:szCs w:val="22"/>
          <w:lang w:val="cs-CZ"/>
        </w:rPr>
        <w:t>≥</w:t>
      </w:r>
      <w:r w:rsidRPr="00F25A60">
        <w:rPr>
          <w:color w:val="000000"/>
          <w:sz w:val="22"/>
          <w:szCs w:val="22"/>
          <w:lang w:val="cs-CZ"/>
        </w:rPr>
        <w:t>1/10), časté (</w:t>
      </w:r>
      <w:r w:rsidRPr="00F25A60">
        <w:rPr>
          <w:sz w:val="22"/>
          <w:szCs w:val="22"/>
          <w:lang w:val="cs-CZ"/>
        </w:rPr>
        <w:t>≥</w:t>
      </w:r>
      <w:r w:rsidRPr="00F25A60">
        <w:rPr>
          <w:color w:val="000000"/>
          <w:sz w:val="22"/>
          <w:szCs w:val="22"/>
          <w:lang w:val="cs-CZ"/>
        </w:rPr>
        <w:t xml:space="preserve">1/100 až </w:t>
      </w:r>
      <w:r w:rsidRPr="00F25A60">
        <w:rPr>
          <w:sz w:val="22"/>
          <w:szCs w:val="22"/>
          <w:lang w:val="cs-CZ"/>
        </w:rPr>
        <w:t>&lt;</w:t>
      </w:r>
      <w:r w:rsidRPr="00F25A60">
        <w:rPr>
          <w:color w:val="000000"/>
          <w:sz w:val="22"/>
          <w:szCs w:val="22"/>
          <w:lang w:val="cs-CZ"/>
        </w:rPr>
        <w:t xml:space="preserve">1/10), méně časté (≥1/1 000 až </w:t>
      </w:r>
      <w:r w:rsidRPr="00F25A60">
        <w:rPr>
          <w:sz w:val="22"/>
          <w:szCs w:val="22"/>
          <w:lang w:val="cs-CZ"/>
        </w:rPr>
        <w:t>&lt;</w:t>
      </w:r>
      <w:r w:rsidRPr="00F25A60">
        <w:rPr>
          <w:color w:val="000000"/>
          <w:sz w:val="22"/>
          <w:szCs w:val="22"/>
          <w:lang w:val="cs-CZ"/>
        </w:rPr>
        <w:t>1/100), vzácné (</w:t>
      </w:r>
      <w:r w:rsidRPr="00F25A60">
        <w:rPr>
          <w:sz w:val="22"/>
          <w:szCs w:val="22"/>
          <w:lang w:val="cs-CZ"/>
        </w:rPr>
        <w:t>≥1/10</w:t>
      </w:r>
      <w:r w:rsidRPr="00F25A60">
        <w:rPr>
          <w:color w:val="000000"/>
          <w:sz w:val="22"/>
          <w:szCs w:val="22"/>
          <w:lang w:val="cs-CZ"/>
        </w:rPr>
        <w:t> </w:t>
      </w:r>
      <w:r w:rsidRPr="00F25A60">
        <w:rPr>
          <w:sz w:val="22"/>
          <w:szCs w:val="22"/>
          <w:lang w:val="cs-CZ"/>
        </w:rPr>
        <w:t xml:space="preserve">000 až </w:t>
      </w:r>
      <w:r w:rsidRPr="00F25A60">
        <w:rPr>
          <w:color w:val="000000"/>
          <w:sz w:val="22"/>
          <w:szCs w:val="22"/>
          <w:lang w:val="cs-CZ"/>
        </w:rPr>
        <w:t>&lt;1/1 000), velmi vzácné (</w:t>
      </w:r>
      <w:r w:rsidRPr="00F25A60">
        <w:rPr>
          <w:sz w:val="22"/>
          <w:szCs w:val="22"/>
          <w:lang w:val="cs-CZ"/>
        </w:rPr>
        <w:t>&lt;1/10</w:t>
      </w:r>
      <w:r w:rsidRPr="00F25A60">
        <w:rPr>
          <w:color w:val="000000"/>
          <w:sz w:val="22"/>
          <w:szCs w:val="22"/>
          <w:lang w:val="cs-CZ"/>
        </w:rPr>
        <w:t> </w:t>
      </w:r>
      <w:r w:rsidRPr="00F25A60">
        <w:rPr>
          <w:sz w:val="22"/>
          <w:szCs w:val="22"/>
          <w:lang w:val="cs-CZ"/>
        </w:rPr>
        <w:t>000),</w:t>
      </w:r>
      <w:r w:rsidRPr="00F25A60">
        <w:rPr>
          <w:color w:val="000000"/>
          <w:sz w:val="22"/>
          <w:szCs w:val="22"/>
          <w:lang w:val="cs-CZ"/>
        </w:rPr>
        <w:t xml:space="preserve"> není známo (z dostupných údajů nelze určit).</w:t>
      </w:r>
    </w:p>
    <w:p w14:paraId="11145C74" w14:textId="77777777" w:rsidR="00EA5993" w:rsidRPr="00F25A60" w:rsidRDefault="00EA5993" w:rsidP="0048111F">
      <w:pPr>
        <w:pStyle w:val="Text"/>
        <w:spacing w:before="0"/>
        <w:jc w:val="left"/>
        <w:rPr>
          <w:color w:val="000000"/>
          <w:sz w:val="22"/>
          <w:szCs w:val="22"/>
          <w:lang w:val="cs-CZ"/>
        </w:rPr>
      </w:pPr>
    </w:p>
    <w:p w14:paraId="552B8942" w14:textId="77777777" w:rsidR="00EA5993" w:rsidRPr="00F25A60" w:rsidRDefault="00EA5993" w:rsidP="0048111F">
      <w:pPr>
        <w:pStyle w:val="Text"/>
        <w:spacing w:before="0"/>
        <w:jc w:val="left"/>
        <w:rPr>
          <w:color w:val="000000"/>
          <w:sz w:val="22"/>
          <w:szCs w:val="22"/>
          <w:lang w:val="cs-CZ"/>
        </w:rPr>
      </w:pPr>
      <w:r w:rsidRPr="00F25A60">
        <w:rPr>
          <w:color w:val="000000"/>
          <w:sz w:val="22"/>
          <w:szCs w:val="22"/>
          <w:lang w:val="cs-CZ"/>
        </w:rPr>
        <w:t>V každé skupině četností jsou nežádoucí účinky seřazeny podle četnosti od nejčastější</w:t>
      </w:r>
      <w:r w:rsidR="004C6D93" w:rsidRPr="00F25A60">
        <w:rPr>
          <w:color w:val="000000"/>
          <w:sz w:val="22"/>
          <w:szCs w:val="22"/>
          <w:lang w:val="cs-CZ"/>
        </w:rPr>
        <w:t>ch</w:t>
      </w:r>
      <w:r w:rsidRPr="00F25A60">
        <w:rPr>
          <w:color w:val="000000"/>
          <w:sz w:val="22"/>
          <w:szCs w:val="22"/>
          <w:lang w:val="cs-CZ"/>
        </w:rPr>
        <w:t>.</w:t>
      </w:r>
    </w:p>
    <w:p w14:paraId="023D8EE2" w14:textId="77777777" w:rsidR="00EA5993" w:rsidRPr="00F25A60" w:rsidRDefault="00EA5993" w:rsidP="0048111F">
      <w:pPr>
        <w:pStyle w:val="Text"/>
        <w:spacing w:before="0"/>
        <w:jc w:val="left"/>
        <w:rPr>
          <w:color w:val="000000"/>
          <w:sz w:val="22"/>
          <w:szCs w:val="22"/>
          <w:lang w:val="cs-CZ"/>
        </w:rPr>
      </w:pPr>
    </w:p>
    <w:p w14:paraId="0E9F28C8" w14:textId="77777777" w:rsidR="00EA5993" w:rsidRPr="00F25A60" w:rsidRDefault="00EA5993" w:rsidP="0048111F">
      <w:pPr>
        <w:pStyle w:val="Text"/>
        <w:spacing w:before="0"/>
        <w:jc w:val="left"/>
        <w:rPr>
          <w:color w:val="000000"/>
          <w:sz w:val="22"/>
          <w:szCs w:val="22"/>
          <w:lang w:val="cs-CZ"/>
        </w:rPr>
      </w:pPr>
      <w:r w:rsidRPr="00F25A60">
        <w:rPr>
          <w:color w:val="000000"/>
          <w:sz w:val="22"/>
          <w:szCs w:val="22"/>
          <w:lang w:val="cs-CZ"/>
        </w:rPr>
        <w:t>Nežádoucí účinky a četnost jejich výskytu jsou uvedené v </w:t>
      </w:r>
      <w:r w:rsidR="004C6D93" w:rsidRPr="00F25A60">
        <w:rPr>
          <w:color w:val="000000"/>
          <w:sz w:val="22"/>
          <w:szCs w:val="22"/>
          <w:lang w:val="cs-CZ"/>
        </w:rPr>
        <w:t>t</w:t>
      </w:r>
      <w:r w:rsidRPr="00F25A60">
        <w:rPr>
          <w:color w:val="000000"/>
          <w:sz w:val="22"/>
          <w:szCs w:val="22"/>
          <w:lang w:val="cs-CZ"/>
        </w:rPr>
        <w:t>abulce 1</w:t>
      </w:r>
      <w:r w:rsidR="005E2891" w:rsidRPr="00F25A60">
        <w:rPr>
          <w:color w:val="000000"/>
          <w:sz w:val="22"/>
          <w:szCs w:val="22"/>
          <w:lang w:val="cs-CZ"/>
        </w:rPr>
        <w:t>.</w:t>
      </w:r>
    </w:p>
    <w:p w14:paraId="0AEC2860" w14:textId="77777777" w:rsidR="00EA5993" w:rsidRPr="00F25A60" w:rsidRDefault="00EA5993" w:rsidP="0048111F">
      <w:pPr>
        <w:pStyle w:val="Text"/>
        <w:spacing w:before="0"/>
        <w:jc w:val="left"/>
        <w:rPr>
          <w:color w:val="000000"/>
          <w:sz w:val="22"/>
          <w:szCs w:val="22"/>
          <w:lang w:val="cs-CZ"/>
        </w:rPr>
      </w:pPr>
    </w:p>
    <w:p w14:paraId="20D59955" w14:textId="77777777" w:rsidR="00EA5993" w:rsidRPr="00F25A60" w:rsidRDefault="00EA5993" w:rsidP="0048111F">
      <w:pPr>
        <w:pStyle w:val="Text"/>
        <w:keepNext/>
        <w:tabs>
          <w:tab w:val="left" w:pos="1080"/>
        </w:tabs>
        <w:spacing w:before="0"/>
        <w:rPr>
          <w:b/>
          <w:bCs/>
          <w:color w:val="000000"/>
          <w:sz w:val="22"/>
          <w:szCs w:val="22"/>
          <w:lang w:val="cs-CZ"/>
        </w:rPr>
      </w:pPr>
      <w:r w:rsidRPr="00F25A60">
        <w:rPr>
          <w:b/>
          <w:bCs/>
          <w:color w:val="000000"/>
          <w:sz w:val="22"/>
          <w:szCs w:val="22"/>
          <w:lang w:val="cs-CZ"/>
        </w:rPr>
        <w:lastRenderedPageBreak/>
        <w:t>Tabulka 1</w:t>
      </w:r>
      <w:r w:rsidRPr="00F25A60">
        <w:rPr>
          <w:b/>
          <w:bCs/>
          <w:color w:val="000000"/>
          <w:sz w:val="22"/>
          <w:szCs w:val="22"/>
          <w:lang w:val="cs-CZ"/>
        </w:rPr>
        <w:tab/>
      </w:r>
      <w:r w:rsidR="005E2891" w:rsidRPr="00F25A60">
        <w:rPr>
          <w:b/>
          <w:bCs/>
          <w:color w:val="000000"/>
          <w:sz w:val="22"/>
          <w:szCs w:val="22"/>
          <w:lang w:val="cs-CZ"/>
        </w:rPr>
        <w:t>Přehled n</w:t>
      </w:r>
      <w:r w:rsidRPr="00F25A60">
        <w:rPr>
          <w:b/>
          <w:bCs/>
          <w:color w:val="000000"/>
          <w:sz w:val="22"/>
          <w:szCs w:val="22"/>
          <w:lang w:val="cs-CZ"/>
        </w:rPr>
        <w:t>ežádoucí</w:t>
      </w:r>
      <w:r w:rsidR="005E2891" w:rsidRPr="00F25A60">
        <w:rPr>
          <w:b/>
          <w:bCs/>
          <w:color w:val="000000"/>
          <w:sz w:val="22"/>
          <w:szCs w:val="22"/>
          <w:lang w:val="cs-CZ"/>
        </w:rPr>
        <w:t>ch</w:t>
      </w:r>
      <w:r w:rsidRPr="00F25A60">
        <w:rPr>
          <w:b/>
          <w:bCs/>
          <w:color w:val="000000"/>
          <w:sz w:val="22"/>
          <w:szCs w:val="22"/>
          <w:lang w:val="cs-CZ"/>
        </w:rPr>
        <w:t xml:space="preserve"> účink</w:t>
      </w:r>
      <w:r w:rsidR="005E2891" w:rsidRPr="00F25A60">
        <w:rPr>
          <w:b/>
          <w:bCs/>
          <w:color w:val="000000"/>
          <w:sz w:val="22"/>
          <w:szCs w:val="22"/>
          <w:lang w:val="cs-CZ"/>
        </w:rPr>
        <w:t>ů</w:t>
      </w:r>
      <w:r w:rsidRPr="00F25A60">
        <w:rPr>
          <w:b/>
          <w:bCs/>
          <w:color w:val="000000"/>
          <w:sz w:val="22"/>
          <w:szCs w:val="22"/>
          <w:lang w:val="cs-CZ"/>
        </w:rPr>
        <w:t xml:space="preserve"> v </w:t>
      </w:r>
      <w:r w:rsidR="005E2891" w:rsidRPr="00F25A60">
        <w:rPr>
          <w:b/>
          <w:bCs/>
          <w:color w:val="000000"/>
          <w:sz w:val="22"/>
          <w:szCs w:val="22"/>
          <w:lang w:val="cs-CZ"/>
        </w:rPr>
        <w:t>tabulce</w:t>
      </w:r>
    </w:p>
    <w:p w14:paraId="3D681D08" w14:textId="77777777" w:rsidR="00EA5993" w:rsidRPr="00F25A60" w:rsidRDefault="00EA5993" w:rsidP="0048111F">
      <w:pPr>
        <w:keepNext/>
        <w:spacing w:line="240" w:lineRule="auto"/>
        <w:rPr>
          <w:color w:val="000000"/>
        </w:rPr>
      </w:pPr>
    </w:p>
    <w:tbl>
      <w:tblPr>
        <w:tblW w:w="9354" w:type="dxa"/>
        <w:tblInd w:w="-32" w:type="dxa"/>
        <w:tblLayout w:type="fixed"/>
        <w:tblLook w:val="0000" w:firstRow="0" w:lastRow="0" w:firstColumn="0" w:lastColumn="0" w:noHBand="0" w:noVBand="0"/>
      </w:tblPr>
      <w:tblGrid>
        <w:gridCol w:w="12"/>
        <w:gridCol w:w="2190"/>
        <w:gridCol w:w="15"/>
        <w:gridCol w:w="23"/>
        <w:gridCol w:w="7"/>
        <w:gridCol w:w="7107"/>
      </w:tblGrid>
      <w:tr w:rsidR="00EA5993" w:rsidRPr="00F25A60" w14:paraId="3D44A5C6" w14:textId="77777777" w:rsidTr="00EB4FF7">
        <w:trPr>
          <w:gridBefore w:val="1"/>
          <w:wBefore w:w="12" w:type="dxa"/>
          <w:cantSplit/>
        </w:trPr>
        <w:tc>
          <w:tcPr>
            <w:tcW w:w="9342" w:type="dxa"/>
            <w:gridSpan w:val="5"/>
            <w:tcBorders>
              <w:top w:val="single" w:sz="4" w:space="0" w:color="000000"/>
              <w:left w:val="single" w:sz="4" w:space="0" w:color="000000"/>
              <w:bottom w:val="single" w:sz="4" w:space="0" w:color="000000"/>
              <w:right w:val="single" w:sz="4" w:space="0" w:color="000000"/>
            </w:tcBorders>
          </w:tcPr>
          <w:p w14:paraId="5E2E9CDD" w14:textId="77777777" w:rsidR="00EA5993" w:rsidRPr="00F25A60" w:rsidRDefault="00EA5993" w:rsidP="0048111F">
            <w:pPr>
              <w:keepNext/>
              <w:tabs>
                <w:tab w:val="left" w:pos="6375"/>
              </w:tabs>
              <w:snapToGrid w:val="0"/>
              <w:spacing w:line="240" w:lineRule="auto"/>
              <w:rPr>
                <w:b/>
                <w:bCs/>
                <w:color w:val="000000"/>
              </w:rPr>
            </w:pPr>
            <w:r w:rsidRPr="00F25A60">
              <w:rPr>
                <w:b/>
                <w:bCs/>
                <w:color w:val="000000"/>
              </w:rPr>
              <w:t>Infekce a infestace</w:t>
            </w:r>
          </w:p>
        </w:tc>
      </w:tr>
      <w:tr w:rsidR="00EA5993" w:rsidRPr="00F25A60" w14:paraId="37AC54B0" w14:textId="77777777" w:rsidTr="00EB4FF7">
        <w:trPr>
          <w:gridBefore w:val="1"/>
          <w:wBefore w:w="12" w:type="dxa"/>
          <w:cantSplit/>
        </w:trPr>
        <w:tc>
          <w:tcPr>
            <w:tcW w:w="2205" w:type="dxa"/>
            <w:gridSpan w:val="2"/>
            <w:tcBorders>
              <w:top w:val="single" w:sz="4" w:space="0" w:color="000000"/>
              <w:left w:val="single" w:sz="4" w:space="0" w:color="000000"/>
              <w:bottom w:val="single" w:sz="4" w:space="0" w:color="000000"/>
              <w:right w:val="single" w:sz="4" w:space="0" w:color="auto"/>
            </w:tcBorders>
          </w:tcPr>
          <w:p w14:paraId="0D986E74" w14:textId="77777777" w:rsidR="00EA5993" w:rsidRPr="00F25A60" w:rsidRDefault="00EA5993" w:rsidP="0048111F">
            <w:pPr>
              <w:keepNext/>
              <w:tabs>
                <w:tab w:val="left" w:pos="6375"/>
              </w:tabs>
              <w:snapToGrid w:val="0"/>
              <w:spacing w:line="240" w:lineRule="auto"/>
              <w:rPr>
                <w:i/>
                <w:iCs/>
                <w:color w:val="000000"/>
              </w:rPr>
            </w:pPr>
            <w:r w:rsidRPr="00F25A60">
              <w:rPr>
                <w:i/>
                <w:iCs/>
                <w:color w:val="000000"/>
              </w:rPr>
              <w:t>Méně časté:</w:t>
            </w:r>
          </w:p>
        </w:tc>
        <w:tc>
          <w:tcPr>
            <w:tcW w:w="7137" w:type="dxa"/>
            <w:gridSpan w:val="3"/>
            <w:tcBorders>
              <w:top w:val="single" w:sz="4" w:space="0" w:color="000000"/>
              <w:left w:val="single" w:sz="4" w:space="0" w:color="auto"/>
              <w:bottom w:val="single" w:sz="4" w:space="0" w:color="000000"/>
              <w:right w:val="single" w:sz="4" w:space="0" w:color="000000"/>
            </w:tcBorders>
          </w:tcPr>
          <w:p w14:paraId="2BD22398" w14:textId="77777777" w:rsidR="00EA5993" w:rsidRPr="00F25A60" w:rsidRDefault="00EA5993" w:rsidP="0048111F">
            <w:pPr>
              <w:keepNext/>
              <w:tabs>
                <w:tab w:val="left" w:pos="6375"/>
              </w:tabs>
              <w:snapToGrid w:val="0"/>
              <w:spacing w:line="240" w:lineRule="auto"/>
              <w:rPr>
                <w:color w:val="000000"/>
              </w:rPr>
            </w:pPr>
            <w:r w:rsidRPr="00F25A60">
              <w:rPr>
                <w:color w:val="000000"/>
              </w:rPr>
              <w:t>Herpes zoster, herpes simplex, nasofaryngitida, pneumonie</w:t>
            </w:r>
            <w:r w:rsidRPr="00F25A60">
              <w:rPr>
                <w:color w:val="000000"/>
                <w:vertAlign w:val="superscript"/>
              </w:rPr>
              <w:t>1</w:t>
            </w:r>
            <w:r w:rsidRPr="00F25A60">
              <w:rPr>
                <w:color w:val="000000"/>
              </w:rPr>
              <w:t>, sinusitida, celulitida, infekce horních cest dýchacích, chřipka, infekce močových cest, gastroenteritida, sepse</w:t>
            </w:r>
          </w:p>
        </w:tc>
      </w:tr>
      <w:tr w:rsidR="00EA5993" w:rsidRPr="00F25A60" w14:paraId="454992C5" w14:textId="77777777" w:rsidTr="00EB4FF7">
        <w:trPr>
          <w:gridBefore w:val="1"/>
          <w:wBefore w:w="12" w:type="dxa"/>
          <w:cantSplit/>
        </w:trPr>
        <w:tc>
          <w:tcPr>
            <w:tcW w:w="2205" w:type="dxa"/>
            <w:gridSpan w:val="2"/>
            <w:tcBorders>
              <w:top w:val="single" w:sz="4" w:space="0" w:color="000000"/>
              <w:left w:val="single" w:sz="4" w:space="0" w:color="000000"/>
              <w:bottom w:val="single" w:sz="4" w:space="0" w:color="000000"/>
              <w:right w:val="single" w:sz="4" w:space="0" w:color="auto"/>
            </w:tcBorders>
          </w:tcPr>
          <w:p w14:paraId="6939AEF0" w14:textId="77777777" w:rsidR="00EA5993" w:rsidRPr="00F25A60" w:rsidRDefault="00EA5993" w:rsidP="0048111F">
            <w:pPr>
              <w:keepNext/>
              <w:tabs>
                <w:tab w:val="left" w:pos="6375"/>
              </w:tabs>
              <w:snapToGrid w:val="0"/>
              <w:spacing w:line="240" w:lineRule="auto"/>
              <w:rPr>
                <w:i/>
                <w:iCs/>
                <w:color w:val="000000"/>
              </w:rPr>
            </w:pPr>
            <w:r w:rsidRPr="00F25A60">
              <w:rPr>
                <w:i/>
                <w:iCs/>
                <w:color w:val="000000"/>
              </w:rPr>
              <w:t>Vzácné:</w:t>
            </w:r>
          </w:p>
        </w:tc>
        <w:tc>
          <w:tcPr>
            <w:tcW w:w="7137" w:type="dxa"/>
            <w:gridSpan w:val="3"/>
            <w:tcBorders>
              <w:top w:val="single" w:sz="4" w:space="0" w:color="000000"/>
              <w:left w:val="single" w:sz="4" w:space="0" w:color="auto"/>
              <w:bottom w:val="single" w:sz="4" w:space="0" w:color="000000"/>
              <w:right w:val="single" w:sz="4" w:space="0" w:color="000000"/>
            </w:tcBorders>
          </w:tcPr>
          <w:p w14:paraId="64F92692" w14:textId="77777777" w:rsidR="00EA5993" w:rsidRPr="00F25A60" w:rsidRDefault="004C6D93" w:rsidP="0048111F">
            <w:pPr>
              <w:keepNext/>
              <w:tabs>
                <w:tab w:val="left" w:pos="6375"/>
              </w:tabs>
              <w:snapToGrid w:val="0"/>
              <w:spacing w:line="240" w:lineRule="auto"/>
              <w:rPr>
                <w:color w:val="000000"/>
              </w:rPr>
            </w:pPr>
            <w:r w:rsidRPr="00F25A60">
              <w:rPr>
                <w:color w:val="000000"/>
              </w:rPr>
              <w:t>Mykotické</w:t>
            </w:r>
            <w:r w:rsidR="00EA5993" w:rsidRPr="00F25A60">
              <w:rPr>
                <w:color w:val="000000"/>
              </w:rPr>
              <w:t xml:space="preserve"> infekce</w:t>
            </w:r>
          </w:p>
        </w:tc>
      </w:tr>
      <w:tr w:rsidR="001927EB" w:rsidRPr="00F25A60" w14:paraId="34590AC3" w14:textId="77777777" w:rsidTr="00EB4FF7">
        <w:trPr>
          <w:gridBefore w:val="1"/>
          <w:wBefore w:w="12" w:type="dxa"/>
          <w:cantSplit/>
        </w:trPr>
        <w:tc>
          <w:tcPr>
            <w:tcW w:w="2205" w:type="dxa"/>
            <w:gridSpan w:val="2"/>
            <w:tcBorders>
              <w:top w:val="single" w:sz="4" w:space="0" w:color="000000"/>
              <w:left w:val="single" w:sz="4" w:space="0" w:color="000000"/>
              <w:bottom w:val="single" w:sz="4" w:space="0" w:color="000000"/>
              <w:right w:val="single" w:sz="4" w:space="0" w:color="auto"/>
            </w:tcBorders>
          </w:tcPr>
          <w:p w14:paraId="32906057" w14:textId="77777777" w:rsidR="001927EB" w:rsidRPr="00F25A60" w:rsidRDefault="001927EB" w:rsidP="0048111F">
            <w:pPr>
              <w:keepNext/>
              <w:tabs>
                <w:tab w:val="left" w:pos="6375"/>
              </w:tabs>
              <w:snapToGrid w:val="0"/>
              <w:spacing w:line="240" w:lineRule="auto"/>
              <w:rPr>
                <w:i/>
                <w:iCs/>
                <w:color w:val="000000"/>
              </w:rPr>
            </w:pPr>
            <w:r w:rsidRPr="00F25A60">
              <w:rPr>
                <w:i/>
                <w:iCs/>
                <w:color w:val="000000"/>
              </w:rPr>
              <w:t>Není známo:</w:t>
            </w:r>
          </w:p>
        </w:tc>
        <w:tc>
          <w:tcPr>
            <w:tcW w:w="7137" w:type="dxa"/>
            <w:gridSpan w:val="3"/>
            <w:tcBorders>
              <w:top w:val="single" w:sz="4" w:space="0" w:color="000000"/>
              <w:left w:val="single" w:sz="4" w:space="0" w:color="auto"/>
              <w:bottom w:val="single" w:sz="4" w:space="0" w:color="000000"/>
              <w:right w:val="single" w:sz="4" w:space="0" w:color="000000"/>
            </w:tcBorders>
          </w:tcPr>
          <w:p w14:paraId="67CCBC19" w14:textId="77777777" w:rsidR="001927EB" w:rsidRPr="00F25A60" w:rsidRDefault="001927EB" w:rsidP="0048111F">
            <w:pPr>
              <w:keepNext/>
              <w:tabs>
                <w:tab w:val="left" w:pos="6375"/>
              </w:tabs>
              <w:snapToGrid w:val="0"/>
              <w:spacing w:line="240" w:lineRule="auto"/>
              <w:rPr>
                <w:color w:val="000000"/>
              </w:rPr>
            </w:pPr>
            <w:r w:rsidRPr="00F25A60">
              <w:rPr>
                <w:color w:val="000000"/>
              </w:rPr>
              <w:t>Reaktivace hepatitidy B*</w:t>
            </w:r>
          </w:p>
        </w:tc>
      </w:tr>
      <w:tr w:rsidR="00EA5993" w:rsidRPr="00F25A60" w14:paraId="019D68F6" w14:textId="77777777" w:rsidTr="00EB4FF7">
        <w:trPr>
          <w:gridBefore w:val="1"/>
          <w:wBefore w:w="12" w:type="dxa"/>
          <w:cantSplit/>
        </w:trPr>
        <w:tc>
          <w:tcPr>
            <w:tcW w:w="9342" w:type="dxa"/>
            <w:gridSpan w:val="5"/>
            <w:tcBorders>
              <w:top w:val="single" w:sz="4" w:space="0" w:color="000000"/>
              <w:left w:val="single" w:sz="4" w:space="0" w:color="000000"/>
              <w:bottom w:val="single" w:sz="4" w:space="0" w:color="000000"/>
              <w:right w:val="single" w:sz="4" w:space="0" w:color="000000"/>
            </w:tcBorders>
          </w:tcPr>
          <w:p w14:paraId="56FEA218" w14:textId="77777777" w:rsidR="00EA5993" w:rsidRPr="00F25A60" w:rsidRDefault="00EA5993" w:rsidP="0048111F">
            <w:pPr>
              <w:keepNext/>
              <w:tabs>
                <w:tab w:val="left" w:pos="6375"/>
              </w:tabs>
              <w:snapToGrid w:val="0"/>
              <w:spacing w:line="240" w:lineRule="auto"/>
              <w:rPr>
                <w:b/>
                <w:color w:val="000000"/>
              </w:rPr>
            </w:pPr>
            <w:r w:rsidRPr="00F25A60">
              <w:rPr>
                <w:b/>
                <w:color w:val="000000"/>
              </w:rPr>
              <w:t>Novotvary benigní, maligní, a blíže neurčené (zahrnující cysty a polypy)</w:t>
            </w:r>
          </w:p>
        </w:tc>
      </w:tr>
      <w:tr w:rsidR="00EA5993" w:rsidRPr="00F25A60" w14:paraId="71E73ABE" w14:textId="77777777" w:rsidTr="00EB4FF7">
        <w:trPr>
          <w:gridBefore w:val="1"/>
          <w:wBefore w:w="12" w:type="dxa"/>
          <w:cantSplit/>
        </w:trPr>
        <w:tc>
          <w:tcPr>
            <w:tcW w:w="2190" w:type="dxa"/>
            <w:tcBorders>
              <w:top w:val="single" w:sz="4" w:space="0" w:color="000000"/>
              <w:left w:val="single" w:sz="4" w:space="0" w:color="000000"/>
              <w:bottom w:val="single" w:sz="4" w:space="0" w:color="000000"/>
              <w:right w:val="single" w:sz="4" w:space="0" w:color="auto"/>
            </w:tcBorders>
          </w:tcPr>
          <w:p w14:paraId="0ED04A9C" w14:textId="77777777" w:rsidR="00EA5993" w:rsidRPr="00F25A60" w:rsidRDefault="00EA5993" w:rsidP="0048111F">
            <w:pPr>
              <w:keepNext/>
              <w:tabs>
                <w:tab w:val="left" w:pos="6375"/>
              </w:tabs>
              <w:snapToGrid w:val="0"/>
              <w:spacing w:line="240" w:lineRule="auto"/>
              <w:rPr>
                <w:bCs/>
                <w:i/>
                <w:color w:val="000000"/>
              </w:rPr>
            </w:pPr>
            <w:r w:rsidRPr="00F25A60">
              <w:rPr>
                <w:bCs/>
                <w:i/>
                <w:color w:val="000000"/>
              </w:rPr>
              <w:t>Vzácné:</w:t>
            </w:r>
          </w:p>
        </w:tc>
        <w:tc>
          <w:tcPr>
            <w:tcW w:w="7152" w:type="dxa"/>
            <w:gridSpan w:val="4"/>
            <w:tcBorders>
              <w:top w:val="single" w:sz="4" w:space="0" w:color="000000"/>
              <w:left w:val="single" w:sz="4" w:space="0" w:color="auto"/>
              <w:bottom w:val="single" w:sz="4" w:space="0" w:color="000000"/>
              <w:right w:val="single" w:sz="4" w:space="0" w:color="000000"/>
            </w:tcBorders>
          </w:tcPr>
          <w:p w14:paraId="67CB00B6" w14:textId="77777777" w:rsidR="00EA5993" w:rsidRPr="00F25A60" w:rsidRDefault="00EA5993" w:rsidP="0048111F">
            <w:pPr>
              <w:keepNext/>
              <w:tabs>
                <w:tab w:val="left" w:pos="6375"/>
              </w:tabs>
              <w:snapToGrid w:val="0"/>
              <w:spacing w:line="240" w:lineRule="auto"/>
              <w:rPr>
                <w:bCs/>
                <w:color w:val="000000"/>
              </w:rPr>
            </w:pPr>
            <w:r w:rsidRPr="00F25A60">
              <w:rPr>
                <w:bCs/>
                <w:color w:val="000000"/>
              </w:rPr>
              <w:t>Syndrom nádorového rozpadu</w:t>
            </w:r>
          </w:p>
        </w:tc>
      </w:tr>
      <w:tr w:rsidR="005E2891" w:rsidRPr="00F25A60" w14:paraId="05D23891" w14:textId="77777777" w:rsidTr="00EB4FF7">
        <w:trPr>
          <w:gridBefore w:val="1"/>
          <w:wBefore w:w="12" w:type="dxa"/>
          <w:cantSplit/>
        </w:trPr>
        <w:tc>
          <w:tcPr>
            <w:tcW w:w="2190" w:type="dxa"/>
            <w:tcBorders>
              <w:top w:val="single" w:sz="4" w:space="0" w:color="000000"/>
              <w:left w:val="single" w:sz="4" w:space="0" w:color="000000"/>
              <w:bottom w:val="single" w:sz="4" w:space="0" w:color="000000"/>
              <w:right w:val="single" w:sz="4" w:space="0" w:color="auto"/>
            </w:tcBorders>
          </w:tcPr>
          <w:p w14:paraId="4EC56D7B" w14:textId="77777777" w:rsidR="005E2891" w:rsidRPr="00F25A60" w:rsidRDefault="005E2891" w:rsidP="0048111F">
            <w:pPr>
              <w:tabs>
                <w:tab w:val="left" w:pos="6375"/>
              </w:tabs>
              <w:snapToGrid w:val="0"/>
              <w:spacing w:line="240" w:lineRule="auto"/>
              <w:rPr>
                <w:bCs/>
                <w:i/>
                <w:color w:val="000000"/>
              </w:rPr>
            </w:pPr>
            <w:r w:rsidRPr="00F25A60">
              <w:rPr>
                <w:bCs/>
                <w:i/>
                <w:color w:val="000000"/>
              </w:rPr>
              <w:t>Není známo:</w:t>
            </w:r>
          </w:p>
        </w:tc>
        <w:tc>
          <w:tcPr>
            <w:tcW w:w="7152" w:type="dxa"/>
            <w:gridSpan w:val="4"/>
            <w:tcBorders>
              <w:top w:val="single" w:sz="4" w:space="0" w:color="000000"/>
              <w:left w:val="single" w:sz="4" w:space="0" w:color="auto"/>
              <w:bottom w:val="single" w:sz="4" w:space="0" w:color="000000"/>
              <w:right w:val="single" w:sz="4" w:space="0" w:color="000000"/>
            </w:tcBorders>
          </w:tcPr>
          <w:p w14:paraId="0705D53D" w14:textId="77777777" w:rsidR="005E2891" w:rsidRPr="00F25A60" w:rsidRDefault="005E2891" w:rsidP="0048111F">
            <w:pPr>
              <w:tabs>
                <w:tab w:val="left" w:pos="6375"/>
              </w:tabs>
              <w:snapToGrid w:val="0"/>
              <w:spacing w:line="240" w:lineRule="auto"/>
              <w:rPr>
                <w:bCs/>
                <w:color w:val="000000"/>
              </w:rPr>
            </w:pPr>
            <w:r w:rsidRPr="00F25A60">
              <w:rPr>
                <w:color w:val="000000"/>
              </w:rPr>
              <w:t>Krvácení do tumoru/nekróza tumoru*</w:t>
            </w:r>
          </w:p>
        </w:tc>
      </w:tr>
      <w:tr w:rsidR="005E2891" w:rsidRPr="00F25A60" w14:paraId="1E09F1F7" w14:textId="77777777" w:rsidTr="00EB4F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9354" w:type="dxa"/>
            <w:gridSpan w:val="6"/>
          </w:tcPr>
          <w:p w14:paraId="6CD0B703" w14:textId="77777777" w:rsidR="005E2891" w:rsidRPr="00F25A60" w:rsidRDefault="005E2891" w:rsidP="0048111F">
            <w:pPr>
              <w:keepNext/>
              <w:spacing w:line="240" w:lineRule="auto"/>
              <w:rPr>
                <w:b/>
                <w:color w:val="000000"/>
              </w:rPr>
            </w:pPr>
            <w:r w:rsidRPr="00F25A60">
              <w:rPr>
                <w:b/>
                <w:color w:val="000000"/>
              </w:rPr>
              <w:t>Poruchy imunitního systému</w:t>
            </w:r>
          </w:p>
        </w:tc>
      </w:tr>
      <w:tr w:rsidR="005E2891" w:rsidRPr="00F25A60" w14:paraId="3BF5D527" w14:textId="77777777" w:rsidTr="00EB4F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2240" w:type="dxa"/>
            <w:gridSpan w:val="4"/>
          </w:tcPr>
          <w:p w14:paraId="7E945E94" w14:textId="77777777" w:rsidR="005E2891" w:rsidRPr="00F25A60" w:rsidRDefault="005E2891" w:rsidP="0048111F">
            <w:pPr>
              <w:spacing w:line="240" w:lineRule="auto"/>
              <w:rPr>
                <w:i/>
                <w:color w:val="000000"/>
              </w:rPr>
            </w:pPr>
            <w:r w:rsidRPr="00F25A60">
              <w:rPr>
                <w:bCs/>
                <w:i/>
                <w:color w:val="000000"/>
              </w:rPr>
              <w:t>Není známo:</w:t>
            </w:r>
          </w:p>
        </w:tc>
        <w:tc>
          <w:tcPr>
            <w:tcW w:w="7114" w:type="dxa"/>
            <w:gridSpan w:val="2"/>
          </w:tcPr>
          <w:p w14:paraId="1CFD4968" w14:textId="77777777" w:rsidR="005E2891" w:rsidRPr="00F25A60" w:rsidRDefault="005E2891" w:rsidP="0048111F">
            <w:pPr>
              <w:spacing w:line="240" w:lineRule="auto"/>
              <w:rPr>
                <w:color w:val="000000"/>
              </w:rPr>
            </w:pPr>
            <w:r w:rsidRPr="00F25A60">
              <w:rPr>
                <w:color w:val="000000"/>
              </w:rPr>
              <w:t>Anafylaktický šok*</w:t>
            </w:r>
          </w:p>
        </w:tc>
      </w:tr>
      <w:tr w:rsidR="005E2891" w:rsidRPr="00F25A60" w14:paraId="31A646A3" w14:textId="77777777" w:rsidTr="00EB4FF7">
        <w:trPr>
          <w:gridBefore w:val="1"/>
          <w:wBefore w:w="12" w:type="dxa"/>
          <w:cantSplit/>
        </w:trPr>
        <w:tc>
          <w:tcPr>
            <w:tcW w:w="9342" w:type="dxa"/>
            <w:gridSpan w:val="5"/>
            <w:tcBorders>
              <w:top w:val="single" w:sz="4" w:space="0" w:color="000000"/>
              <w:left w:val="single" w:sz="4" w:space="0" w:color="000000"/>
              <w:bottom w:val="single" w:sz="4" w:space="0" w:color="000000"/>
              <w:right w:val="single" w:sz="4" w:space="0" w:color="000000"/>
            </w:tcBorders>
          </w:tcPr>
          <w:p w14:paraId="60FEFFC0" w14:textId="77777777" w:rsidR="005E2891" w:rsidRPr="00F25A60" w:rsidRDefault="005E2891" w:rsidP="0048111F">
            <w:pPr>
              <w:keepNext/>
              <w:tabs>
                <w:tab w:val="left" w:pos="6375"/>
              </w:tabs>
              <w:snapToGrid w:val="0"/>
              <w:spacing w:line="240" w:lineRule="auto"/>
              <w:rPr>
                <w:b/>
                <w:bCs/>
                <w:color w:val="000000"/>
              </w:rPr>
            </w:pPr>
            <w:r w:rsidRPr="00F25A60">
              <w:rPr>
                <w:b/>
                <w:bCs/>
                <w:color w:val="000000"/>
              </w:rPr>
              <w:t>Poruchy krve a lymfatického systému</w:t>
            </w:r>
          </w:p>
        </w:tc>
      </w:tr>
      <w:tr w:rsidR="005E2891" w:rsidRPr="00F25A60" w14:paraId="5B006B7F"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52F0A58B" w14:textId="77777777" w:rsidR="005E2891" w:rsidRPr="00F25A60" w:rsidRDefault="005E2891" w:rsidP="0048111F">
            <w:pPr>
              <w:keepNext/>
              <w:snapToGrid w:val="0"/>
              <w:spacing w:line="240" w:lineRule="auto"/>
              <w:rPr>
                <w:i/>
                <w:iCs/>
                <w:color w:val="000000"/>
              </w:rPr>
            </w:pPr>
            <w:r w:rsidRPr="00F25A60">
              <w:rPr>
                <w:i/>
                <w:iCs/>
                <w:color w:val="000000"/>
              </w:rPr>
              <w:t>Velmi časté:</w:t>
            </w:r>
          </w:p>
        </w:tc>
        <w:tc>
          <w:tcPr>
            <w:tcW w:w="7107" w:type="dxa"/>
            <w:tcBorders>
              <w:top w:val="single" w:sz="4" w:space="0" w:color="000000"/>
              <w:left w:val="single" w:sz="4" w:space="0" w:color="000000"/>
              <w:bottom w:val="single" w:sz="4" w:space="0" w:color="000000"/>
              <w:right w:val="single" w:sz="4" w:space="0" w:color="000000"/>
            </w:tcBorders>
          </w:tcPr>
          <w:p w14:paraId="750BA686" w14:textId="77777777" w:rsidR="005E2891" w:rsidRPr="00F25A60" w:rsidRDefault="005E2891" w:rsidP="0048111F">
            <w:pPr>
              <w:keepNext/>
              <w:snapToGrid w:val="0"/>
              <w:spacing w:line="240" w:lineRule="auto"/>
              <w:rPr>
                <w:color w:val="000000"/>
              </w:rPr>
            </w:pPr>
            <w:r w:rsidRPr="00F25A60">
              <w:rPr>
                <w:color w:val="000000"/>
              </w:rPr>
              <w:t>Neutropenie, trombocytopenie, anemie</w:t>
            </w:r>
          </w:p>
        </w:tc>
      </w:tr>
      <w:tr w:rsidR="005E2891" w:rsidRPr="00F25A60" w14:paraId="5A8A951D"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3A28DB0D" w14:textId="77777777" w:rsidR="005E2891" w:rsidRPr="00F25A60" w:rsidRDefault="005E2891" w:rsidP="0048111F">
            <w:pPr>
              <w:keepNext/>
              <w:snapToGrid w:val="0"/>
              <w:spacing w:line="240" w:lineRule="auto"/>
              <w:rPr>
                <w:i/>
                <w:iCs/>
                <w:color w:val="000000"/>
              </w:rPr>
            </w:pPr>
            <w:r w:rsidRPr="00F25A60">
              <w:rPr>
                <w:i/>
                <w:iCs/>
                <w:color w:val="000000"/>
              </w:rPr>
              <w:t>Ćasté:</w:t>
            </w:r>
          </w:p>
        </w:tc>
        <w:tc>
          <w:tcPr>
            <w:tcW w:w="7107" w:type="dxa"/>
            <w:tcBorders>
              <w:top w:val="single" w:sz="4" w:space="0" w:color="000000"/>
              <w:left w:val="single" w:sz="4" w:space="0" w:color="000000"/>
              <w:bottom w:val="single" w:sz="4" w:space="0" w:color="000000"/>
              <w:right w:val="single" w:sz="4" w:space="0" w:color="000000"/>
            </w:tcBorders>
          </w:tcPr>
          <w:p w14:paraId="4C685B7C" w14:textId="77777777" w:rsidR="005E2891" w:rsidRPr="00F25A60" w:rsidRDefault="005E2891" w:rsidP="0048111F">
            <w:pPr>
              <w:keepNext/>
              <w:snapToGrid w:val="0"/>
              <w:spacing w:line="240" w:lineRule="auto"/>
              <w:rPr>
                <w:color w:val="000000"/>
              </w:rPr>
            </w:pPr>
            <w:r w:rsidRPr="00F25A60">
              <w:rPr>
                <w:color w:val="000000"/>
              </w:rPr>
              <w:t>Pancytopenie, febrilní neutropenie</w:t>
            </w:r>
          </w:p>
        </w:tc>
      </w:tr>
      <w:tr w:rsidR="005E2891" w:rsidRPr="00F25A60" w14:paraId="31BD27E4"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1187570C" w14:textId="77777777" w:rsidR="005E2891" w:rsidRPr="00F25A60" w:rsidRDefault="005E2891" w:rsidP="0048111F">
            <w:pPr>
              <w:keepNext/>
              <w:snapToGrid w:val="0"/>
              <w:spacing w:line="240" w:lineRule="auto"/>
              <w:rPr>
                <w:i/>
                <w:iCs/>
                <w:color w:val="000000"/>
              </w:rPr>
            </w:pPr>
            <w:r w:rsidRPr="00F25A60">
              <w:rPr>
                <w:i/>
                <w:iCs/>
                <w:color w:val="000000"/>
              </w:rPr>
              <w:t>Méně časté:</w:t>
            </w:r>
          </w:p>
        </w:tc>
        <w:tc>
          <w:tcPr>
            <w:tcW w:w="7107" w:type="dxa"/>
            <w:tcBorders>
              <w:top w:val="single" w:sz="4" w:space="0" w:color="000000"/>
              <w:left w:val="single" w:sz="4" w:space="0" w:color="000000"/>
              <w:bottom w:val="single" w:sz="4" w:space="0" w:color="000000"/>
              <w:right w:val="single" w:sz="4" w:space="0" w:color="000000"/>
            </w:tcBorders>
          </w:tcPr>
          <w:p w14:paraId="10233537" w14:textId="77777777" w:rsidR="005E2891" w:rsidRPr="00F25A60" w:rsidRDefault="005E2891" w:rsidP="0048111F">
            <w:pPr>
              <w:keepNext/>
              <w:snapToGrid w:val="0"/>
              <w:spacing w:line="240" w:lineRule="auto"/>
              <w:rPr>
                <w:color w:val="000000"/>
              </w:rPr>
            </w:pPr>
            <w:r w:rsidRPr="00F25A60">
              <w:rPr>
                <w:color w:val="000000"/>
              </w:rPr>
              <w:t>Trombocytemie, lymfopenie, útlum kostní dřeně, eozinofilie, lymfadenopatie</w:t>
            </w:r>
          </w:p>
        </w:tc>
      </w:tr>
      <w:tr w:rsidR="005E2891" w:rsidRPr="00F25A60" w14:paraId="5FB1734B"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40B03669" w14:textId="77777777" w:rsidR="005E2891" w:rsidRPr="00F25A60" w:rsidRDefault="005E2891" w:rsidP="0048111F">
            <w:pPr>
              <w:snapToGrid w:val="0"/>
              <w:spacing w:line="240" w:lineRule="auto"/>
              <w:rPr>
                <w:i/>
                <w:iCs/>
                <w:color w:val="000000"/>
              </w:rPr>
            </w:pPr>
            <w:r w:rsidRPr="00F25A60">
              <w:rPr>
                <w:i/>
                <w:iCs/>
                <w:color w:val="000000"/>
              </w:rPr>
              <w:t>Vzácné:</w:t>
            </w:r>
          </w:p>
        </w:tc>
        <w:tc>
          <w:tcPr>
            <w:tcW w:w="7107" w:type="dxa"/>
            <w:tcBorders>
              <w:top w:val="single" w:sz="4" w:space="0" w:color="000000"/>
              <w:left w:val="single" w:sz="4" w:space="0" w:color="000000"/>
              <w:bottom w:val="single" w:sz="4" w:space="0" w:color="000000"/>
              <w:right w:val="single" w:sz="4" w:space="0" w:color="000000"/>
            </w:tcBorders>
          </w:tcPr>
          <w:p w14:paraId="43243927" w14:textId="77777777" w:rsidR="005E2891" w:rsidRPr="00F25A60" w:rsidRDefault="005E2891" w:rsidP="0048111F">
            <w:pPr>
              <w:snapToGrid w:val="0"/>
              <w:spacing w:line="240" w:lineRule="auto"/>
              <w:rPr>
                <w:color w:val="000000"/>
              </w:rPr>
            </w:pPr>
            <w:r w:rsidRPr="00F25A60">
              <w:rPr>
                <w:color w:val="000000"/>
              </w:rPr>
              <w:t>Hemolytická anemie</w:t>
            </w:r>
            <w:r w:rsidR="00E862C5" w:rsidRPr="00F25A60">
              <w:rPr>
                <w:color w:val="000000"/>
              </w:rPr>
              <w:t>, trombotická mikroangiopatie</w:t>
            </w:r>
          </w:p>
        </w:tc>
      </w:tr>
      <w:tr w:rsidR="005E2891" w:rsidRPr="00F25A60" w14:paraId="7AC4BD82" w14:textId="77777777" w:rsidTr="00EB4FF7">
        <w:trPr>
          <w:gridBefore w:val="1"/>
          <w:wBefore w:w="12" w:type="dxa"/>
          <w:cantSplit/>
        </w:trPr>
        <w:tc>
          <w:tcPr>
            <w:tcW w:w="9342" w:type="dxa"/>
            <w:gridSpan w:val="5"/>
            <w:tcBorders>
              <w:top w:val="single" w:sz="4" w:space="0" w:color="000000"/>
              <w:left w:val="single" w:sz="4" w:space="0" w:color="000000"/>
              <w:bottom w:val="single" w:sz="4" w:space="0" w:color="000000"/>
              <w:right w:val="single" w:sz="4" w:space="0" w:color="000000"/>
            </w:tcBorders>
          </w:tcPr>
          <w:p w14:paraId="35A0F431" w14:textId="77777777" w:rsidR="005E2891" w:rsidRPr="00F25A60" w:rsidRDefault="005E2891" w:rsidP="0048111F">
            <w:pPr>
              <w:keepNext/>
              <w:snapToGrid w:val="0"/>
              <w:spacing w:line="240" w:lineRule="auto"/>
              <w:rPr>
                <w:b/>
                <w:bCs/>
                <w:color w:val="000000"/>
              </w:rPr>
            </w:pPr>
            <w:r w:rsidRPr="00F25A60">
              <w:rPr>
                <w:b/>
                <w:bCs/>
                <w:color w:val="000000"/>
              </w:rPr>
              <w:t>Poruchy metabolismu a výživy</w:t>
            </w:r>
          </w:p>
        </w:tc>
      </w:tr>
      <w:tr w:rsidR="005E2891" w:rsidRPr="00F25A60" w14:paraId="231CA684"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68A72FE4" w14:textId="77777777" w:rsidR="005E2891" w:rsidRPr="00F25A60" w:rsidRDefault="005E2891" w:rsidP="0048111F">
            <w:pPr>
              <w:keepNext/>
              <w:snapToGrid w:val="0"/>
              <w:spacing w:line="240" w:lineRule="auto"/>
              <w:rPr>
                <w:i/>
                <w:iCs/>
                <w:color w:val="000000"/>
              </w:rPr>
            </w:pPr>
            <w:r w:rsidRPr="00F25A60">
              <w:rPr>
                <w:i/>
                <w:iCs/>
                <w:color w:val="000000"/>
              </w:rPr>
              <w:t>Časté:</w:t>
            </w:r>
          </w:p>
        </w:tc>
        <w:tc>
          <w:tcPr>
            <w:tcW w:w="7107" w:type="dxa"/>
            <w:tcBorders>
              <w:top w:val="single" w:sz="4" w:space="0" w:color="000000"/>
              <w:left w:val="single" w:sz="4" w:space="0" w:color="000000"/>
              <w:bottom w:val="single" w:sz="4" w:space="0" w:color="000000"/>
              <w:right w:val="single" w:sz="4" w:space="0" w:color="000000"/>
            </w:tcBorders>
          </w:tcPr>
          <w:p w14:paraId="70E52DD8" w14:textId="77777777" w:rsidR="005E2891" w:rsidRPr="00F25A60" w:rsidRDefault="005E2891" w:rsidP="0048111F">
            <w:pPr>
              <w:keepNext/>
              <w:snapToGrid w:val="0"/>
              <w:spacing w:line="240" w:lineRule="auto"/>
              <w:rPr>
                <w:color w:val="000000"/>
              </w:rPr>
            </w:pPr>
            <w:r w:rsidRPr="00F25A60">
              <w:rPr>
                <w:color w:val="000000"/>
              </w:rPr>
              <w:t>Anorexie</w:t>
            </w:r>
          </w:p>
        </w:tc>
      </w:tr>
      <w:tr w:rsidR="005E2891" w:rsidRPr="00F25A60" w14:paraId="5148474E"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1D2CD0ED" w14:textId="77777777" w:rsidR="005E2891" w:rsidRPr="00F25A60" w:rsidRDefault="005E2891" w:rsidP="0048111F">
            <w:pPr>
              <w:keepNext/>
              <w:snapToGrid w:val="0"/>
              <w:spacing w:line="240" w:lineRule="auto"/>
              <w:rPr>
                <w:i/>
                <w:iCs/>
                <w:color w:val="000000"/>
              </w:rPr>
            </w:pPr>
            <w:r w:rsidRPr="00F25A60">
              <w:rPr>
                <w:i/>
                <w:iCs/>
                <w:color w:val="000000"/>
              </w:rPr>
              <w:t>Méně časté:</w:t>
            </w:r>
          </w:p>
        </w:tc>
        <w:tc>
          <w:tcPr>
            <w:tcW w:w="7107" w:type="dxa"/>
            <w:tcBorders>
              <w:top w:val="single" w:sz="4" w:space="0" w:color="000000"/>
              <w:left w:val="single" w:sz="4" w:space="0" w:color="000000"/>
              <w:bottom w:val="single" w:sz="4" w:space="0" w:color="000000"/>
              <w:right w:val="single" w:sz="4" w:space="0" w:color="000000"/>
            </w:tcBorders>
          </w:tcPr>
          <w:p w14:paraId="5B57C5B3" w14:textId="77777777" w:rsidR="005E2891" w:rsidRPr="00F25A60" w:rsidRDefault="005E2891" w:rsidP="0048111F">
            <w:pPr>
              <w:keepNext/>
              <w:snapToGrid w:val="0"/>
              <w:spacing w:line="240" w:lineRule="auto"/>
              <w:rPr>
                <w:color w:val="000000"/>
              </w:rPr>
            </w:pPr>
            <w:r w:rsidRPr="00F25A60">
              <w:rPr>
                <w:color w:val="000000"/>
              </w:rPr>
              <w:t>Hypokalemie, zvýšená chuť k jídlu, hypofosfatemie, snížená chuť k jídlu, dehydratace, dna, hyperurikemie, hyperkalcemie, hyperglykemie, hyponatremie</w:t>
            </w:r>
          </w:p>
        </w:tc>
      </w:tr>
      <w:tr w:rsidR="005E2891" w:rsidRPr="00F25A60" w14:paraId="62755A7C"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5CE46F06" w14:textId="77777777" w:rsidR="005E2891" w:rsidRPr="00F25A60" w:rsidRDefault="005E2891" w:rsidP="0048111F">
            <w:pPr>
              <w:snapToGrid w:val="0"/>
              <w:spacing w:line="240" w:lineRule="auto"/>
              <w:rPr>
                <w:i/>
                <w:iCs/>
                <w:color w:val="000000"/>
              </w:rPr>
            </w:pPr>
            <w:r w:rsidRPr="00F25A60">
              <w:rPr>
                <w:i/>
                <w:iCs/>
                <w:color w:val="000000"/>
              </w:rPr>
              <w:t>Vzácné:</w:t>
            </w:r>
          </w:p>
        </w:tc>
        <w:tc>
          <w:tcPr>
            <w:tcW w:w="7107" w:type="dxa"/>
            <w:tcBorders>
              <w:top w:val="single" w:sz="4" w:space="0" w:color="000000"/>
              <w:left w:val="single" w:sz="4" w:space="0" w:color="000000"/>
              <w:bottom w:val="single" w:sz="4" w:space="0" w:color="000000"/>
              <w:right w:val="single" w:sz="4" w:space="0" w:color="000000"/>
            </w:tcBorders>
          </w:tcPr>
          <w:p w14:paraId="42842467" w14:textId="77777777" w:rsidR="005E2891" w:rsidRPr="00F25A60" w:rsidRDefault="005E2891" w:rsidP="0048111F">
            <w:pPr>
              <w:snapToGrid w:val="0"/>
              <w:spacing w:line="240" w:lineRule="auto"/>
              <w:rPr>
                <w:color w:val="000000"/>
              </w:rPr>
            </w:pPr>
            <w:r w:rsidRPr="00F25A60">
              <w:rPr>
                <w:color w:val="000000"/>
              </w:rPr>
              <w:t>Hyperkalemie, hypomagnez</w:t>
            </w:r>
            <w:r w:rsidR="004C6D93" w:rsidRPr="00F25A60">
              <w:rPr>
                <w:color w:val="000000"/>
              </w:rPr>
              <w:t>e</w:t>
            </w:r>
            <w:r w:rsidRPr="00F25A60">
              <w:rPr>
                <w:color w:val="000000"/>
              </w:rPr>
              <w:t>mie</w:t>
            </w:r>
          </w:p>
        </w:tc>
      </w:tr>
      <w:tr w:rsidR="005E2891" w:rsidRPr="00F25A60" w14:paraId="37E531BE" w14:textId="77777777" w:rsidTr="00EB4FF7">
        <w:trPr>
          <w:gridBefore w:val="1"/>
          <w:wBefore w:w="12" w:type="dxa"/>
          <w:cantSplit/>
        </w:trPr>
        <w:tc>
          <w:tcPr>
            <w:tcW w:w="9342" w:type="dxa"/>
            <w:gridSpan w:val="5"/>
            <w:tcBorders>
              <w:top w:val="single" w:sz="4" w:space="0" w:color="000000"/>
              <w:left w:val="single" w:sz="4" w:space="0" w:color="000000"/>
              <w:bottom w:val="single" w:sz="4" w:space="0" w:color="000000"/>
              <w:right w:val="single" w:sz="4" w:space="0" w:color="000000"/>
            </w:tcBorders>
          </w:tcPr>
          <w:p w14:paraId="4B1D236F" w14:textId="77777777" w:rsidR="005E2891" w:rsidRPr="00F25A60" w:rsidRDefault="005E2891" w:rsidP="0048111F">
            <w:pPr>
              <w:keepNext/>
              <w:snapToGrid w:val="0"/>
              <w:spacing w:line="240" w:lineRule="auto"/>
              <w:rPr>
                <w:b/>
                <w:bCs/>
                <w:color w:val="000000"/>
              </w:rPr>
            </w:pPr>
            <w:r w:rsidRPr="00F25A60">
              <w:rPr>
                <w:b/>
                <w:bCs/>
                <w:color w:val="000000"/>
              </w:rPr>
              <w:t>Psychiatrické poruchy</w:t>
            </w:r>
          </w:p>
        </w:tc>
      </w:tr>
      <w:tr w:rsidR="005E2891" w:rsidRPr="00F25A60" w14:paraId="629417B7"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6EB20662" w14:textId="77777777" w:rsidR="005E2891" w:rsidRPr="00F25A60" w:rsidRDefault="005E2891" w:rsidP="0048111F">
            <w:pPr>
              <w:keepNext/>
              <w:snapToGrid w:val="0"/>
              <w:spacing w:line="240" w:lineRule="auto"/>
              <w:rPr>
                <w:i/>
                <w:iCs/>
                <w:color w:val="000000"/>
              </w:rPr>
            </w:pPr>
            <w:r w:rsidRPr="00F25A60">
              <w:rPr>
                <w:i/>
                <w:iCs/>
                <w:color w:val="000000"/>
              </w:rPr>
              <w:t>Časté:</w:t>
            </w:r>
          </w:p>
        </w:tc>
        <w:tc>
          <w:tcPr>
            <w:tcW w:w="7107" w:type="dxa"/>
            <w:tcBorders>
              <w:top w:val="single" w:sz="4" w:space="0" w:color="000000"/>
              <w:left w:val="single" w:sz="4" w:space="0" w:color="000000"/>
              <w:bottom w:val="single" w:sz="4" w:space="0" w:color="000000"/>
              <w:right w:val="single" w:sz="4" w:space="0" w:color="000000"/>
            </w:tcBorders>
          </w:tcPr>
          <w:p w14:paraId="3EABDEEE" w14:textId="77777777" w:rsidR="005E2891" w:rsidRPr="00F25A60" w:rsidRDefault="004C6D93" w:rsidP="0048111F">
            <w:pPr>
              <w:keepNext/>
              <w:snapToGrid w:val="0"/>
              <w:spacing w:line="240" w:lineRule="auto"/>
              <w:rPr>
                <w:color w:val="000000"/>
              </w:rPr>
            </w:pPr>
            <w:r w:rsidRPr="00F25A60">
              <w:rPr>
                <w:color w:val="000000"/>
              </w:rPr>
              <w:t>Insomnie</w:t>
            </w:r>
          </w:p>
        </w:tc>
      </w:tr>
      <w:tr w:rsidR="005E2891" w:rsidRPr="00F25A60" w14:paraId="4BA784D1"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665EBDB7" w14:textId="77777777" w:rsidR="005E2891" w:rsidRPr="00F25A60" w:rsidRDefault="005E2891" w:rsidP="0048111F">
            <w:pPr>
              <w:keepNext/>
              <w:snapToGrid w:val="0"/>
              <w:spacing w:line="240" w:lineRule="auto"/>
              <w:rPr>
                <w:i/>
                <w:iCs/>
                <w:color w:val="000000"/>
              </w:rPr>
            </w:pPr>
            <w:r w:rsidRPr="00F25A60">
              <w:rPr>
                <w:i/>
                <w:iCs/>
                <w:color w:val="000000"/>
              </w:rPr>
              <w:t>Méně časté:</w:t>
            </w:r>
          </w:p>
        </w:tc>
        <w:tc>
          <w:tcPr>
            <w:tcW w:w="7107" w:type="dxa"/>
            <w:tcBorders>
              <w:top w:val="single" w:sz="4" w:space="0" w:color="000000"/>
              <w:left w:val="single" w:sz="4" w:space="0" w:color="000000"/>
              <w:bottom w:val="single" w:sz="4" w:space="0" w:color="000000"/>
              <w:right w:val="single" w:sz="4" w:space="0" w:color="000000"/>
            </w:tcBorders>
          </w:tcPr>
          <w:p w14:paraId="5BA10772" w14:textId="77777777" w:rsidR="005E2891" w:rsidRPr="00F25A60" w:rsidRDefault="005E2891" w:rsidP="0048111F">
            <w:pPr>
              <w:keepNext/>
              <w:snapToGrid w:val="0"/>
              <w:spacing w:line="240" w:lineRule="auto"/>
              <w:rPr>
                <w:color w:val="000000"/>
              </w:rPr>
            </w:pPr>
            <w:r w:rsidRPr="00F25A60">
              <w:rPr>
                <w:color w:val="000000"/>
              </w:rPr>
              <w:t>Deprese, snížení libida, úzkost</w:t>
            </w:r>
          </w:p>
        </w:tc>
      </w:tr>
      <w:tr w:rsidR="005E2891" w:rsidRPr="00F25A60" w14:paraId="4890939C"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749F2F0C" w14:textId="77777777" w:rsidR="005E2891" w:rsidRPr="00F25A60" w:rsidRDefault="005E2891" w:rsidP="0048111F">
            <w:pPr>
              <w:snapToGrid w:val="0"/>
              <w:spacing w:line="240" w:lineRule="auto"/>
              <w:rPr>
                <w:i/>
                <w:iCs/>
                <w:color w:val="000000"/>
              </w:rPr>
            </w:pPr>
            <w:r w:rsidRPr="00F25A60">
              <w:rPr>
                <w:i/>
                <w:iCs/>
                <w:color w:val="000000"/>
              </w:rPr>
              <w:t>Vzácné:</w:t>
            </w:r>
          </w:p>
        </w:tc>
        <w:tc>
          <w:tcPr>
            <w:tcW w:w="7107" w:type="dxa"/>
            <w:tcBorders>
              <w:top w:val="single" w:sz="4" w:space="0" w:color="000000"/>
              <w:left w:val="single" w:sz="4" w:space="0" w:color="000000"/>
              <w:bottom w:val="single" w:sz="4" w:space="0" w:color="000000"/>
              <w:right w:val="single" w:sz="4" w:space="0" w:color="000000"/>
            </w:tcBorders>
          </w:tcPr>
          <w:p w14:paraId="19DCD97F" w14:textId="77777777" w:rsidR="005E2891" w:rsidRPr="00F25A60" w:rsidRDefault="005E2891" w:rsidP="0048111F">
            <w:pPr>
              <w:snapToGrid w:val="0"/>
              <w:spacing w:line="240" w:lineRule="auto"/>
              <w:rPr>
                <w:color w:val="000000"/>
              </w:rPr>
            </w:pPr>
            <w:r w:rsidRPr="00F25A60">
              <w:rPr>
                <w:color w:val="000000"/>
              </w:rPr>
              <w:t>Stav zmatenosti</w:t>
            </w:r>
          </w:p>
        </w:tc>
      </w:tr>
      <w:tr w:rsidR="005E2891" w:rsidRPr="00F25A60" w14:paraId="3B3D8CC5" w14:textId="77777777" w:rsidTr="00EB4FF7">
        <w:trPr>
          <w:gridBefore w:val="1"/>
          <w:wBefore w:w="12" w:type="dxa"/>
          <w:cantSplit/>
        </w:trPr>
        <w:tc>
          <w:tcPr>
            <w:tcW w:w="9342" w:type="dxa"/>
            <w:gridSpan w:val="5"/>
            <w:tcBorders>
              <w:top w:val="single" w:sz="4" w:space="0" w:color="000000"/>
              <w:left w:val="single" w:sz="4" w:space="0" w:color="000000"/>
              <w:bottom w:val="single" w:sz="4" w:space="0" w:color="000000"/>
              <w:right w:val="single" w:sz="4" w:space="0" w:color="000000"/>
            </w:tcBorders>
          </w:tcPr>
          <w:p w14:paraId="6D7BA388" w14:textId="77777777" w:rsidR="005E2891" w:rsidRPr="00F25A60" w:rsidRDefault="005E2891" w:rsidP="0048111F">
            <w:pPr>
              <w:keepNext/>
              <w:snapToGrid w:val="0"/>
              <w:spacing w:line="240" w:lineRule="auto"/>
              <w:rPr>
                <w:b/>
                <w:bCs/>
                <w:color w:val="000000"/>
              </w:rPr>
            </w:pPr>
            <w:r w:rsidRPr="00F25A60">
              <w:rPr>
                <w:b/>
                <w:bCs/>
                <w:color w:val="000000"/>
              </w:rPr>
              <w:t>Poruchy nervového systému</w:t>
            </w:r>
          </w:p>
        </w:tc>
      </w:tr>
      <w:tr w:rsidR="005E2891" w:rsidRPr="00F25A60" w14:paraId="1B5C0081"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434E3EDA" w14:textId="77777777" w:rsidR="005E2891" w:rsidRPr="00F25A60" w:rsidRDefault="005E2891" w:rsidP="0048111F">
            <w:pPr>
              <w:keepNext/>
              <w:snapToGrid w:val="0"/>
              <w:spacing w:line="240" w:lineRule="auto"/>
              <w:rPr>
                <w:i/>
                <w:iCs/>
                <w:color w:val="000000"/>
              </w:rPr>
            </w:pPr>
            <w:r w:rsidRPr="00F25A60">
              <w:rPr>
                <w:i/>
                <w:iCs/>
                <w:color w:val="000000"/>
              </w:rPr>
              <w:t>Velmi časté:</w:t>
            </w:r>
          </w:p>
        </w:tc>
        <w:tc>
          <w:tcPr>
            <w:tcW w:w="7107" w:type="dxa"/>
            <w:tcBorders>
              <w:top w:val="single" w:sz="4" w:space="0" w:color="000000"/>
              <w:left w:val="single" w:sz="4" w:space="0" w:color="000000"/>
              <w:bottom w:val="single" w:sz="4" w:space="0" w:color="000000"/>
              <w:right w:val="single" w:sz="4" w:space="0" w:color="000000"/>
            </w:tcBorders>
          </w:tcPr>
          <w:p w14:paraId="2BCE1081" w14:textId="77777777" w:rsidR="005E2891" w:rsidRPr="00F25A60" w:rsidRDefault="005E2891" w:rsidP="0048111F">
            <w:pPr>
              <w:keepNext/>
              <w:snapToGrid w:val="0"/>
              <w:spacing w:line="240" w:lineRule="auto"/>
              <w:rPr>
                <w:color w:val="000000"/>
                <w:vertAlign w:val="superscript"/>
              </w:rPr>
            </w:pPr>
            <w:r w:rsidRPr="00F25A60">
              <w:rPr>
                <w:color w:val="000000"/>
              </w:rPr>
              <w:t>Bolest hlavy</w:t>
            </w:r>
            <w:r w:rsidRPr="00F25A60">
              <w:rPr>
                <w:color w:val="000000"/>
                <w:vertAlign w:val="superscript"/>
              </w:rPr>
              <w:t>2</w:t>
            </w:r>
          </w:p>
        </w:tc>
      </w:tr>
      <w:tr w:rsidR="005E2891" w:rsidRPr="00F25A60" w14:paraId="6B7959FB"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338C0DF6" w14:textId="77777777" w:rsidR="005E2891" w:rsidRPr="00F25A60" w:rsidRDefault="005E2891" w:rsidP="0048111F">
            <w:pPr>
              <w:keepNext/>
              <w:snapToGrid w:val="0"/>
              <w:spacing w:line="240" w:lineRule="auto"/>
              <w:rPr>
                <w:i/>
                <w:iCs/>
                <w:color w:val="000000"/>
              </w:rPr>
            </w:pPr>
            <w:r w:rsidRPr="00F25A60">
              <w:rPr>
                <w:i/>
                <w:iCs/>
                <w:color w:val="000000"/>
              </w:rPr>
              <w:t>Časté:</w:t>
            </w:r>
          </w:p>
        </w:tc>
        <w:tc>
          <w:tcPr>
            <w:tcW w:w="7107" w:type="dxa"/>
            <w:tcBorders>
              <w:top w:val="single" w:sz="4" w:space="0" w:color="000000"/>
              <w:left w:val="single" w:sz="4" w:space="0" w:color="000000"/>
              <w:bottom w:val="single" w:sz="4" w:space="0" w:color="000000"/>
              <w:right w:val="single" w:sz="4" w:space="0" w:color="000000"/>
            </w:tcBorders>
          </w:tcPr>
          <w:p w14:paraId="1F005995" w14:textId="77777777" w:rsidR="005E2891" w:rsidRPr="00F25A60" w:rsidRDefault="005E2891" w:rsidP="0048111F">
            <w:pPr>
              <w:keepNext/>
              <w:snapToGrid w:val="0"/>
              <w:spacing w:line="240" w:lineRule="auto"/>
              <w:rPr>
                <w:color w:val="000000"/>
              </w:rPr>
            </w:pPr>
            <w:r w:rsidRPr="00F25A60">
              <w:rPr>
                <w:color w:val="000000"/>
              </w:rPr>
              <w:t>Závratě, parestezie, porucha chut</w:t>
            </w:r>
            <w:r w:rsidR="004C6D93" w:rsidRPr="00F25A60">
              <w:rPr>
                <w:color w:val="000000"/>
              </w:rPr>
              <w:t>i</w:t>
            </w:r>
            <w:r w:rsidRPr="00F25A60">
              <w:rPr>
                <w:color w:val="000000"/>
              </w:rPr>
              <w:t>, hypestezie</w:t>
            </w:r>
          </w:p>
        </w:tc>
      </w:tr>
      <w:tr w:rsidR="005E2891" w:rsidRPr="00F25A60" w14:paraId="643A0B66"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297DDC82" w14:textId="77777777" w:rsidR="005E2891" w:rsidRPr="00F25A60" w:rsidRDefault="005E2891" w:rsidP="0048111F">
            <w:pPr>
              <w:keepNext/>
              <w:snapToGrid w:val="0"/>
              <w:spacing w:line="240" w:lineRule="auto"/>
              <w:rPr>
                <w:i/>
                <w:iCs/>
                <w:color w:val="000000"/>
              </w:rPr>
            </w:pPr>
            <w:r w:rsidRPr="00F25A60">
              <w:rPr>
                <w:i/>
                <w:iCs/>
                <w:color w:val="000000"/>
              </w:rPr>
              <w:t>Méně časté:</w:t>
            </w:r>
          </w:p>
        </w:tc>
        <w:tc>
          <w:tcPr>
            <w:tcW w:w="7107" w:type="dxa"/>
            <w:tcBorders>
              <w:top w:val="single" w:sz="4" w:space="0" w:color="000000"/>
              <w:left w:val="single" w:sz="4" w:space="0" w:color="000000"/>
              <w:bottom w:val="single" w:sz="4" w:space="0" w:color="000000"/>
              <w:right w:val="single" w:sz="4" w:space="0" w:color="000000"/>
            </w:tcBorders>
          </w:tcPr>
          <w:p w14:paraId="5C813779" w14:textId="77777777" w:rsidR="005E2891" w:rsidRPr="00F25A60" w:rsidRDefault="005E2891" w:rsidP="0048111F">
            <w:pPr>
              <w:keepNext/>
              <w:snapToGrid w:val="0"/>
              <w:spacing w:line="240" w:lineRule="auto"/>
              <w:rPr>
                <w:color w:val="000000"/>
              </w:rPr>
            </w:pPr>
            <w:r w:rsidRPr="00F25A60">
              <w:rPr>
                <w:color w:val="000000"/>
              </w:rPr>
              <w:t xml:space="preserve">Migréna, somnolence, synkopa, periferní neuropatie, zhoršení paměti, ischias, syndrom neklidných nohou, </w:t>
            </w:r>
            <w:r w:rsidR="004C6D93" w:rsidRPr="00F25A60">
              <w:rPr>
                <w:color w:val="000000"/>
              </w:rPr>
              <w:t>tremor, cerebrální</w:t>
            </w:r>
            <w:r w:rsidRPr="00F25A60">
              <w:rPr>
                <w:color w:val="000000"/>
              </w:rPr>
              <w:t xml:space="preserve"> krvácení</w:t>
            </w:r>
          </w:p>
        </w:tc>
      </w:tr>
      <w:tr w:rsidR="005E2891" w:rsidRPr="00F25A60" w14:paraId="193C9559"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21D43E38" w14:textId="77777777" w:rsidR="005E2891" w:rsidRPr="00F25A60" w:rsidRDefault="005E2891" w:rsidP="0048111F">
            <w:pPr>
              <w:keepNext/>
              <w:snapToGrid w:val="0"/>
              <w:spacing w:line="240" w:lineRule="auto"/>
              <w:rPr>
                <w:i/>
                <w:iCs/>
                <w:color w:val="000000"/>
              </w:rPr>
            </w:pPr>
            <w:r w:rsidRPr="00F25A60">
              <w:rPr>
                <w:i/>
                <w:iCs/>
                <w:color w:val="000000"/>
              </w:rPr>
              <w:t>Vzácné:</w:t>
            </w:r>
          </w:p>
        </w:tc>
        <w:tc>
          <w:tcPr>
            <w:tcW w:w="7107" w:type="dxa"/>
            <w:tcBorders>
              <w:top w:val="single" w:sz="4" w:space="0" w:color="000000"/>
              <w:left w:val="single" w:sz="4" w:space="0" w:color="000000"/>
              <w:bottom w:val="single" w:sz="4" w:space="0" w:color="000000"/>
              <w:right w:val="single" w:sz="4" w:space="0" w:color="000000"/>
            </w:tcBorders>
          </w:tcPr>
          <w:p w14:paraId="6663AEFA" w14:textId="77777777" w:rsidR="005E2891" w:rsidRPr="00F25A60" w:rsidRDefault="005E2891" w:rsidP="0048111F">
            <w:pPr>
              <w:keepNext/>
              <w:snapToGrid w:val="0"/>
              <w:spacing w:line="240" w:lineRule="auto"/>
              <w:rPr>
                <w:color w:val="000000"/>
              </w:rPr>
            </w:pPr>
            <w:r w:rsidRPr="00F25A60">
              <w:rPr>
                <w:color w:val="000000"/>
              </w:rPr>
              <w:t xml:space="preserve">Zvýšený intrakraniální tlak, </w:t>
            </w:r>
            <w:r w:rsidR="004C6D93" w:rsidRPr="00F25A60">
              <w:rPr>
                <w:color w:val="000000"/>
              </w:rPr>
              <w:t>konvulze</w:t>
            </w:r>
            <w:r w:rsidRPr="00F25A60">
              <w:rPr>
                <w:color w:val="000000"/>
              </w:rPr>
              <w:t>, optická neuritida</w:t>
            </w:r>
          </w:p>
        </w:tc>
      </w:tr>
      <w:tr w:rsidR="005E2891" w:rsidRPr="00F25A60" w14:paraId="0D484CA6"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443A39B8" w14:textId="77777777" w:rsidR="005E2891" w:rsidRPr="00F25A60" w:rsidRDefault="005E2891" w:rsidP="0048111F">
            <w:pPr>
              <w:snapToGrid w:val="0"/>
              <w:spacing w:line="240" w:lineRule="auto"/>
              <w:rPr>
                <w:i/>
                <w:iCs/>
                <w:color w:val="000000"/>
              </w:rPr>
            </w:pPr>
            <w:r w:rsidRPr="00F25A60">
              <w:rPr>
                <w:i/>
                <w:iCs/>
                <w:color w:val="000000"/>
              </w:rPr>
              <w:t>Není známo:</w:t>
            </w:r>
          </w:p>
        </w:tc>
        <w:tc>
          <w:tcPr>
            <w:tcW w:w="7107" w:type="dxa"/>
            <w:tcBorders>
              <w:top w:val="single" w:sz="4" w:space="0" w:color="000000"/>
              <w:left w:val="single" w:sz="4" w:space="0" w:color="000000"/>
              <w:bottom w:val="single" w:sz="4" w:space="0" w:color="000000"/>
              <w:right w:val="single" w:sz="4" w:space="0" w:color="000000"/>
            </w:tcBorders>
          </w:tcPr>
          <w:p w14:paraId="08C51F24" w14:textId="77777777" w:rsidR="005E2891" w:rsidRPr="00F25A60" w:rsidRDefault="005E2891" w:rsidP="0048111F">
            <w:pPr>
              <w:snapToGrid w:val="0"/>
              <w:spacing w:line="240" w:lineRule="auto"/>
              <w:rPr>
                <w:color w:val="000000"/>
              </w:rPr>
            </w:pPr>
            <w:r w:rsidRPr="00F25A60">
              <w:rPr>
                <w:color w:val="000000"/>
              </w:rPr>
              <w:t>Cerebrální edém*</w:t>
            </w:r>
          </w:p>
        </w:tc>
      </w:tr>
      <w:tr w:rsidR="005E2891" w:rsidRPr="00F25A60" w14:paraId="0B71F521" w14:textId="77777777" w:rsidTr="00EB4FF7">
        <w:trPr>
          <w:gridBefore w:val="1"/>
          <w:wBefore w:w="12" w:type="dxa"/>
          <w:cantSplit/>
        </w:trPr>
        <w:tc>
          <w:tcPr>
            <w:tcW w:w="9342" w:type="dxa"/>
            <w:gridSpan w:val="5"/>
            <w:tcBorders>
              <w:top w:val="single" w:sz="4" w:space="0" w:color="000000"/>
              <w:left w:val="single" w:sz="4" w:space="0" w:color="000000"/>
              <w:bottom w:val="single" w:sz="4" w:space="0" w:color="000000"/>
              <w:right w:val="single" w:sz="4" w:space="0" w:color="000000"/>
            </w:tcBorders>
          </w:tcPr>
          <w:p w14:paraId="29B121FF" w14:textId="77777777" w:rsidR="005E2891" w:rsidRPr="00F25A60" w:rsidRDefault="005E2891" w:rsidP="0048111F">
            <w:pPr>
              <w:keepNext/>
              <w:snapToGrid w:val="0"/>
              <w:spacing w:line="240" w:lineRule="auto"/>
              <w:rPr>
                <w:i/>
                <w:iCs/>
                <w:color w:val="000000"/>
              </w:rPr>
            </w:pPr>
            <w:r w:rsidRPr="00F25A60">
              <w:rPr>
                <w:b/>
                <w:bCs/>
                <w:color w:val="000000"/>
              </w:rPr>
              <w:t>Poruchy oka</w:t>
            </w:r>
          </w:p>
        </w:tc>
      </w:tr>
      <w:tr w:rsidR="005E2891" w:rsidRPr="00F25A60" w14:paraId="4D9AFD15"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2DD59D06" w14:textId="77777777" w:rsidR="005E2891" w:rsidRPr="00F25A60" w:rsidRDefault="005E2891" w:rsidP="0048111F">
            <w:pPr>
              <w:keepNext/>
              <w:snapToGrid w:val="0"/>
              <w:spacing w:line="240" w:lineRule="auto"/>
              <w:rPr>
                <w:i/>
                <w:iCs/>
                <w:color w:val="000000"/>
              </w:rPr>
            </w:pPr>
            <w:r w:rsidRPr="00F25A60">
              <w:rPr>
                <w:i/>
                <w:iCs/>
                <w:color w:val="000000"/>
              </w:rPr>
              <w:t>Časté:</w:t>
            </w:r>
          </w:p>
        </w:tc>
        <w:tc>
          <w:tcPr>
            <w:tcW w:w="7107" w:type="dxa"/>
            <w:tcBorders>
              <w:top w:val="single" w:sz="4" w:space="0" w:color="000000"/>
              <w:left w:val="single" w:sz="4" w:space="0" w:color="000000"/>
              <w:bottom w:val="single" w:sz="4" w:space="0" w:color="000000"/>
              <w:right w:val="single" w:sz="4" w:space="0" w:color="000000"/>
            </w:tcBorders>
          </w:tcPr>
          <w:p w14:paraId="76F5C532" w14:textId="77777777" w:rsidR="005E2891" w:rsidRPr="00F25A60" w:rsidRDefault="005E2891" w:rsidP="0048111F">
            <w:pPr>
              <w:keepNext/>
              <w:snapToGrid w:val="0"/>
              <w:spacing w:line="240" w:lineRule="auto"/>
              <w:rPr>
                <w:color w:val="000000"/>
              </w:rPr>
            </w:pPr>
            <w:r w:rsidRPr="00F25A60">
              <w:rPr>
                <w:color w:val="000000"/>
              </w:rPr>
              <w:t>Otok očních víček, zvýšené slzení, krvácení do spojivky, konjunktivitida, syndrom suchého oka, rozmazané vidění</w:t>
            </w:r>
          </w:p>
        </w:tc>
      </w:tr>
      <w:tr w:rsidR="005E2891" w:rsidRPr="00F25A60" w14:paraId="5A39F0DA"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4DEBFA73" w14:textId="77777777" w:rsidR="005E2891" w:rsidRPr="00F25A60" w:rsidRDefault="005E2891" w:rsidP="0048111F">
            <w:pPr>
              <w:keepNext/>
              <w:snapToGrid w:val="0"/>
              <w:spacing w:line="240" w:lineRule="auto"/>
              <w:rPr>
                <w:i/>
                <w:iCs/>
                <w:color w:val="000000"/>
              </w:rPr>
            </w:pPr>
            <w:r w:rsidRPr="00F25A60">
              <w:rPr>
                <w:i/>
                <w:iCs/>
                <w:color w:val="000000"/>
              </w:rPr>
              <w:t>Méně časté:</w:t>
            </w:r>
          </w:p>
        </w:tc>
        <w:tc>
          <w:tcPr>
            <w:tcW w:w="7107" w:type="dxa"/>
            <w:tcBorders>
              <w:top w:val="single" w:sz="4" w:space="0" w:color="000000"/>
              <w:left w:val="single" w:sz="4" w:space="0" w:color="000000"/>
              <w:bottom w:val="single" w:sz="4" w:space="0" w:color="000000"/>
              <w:right w:val="single" w:sz="4" w:space="0" w:color="000000"/>
            </w:tcBorders>
          </w:tcPr>
          <w:p w14:paraId="70F3F63A" w14:textId="77777777" w:rsidR="005E2891" w:rsidRPr="00F25A60" w:rsidRDefault="005E2891" w:rsidP="0048111F">
            <w:pPr>
              <w:keepNext/>
              <w:snapToGrid w:val="0"/>
              <w:spacing w:line="240" w:lineRule="auto"/>
              <w:rPr>
                <w:color w:val="000000"/>
              </w:rPr>
            </w:pPr>
            <w:r w:rsidRPr="00F25A60">
              <w:rPr>
                <w:color w:val="000000"/>
              </w:rPr>
              <w:t xml:space="preserve">Podráždění očí, bolest očí, edém očnice, krvácení do </w:t>
            </w:r>
            <w:r w:rsidR="004C6D93" w:rsidRPr="00F25A60">
              <w:rPr>
                <w:color w:val="000000"/>
              </w:rPr>
              <w:t>skléry</w:t>
            </w:r>
            <w:r w:rsidRPr="00F25A60">
              <w:rPr>
                <w:color w:val="000000"/>
              </w:rPr>
              <w:t>, krvácení do sítnice, blefaritida, makulární edém</w:t>
            </w:r>
          </w:p>
        </w:tc>
      </w:tr>
      <w:tr w:rsidR="005E2891" w:rsidRPr="00F25A60" w14:paraId="072F6F8A"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7BD9B6AE" w14:textId="77777777" w:rsidR="005E2891" w:rsidRPr="00F25A60" w:rsidRDefault="005E2891" w:rsidP="0048111F">
            <w:pPr>
              <w:snapToGrid w:val="0"/>
              <w:spacing w:line="240" w:lineRule="auto"/>
              <w:rPr>
                <w:i/>
                <w:iCs/>
                <w:color w:val="000000"/>
              </w:rPr>
            </w:pPr>
            <w:r w:rsidRPr="00F25A60">
              <w:rPr>
                <w:i/>
                <w:iCs/>
                <w:color w:val="000000"/>
              </w:rPr>
              <w:t>Není známo:</w:t>
            </w:r>
          </w:p>
        </w:tc>
        <w:tc>
          <w:tcPr>
            <w:tcW w:w="7107" w:type="dxa"/>
            <w:tcBorders>
              <w:top w:val="single" w:sz="4" w:space="0" w:color="000000"/>
              <w:left w:val="single" w:sz="4" w:space="0" w:color="000000"/>
              <w:bottom w:val="single" w:sz="4" w:space="0" w:color="000000"/>
              <w:right w:val="single" w:sz="4" w:space="0" w:color="000000"/>
            </w:tcBorders>
          </w:tcPr>
          <w:p w14:paraId="6A422918" w14:textId="77777777" w:rsidR="005E2891" w:rsidRPr="00F25A60" w:rsidRDefault="005E2891" w:rsidP="0048111F">
            <w:pPr>
              <w:snapToGrid w:val="0"/>
              <w:spacing w:line="240" w:lineRule="auto"/>
              <w:rPr>
                <w:color w:val="000000"/>
              </w:rPr>
            </w:pPr>
            <w:r w:rsidRPr="00F25A60">
              <w:rPr>
                <w:color w:val="000000"/>
              </w:rPr>
              <w:t>Krvácení do sklivce*</w:t>
            </w:r>
          </w:p>
        </w:tc>
      </w:tr>
      <w:tr w:rsidR="005E2891" w:rsidRPr="00F25A60" w14:paraId="645A3C29" w14:textId="77777777" w:rsidTr="00EB4FF7">
        <w:trPr>
          <w:gridBefore w:val="1"/>
          <w:wBefore w:w="12" w:type="dxa"/>
          <w:cantSplit/>
        </w:trPr>
        <w:tc>
          <w:tcPr>
            <w:tcW w:w="9342" w:type="dxa"/>
            <w:gridSpan w:val="5"/>
            <w:tcBorders>
              <w:top w:val="single" w:sz="4" w:space="0" w:color="000000"/>
              <w:left w:val="single" w:sz="4" w:space="0" w:color="000000"/>
              <w:bottom w:val="single" w:sz="4" w:space="0" w:color="000000"/>
              <w:right w:val="single" w:sz="4" w:space="0" w:color="000000"/>
            </w:tcBorders>
          </w:tcPr>
          <w:p w14:paraId="41D6B13D" w14:textId="77777777" w:rsidR="005E2891" w:rsidRPr="00F25A60" w:rsidRDefault="005E2891" w:rsidP="0048111F">
            <w:pPr>
              <w:keepNext/>
              <w:snapToGrid w:val="0"/>
              <w:spacing w:line="240" w:lineRule="auto"/>
              <w:rPr>
                <w:i/>
                <w:iCs/>
                <w:color w:val="000000"/>
              </w:rPr>
            </w:pPr>
            <w:r w:rsidRPr="00F25A60">
              <w:rPr>
                <w:b/>
                <w:bCs/>
                <w:color w:val="000000"/>
              </w:rPr>
              <w:t>Poruchy ucha a labyrintu</w:t>
            </w:r>
          </w:p>
        </w:tc>
      </w:tr>
      <w:tr w:rsidR="005E2891" w:rsidRPr="00F25A60" w14:paraId="1A82AA88"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74C2EA47" w14:textId="77777777" w:rsidR="005E2891" w:rsidRPr="00F25A60" w:rsidRDefault="005E2891" w:rsidP="0048111F">
            <w:pPr>
              <w:snapToGrid w:val="0"/>
              <w:spacing w:line="240" w:lineRule="auto"/>
              <w:rPr>
                <w:i/>
                <w:iCs/>
                <w:color w:val="000000"/>
              </w:rPr>
            </w:pPr>
            <w:r w:rsidRPr="00F25A60">
              <w:rPr>
                <w:i/>
                <w:iCs/>
                <w:color w:val="000000"/>
              </w:rPr>
              <w:t>Méně časté:</w:t>
            </w:r>
          </w:p>
        </w:tc>
        <w:tc>
          <w:tcPr>
            <w:tcW w:w="7107" w:type="dxa"/>
            <w:tcBorders>
              <w:top w:val="single" w:sz="4" w:space="0" w:color="000000"/>
              <w:left w:val="single" w:sz="4" w:space="0" w:color="000000"/>
              <w:bottom w:val="single" w:sz="4" w:space="0" w:color="000000"/>
              <w:right w:val="single" w:sz="4" w:space="0" w:color="000000"/>
            </w:tcBorders>
          </w:tcPr>
          <w:p w14:paraId="74A28985" w14:textId="77777777" w:rsidR="005E2891" w:rsidRPr="00F25A60" w:rsidRDefault="005E2891" w:rsidP="0048111F">
            <w:pPr>
              <w:snapToGrid w:val="0"/>
              <w:spacing w:line="240" w:lineRule="auto"/>
              <w:rPr>
                <w:color w:val="000000"/>
              </w:rPr>
            </w:pPr>
            <w:r w:rsidRPr="00F25A60">
              <w:rPr>
                <w:color w:val="000000"/>
              </w:rPr>
              <w:t>Vertigo, tinitus, ztráta sluchu</w:t>
            </w:r>
          </w:p>
        </w:tc>
      </w:tr>
      <w:tr w:rsidR="005E2891" w:rsidRPr="00F25A60" w14:paraId="7D38EE4A" w14:textId="77777777" w:rsidTr="00EB4FF7">
        <w:trPr>
          <w:gridBefore w:val="1"/>
          <w:wBefore w:w="12" w:type="dxa"/>
          <w:cantSplit/>
        </w:trPr>
        <w:tc>
          <w:tcPr>
            <w:tcW w:w="9342" w:type="dxa"/>
            <w:gridSpan w:val="5"/>
            <w:tcBorders>
              <w:top w:val="single" w:sz="4" w:space="0" w:color="000000"/>
              <w:left w:val="single" w:sz="4" w:space="0" w:color="000000"/>
              <w:bottom w:val="single" w:sz="4" w:space="0" w:color="000000"/>
              <w:right w:val="single" w:sz="4" w:space="0" w:color="000000"/>
            </w:tcBorders>
          </w:tcPr>
          <w:p w14:paraId="21D4D696" w14:textId="77777777" w:rsidR="005E2891" w:rsidRPr="00F25A60" w:rsidRDefault="005E2891" w:rsidP="0048111F">
            <w:pPr>
              <w:keepNext/>
              <w:snapToGrid w:val="0"/>
              <w:spacing w:line="240" w:lineRule="auto"/>
              <w:rPr>
                <w:b/>
                <w:bCs/>
                <w:color w:val="000000"/>
              </w:rPr>
            </w:pPr>
            <w:r w:rsidRPr="00F25A60">
              <w:rPr>
                <w:b/>
                <w:bCs/>
                <w:color w:val="000000"/>
              </w:rPr>
              <w:t>Srdeční poruchy</w:t>
            </w:r>
          </w:p>
        </w:tc>
      </w:tr>
      <w:tr w:rsidR="005E2891" w:rsidRPr="00F25A60" w14:paraId="444C2D9A"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0C1A76C3" w14:textId="77777777" w:rsidR="005E2891" w:rsidRPr="00F25A60" w:rsidRDefault="005E2891" w:rsidP="0048111F">
            <w:pPr>
              <w:keepNext/>
              <w:snapToGrid w:val="0"/>
              <w:spacing w:line="240" w:lineRule="auto"/>
              <w:rPr>
                <w:i/>
                <w:iCs/>
                <w:color w:val="000000"/>
              </w:rPr>
            </w:pPr>
            <w:r w:rsidRPr="00F25A60">
              <w:rPr>
                <w:i/>
                <w:iCs/>
                <w:color w:val="000000"/>
              </w:rPr>
              <w:t>Méně časté:</w:t>
            </w:r>
          </w:p>
        </w:tc>
        <w:tc>
          <w:tcPr>
            <w:tcW w:w="7107" w:type="dxa"/>
            <w:tcBorders>
              <w:top w:val="single" w:sz="4" w:space="0" w:color="000000"/>
              <w:left w:val="single" w:sz="4" w:space="0" w:color="000000"/>
              <w:bottom w:val="single" w:sz="4" w:space="0" w:color="000000"/>
              <w:right w:val="single" w:sz="4" w:space="0" w:color="000000"/>
            </w:tcBorders>
          </w:tcPr>
          <w:p w14:paraId="6E4ABD47" w14:textId="77777777" w:rsidR="005E2891" w:rsidRPr="00F25A60" w:rsidRDefault="005E2891" w:rsidP="0048111F">
            <w:pPr>
              <w:keepNext/>
              <w:snapToGrid w:val="0"/>
              <w:spacing w:line="240" w:lineRule="auto"/>
              <w:rPr>
                <w:color w:val="000000"/>
              </w:rPr>
            </w:pPr>
            <w:r w:rsidRPr="00F25A60">
              <w:rPr>
                <w:color w:val="000000"/>
              </w:rPr>
              <w:t>Palpitace, tachykardie, městnavé srdeční selhání</w:t>
            </w:r>
            <w:r w:rsidRPr="00F25A60">
              <w:rPr>
                <w:color w:val="000000"/>
                <w:vertAlign w:val="superscript"/>
              </w:rPr>
              <w:t>3</w:t>
            </w:r>
            <w:r w:rsidRPr="00F25A60">
              <w:rPr>
                <w:color w:val="000000"/>
              </w:rPr>
              <w:t>, plicní edém</w:t>
            </w:r>
          </w:p>
        </w:tc>
      </w:tr>
      <w:tr w:rsidR="005E2891" w:rsidRPr="00F25A60" w14:paraId="4C17AF9F"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397E3A7F" w14:textId="77777777" w:rsidR="005E2891" w:rsidRPr="00F25A60" w:rsidRDefault="005E2891" w:rsidP="0048111F">
            <w:pPr>
              <w:keepNext/>
              <w:snapToGrid w:val="0"/>
              <w:spacing w:line="240" w:lineRule="auto"/>
              <w:rPr>
                <w:i/>
                <w:iCs/>
                <w:color w:val="000000"/>
              </w:rPr>
            </w:pPr>
            <w:r w:rsidRPr="00F25A60">
              <w:rPr>
                <w:i/>
                <w:iCs/>
                <w:color w:val="000000"/>
              </w:rPr>
              <w:t>Vzácné:</w:t>
            </w:r>
          </w:p>
        </w:tc>
        <w:tc>
          <w:tcPr>
            <w:tcW w:w="7107" w:type="dxa"/>
            <w:tcBorders>
              <w:top w:val="single" w:sz="4" w:space="0" w:color="000000"/>
              <w:left w:val="single" w:sz="4" w:space="0" w:color="000000"/>
              <w:bottom w:val="single" w:sz="4" w:space="0" w:color="000000"/>
              <w:right w:val="single" w:sz="4" w:space="0" w:color="000000"/>
            </w:tcBorders>
          </w:tcPr>
          <w:p w14:paraId="3A96F3E7" w14:textId="77777777" w:rsidR="005E2891" w:rsidRPr="00F25A60" w:rsidRDefault="005E2891" w:rsidP="0048111F">
            <w:pPr>
              <w:keepNext/>
              <w:snapToGrid w:val="0"/>
              <w:spacing w:line="240" w:lineRule="auto"/>
              <w:rPr>
                <w:color w:val="000000"/>
              </w:rPr>
            </w:pPr>
            <w:r w:rsidRPr="00F25A60">
              <w:rPr>
                <w:color w:val="000000"/>
              </w:rPr>
              <w:t>Arytmie, atriální fibrilace, srdeční zástava, infarkt myokardu, angina pectoris, perikardiální výpotek</w:t>
            </w:r>
          </w:p>
        </w:tc>
      </w:tr>
      <w:tr w:rsidR="005E2891" w:rsidRPr="00F25A60" w14:paraId="175A3C6F"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43B94446" w14:textId="77777777" w:rsidR="005E2891" w:rsidRPr="00F25A60" w:rsidRDefault="005E2891" w:rsidP="0048111F">
            <w:pPr>
              <w:snapToGrid w:val="0"/>
              <w:spacing w:line="240" w:lineRule="auto"/>
              <w:rPr>
                <w:i/>
                <w:iCs/>
                <w:color w:val="000000"/>
              </w:rPr>
            </w:pPr>
            <w:r w:rsidRPr="00F25A60">
              <w:rPr>
                <w:i/>
                <w:iCs/>
                <w:color w:val="000000"/>
              </w:rPr>
              <w:t>Není známo:</w:t>
            </w:r>
          </w:p>
        </w:tc>
        <w:tc>
          <w:tcPr>
            <w:tcW w:w="7107" w:type="dxa"/>
            <w:tcBorders>
              <w:top w:val="single" w:sz="4" w:space="0" w:color="000000"/>
              <w:left w:val="single" w:sz="4" w:space="0" w:color="000000"/>
              <w:bottom w:val="single" w:sz="4" w:space="0" w:color="000000"/>
              <w:right w:val="single" w:sz="4" w:space="0" w:color="000000"/>
            </w:tcBorders>
          </w:tcPr>
          <w:p w14:paraId="357CFF48" w14:textId="77777777" w:rsidR="005E2891" w:rsidRPr="00F25A60" w:rsidRDefault="005E2891" w:rsidP="0048111F">
            <w:pPr>
              <w:snapToGrid w:val="0"/>
              <w:spacing w:line="240" w:lineRule="auto"/>
              <w:rPr>
                <w:color w:val="000000"/>
              </w:rPr>
            </w:pPr>
            <w:r w:rsidRPr="00F25A60">
              <w:rPr>
                <w:color w:val="000000"/>
              </w:rPr>
              <w:t>Perikarditida*, srdeční tamponáda*</w:t>
            </w:r>
          </w:p>
        </w:tc>
      </w:tr>
      <w:tr w:rsidR="005E2891" w:rsidRPr="00F25A60" w14:paraId="08993B82" w14:textId="77777777" w:rsidTr="00EB4FF7">
        <w:trPr>
          <w:gridBefore w:val="1"/>
          <w:wBefore w:w="12" w:type="dxa"/>
          <w:cantSplit/>
        </w:trPr>
        <w:tc>
          <w:tcPr>
            <w:tcW w:w="9342" w:type="dxa"/>
            <w:gridSpan w:val="5"/>
            <w:tcBorders>
              <w:top w:val="single" w:sz="4" w:space="0" w:color="000000"/>
              <w:left w:val="single" w:sz="4" w:space="0" w:color="000000"/>
              <w:bottom w:val="single" w:sz="4" w:space="0" w:color="000000"/>
              <w:right w:val="single" w:sz="4" w:space="0" w:color="000000"/>
            </w:tcBorders>
          </w:tcPr>
          <w:p w14:paraId="7BCD288A" w14:textId="77777777" w:rsidR="005E2891" w:rsidRPr="00F25A60" w:rsidRDefault="005E2891" w:rsidP="0048111F">
            <w:pPr>
              <w:keepNext/>
              <w:snapToGrid w:val="0"/>
              <w:spacing w:line="240" w:lineRule="auto"/>
              <w:rPr>
                <w:b/>
                <w:bCs/>
                <w:color w:val="000000"/>
              </w:rPr>
            </w:pPr>
            <w:r w:rsidRPr="00F25A60">
              <w:rPr>
                <w:b/>
                <w:bCs/>
                <w:color w:val="000000"/>
              </w:rPr>
              <w:t>Cévní poruchy</w:t>
            </w:r>
            <w:r w:rsidRPr="00F25A60">
              <w:rPr>
                <w:rFonts w:ascii="Times New Roman Bold" w:hAnsi="Times New Roman Bold"/>
                <w:b/>
                <w:bCs/>
                <w:color w:val="000000"/>
                <w:vertAlign w:val="superscript"/>
              </w:rPr>
              <w:t>4</w:t>
            </w:r>
          </w:p>
        </w:tc>
      </w:tr>
      <w:tr w:rsidR="005E2891" w:rsidRPr="00F25A60" w14:paraId="6812196B"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798CA9FD" w14:textId="77777777" w:rsidR="005E2891" w:rsidRPr="00F25A60" w:rsidRDefault="005E2891" w:rsidP="0048111F">
            <w:pPr>
              <w:keepNext/>
              <w:snapToGrid w:val="0"/>
              <w:spacing w:line="240" w:lineRule="auto"/>
              <w:rPr>
                <w:i/>
                <w:iCs/>
                <w:color w:val="000000"/>
              </w:rPr>
            </w:pPr>
            <w:r w:rsidRPr="00F25A60">
              <w:rPr>
                <w:i/>
                <w:iCs/>
                <w:color w:val="000000"/>
              </w:rPr>
              <w:t>Časté:</w:t>
            </w:r>
          </w:p>
        </w:tc>
        <w:tc>
          <w:tcPr>
            <w:tcW w:w="7107" w:type="dxa"/>
            <w:tcBorders>
              <w:top w:val="single" w:sz="4" w:space="0" w:color="000000"/>
              <w:left w:val="single" w:sz="4" w:space="0" w:color="000000"/>
              <w:bottom w:val="single" w:sz="4" w:space="0" w:color="000000"/>
              <w:right w:val="single" w:sz="4" w:space="0" w:color="000000"/>
            </w:tcBorders>
          </w:tcPr>
          <w:p w14:paraId="24623EDB" w14:textId="77777777" w:rsidR="005E2891" w:rsidRPr="00F25A60" w:rsidRDefault="005E2891" w:rsidP="0048111F">
            <w:pPr>
              <w:keepNext/>
              <w:snapToGrid w:val="0"/>
              <w:spacing w:line="240" w:lineRule="auto"/>
              <w:rPr>
                <w:color w:val="000000"/>
              </w:rPr>
            </w:pPr>
            <w:r w:rsidRPr="00F25A60">
              <w:rPr>
                <w:color w:val="000000"/>
              </w:rPr>
              <w:t>Zrudnutí, krvácení</w:t>
            </w:r>
          </w:p>
        </w:tc>
      </w:tr>
      <w:tr w:rsidR="005E2891" w:rsidRPr="00F25A60" w14:paraId="74CDA1B4"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1966111D" w14:textId="77777777" w:rsidR="005E2891" w:rsidRPr="00F25A60" w:rsidRDefault="005E2891" w:rsidP="0048111F">
            <w:pPr>
              <w:keepNext/>
              <w:snapToGrid w:val="0"/>
              <w:spacing w:line="240" w:lineRule="auto"/>
              <w:rPr>
                <w:i/>
                <w:iCs/>
                <w:color w:val="000000"/>
              </w:rPr>
            </w:pPr>
            <w:r w:rsidRPr="00F25A60">
              <w:rPr>
                <w:i/>
                <w:iCs/>
                <w:color w:val="000000"/>
              </w:rPr>
              <w:t>Méně časté:</w:t>
            </w:r>
          </w:p>
        </w:tc>
        <w:tc>
          <w:tcPr>
            <w:tcW w:w="7107" w:type="dxa"/>
            <w:tcBorders>
              <w:top w:val="single" w:sz="4" w:space="0" w:color="000000"/>
              <w:left w:val="single" w:sz="4" w:space="0" w:color="000000"/>
              <w:bottom w:val="single" w:sz="4" w:space="0" w:color="000000"/>
              <w:right w:val="single" w:sz="4" w:space="0" w:color="000000"/>
            </w:tcBorders>
          </w:tcPr>
          <w:p w14:paraId="7BAB46F2" w14:textId="77777777" w:rsidR="005E2891" w:rsidRPr="00F25A60" w:rsidRDefault="005E2891" w:rsidP="0048111F">
            <w:pPr>
              <w:keepNext/>
              <w:snapToGrid w:val="0"/>
              <w:spacing w:line="240" w:lineRule="auto"/>
              <w:rPr>
                <w:color w:val="000000"/>
              </w:rPr>
            </w:pPr>
            <w:r w:rsidRPr="00F25A60">
              <w:rPr>
                <w:color w:val="000000"/>
              </w:rPr>
              <w:t>Hypertenze, hematom, subdurální hematom, periferní chlad, hypotenze, Raynaudův fenomén</w:t>
            </w:r>
          </w:p>
        </w:tc>
      </w:tr>
      <w:tr w:rsidR="005E2891" w:rsidRPr="00F25A60" w14:paraId="35CD69A7"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0FC176E5" w14:textId="77777777" w:rsidR="005E2891" w:rsidRPr="00F25A60" w:rsidRDefault="005E2891" w:rsidP="0048111F">
            <w:pPr>
              <w:snapToGrid w:val="0"/>
              <w:spacing w:line="240" w:lineRule="auto"/>
              <w:rPr>
                <w:i/>
                <w:iCs/>
                <w:color w:val="000000"/>
              </w:rPr>
            </w:pPr>
            <w:r w:rsidRPr="00F25A60">
              <w:rPr>
                <w:i/>
                <w:iCs/>
                <w:color w:val="000000"/>
              </w:rPr>
              <w:t>Není známo:</w:t>
            </w:r>
          </w:p>
        </w:tc>
        <w:tc>
          <w:tcPr>
            <w:tcW w:w="7107" w:type="dxa"/>
            <w:tcBorders>
              <w:top w:val="single" w:sz="4" w:space="0" w:color="000000"/>
              <w:left w:val="single" w:sz="4" w:space="0" w:color="000000"/>
              <w:bottom w:val="single" w:sz="4" w:space="0" w:color="000000"/>
              <w:right w:val="single" w:sz="4" w:space="0" w:color="000000"/>
            </w:tcBorders>
          </w:tcPr>
          <w:p w14:paraId="0BFAF674" w14:textId="77777777" w:rsidR="005E2891" w:rsidRPr="00F25A60" w:rsidRDefault="005E2891" w:rsidP="0048111F">
            <w:pPr>
              <w:snapToGrid w:val="0"/>
              <w:spacing w:line="240" w:lineRule="auto"/>
              <w:rPr>
                <w:color w:val="000000"/>
              </w:rPr>
            </w:pPr>
            <w:r w:rsidRPr="00F25A60">
              <w:rPr>
                <w:color w:val="000000"/>
              </w:rPr>
              <w:t>Trombóza/embolie*</w:t>
            </w:r>
          </w:p>
        </w:tc>
      </w:tr>
      <w:tr w:rsidR="005E2891" w:rsidRPr="00F25A60" w14:paraId="50CCF678" w14:textId="77777777" w:rsidTr="00EB4FF7">
        <w:trPr>
          <w:gridBefore w:val="1"/>
          <w:wBefore w:w="12" w:type="dxa"/>
          <w:cantSplit/>
        </w:trPr>
        <w:tc>
          <w:tcPr>
            <w:tcW w:w="9342" w:type="dxa"/>
            <w:gridSpan w:val="5"/>
            <w:tcBorders>
              <w:top w:val="single" w:sz="4" w:space="0" w:color="000000"/>
              <w:left w:val="single" w:sz="4" w:space="0" w:color="000000"/>
              <w:bottom w:val="single" w:sz="4" w:space="0" w:color="000000"/>
              <w:right w:val="single" w:sz="4" w:space="0" w:color="000000"/>
            </w:tcBorders>
          </w:tcPr>
          <w:p w14:paraId="245AF746" w14:textId="77777777" w:rsidR="005E2891" w:rsidRPr="00F25A60" w:rsidRDefault="005E2891" w:rsidP="0048111F">
            <w:pPr>
              <w:keepNext/>
              <w:snapToGrid w:val="0"/>
              <w:spacing w:line="240" w:lineRule="auto"/>
              <w:rPr>
                <w:b/>
                <w:bCs/>
                <w:color w:val="000000"/>
              </w:rPr>
            </w:pPr>
            <w:r w:rsidRPr="00F25A60">
              <w:rPr>
                <w:b/>
                <w:bCs/>
                <w:color w:val="000000"/>
              </w:rPr>
              <w:lastRenderedPageBreak/>
              <w:t>Respirační, hrudní a mediastinální poruchy</w:t>
            </w:r>
          </w:p>
        </w:tc>
      </w:tr>
      <w:tr w:rsidR="005E2891" w:rsidRPr="00F25A60" w14:paraId="23BB43B9"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621842B7" w14:textId="77777777" w:rsidR="005E2891" w:rsidRPr="00F25A60" w:rsidRDefault="005E2891" w:rsidP="0048111F">
            <w:pPr>
              <w:keepNext/>
              <w:snapToGrid w:val="0"/>
              <w:spacing w:line="240" w:lineRule="auto"/>
              <w:rPr>
                <w:i/>
                <w:iCs/>
                <w:color w:val="000000"/>
              </w:rPr>
            </w:pPr>
            <w:r w:rsidRPr="00F25A60">
              <w:rPr>
                <w:i/>
                <w:iCs/>
                <w:color w:val="000000"/>
              </w:rPr>
              <w:t>Časté:</w:t>
            </w:r>
          </w:p>
        </w:tc>
        <w:tc>
          <w:tcPr>
            <w:tcW w:w="7107" w:type="dxa"/>
            <w:tcBorders>
              <w:top w:val="single" w:sz="4" w:space="0" w:color="000000"/>
              <w:left w:val="single" w:sz="4" w:space="0" w:color="000000"/>
              <w:bottom w:val="single" w:sz="4" w:space="0" w:color="000000"/>
              <w:right w:val="single" w:sz="4" w:space="0" w:color="000000"/>
            </w:tcBorders>
          </w:tcPr>
          <w:p w14:paraId="57C4609D" w14:textId="77777777" w:rsidR="005E2891" w:rsidRPr="00F25A60" w:rsidRDefault="005E2891" w:rsidP="0048111F">
            <w:pPr>
              <w:keepNext/>
              <w:snapToGrid w:val="0"/>
              <w:spacing w:line="240" w:lineRule="auto"/>
              <w:rPr>
                <w:color w:val="000000"/>
              </w:rPr>
            </w:pPr>
            <w:r w:rsidRPr="00F25A60">
              <w:rPr>
                <w:color w:val="000000"/>
              </w:rPr>
              <w:t>Dušnost, krvácení z nosu, kašel</w:t>
            </w:r>
          </w:p>
        </w:tc>
      </w:tr>
      <w:tr w:rsidR="005E2891" w:rsidRPr="00F25A60" w14:paraId="497867AE"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6221DE21" w14:textId="77777777" w:rsidR="005E2891" w:rsidRPr="00F25A60" w:rsidRDefault="005E2891" w:rsidP="0048111F">
            <w:pPr>
              <w:keepNext/>
              <w:snapToGrid w:val="0"/>
              <w:spacing w:line="240" w:lineRule="auto"/>
              <w:rPr>
                <w:i/>
                <w:iCs/>
                <w:color w:val="000000"/>
              </w:rPr>
            </w:pPr>
            <w:r w:rsidRPr="00F25A60">
              <w:rPr>
                <w:i/>
                <w:iCs/>
                <w:color w:val="000000"/>
              </w:rPr>
              <w:t>Méně časté:</w:t>
            </w:r>
          </w:p>
        </w:tc>
        <w:tc>
          <w:tcPr>
            <w:tcW w:w="7107" w:type="dxa"/>
            <w:tcBorders>
              <w:top w:val="single" w:sz="4" w:space="0" w:color="000000"/>
              <w:left w:val="single" w:sz="4" w:space="0" w:color="000000"/>
              <w:bottom w:val="single" w:sz="4" w:space="0" w:color="000000"/>
              <w:right w:val="single" w:sz="4" w:space="0" w:color="000000"/>
            </w:tcBorders>
          </w:tcPr>
          <w:p w14:paraId="48539498" w14:textId="77777777" w:rsidR="005E2891" w:rsidRPr="00F25A60" w:rsidRDefault="005E2891" w:rsidP="0048111F">
            <w:pPr>
              <w:keepNext/>
              <w:snapToGrid w:val="0"/>
              <w:spacing w:line="240" w:lineRule="auto"/>
              <w:rPr>
                <w:color w:val="000000"/>
              </w:rPr>
            </w:pPr>
            <w:r w:rsidRPr="00F25A60">
              <w:rPr>
                <w:color w:val="000000"/>
              </w:rPr>
              <w:t>Pleurální výpotek</w:t>
            </w:r>
            <w:r w:rsidRPr="00F25A60">
              <w:rPr>
                <w:color w:val="000000"/>
                <w:vertAlign w:val="superscript"/>
              </w:rPr>
              <w:t>5</w:t>
            </w:r>
            <w:r w:rsidRPr="00F25A60">
              <w:rPr>
                <w:color w:val="000000"/>
              </w:rPr>
              <w:t xml:space="preserve">, </w:t>
            </w:r>
            <w:r w:rsidR="00F7256F" w:rsidRPr="00F25A60">
              <w:rPr>
                <w:color w:val="000000"/>
              </w:rPr>
              <w:t xml:space="preserve">laryngofaryngeální </w:t>
            </w:r>
            <w:r w:rsidRPr="00F25A60">
              <w:rPr>
                <w:color w:val="000000"/>
              </w:rPr>
              <w:t>bolesti, faryngitida</w:t>
            </w:r>
          </w:p>
        </w:tc>
      </w:tr>
      <w:tr w:rsidR="005E2891" w:rsidRPr="00F25A60" w14:paraId="4746E3FD"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2B2E5D99" w14:textId="77777777" w:rsidR="005E2891" w:rsidRPr="00F25A60" w:rsidRDefault="005E2891" w:rsidP="0048111F">
            <w:pPr>
              <w:keepNext/>
              <w:snapToGrid w:val="0"/>
              <w:spacing w:line="240" w:lineRule="auto"/>
              <w:rPr>
                <w:i/>
                <w:iCs/>
                <w:color w:val="000000"/>
              </w:rPr>
            </w:pPr>
            <w:r w:rsidRPr="00F25A60">
              <w:rPr>
                <w:i/>
                <w:iCs/>
                <w:color w:val="000000"/>
              </w:rPr>
              <w:t>Vzácné:</w:t>
            </w:r>
          </w:p>
        </w:tc>
        <w:tc>
          <w:tcPr>
            <w:tcW w:w="7107" w:type="dxa"/>
            <w:tcBorders>
              <w:top w:val="single" w:sz="4" w:space="0" w:color="000000"/>
              <w:left w:val="single" w:sz="4" w:space="0" w:color="000000"/>
              <w:bottom w:val="single" w:sz="4" w:space="0" w:color="000000"/>
              <w:right w:val="single" w:sz="4" w:space="0" w:color="000000"/>
            </w:tcBorders>
          </w:tcPr>
          <w:p w14:paraId="2CC972D3" w14:textId="77777777" w:rsidR="005E2891" w:rsidRPr="00F25A60" w:rsidRDefault="00F7256F" w:rsidP="0048111F">
            <w:pPr>
              <w:keepNext/>
              <w:snapToGrid w:val="0"/>
              <w:spacing w:line="240" w:lineRule="auto"/>
              <w:rPr>
                <w:color w:val="000000"/>
              </w:rPr>
            </w:pPr>
            <w:r w:rsidRPr="00F25A60">
              <w:rPr>
                <w:color w:val="000000"/>
              </w:rPr>
              <w:t>Pleurální b</w:t>
            </w:r>
            <w:r w:rsidR="005E2891" w:rsidRPr="00F25A60">
              <w:rPr>
                <w:color w:val="000000"/>
              </w:rPr>
              <w:t>olest, plicní fibróza, plicní hypertenze, krvácení do plic</w:t>
            </w:r>
          </w:p>
        </w:tc>
      </w:tr>
      <w:tr w:rsidR="005E2891" w:rsidRPr="00F25A60" w14:paraId="73525C1D"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05A54ADD" w14:textId="77777777" w:rsidR="005E2891" w:rsidRPr="00F25A60" w:rsidRDefault="005E2891" w:rsidP="0048111F">
            <w:pPr>
              <w:snapToGrid w:val="0"/>
              <w:spacing w:line="240" w:lineRule="auto"/>
              <w:rPr>
                <w:i/>
                <w:iCs/>
                <w:color w:val="000000"/>
              </w:rPr>
            </w:pPr>
            <w:r w:rsidRPr="00F25A60">
              <w:rPr>
                <w:i/>
                <w:iCs/>
                <w:color w:val="000000"/>
              </w:rPr>
              <w:t>Není známo:</w:t>
            </w:r>
          </w:p>
        </w:tc>
        <w:tc>
          <w:tcPr>
            <w:tcW w:w="7107" w:type="dxa"/>
            <w:tcBorders>
              <w:top w:val="single" w:sz="4" w:space="0" w:color="000000"/>
              <w:left w:val="single" w:sz="4" w:space="0" w:color="000000"/>
              <w:bottom w:val="single" w:sz="4" w:space="0" w:color="000000"/>
              <w:right w:val="single" w:sz="4" w:space="0" w:color="000000"/>
            </w:tcBorders>
          </w:tcPr>
          <w:p w14:paraId="3135AD9E" w14:textId="77777777" w:rsidR="005E2891" w:rsidRPr="00F25A60" w:rsidRDefault="005E2891" w:rsidP="0048111F">
            <w:pPr>
              <w:snapToGrid w:val="0"/>
              <w:spacing w:line="240" w:lineRule="auto"/>
              <w:rPr>
                <w:color w:val="000000"/>
              </w:rPr>
            </w:pPr>
            <w:r w:rsidRPr="00F25A60">
              <w:rPr>
                <w:color w:val="000000"/>
              </w:rPr>
              <w:t>Akutní respirační selhání</w:t>
            </w:r>
            <w:r w:rsidR="00B27262" w:rsidRPr="00F25A60">
              <w:rPr>
                <w:color w:val="000000"/>
                <w:vertAlign w:val="superscript"/>
              </w:rPr>
              <w:t>11</w:t>
            </w:r>
            <w:r w:rsidRPr="00F25A60">
              <w:rPr>
                <w:color w:val="000000"/>
              </w:rPr>
              <w:t>*, intersticiální plicní onemocnění*</w:t>
            </w:r>
          </w:p>
        </w:tc>
      </w:tr>
      <w:tr w:rsidR="005E2891" w:rsidRPr="00F25A60" w14:paraId="7FF165DA" w14:textId="77777777" w:rsidTr="00EB4FF7">
        <w:trPr>
          <w:gridBefore w:val="1"/>
          <w:wBefore w:w="12" w:type="dxa"/>
          <w:cantSplit/>
        </w:trPr>
        <w:tc>
          <w:tcPr>
            <w:tcW w:w="9342" w:type="dxa"/>
            <w:gridSpan w:val="5"/>
            <w:tcBorders>
              <w:top w:val="single" w:sz="4" w:space="0" w:color="000000"/>
              <w:left w:val="single" w:sz="4" w:space="0" w:color="000000"/>
              <w:bottom w:val="single" w:sz="4" w:space="0" w:color="000000"/>
              <w:right w:val="single" w:sz="4" w:space="0" w:color="000000"/>
            </w:tcBorders>
          </w:tcPr>
          <w:p w14:paraId="39A4BCF2" w14:textId="77777777" w:rsidR="005E2891" w:rsidRPr="00F25A60" w:rsidRDefault="005E2891" w:rsidP="0048111F">
            <w:pPr>
              <w:keepNext/>
              <w:snapToGrid w:val="0"/>
              <w:spacing w:line="240" w:lineRule="auto"/>
              <w:rPr>
                <w:b/>
                <w:bCs/>
                <w:color w:val="000000"/>
              </w:rPr>
            </w:pPr>
            <w:r w:rsidRPr="00F25A60">
              <w:rPr>
                <w:b/>
                <w:bCs/>
                <w:color w:val="000000"/>
              </w:rPr>
              <w:t>Gastrointestinální poruchy</w:t>
            </w:r>
          </w:p>
        </w:tc>
      </w:tr>
      <w:tr w:rsidR="005E2891" w:rsidRPr="00F25A60" w14:paraId="7B1B89A4"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6ADD6982" w14:textId="77777777" w:rsidR="005E2891" w:rsidRPr="00F25A60" w:rsidRDefault="005E2891" w:rsidP="0048111F">
            <w:pPr>
              <w:keepNext/>
              <w:snapToGrid w:val="0"/>
              <w:spacing w:line="240" w:lineRule="auto"/>
              <w:rPr>
                <w:i/>
                <w:iCs/>
                <w:color w:val="000000"/>
              </w:rPr>
            </w:pPr>
            <w:r w:rsidRPr="00F25A60">
              <w:rPr>
                <w:i/>
                <w:iCs/>
                <w:color w:val="000000"/>
              </w:rPr>
              <w:t>Velmi časté:</w:t>
            </w:r>
          </w:p>
        </w:tc>
        <w:tc>
          <w:tcPr>
            <w:tcW w:w="7107" w:type="dxa"/>
            <w:tcBorders>
              <w:top w:val="single" w:sz="4" w:space="0" w:color="000000"/>
              <w:left w:val="single" w:sz="4" w:space="0" w:color="000000"/>
              <w:bottom w:val="single" w:sz="4" w:space="0" w:color="000000"/>
              <w:right w:val="single" w:sz="4" w:space="0" w:color="000000"/>
            </w:tcBorders>
          </w:tcPr>
          <w:p w14:paraId="4B25903E" w14:textId="77777777" w:rsidR="005E2891" w:rsidRPr="00F25A60" w:rsidRDefault="005E2891" w:rsidP="0048111F">
            <w:pPr>
              <w:keepNext/>
              <w:snapToGrid w:val="0"/>
              <w:spacing w:line="240" w:lineRule="auto"/>
              <w:rPr>
                <w:color w:val="000000"/>
                <w:vertAlign w:val="superscript"/>
              </w:rPr>
            </w:pPr>
            <w:r w:rsidRPr="00F25A60">
              <w:rPr>
                <w:color w:val="000000"/>
              </w:rPr>
              <w:t>Nauzea, průjem, zvracení, dyspepsie, bolest břicha</w:t>
            </w:r>
            <w:r w:rsidRPr="00F25A60">
              <w:rPr>
                <w:color w:val="000000"/>
                <w:vertAlign w:val="superscript"/>
              </w:rPr>
              <w:t>6</w:t>
            </w:r>
          </w:p>
        </w:tc>
      </w:tr>
      <w:tr w:rsidR="005E2891" w:rsidRPr="00F25A60" w14:paraId="1DF4E2BF"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6A7C40BA" w14:textId="77777777" w:rsidR="005E2891" w:rsidRPr="00F25A60" w:rsidRDefault="005E2891" w:rsidP="0048111F">
            <w:pPr>
              <w:keepNext/>
              <w:snapToGrid w:val="0"/>
              <w:spacing w:line="240" w:lineRule="auto"/>
              <w:rPr>
                <w:i/>
                <w:iCs/>
                <w:color w:val="000000"/>
              </w:rPr>
            </w:pPr>
            <w:r w:rsidRPr="00F25A60">
              <w:rPr>
                <w:i/>
                <w:iCs/>
                <w:color w:val="000000"/>
              </w:rPr>
              <w:t>Časté:</w:t>
            </w:r>
          </w:p>
        </w:tc>
        <w:tc>
          <w:tcPr>
            <w:tcW w:w="7107" w:type="dxa"/>
            <w:tcBorders>
              <w:top w:val="single" w:sz="4" w:space="0" w:color="000000"/>
              <w:left w:val="single" w:sz="4" w:space="0" w:color="000000"/>
              <w:bottom w:val="single" w:sz="4" w:space="0" w:color="000000"/>
              <w:right w:val="single" w:sz="4" w:space="0" w:color="000000"/>
            </w:tcBorders>
          </w:tcPr>
          <w:p w14:paraId="3BCC0BFE" w14:textId="77777777" w:rsidR="005E2891" w:rsidRPr="00F25A60" w:rsidRDefault="00580986" w:rsidP="0048111F">
            <w:pPr>
              <w:keepNext/>
              <w:snapToGrid w:val="0"/>
              <w:spacing w:line="240" w:lineRule="auto"/>
              <w:rPr>
                <w:color w:val="000000"/>
              </w:rPr>
            </w:pPr>
            <w:r w:rsidRPr="00F25A60">
              <w:rPr>
                <w:color w:val="000000"/>
              </w:rPr>
              <w:t>Flatulence, abdominální distenze</w:t>
            </w:r>
            <w:r w:rsidR="005E2891" w:rsidRPr="00F25A60">
              <w:rPr>
                <w:color w:val="000000"/>
              </w:rPr>
              <w:t>, gastro-ezofageální reflux, zácpa, sucho v ústech, gastritida</w:t>
            </w:r>
          </w:p>
        </w:tc>
      </w:tr>
      <w:tr w:rsidR="005E2891" w:rsidRPr="00F25A60" w14:paraId="28A4CFEF"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56AB7A33" w14:textId="77777777" w:rsidR="005E2891" w:rsidRPr="00F25A60" w:rsidRDefault="005E2891" w:rsidP="0048111F">
            <w:pPr>
              <w:keepNext/>
              <w:snapToGrid w:val="0"/>
              <w:spacing w:line="240" w:lineRule="auto"/>
              <w:rPr>
                <w:i/>
                <w:iCs/>
                <w:color w:val="000000"/>
              </w:rPr>
            </w:pPr>
            <w:r w:rsidRPr="00F25A60">
              <w:rPr>
                <w:i/>
                <w:iCs/>
                <w:color w:val="000000"/>
              </w:rPr>
              <w:t>Méně časté:</w:t>
            </w:r>
          </w:p>
        </w:tc>
        <w:tc>
          <w:tcPr>
            <w:tcW w:w="7107" w:type="dxa"/>
            <w:tcBorders>
              <w:top w:val="single" w:sz="4" w:space="0" w:color="000000"/>
              <w:left w:val="single" w:sz="4" w:space="0" w:color="000000"/>
              <w:bottom w:val="single" w:sz="4" w:space="0" w:color="000000"/>
              <w:right w:val="single" w:sz="4" w:space="0" w:color="000000"/>
            </w:tcBorders>
          </w:tcPr>
          <w:p w14:paraId="0B7BD4F1" w14:textId="77777777" w:rsidR="005E2891" w:rsidRPr="00F25A60" w:rsidRDefault="005E2891" w:rsidP="0048111F">
            <w:pPr>
              <w:keepNext/>
              <w:snapToGrid w:val="0"/>
              <w:spacing w:line="240" w:lineRule="auto"/>
              <w:rPr>
                <w:color w:val="000000"/>
              </w:rPr>
            </w:pPr>
            <w:r w:rsidRPr="00F25A60">
              <w:rPr>
                <w:color w:val="000000"/>
              </w:rPr>
              <w:t>Stomatitida, ulcerace v ústech, gastrointestinální krvácení</w:t>
            </w:r>
            <w:r w:rsidRPr="00F25A60">
              <w:rPr>
                <w:color w:val="000000"/>
                <w:vertAlign w:val="superscript"/>
              </w:rPr>
              <w:t>7</w:t>
            </w:r>
            <w:r w:rsidRPr="00F25A60">
              <w:rPr>
                <w:color w:val="000000"/>
              </w:rPr>
              <w:t xml:space="preserve">, </w:t>
            </w:r>
            <w:r w:rsidR="00580986" w:rsidRPr="00F25A60">
              <w:rPr>
                <w:color w:val="000000"/>
              </w:rPr>
              <w:t>eruktace</w:t>
            </w:r>
            <w:r w:rsidRPr="00F25A60">
              <w:rPr>
                <w:color w:val="000000"/>
              </w:rPr>
              <w:t>, meléna, ezofagitida, ascites, žaludeční ulcerace, hematemez</w:t>
            </w:r>
            <w:r w:rsidR="00580986" w:rsidRPr="00F25A60">
              <w:rPr>
                <w:color w:val="000000"/>
              </w:rPr>
              <w:t>a</w:t>
            </w:r>
            <w:r w:rsidRPr="00F25A60">
              <w:rPr>
                <w:color w:val="000000"/>
              </w:rPr>
              <w:t>, cheilitida, dysfagie, pankreatitida</w:t>
            </w:r>
          </w:p>
        </w:tc>
      </w:tr>
      <w:tr w:rsidR="005E2891" w:rsidRPr="00F25A60" w14:paraId="70528EF2"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55C9C802" w14:textId="77777777" w:rsidR="005E2891" w:rsidRPr="00F25A60" w:rsidRDefault="005E2891" w:rsidP="0048111F">
            <w:pPr>
              <w:keepNext/>
              <w:snapToGrid w:val="0"/>
              <w:spacing w:line="240" w:lineRule="auto"/>
              <w:rPr>
                <w:i/>
                <w:iCs/>
                <w:color w:val="000000"/>
              </w:rPr>
            </w:pPr>
            <w:r w:rsidRPr="00F25A60">
              <w:rPr>
                <w:i/>
                <w:iCs/>
                <w:color w:val="000000"/>
              </w:rPr>
              <w:t>Vzácné:</w:t>
            </w:r>
          </w:p>
        </w:tc>
        <w:tc>
          <w:tcPr>
            <w:tcW w:w="7107" w:type="dxa"/>
            <w:tcBorders>
              <w:top w:val="single" w:sz="4" w:space="0" w:color="000000"/>
              <w:left w:val="single" w:sz="4" w:space="0" w:color="000000"/>
              <w:bottom w:val="single" w:sz="4" w:space="0" w:color="000000"/>
              <w:right w:val="single" w:sz="4" w:space="0" w:color="000000"/>
            </w:tcBorders>
          </w:tcPr>
          <w:p w14:paraId="390AD9CE" w14:textId="77777777" w:rsidR="005E2891" w:rsidRPr="00F25A60" w:rsidRDefault="005E2891" w:rsidP="0048111F">
            <w:pPr>
              <w:keepNext/>
              <w:snapToGrid w:val="0"/>
              <w:spacing w:line="240" w:lineRule="auto"/>
              <w:rPr>
                <w:color w:val="000000"/>
              </w:rPr>
            </w:pPr>
            <w:r w:rsidRPr="00F25A60">
              <w:rPr>
                <w:color w:val="000000"/>
              </w:rPr>
              <w:t>Kolitida, ileus, zánětlivé střevní onemocnění</w:t>
            </w:r>
          </w:p>
        </w:tc>
      </w:tr>
      <w:tr w:rsidR="005E2891" w:rsidRPr="00F25A60" w14:paraId="20245B4D"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2A42D553" w14:textId="77777777" w:rsidR="005E2891" w:rsidRPr="00F25A60" w:rsidRDefault="005E2891" w:rsidP="0048111F">
            <w:pPr>
              <w:snapToGrid w:val="0"/>
              <w:spacing w:line="240" w:lineRule="auto"/>
              <w:rPr>
                <w:i/>
                <w:iCs/>
                <w:color w:val="000000"/>
              </w:rPr>
            </w:pPr>
            <w:r w:rsidRPr="00F25A60">
              <w:rPr>
                <w:i/>
                <w:iCs/>
                <w:color w:val="000000"/>
              </w:rPr>
              <w:t>Není známo:</w:t>
            </w:r>
          </w:p>
        </w:tc>
        <w:tc>
          <w:tcPr>
            <w:tcW w:w="7107" w:type="dxa"/>
            <w:tcBorders>
              <w:top w:val="single" w:sz="4" w:space="0" w:color="000000"/>
              <w:left w:val="single" w:sz="4" w:space="0" w:color="000000"/>
              <w:bottom w:val="single" w:sz="4" w:space="0" w:color="000000"/>
              <w:right w:val="single" w:sz="4" w:space="0" w:color="000000"/>
            </w:tcBorders>
          </w:tcPr>
          <w:p w14:paraId="60FE8AEC" w14:textId="77777777" w:rsidR="005E2891" w:rsidRPr="00F25A60" w:rsidRDefault="005E2891" w:rsidP="0048111F">
            <w:pPr>
              <w:snapToGrid w:val="0"/>
              <w:spacing w:line="240" w:lineRule="auto"/>
              <w:rPr>
                <w:color w:val="000000"/>
              </w:rPr>
            </w:pPr>
            <w:r w:rsidRPr="00F25A60">
              <w:rPr>
                <w:color w:val="000000"/>
              </w:rPr>
              <w:t>Ileus/střev</w:t>
            </w:r>
            <w:r w:rsidR="00580986" w:rsidRPr="00F25A60">
              <w:rPr>
                <w:color w:val="000000"/>
              </w:rPr>
              <w:t>ní obstrukce</w:t>
            </w:r>
            <w:r w:rsidRPr="00F25A60">
              <w:rPr>
                <w:color w:val="000000"/>
              </w:rPr>
              <w:t>*, gastrointestinální perforace*</w:t>
            </w:r>
            <w:r w:rsidRPr="00F25A60">
              <w:rPr>
                <w:snapToGrid w:val="0"/>
                <w:color w:val="000000"/>
              </w:rPr>
              <w:t xml:space="preserve">, </w:t>
            </w:r>
            <w:r w:rsidRPr="00F25A60">
              <w:rPr>
                <w:color w:val="000000"/>
              </w:rPr>
              <w:t>divertikulitida</w:t>
            </w:r>
            <w:r w:rsidRPr="00F25A60">
              <w:rPr>
                <w:snapToGrid w:val="0"/>
                <w:color w:val="000000"/>
              </w:rPr>
              <w:t>*, gastrická antrální vaskulární ektázie (GAVE)*</w:t>
            </w:r>
          </w:p>
        </w:tc>
      </w:tr>
      <w:tr w:rsidR="005E2891" w:rsidRPr="00F25A60" w14:paraId="0480EBC8" w14:textId="77777777" w:rsidTr="00EB4FF7">
        <w:trPr>
          <w:gridBefore w:val="1"/>
          <w:wBefore w:w="12" w:type="dxa"/>
          <w:cantSplit/>
        </w:trPr>
        <w:tc>
          <w:tcPr>
            <w:tcW w:w="9342" w:type="dxa"/>
            <w:gridSpan w:val="5"/>
            <w:tcBorders>
              <w:top w:val="single" w:sz="4" w:space="0" w:color="000000"/>
              <w:left w:val="single" w:sz="4" w:space="0" w:color="000000"/>
              <w:bottom w:val="single" w:sz="4" w:space="0" w:color="000000"/>
              <w:right w:val="single" w:sz="4" w:space="0" w:color="000000"/>
            </w:tcBorders>
          </w:tcPr>
          <w:p w14:paraId="2DCF4B1A" w14:textId="77777777" w:rsidR="005E2891" w:rsidRPr="00F25A60" w:rsidRDefault="005E2891" w:rsidP="0048111F">
            <w:pPr>
              <w:keepNext/>
              <w:snapToGrid w:val="0"/>
              <w:spacing w:line="240" w:lineRule="auto"/>
              <w:rPr>
                <w:b/>
                <w:bCs/>
                <w:color w:val="000000"/>
              </w:rPr>
            </w:pPr>
            <w:r w:rsidRPr="00F25A60">
              <w:rPr>
                <w:b/>
                <w:bCs/>
                <w:color w:val="000000"/>
              </w:rPr>
              <w:t>Poruchy jater a žlučových cest</w:t>
            </w:r>
          </w:p>
        </w:tc>
      </w:tr>
      <w:tr w:rsidR="005E2891" w:rsidRPr="00F25A60" w14:paraId="06E4D8F2"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60E20822" w14:textId="77777777" w:rsidR="005E2891" w:rsidRPr="00F25A60" w:rsidRDefault="005E2891" w:rsidP="0048111F">
            <w:pPr>
              <w:keepNext/>
              <w:snapToGrid w:val="0"/>
              <w:spacing w:line="240" w:lineRule="auto"/>
              <w:rPr>
                <w:i/>
                <w:iCs/>
                <w:color w:val="000000"/>
              </w:rPr>
            </w:pPr>
            <w:r w:rsidRPr="00F25A60">
              <w:rPr>
                <w:i/>
                <w:iCs/>
                <w:color w:val="000000"/>
              </w:rPr>
              <w:t>Časté:</w:t>
            </w:r>
          </w:p>
        </w:tc>
        <w:tc>
          <w:tcPr>
            <w:tcW w:w="7107" w:type="dxa"/>
            <w:tcBorders>
              <w:top w:val="single" w:sz="4" w:space="0" w:color="000000"/>
              <w:left w:val="single" w:sz="4" w:space="0" w:color="000000"/>
              <w:bottom w:val="single" w:sz="4" w:space="0" w:color="000000"/>
              <w:right w:val="single" w:sz="4" w:space="0" w:color="000000"/>
            </w:tcBorders>
          </w:tcPr>
          <w:p w14:paraId="5A5EEE32" w14:textId="77777777" w:rsidR="005E2891" w:rsidRPr="00F25A60" w:rsidRDefault="005E2891" w:rsidP="0048111F">
            <w:pPr>
              <w:keepNext/>
              <w:snapToGrid w:val="0"/>
              <w:spacing w:line="240" w:lineRule="auto"/>
              <w:rPr>
                <w:color w:val="000000"/>
              </w:rPr>
            </w:pPr>
            <w:r w:rsidRPr="00F25A60">
              <w:rPr>
                <w:color w:val="000000"/>
              </w:rPr>
              <w:t>Zvýšení jaterních enzymů</w:t>
            </w:r>
          </w:p>
        </w:tc>
      </w:tr>
      <w:tr w:rsidR="005E2891" w:rsidRPr="00F25A60" w14:paraId="71EEC739"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14637B28" w14:textId="77777777" w:rsidR="005E2891" w:rsidRPr="00F25A60" w:rsidRDefault="005E2891" w:rsidP="0048111F">
            <w:pPr>
              <w:keepNext/>
              <w:snapToGrid w:val="0"/>
              <w:spacing w:line="240" w:lineRule="auto"/>
              <w:rPr>
                <w:i/>
                <w:iCs/>
                <w:color w:val="000000"/>
              </w:rPr>
            </w:pPr>
            <w:r w:rsidRPr="00F25A60">
              <w:rPr>
                <w:i/>
                <w:iCs/>
                <w:color w:val="000000"/>
              </w:rPr>
              <w:t>Méně časté:</w:t>
            </w:r>
          </w:p>
        </w:tc>
        <w:tc>
          <w:tcPr>
            <w:tcW w:w="7107" w:type="dxa"/>
            <w:tcBorders>
              <w:top w:val="single" w:sz="4" w:space="0" w:color="000000"/>
              <w:left w:val="single" w:sz="4" w:space="0" w:color="000000"/>
              <w:bottom w:val="single" w:sz="4" w:space="0" w:color="000000"/>
              <w:right w:val="single" w:sz="4" w:space="0" w:color="000000"/>
            </w:tcBorders>
          </w:tcPr>
          <w:p w14:paraId="47786CB2" w14:textId="77777777" w:rsidR="005E2891" w:rsidRPr="00F25A60" w:rsidRDefault="005E2891" w:rsidP="0048111F">
            <w:pPr>
              <w:keepNext/>
              <w:snapToGrid w:val="0"/>
              <w:spacing w:line="240" w:lineRule="auto"/>
              <w:rPr>
                <w:color w:val="000000"/>
              </w:rPr>
            </w:pPr>
            <w:r w:rsidRPr="00F25A60">
              <w:rPr>
                <w:color w:val="000000"/>
              </w:rPr>
              <w:t>Hyperbilirubinemie, hepatitida, žloutenka</w:t>
            </w:r>
          </w:p>
        </w:tc>
      </w:tr>
      <w:tr w:rsidR="005E2891" w:rsidRPr="00F25A60" w14:paraId="43E96CD7"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705DB863" w14:textId="77777777" w:rsidR="005E2891" w:rsidRPr="00F25A60" w:rsidRDefault="005E2891" w:rsidP="0048111F">
            <w:pPr>
              <w:snapToGrid w:val="0"/>
              <w:spacing w:line="240" w:lineRule="auto"/>
              <w:rPr>
                <w:i/>
                <w:iCs/>
                <w:color w:val="000000"/>
              </w:rPr>
            </w:pPr>
            <w:r w:rsidRPr="00F25A60">
              <w:rPr>
                <w:i/>
                <w:iCs/>
                <w:color w:val="000000"/>
              </w:rPr>
              <w:t>Vzácné:</w:t>
            </w:r>
          </w:p>
        </w:tc>
        <w:tc>
          <w:tcPr>
            <w:tcW w:w="7107" w:type="dxa"/>
            <w:tcBorders>
              <w:top w:val="single" w:sz="4" w:space="0" w:color="000000"/>
              <w:left w:val="single" w:sz="4" w:space="0" w:color="000000"/>
              <w:bottom w:val="single" w:sz="4" w:space="0" w:color="000000"/>
              <w:right w:val="single" w:sz="4" w:space="0" w:color="000000"/>
            </w:tcBorders>
          </w:tcPr>
          <w:p w14:paraId="56779058" w14:textId="77777777" w:rsidR="005E2891" w:rsidRPr="00F25A60" w:rsidRDefault="005E2891" w:rsidP="0048111F">
            <w:pPr>
              <w:snapToGrid w:val="0"/>
              <w:spacing w:line="240" w:lineRule="auto"/>
              <w:rPr>
                <w:color w:val="000000"/>
              </w:rPr>
            </w:pPr>
            <w:r w:rsidRPr="00F25A60">
              <w:rPr>
                <w:color w:val="000000"/>
              </w:rPr>
              <w:t>Jaterní selhání</w:t>
            </w:r>
            <w:r w:rsidRPr="00F25A60">
              <w:rPr>
                <w:color w:val="000000"/>
                <w:vertAlign w:val="superscript"/>
              </w:rPr>
              <w:t>8</w:t>
            </w:r>
            <w:r w:rsidRPr="00F25A60">
              <w:rPr>
                <w:color w:val="000000"/>
              </w:rPr>
              <w:t>, jaterní nekróza</w:t>
            </w:r>
          </w:p>
        </w:tc>
      </w:tr>
      <w:tr w:rsidR="005E2891" w:rsidRPr="00F25A60" w14:paraId="65A7F3A1" w14:textId="77777777" w:rsidTr="00EB4FF7">
        <w:trPr>
          <w:gridBefore w:val="1"/>
          <w:wBefore w:w="12" w:type="dxa"/>
          <w:cantSplit/>
        </w:trPr>
        <w:tc>
          <w:tcPr>
            <w:tcW w:w="9342" w:type="dxa"/>
            <w:gridSpan w:val="5"/>
            <w:tcBorders>
              <w:top w:val="single" w:sz="4" w:space="0" w:color="000000"/>
              <w:left w:val="single" w:sz="4" w:space="0" w:color="000000"/>
              <w:bottom w:val="single" w:sz="4" w:space="0" w:color="000000"/>
              <w:right w:val="single" w:sz="4" w:space="0" w:color="000000"/>
            </w:tcBorders>
          </w:tcPr>
          <w:p w14:paraId="6D014B05" w14:textId="77777777" w:rsidR="005E2891" w:rsidRPr="00F25A60" w:rsidRDefault="005E2891" w:rsidP="0048111F">
            <w:pPr>
              <w:keepNext/>
              <w:snapToGrid w:val="0"/>
              <w:spacing w:line="240" w:lineRule="auto"/>
              <w:rPr>
                <w:i/>
                <w:iCs/>
                <w:color w:val="000000"/>
              </w:rPr>
            </w:pPr>
            <w:r w:rsidRPr="00F25A60">
              <w:rPr>
                <w:b/>
                <w:bCs/>
                <w:color w:val="000000"/>
              </w:rPr>
              <w:t>Poruchy kůže a podkožní tkáně</w:t>
            </w:r>
          </w:p>
        </w:tc>
      </w:tr>
      <w:tr w:rsidR="005E2891" w:rsidRPr="00F25A60" w14:paraId="77C6E9EA"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773A4838" w14:textId="77777777" w:rsidR="005E2891" w:rsidRPr="00F25A60" w:rsidRDefault="005E2891" w:rsidP="0048111F">
            <w:pPr>
              <w:keepNext/>
              <w:snapToGrid w:val="0"/>
              <w:spacing w:line="240" w:lineRule="auto"/>
              <w:rPr>
                <w:i/>
                <w:iCs/>
                <w:color w:val="000000"/>
              </w:rPr>
            </w:pPr>
            <w:r w:rsidRPr="00F25A60">
              <w:rPr>
                <w:i/>
                <w:iCs/>
                <w:color w:val="000000"/>
              </w:rPr>
              <w:t>Velmi časté:</w:t>
            </w:r>
          </w:p>
        </w:tc>
        <w:tc>
          <w:tcPr>
            <w:tcW w:w="7107" w:type="dxa"/>
            <w:tcBorders>
              <w:top w:val="single" w:sz="4" w:space="0" w:color="000000"/>
              <w:left w:val="single" w:sz="4" w:space="0" w:color="000000"/>
              <w:bottom w:val="single" w:sz="4" w:space="0" w:color="000000"/>
              <w:right w:val="single" w:sz="4" w:space="0" w:color="000000"/>
            </w:tcBorders>
          </w:tcPr>
          <w:p w14:paraId="11F1794B" w14:textId="77777777" w:rsidR="005E2891" w:rsidRPr="00F25A60" w:rsidRDefault="005E2891" w:rsidP="0048111F">
            <w:pPr>
              <w:keepNext/>
              <w:snapToGrid w:val="0"/>
              <w:spacing w:line="240" w:lineRule="auto"/>
              <w:rPr>
                <w:color w:val="000000"/>
              </w:rPr>
            </w:pPr>
            <w:r w:rsidRPr="00F25A60">
              <w:rPr>
                <w:color w:val="000000"/>
              </w:rPr>
              <w:t>Periorbitální edém, dermatitida/ekzém/vyrážka</w:t>
            </w:r>
          </w:p>
        </w:tc>
      </w:tr>
      <w:tr w:rsidR="005E2891" w:rsidRPr="00F25A60" w14:paraId="4CBA8B4F"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2508B4A3" w14:textId="77777777" w:rsidR="005E2891" w:rsidRPr="00F25A60" w:rsidRDefault="005E2891" w:rsidP="0048111F">
            <w:pPr>
              <w:keepNext/>
              <w:snapToGrid w:val="0"/>
              <w:spacing w:line="240" w:lineRule="auto"/>
              <w:rPr>
                <w:i/>
                <w:iCs/>
                <w:color w:val="000000"/>
              </w:rPr>
            </w:pPr>
            <w:r w:rsidRPr="00F25A60">
              <w:rPr>
                <w:i/>
                <w:iCs/>
                <w:color w:val="000000"/>
              </w:rPr>
              <w:t>Časté:</w:t>
            </w:r>
          </w:p>
        </w:tc>
        <w:tc>
          <w:tcPr>
            <w:tcW w:w="7107" w:type="dxa"/>
            <w:tcBorders>
              <w:top w:val="single" w:sz="4" w:space="0" w:color="000000"/>
              <w:left w:val="single" w:sz="4" w:space="0" w:color="000000"/>
              <w:bottom w:val="single" w:sz="4" w:space="0" w:color="000000"/>
              <w:right w:val="single" w:sz="4" w:space="0" w:color="000000"/>
            </w:tcBorders>
          </w:tcPr>
          <w:p w14:paraId="5A06AA27" w14:textId="77777777" w:rsidR="005E2891" w:rsidRPr="00F25A60" w:rsidRDefault="005E2891" w:rsidP="0048111F">
            <w:pPr>
              <w:keepNext/>
              <w:snapToGrid w:val="0"/>
              <w:spacing w:line="240" w:lineRule="auto"/>
              <w:rPr>
                <w:color w:val="000000"/>
              </w:rPr>
            </w:pPr>
            <w:r w:rsidRPr="00F25A60">
              <w:rPr>
                <w:color w:val="000000"/>
              </w:rPr>
              <w:t xml:space="preserve">Pruritus, otok obličeje, suchá </w:t>
            </w:r>
            <w:r w:rsidR="00580986" w:rsidRPr="00F25A60">
              <w:rPr>
                <w:color w:val="000000"/>
              </w:rPr>
              <w:t>kůže</w:t>
            </w:r>
            <w:r w:rsidRPr="00F25A60">
              <w:rPr>
                <w:color w:val="000000"/>
              </w:rPr>
              <w:t xml:space="preserve">, erytém, alopecie, noční pocení, </w:t>
            </w:r>
            <w:r w:rsidR="00580986" w:rsidRPr="00F25A60">
              <w:rPr>
                <w:color w:val="000000"/>
              </w:rPr>
              <w:t xml:space="preserve">fotosenzitivní </w:t>
            </w:r>
            <w:r w:rsidRPr="00F25A60">
              <w:rPr>
                <w:color w:val="000000"/>
              </w:rPr>
              <w:t>reakce</w:t>
            </w:r>
          </w:p>
        </w:tc>
      </w:tr>
      <w:tr w:rsidR="005E2891" w:rsidRPr="00F25A60" w14:paraId="37CE7EB3"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2B7F3A2E" w14:textId="77777777" w:rsidR="005E2891" w:rsidRPr="00F25A60" w:rsidRDefault="005E2891" w:rsidP="0048111F">
            <w:pPr>
              <w:keepNext/>
              <w:snapToGrid w:val="0"/>
              <w:spacing w:line="240" w:lineRule="auto"/>
              <w:rPr>
                <w:i/>
                <w:iCs/>
                <w:color w:val="000000"/>
              </w:rPr>
            </w:pPr>
            <w:r w:rsidRPr="00F25A60">
              <w:rPr>
                <w:i/>
                <w:iCs/>
                <w:color w:val="000000"/>
              </w:rPr>
              <w:t>Méně časté:</w:t>
            </w:r>
          </w:p>
        </w:tc>
        <w:tc>
          <w:tcPr>
            <w:tcW w:w="7107" w:type="dxa"/>
            <w:tcBorders>
              <w:top w:val="single" w:sz="4" w:space="0" w:color="000000"/>
              <w:left w:val="single" w:sz="4" w:space="0" w:color="000000"/>
              <w:bottom w:val="single" w:sz="4" w:space="0" w:color="000000"/>
              <w:right w:val="single" w:sz="4" w:space="0" w:color="000000"/>
            </w:tcBorders>
          </w:tcPr>
          <w:p w14:paraId="4AE7C071" w14:textId="2277A46D" w:rsidR="005E2891" w:rsidRPr="00F25A60" w:rsidRDefault="005E2891" w:rsidP="0048111F">
            <w:pPr>
              <w:keepNext/>
              <w:snapToGrid w:val="0"/>
              <w:spacing w:line="240" w:lineRule="auto"/>
              <w:rPr>
                <w:color w:val="000000"/>
              </w:rPr>
            </w:pPr>
            <w:r w:rsidRPr="00F25A60">
              <w:rPr>
                <w:color w:val="000000"/>
              </w:rPr>
              <w:t xml:space="preserve">Pustulózní vyrážka, </w:t>
            </w:r>
            <w:r w:rsidR="00580986" w:rsidRPr="00F25A60">
              <w:rPr>
                <w:color w:val="000000"/>
              </w:rPr>
              <w:t>kontuze</w:t>
            </w:r>
            <w:r w:rsidRPr="00F25A60">
              <w:rPr>
                <w:color w:val="000000"/>
              </w:rPr>
              <w:t>, zvýšené pocení, urtikarie, ekchymóza, zvýšená tendence k tvorbě podlitin, hypotrichóza, hypopigmentace kůže, exfoliativní dermatitida, lámání nehtů, folikulitida, petechie, lupénka, purpura, hyperpigmentace kůže, výsev puchýřů</w:t>
            </w:r>
            <w:r w:rsidR="0099123D">
              <w:rPr>
                <w:color w:val="000000"/>
              </w:rPr>
              <w:t>, panikulitida</w:t>
            </w:r>
            <w:r w:rsidR="0099123D" w:rsidRPr="009450D0">
              <w:rPr>
                <w:color w:val="000000"/>
                <w:vertAlign w:val="superscript"/>
              </w:rPr>
              <w:t>12</w:t>
            </w:r>
          </w:p>
        </w:tc>
      </w:tr>
      <w:tr w:rsidR="005E2891" w:rsidRPr="00F25A60" w14:paraId="0B896C7B"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07DF7618" w14:textId="77777777" w:rsidR="005E2891" w:rsidRPr="00F25A60" w:rsidRDefault="005E2891" w:rsidP="0048111F">
            <w:pPr>
              <w:keepNext/>
              <w:snapToGrid w:val="0"/>
              <w:spacing w:line="240" w:lineRule="auto"/>
              <w:rPr>
                <w:i/>
                <w:iCs/>
                <w:color w:val="000000"/>
              </w:rPr>
            </w:pPr>
            <w:r w:rsidRPr="00F25A60">
              <w:rPr>
                <w:i/>
                <w:iCs/>
                <w:color w:val="000000"/>
              </w:rPr>
              <w:t>Vzácné:</w:t>
            </w:r>
          </w:p>
        </w:tc>
        <w:tc>
          <w:tcPr>
            <w:tcW w:w="7107" w:type="dxa"/>
            <w:tcBorders>
              <w:top w:val="single" w:sz="4" w:space="0" w:color="000000"/>
              <w:left w:val="single" w:sz="4" w:space="0" w:color="000000"/>
              <w:bottom w:val="single" w:sz="4" w:space="0" w:color="000000"/>
              <w:right w:val="single" w:sz="4" w:space="0" w:color="000000"/>
            </w:tcBorders>
          </w:tcPr>
          <w:p w14:paraId="22C21AC3" w14:textId="4B1BFCD8" w:rsidR="005E2891" w:rsidRPr="00F25A60" w:rsidRDefault="005E2891" w:rsidP="0048111F">
            <w:pPr>
              <w:keepNext/>
              <w:snapToGrid w:val="0"/>
              <w:spacing w:line="240" w:lineRule="auto"/>
              <w:rPr>
                <w:b/>
                <w:bCs/>
                <w:color w:val="000000"/>
              </w:rPr>
            </w:pPr>
            <w:r w:rsidRPr="00F25A60">
              <w:rPr>
                <w:color w:val="000000"/>
              </w:rPr>
              <w:t>Akutní febrilní neutrofilní dermatóza (Sweet</w:t>
            </w:r>
            <w:r w:rsidR="00580986" w:rsidRPr="00F25A60">
              <w:rPr>
                <w:color w:val="000000"/>
              </w:rPr>
              <w:t>ův</w:t>
            </w:r>
            <w:r w:rsidRPr="00F25A60">
              <w:rPr>
                <w:color w:val="000000"/>
              </w:rPr>
              <w:t xml:space="preserve"> syndrom), ztráta barvy nehtů, angioneurotický edém, </w:t>
            </w:r>
            <w:r w:rsidR="00580986" w:rsidRPr="00F25A60">
              <w:rPr>
                <w:color w:val="000000"/>
              </w:rPr>
              <w:t xml:space="preserve">vezikulární </w:t>
            </w:r>
            <w:r w:rsidRPr="00F25A60">
              <w:rPr>
                <w:color w:val="000000"/>
              </w:rPr>
              <w:t>vyrážka, multiformní erytém, leukocytoklastická vaskulitida, Stevens</w:t>
            </w:r>
            <w:r w:rsidR="0099123D" w:rsidRPr="00502B73">
              <w:rPr>
                <w:color w:val="000000"/>
              </w:rPr>
              <w:t>ův</w:t>
            </w:r>
            <w:r w:rsidRPr="00F25A60">
              <w:rPr>
                <w:color w:val="000000"/>
              </w:rPr>
              <w:t>-Johnsonův syndrom, akutní generalizovaná exantematózní pustulóza (AGEP)</w:t>
            </w:r>
            <w:r w:rsidR="00054DCC">
              <w:rPr>
                <w:color w:val="000000"/>
              </w:rPr>
              <w:t>, pemphigus*</w:t>
            </w:r>
          </w:p>
        </w:tc>
      </w:tr>
      <w:tr w:rsidR="005E2891" w:rsidRPr="00F25A60" w14:paraId="59A59181"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321362A8" w14:textId="77777777" w:rsidR="005E2891" w:rsidRPr="00F25A60" w:rsidRDefault="005E2891" w:rsidP="0048111F">
            <w:pPr>
              <w:snapToGrid w:val="0"/>
              <w:spacing w:line="240" w:lineRule="auto"/>
              <w:rPr>
                <w:i/>
                <w:iCs/>
                <w:color w:val="000000"/>
              </w:rPr>
            </w:pPr>
            <w:r w:rsidRPr="00F25A60">
              <w:rPr>
                <w:i/>
                <w:iCs/>
                <w:color w:val="000000"/>
              </w:rPr>
              <w:t>Není známo:</w:t>
            </w:r>
          </w:p>
        </w:tc>
        <w:tc>
          <w:tcPr>
            <w:tcW w:w="7107" w:type="dxa"/>
            <w:tcBorders>
              <w:top w:val="single" w:sz="4" w:space="0" w:color="000000"/>
              <w:left w:val="single" w:sz="4" w:space="0" w:color="000000"/>
              <w:bottom w:val="single" w:sz="4" w:space="0" w:color="000000"/>
              <w:right w:val="single" w:sz="4" w:space="0" w:color="000000"/>
            </w:tcBorders>
          </w:tcPr>
          <w:p w14:paraId="2CBC94CF" w14:textId="77777777" w:rsidR="005E2891" w:rsidRPr="00F25A60" w:rsidRDefault="005E2891" w:rsidP="0048111F">
            <w:pPr>
              <w:snapToGrid w:val="0"/>
              <w:spacing w:line="240" w:lineRule="auto"/>
              <w:rPr>
                <w:color w:val="000000"/>
              </w:rPr>
            </w:pPr>
            <w:r w:rsidRPr="00F25A60">
              <w:t>Syndrom palmoplantární erytrodysestezie</w:t>
            </w:r>
            <w:r w:rsidRPr="00F25A60">
              <w:rPr>
                <w:color w:val="000000"/>
              </w:rPr>
              <w:t>*, l</w:t>
            </w:r>
            <w:r w:rsidRPr="00F25A60">
              <w:t>ichenoidní keratóza</w:t>
            </w:r>
            <w:r w:rsidRPr="00F25A60">
              <w:rPr>
                <w:color w:val="000000"/>
              </w:rPr>
              <w:t>*, lichen planus*, t</w:t>
            </w:r>
            <w:r w:rsidRPr="00F25A60">
              <w:t>oxická epidermální nekrolýza</w:t>
            </w:r>
            <w:r w:rsidRPr="00F25A60">
              <w:rPr>
                <w:color w:val="000000"/>
              </w:rPr>
              <w:t>*, p</w:t>
            </w:r>
            <w:r w:rsidRPr="00F25A60">
              <w:t>oléková vyrážka s eozinofilií a systémovými příznaky (DRESS)</w:t>
            </w:r>
            <w:r w:rsidRPr="00F25A60">
              <w:rPr>
                <w:color w:val="000000"/>
              </w:rPr>
              <w:t>*</w:t>
            </w:r>
            <w:r w:rsidR="00C34502" w:rsidRPr="00F25A60">
              <w:rPr>
                <w:color w:val="000000"/>
              </w:rPr>
              <w:t>, pseudoporfyrie*</w:t>
            </w:r>
          </w:p>
        </w:tc>
      </w:tr>
      <w:tr w:rsidR="005E2891" w:rsidRPr="00F25A60" w14:paraId="0C592750" w14:textId="77777777" w:rsidTr="00EB4FF7">
        <w:trPr>
          <w:gridBefore w:val="1"/>
          <w:wBefore w:w="12" w:type="dxa"/>
          <w:cantSplit/>
        </w:trPr>
        <w:tc>
          <w:tcPr>
            <w:tcW w:w="9342" w:type="dxa"/>
            <w:gridSpan w:val="5"/>
            <w:tcBorders>
              <w:top w:val="single" w:sz="4" w:space="0" w:color="000000"/>
              <w:left w:val="single" w:sz="4" w:space="0" w:color="000000"/>
              <w:bottom w:val="single" w:sz="4" w:space="0" w:color="000000"/>
              <w:right w:val="single" w:sz="4" w:space="0" w:color="000000"/>
            </w:tcBorders>
          </w:tcPr>
          <w:p w14:paraId="3FCBE691" w14:textId="77777777" w:rsidR="005E2891" w:rsidRPr="00F25A60" w:rsidRDefault="005E2891" w:rsidP="0048111F">
            <w:pPr>
              <w:keepNext/>
              <w:snapToGrid w:val="0"/>
              <w:spacing w:line="240" w:lineRule="auto"/>
              <w:rPr>
                <w:b/>
                <w:bCs/>
                <w:color w:val="000000"/>
              </w:rPr>
            </w:pPr>
            <w:r w:rsidRPr="00F25A60">
              <w:rPr>
                <w:b/>
                <w:bCs/>
                <w:color w:val="000000"/>
              </w:rPr>
              <w:t>Poruchy svalové a kosterní soustavy a pojivové tkáně</w:t>
            </w:r>
          </w:p>
        </w:tc>
      </w:tr>
      <w:tr w:rsidR="005E2891" w:rsidRPr="00F25A60" w14:paraId="2CC21528"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5345EB59" w14:textId="77777777" w:rsidR="005E2891" w:rsidRPr="00F25A60" w:rsidRDefault="005E2891" w:rsidP="0048111F">
            <w:pPr>
              <w:keepNext/>
              <w:snapToGrid w:val="0"/>
              <w:spacing w:line="240" w:lineRule="auto"/>
              <w:rPr>
                <w:i/>
                <w:iCs/>
                <w:color w:val="000000"/>
              </w:rPr>
            </w:pPr>
            <w:r w:rsidRPr="00F25A60">
              <w:rPr>
                <w:i/>
                <w:iCs/>
                <w:color w:val="000000"/>
              </w:rPr>
              <w:t>Velmi časté:</w:t>
            </w:r>
          </w:p>
        </w:tc>
        <w:tc>
          <w:tcPr>
            <w:tcW w:w="7107" w:type="dxa"/>
            <w:tcBorders>
              <w:top w:val="single" w:sz="4" w:space="0" w:color="000000"/>
              <w:left w:val="single" w:sz="4" w:space="0" w:color="000000"/>
              <w:bottom w:val="single" w:sz="4" w:space="0" w:color="000000"/>
              <w:right w:val="single" w:sz="4" w:space="0" w:color="000000"/>
            </w:tcBorders>
          </w:tcPr>
          <w:p w14:paraId="3C629384" w14:textId="77777777" w:rsidR="005E2891" w:rsidRPr="00F25A60" w:rsidRDefault="005E2891" w:rsidP="0048111F">
            <w:pPr>
              <w:keepNext/>
              <w:snapToGrid w:val="0"/>
              <w:spacing w:line="240" w:lineRule="auto"/>
              <w:rPr>
                <w:color w:val="000000"/>
                <w:vertAlign w:val="superscript"/>
              </w:rPr>
            </w:pPr>
            <w:r w:rsidRPr="00F25A60">
              <w:rPr>
                <w:color w:val="000000"/>
              </w:rPr>
              <w:t>Svalové křeče a záchvaty křečí, muskuloskeletá</w:t>
            </w:r>
            <w:r w:rsidR="00580986" w:rsidRPr="00F25A60">
              <w:rPr>
                <w:color w:val="000000"/>
              </w:rPr>
              <w:t>l</w:t>
            </w:r>
            <w:r w:rsidRPr="00F25A60">
              <w:rPr>
                <w:color w:val="000000"/>
              </w:rPr>
              <w:t>ní bolesti včetně myalgie</w:t>
            </w:r>
            <w:r w:rsidR="00B377FF" w:rsidRPr="00F25A60">
              <w:rPr>
                <w:color w:val="000000"/>
                <w:vertAlign w:val="superscript"/>
              </w:rPr>
              <w:t>9</w:t>
            </w:r>
            <w:r w:rsidRPr="00F25A60">
              <w:rPr>
                <w:color w:val="000000"/>
              </w:rPr>
              <w:t>, artralgie, bolest kostí</w:t>
            </w:r>
            <w:r w:rsidR="00B377FF" w:rsidRPr="00F25A60">
              <w:rPr>
                <w:color w:val="000000"/>
                <w:vertAlign w:val="superscript"/>
              </w:rPr>
              <w:t>10</w:t>
            </w:r>
          </w:p>
        </w:tc>
      </w:tr>
      <w:tr w:rsidR="005E2891" w:rsidRPr="00F25A60" w14:paraId="3056B106"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2CB27015" w14:textId="77777777" w:rsidR="005E2891" w:rsidRPr="00F25A60" w:rsidRDefault="005E2891" w:rsidP="0048111F">
            <w:pPr>
              <w:keepNext/>
              <w:snapToGrid w:val="0"/>
              <w:spacing w:line="240" w:lineRule="auto"/>
              <w:rPr>
                <w:i/>
                <w:iCs/>
                <w:color w:val="000000"/>
              </w:rPr>
            </w:pPr>
            <w:r w:rsidRPr="00F25A60">
              <w:rPr>
                <w:i/>
                <w:iCs/>
                <w:color w:val="000000"/>
              </w:rPr>
              <w:t>Časté:</w:t>
            </w:r>
          </w:p>
        </w:tc>
        <w:tc>
          <w:tcPr>
            <w:tcW w:w="7107" w:type="dxa"/>
            <w:tcBorders>
              <w:top w:val="single" w:sz="4" w:space="0" w:color="000000"/>
              <w:left w:val="single" w:sz="4" w:space="0" w:color="000000"/>
              <w:bottom w:val="single" w:sz="4" w:space="0" w:color="000000"/>
              <w:right w:val="single" w:sz="4" w:space="0" w:color="000000"/>
            </w:tcBorders>
          </w:tcPr>
          <w:p w14:paraId="54829338" w14:textId="77777777" w:rsidR="005E2891" w:rsidRPr="00F25A60" w:rsidRDefault="005E2891" w:rsidP="0048111F">
            <w:pPr>
              <w:keepNext/>
              <w:snapToGrid w:val="0"/>
              <w:spacing w:line="240" w:lineRule="auto"/>
              <w:rPr>
                <w:color w:val="000000"/>
              </w:rPr>
            </w:pPr>
            <w:r w:rsidRPr="00F25A60">
              <w:rPr>
                <w:color w:val="000000"/>
              </w:rPr>
              <w:t>Otoky kloubů</w:t>
            </w:r>
          </w:p>
        </w:tc>
      </w:tr>
      <w:tr w:rsidR="005E2891" w:rsidRPr="00F25A60" w14:paraId="5BC1AD8E"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08D1F951" w14:textId="77777777" w:rsidR="005E2891" w:rsidRPr="00F25A60" w:rsidRDefault="005E2891" w:rsidP="0048111F">
            <w:pPr>
              <w:keepNext/>
              <w:snapToGrid w:val="0"/>
              <w:spacing w:line="240" w:lineRule="auto"/>
              <w:rPr>
                <w:i/>
                <w:iCs/>
                <w:color w:val="000000"/>
              </w:rPr>
            </w:pPr>
            <w:r w:rsidRPr="00F25A60">
              <w:rPr>
                <w:i/>
                <w:iCs/>
                <w:color w:val="000000"/>
              </w:rPr>
              <w:t>Méně časté:</w:t>
            </w:r>
          </w:p>
        </w:tc>
        <w:tc>
          <w:tcPr>
            <w:tcW w:w="7107" w:type="dxa"/>
            <w:tcBorders>
              <w:top w:val="single" w:sz="4" w:space="0" w:color="000000"/>
              <w:left w:val="single" w:sz="4" w:space="0" w:color="000000"/>
              <w:bottom w:val="single" w:sz="4" w:space="0" w:color="000000"/>
              <w:right w:val="single" w:sz="4" w:space="0" w:color="000000"/>
            </w:tcBorders>
          </w:tcPr>
          <w:p w14:paraId="7A564C7F" w14:textId="0A115787" w:rsidR="005E2891" w:rsidRPr="00F25A60" w:rsidRDefault="005E2891" w:rsidP="0048111F">
            <w:pPr>
              <w:keepNext/>
              <w:snapToGrid w:val="0"/>
              <w:spacing w:line="240" w:lineRule="auto"/>
              <w:rPr>
                <w:color w:val="000000"/>
              </w:rPr>
            </w:pPr>
            <w:r w:rsidRPr="00F25A60">
              <w:rPr>
                <w:color w:val="000000"/>
              </w:rPr>
              <w:t>Kloubní a svalová ztuhlost</w:t>
            </w:r>
            <w:r w:rsidR="00054DCC">
              <w:rPr>
                <w:color w:val="000000"/>
              </w:rPr>
              <w:t>, osteonekróza*</w:t>
            </w:r>
          </w:p>
        </w:tc>
      </w:tr>
      <w:tr w:rsidR="005E2891" w:rsidRPr="00F25A60" w14:paraId="6345C605"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302BFF85" w14:textId="77777777" w:rsidR="005E2891" w:rsidRPr="00F25A60" w:rsidRDefault="005E2891" w:rsidP="0048111F">
            <w:pPr>
              <w:keepNext/>
              <w:snapToGrid w:val="0"/>
              <w:spacing w:line="240" w:lineRule="auto"/>
              <w:rPr>
                <w:i/>
                <w:iCs/>
                <w:color w:val="000000"/>
              </w:rPr>
            </w:pPr>
            <w:r w:rsidRPr="00F25A60">
              <w:rPr>
                <w:i/>
                <w:iCs/>
                <w:color w:val="000000"/>
              </w:rPr>
              <w:t>Vzácné:</w:t>
            </w:r>
          </w:p>
        </w:tc>
        <w:tc>
          <w:tcPr>
            <w:tcW w:w="7107" w:type="dxa"/>
            <w:tcBorders>
              <w:top w:val="single" w:sz="4" w:space="0" w:color="000000"/>
              <w:left w:val="single" w:sz="4" w:space="0" w:color="000000"/>
              <w:bottom w:val="single" w:sz="4" w:space="0" w:color="000000"/>
              <w:right w:val="single" w:sz="4" w:space="0" w:color="000000"/>
            </w:tcBorders>
          </w:tcPr>
          <w:p w14:paraId="22F6707A" w14:textId="77777777" w:rsidR="005E2891" w:rsidRPr="00F25A60" w:rsidRDefault="005E2891" w:rsidP="0048111F">
            <w:pPr>
              <w:keepNext/>
              <w:snapToGrid w:val="0"/>
              <w:spacing w:line="240" w:lineRule="auto"/>
              <w:rPr>
                <w:b/>
                <w:bCs/>
                <w:color w:val="000000"/>
              </w:rPr>
            </w:pPr>
            <w:r w:rsidRPr="00F25A60">
              <w:rPr>
                <w:color w:val="000000"/>
              </w:rPr>
              <w:t>Svalová slabost, artritida, rabdomyolýza/myopatie</w:t>
            </w:r>
          </w:p>
        </w:tc>
      </w:tr>
      <w:tr w:rsidR="005E2891" w:rsidRPr="00F25A60" w14:paraId="603A9D8D"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06CA9585" w14:textId="77777777" w:rsidR="005E2891" w:rsidRPr="00F25A60" w:rsidRDefault="005E2891" w:rsidP="0048111F">
            <w:pPr>
              <w:snapToGrid w:val="0"/>
              <w:spacing w:line="240" w:lineRule="auto"/>
              <w:rPr>
                <w:i/>
                <w:iCs/>
                <w:color w:val="000000"/>
              </w:rPr>
            </w:pPr>
            <w:r w:rsidRPr="00F25A60">
              <w:rPr>
                <w:i/>
                <w:iCs/>
                <w:color w:val="000000"/>
              </w:rPr>
              <w:t>Není známo:</w:t>
            </w:r>
          </w:p>
        </w:tc>
        <w:tc>
          <w:tcPr>
            <w:tcW w:w="7107" w:type="dxa"/>
            <w:tcBorders>
              <w:top w:val="single" w:sz="4" w:space="0" w:color="000000"/>
              <w:left w:val="single" w:sz="4" w:space="0" w:color="000000"/>
              <w:bottom w:val="single" w:sz="4" w:space="0" w:color="000000"/>
              <w:right w:val="single" w:sz="4" w:space="0" w:color="000000"/>
            </w:tcBorders>
          </w:tcPr>
          <w:p w14:paraId="24D6D1C8" w14:textId="35509459" w:rsidR="005E2891" w:rsidRPr="00F25A60" w:rsidRDefault="00054DCC" w:rsidP="0048111F">
            <w:pPr>
              <w:snapToGrid w:val="0"/>
              <w:spacing w:line="240" w:lineRule="auto"/>
              <w:rPr>
                <w:color w:val="000000"/>
              </w:rPr>
            </w:pPr>
            <w:r>
              <w:rPr>
                <w:color w:val="000000"/>
              </w:rPr>
              <w:t>R</w:t>
            </w:r>
            <w:r w:rsidR="005E2891" w:rsidRPr="00F25A60">
              <w:rPr>
                <w:color w:val="000000"/>
              </w:rPr>
              <w:t>etardace růstu u dětí*</w:t>
            </w:r>
          </w:p>
        </w:tc>
      </w:tr>
      <w:tr w:rsidR="005E2891" w:rsidRPr="00F25A60" w14:paraId="7B7D4A1D" w14:textId="77777777" w:rsidTr="00EB4FF7">
        <w:trPr>
          <w:gridBefore w:val="1"/>
          <w:wBefore w:w="12" w:type="dxa"/>
          <w:cantSplit/>
        </w:trPr>
        <w:tc>
          <w:tcPr>
            <w:tcW w:w="9342" w:type="dxa"/>
            <w:gridSpan w:val="5"/>
            <w:tcBorders>
              <w:top w:val="single" w:sz="4" w:space="0" w:color="000000"/>
              <w:left w:val="single" w:sz="4" w:space="0" w:color="000000"/>
              <w:bottom w:val="single" w:sz="4" w:space="0" w:color="000000"/>
              <w:right w:val="single" w:sz="4" w:space="0" w:color="000000"/>
            </w:tcBorders>
          </w:tcPr>
          <w:p w14:paraId="43BB1765" w14:textId="77777777" w:rsidR="005E2891" w:rsidRPr="00F25A60" w:rsidRDefault="005E2891" w:rsidP="0048111F">
            <w:pPr>
              <w:keepNext/>
              <w:snapToGrid w:val="0"/>
              <w:spacing w:line="240" w:lineRule="auto"/>
              <w:rPr>
                <w:color w:val="000000"/>
              </w:rPr>
            </w:pPr>
            <w:r w:rsidRPr="00F25A60">
              <w:rPr>
                <w:b/>
                <w:bCs/>
                <w:color w:val="000000"/>
              </w:rPr>
              <w:t>Poruchy ledvin a močových cest</w:t>
            </w:r>
          </w:p>
        </w:tc>
      </w:tr>
      <w:tr w:rsidR="005E2891" w:rsidRPr="00F25A60" w14:paraId="62C0FCD4"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1091453B" w14:textId="77777777" w:rsidR="005E2891" w:rsidRPr="00F25A60" w:rsidRDefault="005E2891" w:rsidP="0048111F">
            <w:pPr>
              <w:keepNext/>
              <w:snapToGrid w:val="0"/>
              <w:spacing w:line="240" w:lineRule="auto"/>
              <w:rPr>
                <w:i/>
                <w:iCs/>
                <w:color w:val="000000"/>
              </w:rPr>
            </w:pPr>
            <w:r w:rsidRPr="00F25A60">
              <w:rPr>
                <w:i/>
                <w:iCs/>
                <w:color w:val="000000"/>
              </w:rPr>
              <w:t>Méně časté:</w:t>
            </w:r>
          </w:p>
        </w:tc>
        <w:tc>
          <w:tcPr>
            <w:tcW w:w="7107" w:type="dxa"/>
            <w:tcBorders>
              <w:top w:val="single" w:sz="4" w:space="0" w:color="000000"/>
              <w:left w:val="single" w:sz="4" w:space="0" w:color="000000"/>
              <w:bottom w:val="single" w:sz="4" w:space="0" w:color="000000"/>
              <w:right w:val="single" w:sz="4" w:space="0" w:color="000000"/>
            </w:tcBorders>
          </w:tcPr>
          <w:p w14:paraId="3019A44D" w14:textId="77777777" w:rsidR="005E2891" w:rsidRPr="00F25A60" w:rsidRDefault="005E2891" w:rsidP="0048111F">
            <w:pPr>
              <w:keepNext/>
              <w:snapToGrid w:val="0"/>
              <w:spacing w:line="240" w:lineRule="auto"/>
              <w:rPr>
                <w:color w:val="000000"/>
              </w:rPr>
            </w:pPr>
            <w:r w:rsidRPr="00F25A60">
              <w:rPr>
                <w:color w:val="000000"/>
              </w:rPr>
              <w:t>Bolest ledvin, hematurie, akutní selhání ledvin, zvýšená frekvence močení</w:t>
            </w:r>
          </w:p>
        </w:tc>
      </w:tr>
      <w:tr w:rsidR="008913CE" w:rsidRPr="00F25A60" w14:paraId="62F5903F"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20B04F92" w14:textId="77777777" w:rsidR="008913CE" w:rsidRPr="00F25A60" w:rsidRDefault="008913CE" w:rsidP="0048111F">
            <w:pPr>
              <w:snapToGrid w:val="0"/>
              <w:spacing w:line="240" w:lineRule="auto"/>
              <w:rPr>
                <w:i/>
                <w:iCs/>
                <w:color w:val="000000"/>
              </w:rPr>
            </w:pPr>
            <w:r w:rsidRPr="00F25A60">
              <w:rPr>
                <w:i/>
                <w:color w:val="000000"/>
              </w:rPr>
              <w:t>Není známo:</w:t>
            </w:r>
          </w:p>
        </w:tc>
        <w:tc>
          <w:tcPr>
            <w:tcW w:w="7107" w:type="dxa"/>
            <w:tcBorders>
              <w:top w:val="single" w:sz="4" w:space="0" w:color="000000"/>
              <w:left w:val="single" w:sz="4" w:space="0" w:color="000000"/>
              <w:bottom w:val="single" w:sz="4" w:space="0" w:color="000000"/>
              <w:right w:val="single" w:sz="4" w:space="0" w:color="000000"/>
            </w:tcBorders>
          </w:tcPr>
          <w:p w14:paraId="26E965DD" w14:textId="77777777" w:rsidR="008913CE" w:rsidRPr="00F25A60" w:rsidRDefault="008913CE" w:rsidP="0048111F">
            <w:pPr>
              <w:snapToGrid w:val="0"/>
              <w:spacing w:line="240" w:lineRule="auto"/>
              <w:rPr>
                <w:color w:val="000000"/>
              </w:rPr>
            </w:pPr>
            <w:r w:rsidRPr="00F25A60">
              <w:rPr>
                <w:color w:val="000000"/>
              </w:rPr>
              <w:t>Chronické selhání ledvin</w:t>
            </w:r>
          </w:p>
        </w:tc>
      </w:tr>
      <w:tr w:rsidR="008913CE" w:rsidRPr="00F25A60" w14:paraId="3221A34D" w14:textId="77777777" w:rsidTr="00EB4FF7">
        <w:trPr>
          <w:gridBefore w:val="1"/>
          <w:wBefore w:w="12" w:type="dxa"/>
          <w:cantSplit/>
        </w:trPr>
        <w:tc>
          <w:tcPr>
            <w:tcW w:w="9342" w:type="dxa"/>
            <w:gridSpan w:val="5"/>
            <w:tcBorders>
              <w:top w:val="single" w:sz="4" w:space="0" w:color="000000"/>
              <w:left w:val="single" w:sz="4" w:space="0" w:color="000000"/>
              <w:bottom w:val="single" w:sz="4" w:space="0" w:color="000000"/>
              <w:right w:val="single" w:sz="4" w:space="0" w:color="000000"/>
            </w:tcBorders>
          </w:tcPr>
          <w:p w14:paraId="01ABAD3D" w14:textId="77777777" w:rsidR="008913CE" w:rsidRPr="00F25A60" w:rsidRDefault="008913CE" w:rsidP="0048111F">
            <w:pPr>
              <w:keepNext/>
              <w:snapToGrid w:val="0"/>
              <w:spacing w:line="240" w:lineRule="auto"/>
              <w:rPr>
                <w:b/>
                <w:bCs/>
                <w:color w:val="000000"/>
              </w:rPr>
            </w:pPr>
            <w:r w:rsidRPr="00F25A60">
              <w:rPr>
                <w:b/>
                <w:bCs/>
                <w:color w:val="000000"/>
              </w:rPr>
              <w:t>Poruchy reprodukčního systému a prsu</w:t>
            </w:r>
          </w:p>
        </w:tc>
      </w:tr>
      <w:tr w:rsidR="008913CE" w:rsidRPr="00F25A60" w14:paraId="1590BAFE"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4F8285E9" w14:textId="77777777" w:rsidR="008913CE" w:rsidRPr="00F25A60" w:rsidRDefault="008913CE" w:rsidP="0048111F">
            <w:pPr>
              <w:keepNext/>
              <w:snapToGrid w:val="0"/>
              <w:spacing w:line="240" w:lineRule="auto"/>
              <w:rPr>
                <w:i/>
                <w:iCs/>
                <w:color w:val="000000"/>
              </w:rPr>
            </w:pPr>
            <w:r w:rsidRPr="00F25A60">
              <w:rPr>
                <w:i/>
                <w:iCs/>
                <w:color w:val="000000"/>
              </w:rPr>
              <w:t>Méně časté:</w:t>
            </w:r>
          </w:p>
        </w:tc>
        <w:tc>
          <w:tcPr>
            <w:tcW w:w="7107" w:type="dxa"/>
            <w:tcBorders>
              <w:top w:val="single" w:sz="4" w:space="0" w:color="000000"/>
              <w:left w:val="single" w:sz="4" w:space="0" w:color="000000"/>
              <w:bottom w:val="single" w:sz="4" w:space="0" w:color="000000"/>
              <w:right w:val="single" w:sz="4" w:space="0" w:color="000000"/>
            </w:tcBorders>
          </w:tcPr>
          <w:p w14:paraId="5D580A51" w14:textId="77777777" w:rsidR="008913CE" w:rsidRPr="00F25A60" w:rsidRDefault="008913CE" w:rsidP="0048111F">
            <w:pPr>
              <w:keepNext/>
              <w:snapToGrid w:val="0"/>
              <w:spacing w:line="240" w:lineRule="auto"/>
              <w:rPr>
                <w:color w:val="000000"/>
              </w:rPr>
            </w:pPr>
            <w:r w:rsidRPr="00F25A60">
              <w:rPr>
                <w:color w:val="000000"/>
              </w:rPr>
              <w:t>Gynekomastie, erektilní dysfunkce, menoragie, nepravidelná menstruace,</w:t>
            </w:r>
            <w:r w:rsidR="00F014F4" w:rsidRPr="00F25A60">
              <w:rPr>
                <w:color w:val="000000"/>
              </w:rPr>
              <w:t xml:space="preserve"> </w:t>
            </w:r>
            <w:r w:rsidRPr="00F25A60">
              <w:rPr>
                <w:color w:val="000000"/>
              </w:rPr>
              <w:t xml:space="preserve">sexuální </w:t>
            </w:r>
            <w:r w:rsidR="00580986" w:rsidRPr="00F25A60">
              <w:rPr>
                <w:color w:val="000000"/>
              </w:rPr>
              <w:t>dys</w:t>
            </w:r>
            <w:r w:rsidRPr="00F25A60">
              <w:rPr>
                <w:color w:val="000000"/>
              </w:rPr>
              <w:t>funkce, bolest bradavek, zvětšení prs</w:t>
            </w:r>
            <w:r w:rsidR="00580986" w:rsidRPr="00F25A60">
              <w:rPr>
                <w:color w:val="000000"/>
              </w:rPr>
              <w:t>ů</w:t>
            </w:r>
            <w:r w:rsidRPr="00F25A60">
              <w:rPr>
                <w:color w:val="000000"/>
              </w:rPr>
              <w:t>, edém skrota</w:t>
            </w:r>
          </w:p>
        </w:tc>
      </w:tr>
      <w:tr w:rsidR="008913CE" w:rsidRPr="00F25A60" w14:paraId="77C56306"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6C625586" w14:textId="77777777" w:rsidR="008913CE" w:rsidRPr="00F25A60" w:rsidRDefault="008913CE" w:rsidP="0048111F">
            <w:pPr>
              <w:snapToGrid w:val="0"/>
              <w:spacing w:line="240" w:lineRule="auto"/>
              <w:rPr>
                <w:i/>
                <w:iCs/>
                <w:color w:val="000000"/>
              </w:rPr>
            </w:pPr>
            <w:r w:rsidRPr="00F25A60">
              <w:rPr>
                <w:i/>
                <w:iCs/>
                <w:color w:val="000000"/>
              </w:rPr>
              <w:t>Vzácné:</w:t>
            </w:r>
          </w:p>
        </w:tc>
        <w:tc>
          <w:tcPr>
            <w:tcW w:w="7107" w:type="dxa"/>
            <w:tcBorders>
              <w:top w:val="single" w:sz="4" w:space="0" w:color="000000"/>
              <w:left w:val="single" w:sz="4" w:space="0" w:color="000000"/>
              <w:bottom w:val="single" w:sz="4" w:space="0" w:color="000000"/>
              <w:right w:val="single" w:sz="4" w:space="0" w:color="000000"/>
            </w:tcBorders>
          </w:tcPr>
          <w:p w14:paraId="1377D8D0" w14:textId="77777777" w:rsidR="008913CE" w:rsidRPr="00F25A60" w:rsidRDefault="008913CE" w:rsidP="0048111F">
            <w:pPr>
              <w:snapToGrid w:val="0"/>
              <w:spacing w:line="240" w:lineRule="auto"/>
              <w:rPr>
                <w:color w:val="000000"/>
              </w:rPr>
            </w:pPr>
            <w:r w:rsidRPr="00F25A60">
              <w:rPr>
                <w:color w:val="000000"/>
              </w:rPr>
              <w:t>Hemoragické žluté tělísko/hemoragické cysty na vaječnících</w:t>
            </w:r>
          </w:p>
        </w:tc>
      </w:tr>
      <w:tr w:rsidR="008913CE" w:rsidRPr="00F25A60" w14:paraId="1F807462" w14:textId="77777777" w:rsidTr="00EB4FF7">
        <w:trPr>
          <w:gridBefore w:val="1"/>
          <w:wBefore w:w="12" w:type="dxa"/>
          <w:cantSplit/>
        </w:trPr>
        <w:tc>
          <w:tcPr>
            <w:tcW w:w="9342" w:type="dxa"/>
            <w:gridSpan w:val="5"/>
            <w:tcBorders>
              <w:top w:val="single" w:sz="4" w:space="0" w:color="000000"/>
              <w:left w:val="single" w:sz="4" w:space="0" w:color="000000"/>
              <w:bottom w:val="single" w:sz="4" w:space="0" w:color="000000"/>
              <w:right w:val="single" w:sz="4" w:space="0" w:color="000000"/>
            </w:tcBorders>
          </w:tcPr>
          <w:p w14:paraId="6A74D79C" w14:textId="77777777" w:rsidR="008913CE" w:rsidRPr="00F25A60" w:rsidRDefault="008913CE" w:rsidP="0048111F">
            <w:pPr>
              <w:keepNext/>
              <w:snapToGrid w:val="0"/>
              <w:spacing w:line="240" w:lineRule="auto"/>
              <w:rPr>
                <w:i/>
                <w:iCs/>
                <w:color w:val="000000"/>
              </w:rPr>
            </w:pPr>
            <w:r w:rsidRPr="00F25A60">
              <w:rPr>
                <w:b/>
                <w:bCs/>
                <w:color w:val="000000"/>
              </w:rPr>
              <w:t>Celkové poruchy a reakce v místě aplikace</w:t>
            </w:r>
          </w:p>
        </w:tc>
      </w:tr>
      <w:tr w:rsidR="008913CE" w:rsidRPr="00F25A60" w14:paraId="244752B3"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1DFD9EFB" w14:textId="77777777" w:rsidR="008913CE" w:rsidRPr="00F25A60" w:rsidRDefault="008913CE" w:rsidP="0048111F">
            <w:pPr>
              <w:keepNext/>
              <w:snapToGrid w:val="0"/>
              <w:spacing w:line="240" w:lineRule="auto"/>
              <w:rPr>
                <w:i/>
                <w:iCs/>
                <w:color w:val="000000"/>
              </w:rPr>
            </w:pPr>
            <w:r w:rsidRPr="00F25A60">
              <w:rPr>
                <w:i/>
                <w:iCs/>
                <w:color w:val="000000"/>
              </w:rPr>
              <w:t>Velmi časté:</w:t>
            </w:r>
          </w:p>
        </w:tc>
        <w:tc>
          <w:tcPr>
            <w:tcW w:w="7107" w:type="dxa"/>
            <w:tcBorders>
              <w:top w:val="single" w:sz="4" w:space="0" w:color="000000"/>
              <w:left w:val="single" w:sz="4" w:space="0" w:color="000000"/>
              <w:bottom w:val="single" w:sz="4" w:space="0" w:color="000000"/>
              <w:right w:val="single" w:sz="4" w:space="0" w:color="000000"/>
            </w:tcBorders>
          </w:tcPr>
          <w:p w14:paraId="25C8D2AF" w14:textId="77777777" w:rsidR="008913CE" w:rsidRPr="00F25A60" w:rsidRDefault="008913CE" w:rsidP="0048111F">
            <w:pPr>
              <w:keepNext/>
              <w:snapToGrid w:val="0"/>
              <w:spacing w:line="240" w:lineRule="auto"/>
              <w:rPr>
                <w:color w:val="000000"/>
              </w:rPr>
            </w:pPr>
            <w:r w:rsidRPr="00F25A60">
              <w:rPr>
                <w:color w:val="000000"/>
              </w:rPr>
              <w:t>Zadržování tekutin a edémy, únava</w:t>
            </w:r>
          </w:p>
        </w:tc>
      </w:tr>
      <w:tr w:rsidR="008913CE" w:rsidRPr="00F25A60" w14:paraId="6B4A11AC"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5F3C6FAC" w14:textId="77777777" w:rsidR="008913CE" w:rsidRPr="00F25A60" w:rsidRDefault="008913CE" w:rsidP="0048111F">
            <w:pPr>
              <w:keepNext/>
              <w:snapToGrid w:val="0"/>
              <w:spacing w:line="240" w:lineRule="auto"/>
              <w:rPr>
                <w:i/>
                <w:iCs/>
                <w:color w:val="000000"/>
              </w:rPr>
            </w:pPr>
            <w:r w:rsidRPr="00F25A60">
              <w:rPr>
                <w:i/>
                <w:iCs/>
                <w:color w:val="000000"/>
              </w:rPr>
              <w:t>Časté:</w:t>
            </w:r>
          </w:p>
        </w:tc>
        <w:tc>
          <w:tcPr>
            <w:tcW w:w="7107" w:type="dxa"/>
            <w:tcBorders>
              <w:top w:val="single" w:sz="4" w:space="0" w:color="000000"/>
              <w:left w:val="single" w:sz="4" w:space="0" w:color="000000"/>
              <w:bottom w:val="single" w:sz="4" w:space="0" w:color="000000"/>
              <w:right w:val="single" w:sz="4" w:space="0" w:color="000000"/>
            </w:tcBorders>
          </w:tcPr>
          <w:p w14:paraId="2C9500BD" w14:textId="77777777" w:rsidR="008913CE" w:rsidRPr="00F25A60" w:rsidRDefault="008913CE" w:rsidP="0048111F">
            <w:pPr>
              <w:keepNext/>
              <w:snapToGrid w:val="0"/>
              <w:spacing w:line="240" w:lineRule="auto"/>
              <w:rPr>
                <w:color w:val="000000"/>
              </w:rPr>
            </w:pPr>
            <w:r w:rsidRPr="00F25A60">
              <w:rPr>
                <w:color w:val="000000"/>
              </w:rPr>
              <w:t xml:space="preserve">Slabost, pyrexie, anasarka, </w:t>
            </w:r>
            <w:r w:rsidR="00580986" w:rsidRPr="00F25A60">
              <w:rPr>
                <w:color w:val="000000"/>
              </w:rPr>
              <w:t>zimnice</w:t>
            </w:r>
            <w:r w:rsidRPr="00F25A60">
              <w:rPr>
                <w:color w:val="000000"/>
              </w:rPr>
              <w:t>, ztuhlost</w:t>
            </w:r>
          </w:p>
        </w:tc>
      </w:tr>
      <w:tr w:rsidR="008913CE" w:rsidRPr="00F25A60" w14:paraId="722BF182"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1394EA79" w14:textId="77777777" w:rsidR="008913CE" w:rsidRPr="00F25A60" w:rsidRDefault="008913CE" w:rsidP="0048111F">
            <w:pPr>
              <w:snapToGrid w:val="0"/>
              <w:spacing w:line="240" w:lineRule="auto"/>
              <w:rPr>
                <w:i/>
                <w:iCs/>
                <w:color w:val="000000"/>
              </w:rPr>
            </w:pPr>
            <w:r w:rsidRPr="00F25A60">
              <w:rPr>
                <w:i/>
                <w:iCs/>
                <w:color w:val="000000"/>
              </w:rPr>
              <w:t>Méně časté:</w:t>
            </w:r>
          </w:p>
        </w:tc>
        <w:tc>
          <w:tcPr>
            <w:tcW w:w="7107" w:type="dxa"/>
            <w:tcBorders>
              <w:top w:val="single" w:sz="4" w:space="0" w:color="000000"/>
              <w:left w:val="single" w:sz="4" w:space="0" w:color="000000"/>
              <w:bottom w:val="single" w:sz="4" w:space="0" w:color="000000"/>
              <w:right w:val="single" w:sz="4" w:space="0" w:color="000000"/>
            </w:tcBorders>
          </w:tcPr>
          <w:p w14:paraId="52F3E884" w14:textId="77777777" w:rsidR="008913CE" w:rsidRPr="00F25A60" w:rsidRDefault="008913CE" w:rsidP="0048111F">
            <w:pPr>
              <w:snapToGrid w:val="0"/>
              <w:spacing w:line="240" w:lineRule="auto"/>
              <w:rPr>
                <w:color w:val="000000"/>
              </w:rPr>
            </w:pPr>
            <w:r w:rsidRPr="00F25A60">
              <w:rPr>
                <w:color w:val="000000"/>
              </w:rPr>
              <w:t>Bolest na hrudi, malátnost</w:t>
            </w:r>
          </w:p>
        </w:tc>
      </w:tr>
      <w:tr w:rsidR="008913CE" w:rsidRPr="00F25A60" w14:paraId="29B39713" w14:textId="77777777" w:rsidTr="00EB4FF7">
        <w:trPr>
          <w:gridBefore w:val="1"/>
          <w:wBefore w:w="12" w:type="dxa"/>
          <w:cantSplit/>
        </w:trPr>
        <w:tc>
          <w:tcPr>
            <w:tcW w:w="9342" w:type="dxa"/>
            <w:gridSpan w:val="5"/>
            <w:tcBorders>
              <w:top w:val="single" w:sz="4" w:space="0" w:color="000000"/>
              <w:left w:val="single" w:sz="4" w:space="0" w:color="000000"/>
              <w:bottom w:val="single" w:sz="4" w:space="0" w:color="000000"/>
              <w:right w:val="single" w:sz="4" w:space="0" w:color="000000"/>
            </w:tcBorders>
          </w:tcPr>
          <w:p w14:paraId="1ADCF51A" w14:textId="77777777" w:rsidR="008913CE" w:rsidRPr="00F25A60" w:rsidRDefault="008913CE" w:rsidP="0048111F">
            <w:pPr>
              <w:keepNext/>
              <w:snapToGrid w:val="0"/>
              <w:spacing w:line="240" w:lineRule="auto"/>
              <w:rPr>
                <w:color w:val="000000"/>
              </w:rPr>
            </w:pPr>
            <w:r w:rsidRPr="00F25A60">
              <w:rPr>
                <w:b/>
                <w:bCs/>
                <w:color w:val="000000"/>
              </w:rPr>
              <w:lastRenderedPageBreak/>
              <w:t>Vyšetření</w:t>
            </w:r>
          </w:p>
        </w:tc>
      </w:tr>
      <w:tr w:rsidR="008913CE" w:rsidRPr="00F25A60" w14:paraId="671FB581"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69B78952" w14:textId="77777777" w:rsidR="008913CE" w:rsidRPr="00F25A60" w:rsidRDefault="008913CE" w:rsidP="0048111F">
            <w:pPr>
              <w:keepNext/>
              <w:snapToGrid w:val="0"/>
              <w:spacing w:line="240" w:lineRule="auto"/>
              <w:rPr>
                <w:i/>
                <w:iCs/>
                <w:color w:val="000000"/>
              </w:rPr>
            </w:pPr>
            <w:r w:rsidRPr="00F25A60">
              <w:rPr>
                <w:i/>
                <w:iCs/>
                <w:color w:val="000000"/>
              </w:rPr>
              <w:t>Velmi časté:</w:t>
            </w:r>
          </w:p>
        </w:tc>
        <w:tc>
          <w:tcPr>
            <w:tcW w:w="7107" w:type="dxa"/>
            <w:tcBorders>
              <w:top w:val="single" w:sz="4" w:space="0" w:color="000000"/>
              <w:left w:val="single" w:sz="4" w:space="0" w:color="000000"/>
              <w:bottom w:val="single" w:sz="4" w:space="0" w:color="000000"/>
              <w:right w:val="single" w:sz="4" w:space="0" w:color="000000"/>
            </w:tcBorders>
          </w:tcPr>
          <w:p w14:paraId="411BEB53" w14:textId="77777777" w:rsidR="008913CE" w:rsidRPr="00F25A60" w:rsidRDefault="008913CE" w:rsidP="0048111F">
            <w:pPr>
              <w:keepNext/>
              <w:snapToGrid w:val="0"/>
              <w:spacing w:line="240" w:lineRule="auto"/>
              <w:rPr>
                <w:color w:val="000000"/>
              </w:rPr>
            </w:pPr>
            <w:r w:rsidRPr="00F25A60">
              <w:rPr>
                <w:color w:val="000000"/>
              </w:rPr>
              <w:t xml:space="preserve">Zvýšení </w:t>
            </w:r>
            <w:r w:rsidR="00580986" w:rsidRPr="00F25A60">
              <w:rPr>
                <w:color w:val="000000"/>
              </w:rPr>
              <w:t>tělesné</w:t>
            </w:r>
            <w:r w:rsidRPr="00F25A60">
              <w:rPr>
                <w:color w:val="000000"/>
              </w:rPr>
              <w:t>hmotnosti</w:t>
            </w:r>
          </w:p>
        </w:tc>
      </w:tr>
      <w:tr w:rsidR="008913CE" w:rsidRPr="00F25A60" w14:paraId="6DF44A6C"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4682F459" w14:textId="77777777" w:rsidR="008913CE" w:rsidRPr="00F25A60" w:rsidRDefault="008913CE" w:rsidP="0048111F">
            <w:pPr>
              <w:keepNext/>
              <w:snapToGrid w:val="0"/>
              <w:spacing w:line="240" w:lineRule="auto"/>
              <w:rPr>
                <w:i/>
                <w:iCs/>
                <w:color w:val="000000"/>
              </w:rPr>
            </w:pPr>
            <w:r w:rsidRPr="00F25A60">
              <w:rPr>
                <w:i/>
                <w:iCs/>
                <w:color w:val="000000"/>
              </w:rPr>
              <w:t>Časté:</w:t>
            </w:r>
          </w:p>
        </w:tc>
        <w:tc>
          <w:tcPr>
            <w:tcW w:w="7107" w:type="dxa"/>
            <w:tcBorders>
              <w:top w:val="single" w:sz="4" w:space="0" w:color="000000"/>
              <w:left w:val="single" w:sz="4" w:space="0" w:color="000000"/>
              <w:bottom w:val="single" w:sz="4" w:space="0" w:color="000000"/>
              <w:right w:val="single" w:sz="4" w:space="0" w:color="000000"/>
            </w:tcBorders>
          </w:tcPr>
          <w:p w14:paraId="28E4D60C" w14:textId="77777777" w:rsidR="008913CE" w:rsidRPr="00F25A60" w:rsidRDefault="008913CE" w:rsidP="0048111F">
            <w:pPr>
              <w:keepNext/>
              <w:snapToGrid w:val="0"/>
              <w:spacing w:line="240" w:lineRule="auto"/>
              <w:rPr>
                <w:color w:val="000000"/>
              </w:rPr>
            </w:pPr>
            <w:r w:rsidRPr="00F25A60">
              <w:rPr>
                <w:color w:val="000000"/>
              </w:rPr>
              <w:t xml:space="preserve">Snížení </w:t>
            </w:r>
            <w:r w:rsidR="00580986" w:rsidRPr="00F25A60">
              <w:rPr>
                <w:color w:val="000000"/>
              </w:rPr>
              <w:t xml:space="preserve">tělesné </w:t>
            </w:r>
            <w:r w:rsidRPr="00F25A60">
              <w:rPr>
                <w:color w:val="000000"/>
              </w:rPr>
              <w:t>hmotnosti</w:t>
            </w:r>
          </w:p>
        </w:tc>
      </w:tr>
      <w:tr w:rsidR="008913CE" w:rsidRPr="00F25A60" w14:paraId="75BE0295" w14:textId="77777777" w:rsidTr="00EB4FF7">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4FD7F6B0" w14:textId="77777777" w:rsidR="008913CE" w:rsidRPr="00F25A60" w:rsidRDefault="008913CE" w:rsidP="0048111F">
            <w:pPr>
              <w:keepNext/>
              <w:snapToGrid w:val="0"/>
              <w:spacing w:line="240" w:lineRule="auto"/>
              <w:rPr>
                <w:i/>
                <w:iCs/>
                <w:color w:val="000000"/>
              </w:rPr>
            </w:pPr>
            <w:r w:rsidRPr="00F25A60">
              <w:rPr>
                <w:i/>
                <w:iCs/>
                <w:color w:val="000000"/>
              </w:rPr>
              <w:t>Méně časté:</w:t>
            </w:r>
          </w:p>
        </w:tc>
        <w:tc>
          <w:tcPr>
            <w:tcW w:w="7107" w:type="dxa"/>
            <w:tcBorders>
              <w:top w:val="single" w:sz="4" w:space="0" w:color="000000"/>
              <w:left w:val="single" w:sz="4" w:space="0" w:color="000000"/>
              <w:bottom w:val="single" w:sz="4" w:space="0" w:color="000000"/>
              <w:right w:val="single" w:sz="4" w:space="0" w:color="000000"/>
            </w:tcBorders>
          </w:tcPr>
          <w:p w14:paraId="2B1F95AE" w14:textId="77777777" w:rsidR="008913CE" w:rsidRPr="00F25A60" w:rsidRDefault="008913CE" w:rsidP="0048111F">
            <w:pPr>
              <w:keepNext/>
              <w:snapToGrid w:val="0"/>
              <w:spacing w:line="240" w:lineRule="auto"/>
              <w:rPr>
                <w:color w:val="000000"/>
              </w:rPr>
            </w:pPr>
            <w:r w:rsidRPr="00F25A60">
              <w:rPr>
                <w:color w:val="000000"/>
              </w:rPr>
              <w:t>Zvýšení koncentrace kreatininu v krvi, zvýšení kreatinfosfokinázy v krvi, zvýšení laktátdehydrogenázy v krvi, zvýšení alkalické fosfatázy v krvi</w:t>
            </w:r>
          </w:p>
        </w:tc>
      </w:tr>
      <w:tr w:rsidR="008913CE" w:rsidRPr="00F25A60" w14:paraId="55FB9AB3" w14:textId="77777777" w:rsidTr="0048111F">
        <w:trPr>
          <w:gridBefore w:val="1"/>
          <w:wBefore w:w="12" w:type="dxa"/>
          <w:cantSplit/>
        </w:trPr>
        <w:tc>
          <w:tcPr>
            <w:tcW w:w="2235" w:type="dxa"/>
            <w:gridSpan w:val="4"/>
            <w:tcBorders>
              <w:top w:val="single" w:sz="4" w:space="0" w:color="000000"/>
              <w:left w:val="single" w:sz="4" w:space="0" w:color="000000"/>
              <w:bottom w:val="single" w:sz="4" w:space="0" w:color="000000"/>
            </w:tcBorders>
          </w:tcPr>
          <w:p w14:paraId="15760E2F" w14:textId="77777777" w:rsidR="008913CE" w:rsidRPr="00F25A60" w:rsidRDefault="008913CE" w:rsidP="0048111F">
            <w:pPr>
              <w:keepNext/>
              <w:snapToGrid w:val="0"/>
              <w:spacing w:line="240" w:lineRule="auto"/>
              <w:rPr>
                <w:i/>
                <w:iCs/>
                <w:color w:val="000000"/>
              </w:rPr>
            </w:pPr>
            <w:r w:rsidRPr="00F25A60">
              <w:rPr>
                <w:i/>
                <w:iCs/>
                <w:color w:val="000000"/>
              </w:rPr>
              <w:t>Vzácné:</w:t>
            </w:r>
          </w:p>
        </w:tc>
        <w:tc>
          <w:tcPr>
            <w:tcW w:w="7107" w:type="dxa"/>
            <w:tcBorders>
              <w:top w:val="single" w:sz="4" w:space="0" w:color="000000"/>
              <w:left w:val="single" w:sz="4" w:space="0" w:color="000000"/>
              <w:bottom w:val="single" w:sz="4" w:space="0" w:color="000000"/>
              <w:right w:val="single" w:sz="4" w:space="0" w:color="000000"/>
            </w:tcBorders>
          </w:tcPr>
          <w:p w14:paraId="6D0AE4E2" w14:textId="77777777" w:rsidR="008913CE" w:rsidRPr="00F25A60" w:rsidRDefault="008913CE" w:rsidP="0048111F">
            <w:pPr>
              <w:keepNext/>
              <w:snapToGrid w:val="0"/>
              <w:spacing w:line="240" w:lineRule="auto"/>
              <w:rPr>
                <w:color w:val="000000"/>
              </w:rPr>
            </w:pPr>
            <w:r w:rsidRPr="00F25A60">
              <w:rPr>
                <w:color w:val="000000"/>
              </w:rPr>
              <w:t>Zvýšení amylázy v</w:t>
            </w:r>
            <w:r w:rsidR="001927EB" w:rsidRPr="00F25A60">
              <w:rPr>
                <w:color w:val="000000"/>
              </w:rPr>
              <w:t> </w:t>
            </w:r>
            <w:r w:rsidRPr="00F25A60">
              <w:rPr>
                <w:color w:val="000000"/>
              </w:rPr>
              <w:t>krvi</w:t>
            </w:r>
          </w:p>
        </w:tc>
      </w:tr>
      <w:tr w:rsidR="00897079" w:rsidRPr="00F25A60" w14:paraId="2C515F70" w14:textId="77777777" w:rsidTr="00F910C1">
        <w:trPr>
          <w:cantSplit/>
          <w:ins w:id="121" w:author="Author"/>
        </w:trPr>
        <w:tc>
          <w:tcPr>
            <w:tcW w:w="9342" w:type="dxa"/>
            <w:gridSpan w:val="6"/>
            <w:tcBorders>
              <w:top w:val="single" w:sz="4" w:space="0" w:color="000000"/>
              <w:left w:val="single" w:sz="4" w:space="0" w:color="000000"/>
              <w:bottom w:val="single" w:sz="4" w:space="0" w:color="000000"/>
              <w:right w:val="single" w:sz="4" w:space="0" w:color="000000"/>
            </w:tcBorders>
          </w:tcPr>
          <w:p w14:paraId="3111663B" w14:textId="715489BC" w:rsidR="00897079" w:rsidRPr="00A1612C" w:rsidRDefault="00897079" w:rsidP="0048111F">
            <w:pPr>
              <w:keepNext/>
              <w:keepLines/>
              <w:spacing w:line="240" w:lineRule="auto"/>
              <w:ind w:left="567" w:hanging="567"/>
              <w:rPr>
                <w:ins w:id="122" w:author="Author"/>
                <w:color w:val="000000"/>
                <w:sz w:val="20"/>
                <w:szCs w:val="20"/>
              </w:rPr>
            </w:pPr>
            <w:ins w:id="123" w:author="Author">
              <w:r w:rsidRPr="0048111F">
                <w:rPr>
                  <w:color w:val="000000"/>
                  <w:sz w:val="20"/>
                  <w:szCs w:val="20"/>
                </w:rPr>
                <w:t>*</w:t>
              </w:r>
              <w:r w:rsidRPr="0048111F">
                <w:rPr>
                  <w:color w:val="000000"/>
                  <w:sz w:val="20"/>
                  <w:szCs w:val="20"/>
                </w:rPr>
                <w:tab/>
                <w:t>Tyto typy reakcí byly hlášeny po uvedení přípravku Glivec na trh. Jsou zde zahrnuta spontánní hlášení nežádoucích účinků a také závažné nežádoucí účinky z pokračujících studií, programů rozšířeného přístupu k léčivému přípravku, studií klinické farmakologie a výzkumných studií v dosud neschválených indikacích. Protože tyto reakce jsou hlášeny z populace neurčitého rozsahu, není vždy možné spolehlivě odhadnout jejich četnost výskytu nebo stanovit kauzální vztah vůči expozici imatinib</w:t>
              </w:r>
              <w:r w:rsidR="009C3228" w:rsidRPr="0048111F">
                <w:rPr>
                  <w:color w:val="000000"/>
                  <w:sz w:val="20"/>
                  <w:szCs w:val="20"/>
                </w:rPr>
                <w:t>u</w:t>
              </w:r>
              <w:r w:rsidRPr="00A1612C">
                <w:rPr>
                  <w:color w:val="000000"/>
                  <w:sz w:val="20"/>
                  <w:szCs w:val="20"/>
                </w:rPr>
                <w:t>.</w:t>
              </w:r>
            </w:ins>
          </w:p>
          <w:p w14:paraId="038BA7AD" w14:textId="77777777" w:rsidR="00897079" w:rsidRPr="00A1612C" w:rsidRDefault="00897079" w:rsidP="0048111F">
            <w:pPr>
              <w:keepNext/>
              <w:keepLines/>
              <w:tabs>
                <w:tab w:val="clear" w:pos="567"/>
              </w:tabs>
              <w:spacing w:line="240" w:lineRule="auto"/>
              <w:rPr>
                <w:ins w:id="124" w:author="Author"/>
                <w:color w:val="000000"/>
                <w:sz w:val="20"/>
                <w:szCs w:val="20"/>
              </w:rPr>
            </w:pPr>
            <w:ins w:id="125" w:author="Author">
              <w:r w:rsidRPr="00A1612C">
                <w:rPr>
                  <w:sz w:val="20"/>
                  <w:szCs w:val="20"/>
                </w:rPr>
                <w:t>1</w:t>
              </w:r>
              <w:r w:rsidRPr="00A1612C">
                <w:rPr>
                  <w:sz w:val="20"/>
                  <w:szCs w:val="20"/>
                </w:rPr>
                <w:tab/>
              </w:r>
              <w:r w:rsidRPr="00A1612C">
                <w:rPr>
                  <w:color w:val="000000"/>
                  <w:sz w:val="20"/>
                  <w:szCs w:val="20"/>
                </w:rPr>
                <w:t>Pneumonie byla nejčastěji hlášena u pacientů s transformovanou CML a u pacientů s GIST.</w:t>
              </w:r>
            </w:ins>
          </w:p>
          <w:p w14:paraId="1FAC3AD7" w14:textId="77777777" w:rsidR="00897079" w:rsidRPr="00A1612C" w:rsidRDefault="00897079" w:rsidP="0048111F">
            <w:pPr>
              <w:keepNext/>
              <w:keepLines/>
              <w:numPr>
                <w:ilvl w:val="0"/>
                <w:numId w:val="31"/>
              </w:numPr>
              <w:tabs>
                <w:tab w:val="clear" w:pos="567"/>
              </w:tabs>
              <w:spacing w:line="240" w:lineRule="auto"/>
              <w:ind w:left="0" w:firstLine="0"/>
              <w:rPr>
                <w:ins w:id="126" w:author="Author"/>
                <w:color w:val="000000"/>
                <w:sz w:val="20"/>
                <w:szCs w:val="20"/>
              </w:rPr>
            </w:pPr>
            <w:ins w:id="127" w:author="Author">
              <w:r w:rsidRPr="00A1612C">
                <w:rPr>
                  <w:color w:val="000000"/>
                  <w:sz w:val="20"/>
                  <w:szCs w:val="20"/>
                </w:rPr>
                <w:t>Bolest hlavy byla nejčastější u pacientů s GIST.</w:t>
              </w:r>
            </w:ins>
          </w:p>
          <w:p w14:paraId="2D5A1D47" w14:textId="77777777" w:rsidR="00897079" w:rsidRPr="00A1612C" w:rsidRDefault="00897079" w:rsidP="0048111F">
            <w:pPr>
              <w:keepNext/>
              <w:keepLines/>
              <w:tabs>
                <w:tab w:val="clear" w:pos="567"/>
              </w:tabs>
              <w:spacing w:line="240" w:lineRule="auto"/>
              <w:ind w:left="567" w:hanging="567"/>
              <w:rPr>
                <w:ins w:id="128" w:author="Author"/>
                <w:color w:val="000000"/>
                <w:sz w:val="20"/>
                <w:szCs w:val="20"/>
              </w:rPr>
            </w:pPr>
            <w:ins w:id="129" w:author="Author">
              <w:r w:rsidRPr="00A1612C">
                <w:rPr>
                  <w:color w:val="000000"/>
                  <w:sz w:val="20"/>
                  <w:szCs w:val="20"/>
                </w:rPr>
                <w:t>3</w:t>
              </w:r>
              <w:r w:rsidRPr="00A1612C">
                <w:rPr>
                  <w:color w:val="000000"/>
                  <w:sz w:val="20"/>
                  <w:szCs w:val="20"/>
                </w:rPr>
                <w:tab/>
                <w:t>Na podkladě hodnocení pacientoroků byly srdeční příhody včetně městnavého srdečního selhání pozorovány častěji u pacientů s transformovanou CML než u pacientů s chronickou CML.</w:t>
              </w:r>
            </w:ins>
          </w:p>
          <w:p w14:paraId="7521F818" w14:textId="77777777" w:rsidR="00897079" w:rsidRPr="00A1612C" w:rsidRDefault="00897079" w:rsidP="0048111F">
            <w:pPr>
              <w:keepNext/>
              <w:keepLines/>
              <w:tabs>
                <w:tab w:val="clear" w:pos="567"/>
              </w:tabs>
              <w:spacing w:line="240" w:lineRule="auto"/>
              <w:ind w:left="567" w:hanging="567"/>
              <w:rPr>
                <w:ins w:id="130" w:author="Author"/>
                <w:color w:val="000000"/>
                <w:sz w:val="20"/>
                <w:szCs w:val="20"/>
              </w:rPr>
            </w:pPr>
            <w:ins w:id="131" w:author="Author">
              <w:r w:rsidRPr="00A1612C">
                <w:rPr>
                  <w:color w:val="000000"/>
                  <w:sz w:val="20"/>
                  <w:szCs w:val="20"/>
                </w:rPr>
                <w:t>4</w:t>
              </w:r>
              <w:r w:rsidRPr="00A1612C">
                <w:rPr>
                  <w:color w:val="000000"/>
                  <w:sz w:val="20"/>
                  <w:szCs w:val="20"/>
                </w:rPr>
                <w:tab/>
                <w:t>Zrudnutí bylo nejčastější u pacientů s GIST a krvácení (hematomy, hemoragie) bylo nejčastější u pacientů s GIST a s transformovanou CML (CML-AP a CML-BC).</w:t>
              </w:r>
            </w:ins>
          </w:p>
          <w:p w14:paraId="33379F9D" w14:textId="77777777" w:rsidR="00897079" w:rsidRPr="00A1612C" w:rsidRDefault="00897079" w:rsidP="0048111F">
            <w:pPr>
              <w:keepNext/>
              <w:keepLines/>
              <w:tabs>
                <w:tab w:val="clear" w:pos="567"/>
              </w:tabs>
              <w:spacing w:line="240" w:lineRule="auto"/>
              <w:ind w:left="567" w:hanging="567"/>
              <w:rPr>
                <w:ins w:id="132" w:author="Author"/>
                <w:color w:val="000000"/>
                <w:sz w:val="20"/>
                <w:szCs w:val="20"/>
              </w:rPr>
            </w:pPr>
            <w:ins w:id="133" w:author="Author">
              <w:r w:rsidRPr="00A1612C">
                <w:rPr>
                  <w:color w:val="000000"/>
                  <w:sz w:val="20"/>
                  <w:szCs w:val="20"/>
                </w:rPr>
                <w:t>5</w:t>
              </w:r>
              <w:r w:rsidRPr="00A1612C">
                <w:rPr>
                  <w:color w:val="000000"/>
                  <w:sz w:val="20"/>
                  <w:szCs w:val="20"/>
                </w:rPr>
                <w:tab/>
                <w:t>Pleurální výpotek byl častěji hlášen u pacientů s GIST a u pacientů s transformovanou CML (CML-AP a CML-BC) než u pacientů s chronickou CML.</w:t>
              </w:r>
            </w:ins>
          </w:p>
          <w:p w14:paraId="77F31D47" w14:textId="5334D27A" w:rsidR="00897079" w:rsidRPr="00A1612C" w:rsidRDefault="00897079" w:rsidP="0048111F">
            <w:pPr>
              <w:keepNext/>
              <w:keepLines/>
              <w:tabs>
                <w:tab w:val="clear" w:pos="567"/>
              </w:tabs>
              <w:spacing w:line="240" w:lineRule="auto"/>
              <w:ind w:left="567" w:hanging="567"/>
              <w:rPr>
                <w:ins w:id="134" w:author="Author"/>
                <w:color w:val="000000"/>
                <w:sz w:val="20"/>
                <w:szCs w:val="20"/>
              </w:rPr>
            </w:pPr>
            <w:ins w:id="135" w:author="Author">
              <w:r w:rsidRPr="00A1612C">
                <w:rPr>
                  <w:color w:val="000000"/>
                  <w:sz w:val="20"/>
                  <w:szCs w:val="20"/>
                </w:rPr>
                <w:t>6+7</w:t>
              </w:r>
              <w:r w:rsidRPr="00A1612C">
                <w:rPr>
                  <w:color w:val="000000"/>
                  <w:sz w:val="20"/>
                  <w:szCs w:val="20"/>
                </w:rPr>
                <w:tab/>
                <w:t>Bolest břicha a gastrointestinální krvácení byly nejčastěji pozorovány u pacientů s GIST.</w:t>
              </w:r>
            </w:ins>
          </w:p>
          <w:p w14:paraId="44B7256D" w14:textId="2C7B82CA" w:rsidR="00897079" w:rsidRPr="0048111F" w:rsidRDefault="00897079" w:rsidP="0048111F">
            <w:pPr>
              <w:keepNext/>
              <w:keepLines/>
              <w:tabs>
                <w:tab w:val="clear" w:pos="567"/>
              </w:tabs>
              <w:spacing w:line="240" w:lineRule="auto"/>
              <w:ind w:left="567" w:hanging="567"/>
              <w:rPr>
                <w:ins w:id="136" w:author="Author"/>
                <w:color w:val="000000"/>
                <w:sz w:val="20"/>
                <w:szCs w:val="20"/>
              </w:rPr>
            </w:pPr>
            <w:ins w:id="137" w:author="Author">
              <w:r w:rsidRPr="00A1612C">
                <w:rPr>
                  <w:color w:val="000000"/>
                  <w:sz w:val="20"/>
                  <w:szCs w:val="20"/>
                </w:rPr>
                <w:t>8</w:t>
              </w:r>
              <w:r w:rsidRPr="00A1612C">
                <w:rPr>
                  <w:color w:val="000000"/>
                  <w:sz w:val="20"/>
                  <w:szCs w:val="20"/>
                </w:rPr>
                <w:tab/>
                <w:t>Bylo hlášeno několik fatálních případů jaterního selhání a jaterní nekróz</w:t>
              </w:r>
              <w:r w:rsidR="009C3228" w:rsidRPr="0048111F">
                <w:rPr>
                  <w:color w:val="000000"/>
                  <w:sz w:val="20"/>
                  <w:szCs w:val="20"/>
                </w:rPr>
                <w:t>y</w:t>
              </w:r>
              <w:r w:rsidRPr="0048111F">
                <w:rPr>
                  <w:color w:val="000000"/>
                  <w:sz w:val="20"/>
                  <w:szCs w:val="20"/>
                </w:rPr>
                <w:t>.</w:t>
              </w:r>
            </w:ins>
          </w:p>
          <w:p w14:paraId="4123B185" w14:textId="77777777" w:rsidR="00897079" w:rsidRPr="0048111F" w:rsidRDefault="00897079" w:rsidP="0048111F">
            <w:pPr>
              <w:keepNext/>
              <w:keepLines/>
              <w:tabs>
                <w:tab w:val="clear" w:pos="567"/>
              </w:tabs>
              <w:spacing w:line="240" w:lineRule="auto"/>
              <w:ind w:left="567" w:hanging="567"/>
              <w:rPr>
                <w:ins w:id="138" w:author="Author"/>
                <w:color w:val="000000"/>
                <w:sz w:val="20"/>
                <w:szCs w:val="20"/>
              </w:rPr>
            </w:pPr>
            <w:ins w:id="139" w:author="Author">
              <w:r w:rsidRPr="0048111F">
                <w:rPr>
                  <w:color w:val="000000"/>
                  <w:sz w:val="20"/>
                  <w:szCs w:val="20"/>
                </w:rPr>
                <w:t>9</w:t>
              </w:r>
              <w:r w:rsidRPr="0048111F">
                <w:rPr>
                  <w:color w:val="000000"/>
                  <w:sz w:val="20"/>
                  <w:szCs w:val="20"/>
                </w:rPr>
                <w:tab/>
                <w:t>Po uvedení na trh byla hlášena muskuloskeletální bolest a to během nebo po ukončení léčby imatinibem.</w:t>
              </w:r>
            </w:ins>
          </w:p>
          <w:p w14:paraId="115E1CE0" w14:textId="19554B83" w:rsidR="00897079" w:rsidRPr="0048111F" w:rsidRDefault="00897079" w:rsidP="0048111F">
            <w:pPr>
              <w:keepNext/>
              <w:keepLines/>
              <w:tabs>
                <w:tab w:val="clear" w:pos="567"/>
              </w:tabs>
              <w:spacing w:line="240" w:lineRule="auto"/>
              <w:ind w:left="567" w:hanging="567"/>
              <w:rPr>
                <w:ins w:id="140" w:author="Author"/>
                <w:color w:val="000000"/>
                <w:sz w:val="20"/>
                <w:szCs w:val="20"/>
              </w:rPr>
            </w:pPr>
            <w:ins w:id="141" w:author="Author">
              <w:r w:rsidRPr="0048111F">
                <w:rPr>
                  <w:color w:val="000000"/>
                  <w:sz w:val="20"/>
                  <w:szCs w:val="20"/>
                </w:rPr>
                <w:t>10</w:t>
              </w:r>
              <w:r w:rsidRPr="0048111F">
                <w:rPr>
                  <w:color w:val="000000"/>
                  <w:sz w:val="20"/>
                  <w:szCs w:val="20"/>
                </w:rPr>
                <w:tab/>
                <w:t>Muskuloskeletární bolest a související příhody byly častěji pozorovány u pacientů s CML než u pacientů s GIST.</w:t>
              </w:r>
            </w:ins>
          </w:p>
          <w:p w14:paraId="628683E1" w14:textId="77777777" w:rsidR="00897079" w:rsidRPr="0048111F" w:rsidRDefault="00897079" w:rsidP="0048111F">
            <w:pPr>
              <w:keepLines/>
              <w:tabs>
                <w:tab w:val="clear" w:pos="567"/>
                <w:tab w:val="left" w:pos="720"/>
              </w:tabs>
              <w:spacing w:line="240" w:lineRule="auto"/>
              <w:ind w:left="567" w:hanging="567"/>
              <w:rPr>
                <w:ins w:id="142" w:author="Author"/>
                <w:color w:val="000000"/>
                <w:sz w:val="20"/>
                <w:szCs w:val="20"/>
              </w:rPr>
            </w:pPr>
            <w:ins w:id="143" w:author="Author">
              <w:r w:rsidRPr="0048111F">
                <w:rPr>
                  <w:color w:val="000000"/>
                  <w:sz w:val="20"/>
                  <w:szCs w:val="20"/>
                </w:rPr>
                <w:t>11</w:t>
              </w:r>
              <w:r w:rsidRPr="0048111F">
                <w:rPr>
                  <w:color w:val="000000"/>
                  <w:sz w:val="20"/>
                  <w:szCs w:val="20"/>
                </w:rPr>
                <w:tab/>
                <w:t>Fatální případy byly hlášeny u</w:t>
              </w:r>
              <w:r w:rsidRPr="0048111F">
                <w:rPr>
                  <w:sz w:val="20"/>
                  <w:szCs w:val="20"/>
                </w:rPr>
                <w:t> </w:t>
              </w:r>
              <w:r w:rsidRPr="0048111F">
                <w:rPr>
                  <w:color w:val="000000"/>
                  <w:sz w:val="20"/>
                  <w:szCs w:val="20"/>
                </w:rPr>
                <w:t>pacientů s pokročilým onemocněním, závažnými infekcemi, závažnou neutropenií a jinými závažnými konkomitantními stavy.</w:t>
              </w:r>
            </w:ins>
          </w:p>
          <w:p w14:paraId="6022A644" w14:textId="6A3AA425" w:rsidR="00897079" w:rsidRPr="0048111F" w:rsidRDefault="00897079" w:rsidP="0048111F">
            <w:pPr>
              <w:tabs>
                <w:tab w:val="clear" w:pos="567"/>
                <w:tab w:val="left" w:pos="720"/>
              </w:tabs>
              <w:spacing w:line="240" w:lineRule="auto"/>
              <w:ind w:left="567" w:hanging="567"/>
              <w:rPr>
                <w:ins w:id="144" w:author="Author"/>
                <w:color w:val="000000"/>
                <w:sz w:val="20"/>
                <w:szCs w:val="20"/>
              </w:rPr>
            </w:pPr>
            <w:ins w:id="145" w:author="Author">
              <w:r w:rsidRPr="0048111F">
                <w:rPr>
                  <w:color w:val="000000"/>
                  <w:sz w:val="20"/>
                  <w:szCs w:val="20"/>
                </w:rPr>
                <w:t>12</w:t>
              </w:r>
              <w:r w:rsidRPr="0048111F">
                <w:rPr>
                  <w:color w:val="000000"/>
                  <w:sz w:val="20"/>
                  <w:szCs w:val="20"/>
                </w:rPr>
                <w:tab/>
                <w:t>Včetně erythema nodosum.</w:t>
              </w:r>
            </w:ins>
          </w:p>
        </w:tc>
      </w:tr>
    </w:tbl>
    <w:p w14:paraId="08A4D690" w14:textId="76C636CB" w:rsidR="005E2891" w:rsidRPr="00F25A60" w:rsidDel="00897079" w:rsidRDefault="005E2891" w:rsidP="0048111F">
      <w:pPr>
        <w:keepNext/>
        <w:keepLines/>
        <w:spacing w:line="240" w:lineRule="auto"/>
        <w:ind w:left="567" w:hanging="567"/>
        <w:rPr>
          <w:del w:id="146" w:author="Author"/>
          <w:color w:val="000000"/>
        </w:rPr>
      </w:pPr>
      <w:del w:id="147" w:author="Author">
        <w:r w:rsidRPr="00F25A60" w:rsidDel="00897079">
          <w:rPr>
            <w:color w:val="000000"/>
          </w:rPr>
          <w:delText>*</w:delText>
        </w:r>
        <w:r w:rsidRPr="00F25A60" w:rsidDel="00897079">
          <w:rPr>
            <w:color w:val="000000"/>
          </w:rPr>
          <w:tab/>
          <w:delText>Tyto typy reakcí byly hlášeny po uvedení přípravku Glivec na trhu. Jsou zde zahrnuta spontánní hlášení nežádoucích účinků a také závažné nežádoucí účinky z pokračujících studií, programů rozšířeného přístupu k léčivému přípravku, studií klinické farmakologie a výzkumných studií v dosud neschválených indikacích. Protože tyto reakce jsou hlášeny z populace neurčitého rozsahu, není vždy možné spolehlivě odhadnout jejich četnost výskytu nebo stanovit kauzální vztah vůči expozici imatinibem.</w:delText>
        </w:r>
      </w:del>
    </w:p>
    <w:p w14:paraId="36C7F741" w14:textId="44D9780E" w:rsidR="00EA5993" w:rsidRPr="00F25A60" w:rsidDel="00897079" w:rsidRDefault="005E2891" w:rsidP="0048111F">
      <w:pPr>
        <w:keepNext/>
        <w:keepLines/>
        <w:tabs>
          <w:tab w:val="clear" w:pos="567"/>
        </w:tabs>
        <w:spacing w:line="240" w:lineRule="auto"/>
        <w:rPr>
          <w:del w:id="148" w:author="Author"/>
          <w:color w:val="000000"/>
        </w:rPr>
      </w:pPr>
      <w:del w:id="149" w:author="Author">
        <w:r w:rsidRPr="00F25A60" w:rsidDel="00897079">
          <w:delText>1</w:delText>
        </w:r>
        <w:r w:rsidRPr="00F25A60" w:rsidDel="00897079">
          <w:tab/>
        </w:r>
        <w:r w:rsidR="00EA5993" w:rsidRPr="00F25A60" w:rsidDel="00897079">
          <w:rPr>
            <w:color w:val="000000"/>
          </w:rPr>
          <w:delText>Pneumonie byla nejčastěji hlášena u pacientů s transformovanou CML a u pacientů s GIST.</w:delText>
        </w:r>
      </w:del>
    </w:p>
    <w:p w14:paraId="30654125" w14:textId="103E224E" w:rsidR="00EA5993" w:rsidRPr="00F25A60" w:rsidDel="00897079" w:rsidRDefault="00EA5993" w:rsidP="0048111F">
      <w:pPr>
        <w:keepNext/>
        <w:keepLines/>
        <w:numPr>
          <w:ilvl w:val="0"/>
          <w:numId w:val="31"/>
        </w:numPr>
        <w:tabs>
          <w:tab w:val="clear" w:pos="567"/>
        </w:tabs>
        <w:spacing w:line="240" w:lineRule="auto"/>
        <w:ind w:left="0" w:firstLine="0"/>
        <w:rPr>
          <w:del w:id="150" w:author="Author"/>
          <w:color w:val="000000"/>
        </w:rPr>
      </w:pPr>
      <w:del w:id="151" w:author="Author">
        <w:r w:rsidRPr="00F25A60" w:rsidDel="00897079">
          <w:rPr>
            <w:color w:val="000000"/>
          </w:rPr>
          <w:delText>Bolest hlavy byl</w:delText>
        </w:r>
        <w:r w:rsidR="0081768C" w:rsidRPr="00F25A60" w:rsidDel="00897079">
          <w:rPr>
            <w:color w:val="000000"/>
          </w:rPr>
          <w:delText>a</w:delText>
        </w:r>
        <w:r w:rsidRPr="00F25A60" w:rsidDel="00897079">
          <w:rPr>
            <w:color w:val="000000"/>
          </w:rPr>
          <w:delText xml:space="preserve"> nejčastější u pacientů s GIST.</w:delText>
        </w:r>
      </w:del>
    </w:p>
    <w:p w14:paraId="3780FBB0" w14:textId="0D18972B" w:rsidR="00EA5993" w:rsidRPr="00F25A60" w:rsidDel="00897079" w:rsidRDefault="00EA5993" w:rsidP="0048111F">
      <w:pPr>
        <w:keepNext/>
        <w:keepLines/>
        <w:tabs>
          <w:tab w:val="clear" w:pos="567"/>
        </w:tabs>
        <w:spacing w:line="240" w:lineRule="auto"/>
        <w:ind w:left="567" w:hanging="567"/>
        <w:rPr>
          <w:del w:id="152" w:author="Author"/>
          <w:color w:val="000000"/>
        </w:rPr>
      </w:pPr>
      <w:del w:id="153" w:author="Author">
        <w:r w:rsidRPr="00F25A60" w:rsidDel="00897079">
          <w:rPr>
            <w:color w:val="000000"/>
          </w:rPr>
          <w:delText>3</w:delText>
        </w:r>
        <w:r w:rsidRPr="00F25A60" w:rsidDel="00897079">
          <w:rPr>
            <w:color w:val="000000"/>
          </w:rPr>
          <w:tab/>
          <w:delText>Na podkladě hodnocení pacientoroků byly srdeční příhody včetně městnavého srdečního selhání pozorovány častěji u pacientů s transformovanou CML než u pacientů s chronickou CML.</w:delText>
        </w:r>
      </w:del>
    </w:p>
    <w:p w14:paraId="6A446135" w14:textId="616C2F54" w:rsidR="00EA5993" w:rsidRPr="00F25A60" w:rsidDel="00897079" w:rsidRDefault="00EA5993" w:rsidP="0048111F">
      <w:pPr>
        <w:keepNext/>
        <w:keepLines/>
        <w:tabs>
          <w:tab w:val="clear" w:pos="567"/>
        </w:tabs>
        <w:spacing w:line="240" w:lineRule="auto"/>
        <w:ind w:left="567" w:hanging="567"/>
        <w:rPr>
          <w:del w:id="154" w:author="Author"/>
          <w:color w:val="000000"/>
        </w:rPr>
      </w:pPr>
      <w:del w:id="155" w:author="Author">
        <w:r w:rsidRPr="00F25A60" w:rsidDel="00897079">
          <w:rPr>
            <w:color w:val="000000"/>
          </w:rPr>
          <w:delText>4</w:delText>
        </w:r>
        <w:r w:rsidRPr="00F25A60" w:rsidDel="00897079">
          <w:rPr>
            <w:color w:val="000000"/>
          </w:rPr>
          <w:tab/>
          <w:delText>Zrudnutí bylo nejčastější u pacientů s GIST a krvácení (hematomy, hemoragie) bylo nejčastější u pacientů s GIST a s transformovanou CML (CML-AP a CML-BC).</w:delText>
        </w:r>
      </w:del>
    </w:p>
    <w:p w14:paraId="5C521906" w14:textId="2C3F3652" w:rsidR="00EA5993" w:rsidRPr="00F25A60" w:rsidDel="00897079" w:rsidRDefault="00EA5993" w:rsidP="0048111F">
      <w:pPr>
        <w:keepNext/>
        <w:keepLines/>
        <w:tabs>
          <w:tab w:val="clear" w:pos="567"/>
        </w:tabs>
        <w:spacing w:line="240" w:lineRule="auto"/>
        <w:ind w:left="567" w:hanging="567"/>
        <w:rPr>
          <w:del w:id="156" w:author="Author"/>
          <w:color w:val="000000"/>
        </w:rPr>
      </w:pPr>
      <w:del w:id="157" w:author="Author">
        <w:r w:rsidRPr="00F25A60" w:rsidDel="00897079">
          <w:rPr>
            <w:color w:val="000000"/>
          </w:rPr>
          <w:delText>5</w:delText>
        </w:r>
        <w:r w:rsidRPr="00F25A60" w:rsidDel="00897079">
          <w:rPr>
            <w:color w:val="000000"/>
          </w:rPr>
          <w:tab/>
          <w:delText>Pleurální výpotek byl častěji hlášen u pacientů s GIST a u pacientů s transformovanou CML (CML-AP a CML-BC) než u pacientů s chronickou CML.</w:delText>
        </w:r>
      </w:del>
    </w:p>
    <w:p w14:paraId="5496F529" w14:textId="5ECD481E" w:rsidR="00EA5993" w:rsidRPr="00F25A60" w:rsidDel="00897079" w:rsidRDefault="00EA5993" w:rsidP="0048111F">
      <w:pPr>
        <w:keepNext/>
        <w:keepLines/>
        <w:tabs>
          <w:tab w:val="clear" w:pos="567"/>
        </w:tabs>
        <w:spacing w:line="240" w:lineRule="auto"/>
        <w:ind w:left="567" w:hanging="567"/>
        <w:rPr>
          <w:del w:id="158" w:author="Author"/>
          <w:color w:val="000000"/>
        </w:rPr>
      </w:pPr>
      <w:del w:id="159" w:author="Author">
        <w:r w:rsidRPr="00F25A60" w:rsidDel="00897079">
          <w:rPr>
            <w:color w:val="000000"/>
          </w:rPr>
          <w:delText>6+7</w:delText>
        </w:r>
        <w:r w:rsidRPr="00F25A60" w:rsidDel="00897079">
          <w:rPr>
            <w:color w:val="000000"/>
          </w:rPr>
          <w:tab/>
          <w:delText>Bolesti břicha a gastrointestinální krvácení byly nejčastěji pozorovány u pacientů s GIST.</w:delText>
        </w:r>
      </w:del>
    </w:p>
    <w:p w14:paraId="3E481B02" w14:textId="3D00549C" w:rsidR="00EA5993" w:rsidRPr="00F25A60" w:rsidDel="00897079" w:rsidRDefault="00EA5993" w:rsidP="0048111F">
      <w:pPr>
        <w:keepNext/>
        <w:keepLines/>
        <w:tabs>
          <w:tab w:val="clear" w:pos="567"/>
        </w:tabs>
        <w:spacing w:line="240" w:lineRule="auto"/>
        <w:ind w:left="567" w:hanging="567"/>
        <w:rPr>
          <w:del w:id="160" w:author="Author"/>
          <w:color w:val="000000"/>
        </w:rPr>
      </w:pPr>
      <w:del w:id="161" w:author="Author">
        <w:r w:rsidRPr="00F25A60" w:rsidDel="00897079">
          <w:rPr>
            <w:color w:val="000000"/>
          </w:rPr>
          <w:delText>8</w:delText>
        </w:r>
        <w:r w:rsidRPr="00F25A60" w:rsidDel="00897079">
          <w:rPr>
            <w:color w:val="000000"/>
          </w:rPr>
          <w:tab/>
          <w:delText>Bylo hlášeno několik fatálních případů jaterního selhání a jaterních nekróz.</w:delText>
        </w:r>
      </w:del>
    </w:p>
    <w:p w14:paraId="6F40F1E4" w14:textId="1DB1508A" w:rsidR="00AA5237" w:rsidRPr="00F25A60" w:rsidDel="00897079" w:rsidRDefault="00AA5237" w:rsidP="0048111F">
      <w:pPr>
        <w:keepNext/>
        <w:keepLines/>
        <w:tabs>
          <w:tab w:val="clear" w:pos="567"/>
        </w:tabs>
        <w:spacing w:line="240" w:lineRule="auto"/>
        <w:ind w:left="567" w:hanging="567"/>
        <w:rPr>
          <w:del w:id="162" w:author="Author"/>
          <w:color w:val="000000"/>
        </w:rPr>
      </w:pPr>
      <w:del w:id="163" w:author="Author">
        <w:r w:rsidRPr="00F25A60" w:rsidDel="00897079">
          <w:rPr>
            <w:color w:val="000000"/>
          </w:rPr>
          <w:delText>9</w:delText>
        </w:r>
        <w:r w:rsidR="0035736A" w:rsidRPr="00F25A60" w:rsidDel="00897079">
          <w:rPr>
            <w:color w:val="000000"/>
          </w:rPr>
          <w:tab/>
        </w:r>
        <w:r w:rsidR="00953FC7" w:rsidRPr="00F25A60" w:rsidDel="00897079">
          <w:rPr>
            <w:color w:val="000000"/>
          </w:rPr>
          <w:delText>Po uvedení na trh byla hlášena muskuloskeletá</w:delText>
        </w:r>
        <w:r w:rsidR="0081768C" w:rsidRPr="00F25A60" w:rsidDel="00897079">
          <w:rPr>
            <w:color w:val="000000"/>
          </w:rPr>
          <w:delText>l</w:delText>
        </w:r>
        <w:r w:rsidR="00953FC7" w:rsidRPr="00F25A60" w:rsidDel="00897079">
          <w:rPr>
            <w:color w:val="000000"/>
          </w:rPr>
          <w:delText>ní bolest a to během nebo po ukončení léčby imatinibem.</w:delText>
        </w:r>
      </w:del>
    </w:p>
    <w:p w14:paraId="298CB3B0" w14:textId="65BACA9F" w:rsidR="00EA5993" w:rsidRPr="00F25A60" w:rsidDel="00897079" w:rsidRDefault="00AA5237" w:rsidP="0048111F">
      <w:pPr>
        <w:keepNext/>
        <w:keepLines/>
        <w:tabs>
          <w:tab w:val="clear" w:pos="567"/>
        </w:tabs>
        <w:spacing w:line="240" w:lineRule="auto"/>
        <w:ind w:left="567" w:hanging="567"/>
        <w:rPr>
          <w:del w:id="164" w:author="Author"/>
          <w:color w:val="000000"/>
        </w:rPr>
      </w:pPr>
      <w:del w:id="165" w:author="Author">
        <w:r w:rsidRPr="00F25A60" w:rsidDel="00897079">
          <w:rPr>
            <w:color w:val="000000"/>
          </w:rPr>
          <w:delText>10</w:delText>
        </w:r>
        <w:r w:rsidR="00EA5993" w:rsidRPr="00F25A60" w:rsidDel="00897079">
          <w:rPr>
            <w:color w:val="000000"/>
          </w:rPr>
          <w:tab/>
          <w:delText>Muskuloskeletární bolesti a související příhody byly častěji pozorovány u pacientů s CML než u pacientů s GIST.</w:delText>
        </w:r>
      </w:del>
    </w:p>
    <w:p w14:paraId="15D62428" w14:textId="536C4B5A" w:rsidR="005E2891" w:rsidRPr="00F25A60" w:rsidDel="00897079" w:rsidRDefault="00AA5237" w:rsidP="0048111F">
      <w:pPr>
        <w:keepLines/>
        <w:tabs>
          <w:tab w:val="clear" w:pos="567"/>
          <w:tab w:val="left" w:pos="720"/>
        </w:tabs>
        <w:spacing w:line="240" w:lineRule="auto"/>
        <w:ind w:left="567" w:hanging="567"/>
        <w:rPr>
          <w:del w:id="166" w:author="Author"/>
          <w:color w:val="000000"/>
        </w:rPr>
      </w:pPr>
      <w:del w:id="167" w:author="Author">
        <w:r w:rsidRPr="00F25A60" w:rsidDel="00897079">
          <w:rPr>
            <w:color w:val="000000"/>
          </w:rPr>
          <w:delText>11</w:delText>
        </w:r>
        <w:r w:rsidR="005E2891" w:rsidRPr="00F25A60" w:rsidDel="00897079">
          <w:rPr>
            <w:color w:val="000000"/>
          </w:rPr>
          <w:tab/>
          <w:delText>Fatální případy byly hlášeny u</w:delText>
        </w:r>
        <w:r w:rsidR="005E2891" w:rsidRPr="00F25A60" w:rsidDel="00897079">
          <w:delText> </w:delText>
        </w:r>
        <w:r w:rsidR="005E2891" w:rsidRPr="00F25A60" w:rsidDel="00897079">
          <w:rPr>
            <w:color w:val="000000"/>
          </w:rPr>
          <w:delText>pacientů s pokročilým onemocněním, závažnými infekcemi, závažnou neutropenií a jinými závažnými konkomitantními stavy.</w:delText>
        </w:r>
      </w:del>
    </w:p>
    <w:p w14:paraId="61FB6336" w14:textId="50BDB797" w:rsidR="0099123D" w:rsidRPr="00F25A60" w:rsidDel="00897079" w:rsidRDefault="0099123D" w:rsidP="0048111F">
      <w:pPr>
        <w:tabs>
          <w:tab w:val="clear" w:pos="567"/>
          <w:tab w:val="left" w:pos="720"/>
        </w:tabs>
        <w:spacing w:line="240" w:lineRule="auto"/>
        <w:ind w:left="567" w:hanging="567"/>
        <w:rPr>
          <w:del w:id="168" w:author="Author"/>
          <w:color w:val="000000"/>
        </w:rPr>
      </w:pPr>
      <w:del w:id="169" w:author="Author">
        <w:r w:rsidDel="00897079">
          <w:rPr>
            <w:color w:val="000000"/>
          </w:rPr>
          <w:delText>12</w:delText>
        </w:r>
        <w:r w:rsidRPr="00F25A60" w:rsidDel="00897079">
          <w:rPr>
            <w:color w:val="000000"/>
          </w:rPr>
          <w:tab/>
        </w:r>
        <w:r w:rsidDel="00897079">
          <w:rPr>
            <w:color w:val="000000"/>
          </w:rPr>
          <w:delText>Včetně erythema nodosum</w:delText>
        </w:r>
        <w:r w:rsidRPr="00F25A60" w:rsidDel="00897079">
          <w:rPr>
            <w:color w:val="000000"/>
          </w:rPr>
          <w:delText>.</w:delText>
        </w:r>
      </w:del>
    </w:p>
    <w:p w14:paraId="5335D55E" w14:textId="77777777" w:rsidR="00EA5993" w:rsidRPr="00F25A60" w:rsidRDefault="00EA5993" w:rsidP="0048111F">
      <w:pPr>
        <w:pStyle w:val="Text"/>
        <w:spacing w:before="0"/>
        <w:jc w:val="left"/>
        <w:rPr>
          <w:color w:val="000000"/>
          <w:sz w:val="22"/>
          <w:szCs w:val="22"/>
          <w:lang w:val="cs-CZ"/>
        </w:rPr>
      </w:pPr>
    </w:p>
    <w:p w14:paraId="534751E3" w14:textId="0EA5BC61" w:rsidR="00EA5993" w:rsidRPr="005C56E6" w:rsidRDefault="00EA5993" w:rsidP="0048111F">
      <w:pPr>
        <w:keepNext/>
        <w:spacing w:line="240" w:lineRule="auto"/>
        <w:rPr>
          <w:b/>
          <w:u w:val="single"/>
        </w:rPr>
      </w:pPr>
      <w:r w:rsidRPr="005C56E6">
        <w:rPr>
          <w:u w:val="single"/>
        </w:rPr>
        <w:t>Změny hodnot laboratorních vyšetření</w:t>
      </w:r>
    </w:p>
    <w:p w14:paraId="07388067" w14:textId="77777777" w:rsidR="0096691F" w:rsidRPr="005C56E6" w:rsidRDefault="0096691F" w:rsidP="0048111F">
      <w:pPr>
        <w:keepNext/>
        <w:rPr>
          <w:bCs/>
        </w:rPr>
      </w:pPr>
    </w:p>
    <w:p w14:paraId="721D4A07" w14:textId="77777777" w:rsidR="00EA5993" w:rsidRPr="00F25A60" w:rsidRDefault="00EA5993" w:rsidP="0048111F">
      <w:pPr>
        <w:pStyle w:val="Text"/>
        <w:keepNext/>
        <w:spacing w:before="0"/>
        <w:jc w:val="left"/>
        <w:rPr>
          <w:i/>
          <w:iCs/>
          <w:color w:val="000000"/>
          <w:sz w:val="22"/>
          <w:szCs w:val="22"/>
          <w:u w:val="single"/>
          <w:lang w:val="cs-CZ"/>
        </w:rPr>
      </w:pPr>
      <w:r w:rsidRPr="00F25A60">
        <w:rPr>
          <w:i/>
          <w:iCs/>
          <w:color w:val="000000"/>
          <w:sz w:val="22"/>
          <w:szCs w:val="22"/>
          <w:u w:val="single"/>
          <w:lang w:val="cs-CZ"/>
        </w:rPr>
        <w:t>Hematologie</w:t>
      </w:r>
    </w:p>
    <w:p w14:paraId="68ADE334" w14:textId="23A27842" w:rsidR="00EA5993" w:rsidRPr="00F25A60" w:rsidRDefault="00EA5993" w:rsidP="0048111F">
      <w:pPr>
        <w:pStyle w:val="Text"/>
        <w:spacing w:before="0"/>
        <w:jc w:val="left"/>
        <w:rPr>
          <w:color w:val="000000"/>
          <w:sz w:val="22"/>
          <w:szCs w:val="22"/>
          <w:lang w:val="cs-CZ"/>
        </w:rPr>
      </w:pPr>
      <w:r w:rsidRPr="00F25A60">
        <w:rPr>
          <w:color w:val="000000"/>
          <w:sz w:val="22"/>
          <w:szCs w:val="22"/>
          <w:lang w:val="cs-CZ"/>
        </w:rPr>
        <w:t>U CML byly cytopenie, zvláště neutropenie a trombocytopenie, shodným nálezem ve všech studiích, s</w:t>
      </w:r>
      <w:ins w:id="170" w:author="Author">
        <w:r w:rsidR="009274D5" w:rsidRPr="00F25A60">
          <w:rPr>
            <w:color w:val="000000"/>
          </w:rPr>
          <w:t> </w:t>
        </w:r>
      </w:ins>
      <w:del w:id="171" w:author="Author">
        <w:r w:rsidRPr="00F25A60" w:rsidDel="009274D5">
          <w:rPr>
            <w:color w:val="000000"/>
            <w:sz w:val="22"/>
            <w:szCs w:val="22"/>
            <w:lang w:val="cs-CZ"/>
          </w:rPr>
          <w:delText xml:space="preserve"> </w:delText>
        </w:r>
      </w:del>
      <w:r w:rsidRPr="00F25A60">
        <w:rPr>
          <w:color w:val="000000"/>
          <w:sz w:val="22"/>
          <w:szCs w:val="22"/>
          <w:lang w:val="cs-CZ"/>
        </w:rPr>
        <w:t xml:space="preserve">náznakem vyššího výskytu při vysokých dávkách </w:t>
      </w:r>
      <w:r w:rsidRPr="00F25A60">
        <w:rPr>
          <w:rFonts w:ascii="Symbol" w:hAnsi="Symbol"/>
          <w:color w:val="000000"/>
          <w:sz w:val="22"/>
          <w:szCs w:val="22"/>
          <w:lang w:val="cs-CZ"/>
        </w:rPr>
        <w:t></w:t>
      </w:r>
      <w:r w:rsidRPr="00F25A60">
        <w:rPr>
          <w:color w:val="000000"/>
          <w:sz w:val="22"/>
          <w:szCs w:val="22"/>
          <w:lang w:val="cs-CZ"/>
        </w:rPr>
        <w:t> 750 mg (</w:t>
      </w:r>
      <w:r w:rsidR="0081768C" w:rsidRPr="00F25A60">
        <w:rPr>
          <w:color w:val="000000"/>
          <w:sz w:val="22"/>
          <w:szCs w:val="22"/>
          <w:lang w:val="cs-CZ"/>
        </w:rPr>
        <w:t xml:space="preserve">studie </w:t>
      </w:r>
      <w:r w:rsidRPr="00F25A60">
        <w:rPr>
          <w:color w:val="000000"/>
          <w:sz w:val="22"/>
          <w:szCs w:val="22"/>
          <w:lang w:val="cs-CZ"/>
        </w:rPr>
        <w:t>fáze I). Výskyt cytopenií byl však jasně závislý na st</w:t>
      </w:r>
      <w:r w:rsidR="0081768C" w:rsidRPr="00F25A60">
        <w:rPr>
          <w:color w:val="000000"/>
          <w:sz w:val="22"/>
          <w:szCs w:val="22"/>
          <w:lang w:val="cs-CZ"/>
        </w:rPr>
        <w:t>a</w:t>
      </w:r>
      <w:r w:rsidRPr="00F25A60">
        <w:rPr>
          <w:color w:val="000000"/>
          <w:sz w:val="22"/>
          <w:szCs w:val="22"/>
          <w:lang w:val="cs-CZ"/>
        </w:rPr>
        <w:t>diu onemocnění. Frekvence výskytu stupně 3 nebo 4 neutropenií (ANC &lt; 1,0 x 10</w:t>
      </w:r>
      <w:r w:rsidRPr="00F25A60">
        <w:rPr>
          <w:color w:val="000000"/>
          <w:sz w:val="22"/>
          <w:szCs w:val="22"/>
          <w:vertAlign w:val="superscript"/>
          <w:lang w:val="cs-CZ"/>
        </w:rPr>
        <w:t>9</w:t>
      </w:r>
      <w:r w:rsidRPr="00F25A60">
        <w:rPr>
          <w:color w:val="000000"/>
          <w:sz w:val="22"/>
          <w:szCs w:val="22"/>
          <w:lang w:val="cs-CZ"/>
        </w:rPr>
        <w:t xml:space="preserve">/l) a trombocytopenií (počet </w:t>
      </w:r>
      <w:r w:rsidR="0081768C" w:rsidRPr="00F25A60">
        <w:rPr>
          <w:color w:val="000000"/>
          <w:sz w:val="22"/>
          <w:szCs w:val="22"/>
          <w:lang w:val="cs-CZ"/>
        </w:rPr>
        <w:t xml:space="preserve">trombocytů </w:t>
      </w:r>
      <w:r w:rsidRPr="00F25A60">
        <w:rPr>
          <w:color w:val="000000"/>
          <w:sz w:val="22"/>
          <w:szCs w:val="22"/>
          <w:lang w:val="cs-CZ"/>
        </w:rPr>
        <w:t>&lt; 50 x 10</w:t>
      </w:r>
      <w:r w:rsidRPr="00F25A60">
        <w:rPr>
          <w:color w:val="000000"/>
          <w:sz w:val="22"/>
          <w:szCs w:val="22"/>
          <w:vertAlign w:val="superscript"/>
          <w:lang w:val="cs-CZ"/>
        </w:rPr>
        <w:t>9</w:t>
      </w:r>
      <w:r w:rsidRPr="00F25A60">
        <w:rPr>
          <w:color w:val="000000"/>
          <w:sz w:val="22"/>
          <w:szCs w:val="22"/>
          <w:lang w:val="cs-CZ"/>
        </w:rPr>
        <w:t>/l) byly 4x a 6x častější v blastické krizi a akcelerované fázi onemocnění (59–64</w:t>
      </w:r>
      <w:r w:rsidR="0081768C" w:rsidRPr="00F25A60">
        <w:rPr>
          <w:color w:val="000000"/>
          <w:sz w:val="22"/>
          <w:szCs w:val="22"/>
          <w:lang w:val="cs-CZ"/>
        </w:rPr>
        <w:t> </w:t>
      </w:r>
      <w:r w:rsidRPr="00F25A60">
        <w:rPr>
          <w:color w:val="000000"/>
          <w:sz w:val="22"/>
          <w:szCs w:val="22"/>
          <w:lang w:val="cs-CZ"/>
        </w:rPr>
        <w:t>% pro neutropenii a 44–63</w:t>
      </w:r>
      <w:r w:rsidR="0081768C" w:rsidRPr="00F25A60">
        <w:rPr>
          <w:color w:val="000000"/>
          <w:sz w:val="22"/>
          <w:szCs w:val="22"/>
          <w:lang w:val="cs-CZ"/>
        </w:rPr>
        <w:t> </w:t>
      </w:r>
      <w:r w:rsidRPr="00F25A60">
        <w:rPr>
          <w:color w:val="000000"/>
          <w:sz w:val="22"/>
          <w:szCs w:val="22"/>
          <w:lang w:val="cs-CZ"/>
        </w:rPr>
        <w:t>% pro trombocytopenii) ve srovnání s nově diagnostikovanými pacienty s chronickou fází CML (16,7</w:t>
      </w:r>
      <w:r w:rsidR="0081768C" w:rsidRPr="00F25A60">
        <w:rPr>
          <w:color w:val="000000"/>
          <w:sz w:val="22"/>
          <w:szCs w:val="22"/>
          <w:lang w:val="cs-CZ"/>
        </w:rPr>
        <w:t> </w:t>
      </w:r>
      <w:r w:rsidRPr="00F25A60">
        <w:rPr>
          <w:color w:val="000000"/>
          <w:sz w:val="22"/>
          <w:szCs w:val="22"/>
          <w:lang w:val="cs-CZ"/>
        </w:rPr>
        <w:t>% neutropenií a 8,9</w:t>
      </w:r>
      <w:r w:rsidR="0081768C" w:rsidRPr="00F25A60">
        <w:rPr>
          <w:color w:val="000000"/>
          <w:sz w:val="22"/>
          <w:szCs w:val="22"/>
          <w:lang w:val="cs-CZ"/>
        </w:rPr>
        <w:t> </w:t>
      </w:r>
      <w:r w:rsidRPr="00F25A60">
        <w:rPr>
          <w:color w:val="000000"/>
          <w:sz w:val="22"/>
          <w:szCs w:val="22"/>
          <w:lang w:val="cs-CZ"/>
        </w:rPr>
        <w:t>% trombocytopenií). U nově diagnostikovaných pacientů s chronickou fází CML byl stupeň 4 neutropenie (ANC &lt; 0,5 x 10</w:t>
      </w:r>
      <w:r w:rsidRPr="00F25A60">
        <w:rPr>
          <w:color w:val="000000"/>
          <w:sz w:val="22"/>
          <w:szCs w:val="22"/>
          <w:vertAlign w:val="superscript"/>
          <w:lang w:val="cs-CZ"/>
        </w:rPr>
        <w:t>9</w:t>
      </w:r>
      <w:r w:rsidRPr="00F25A60">
        <w:rPr>
          <w:color w:val="000000"/>
          <w:sz w:val="22"/>
          <w:szCs w:val="22"/>
          <w:lang w:val="cs-CZ"/>
        </w:rPr>
        <w:t>/l) pozorován u 3,6</w:t>
      </w:r>
      <w:r w:rsidR="0081768C" w:rsidRPr="00F25A60">
        <w:rPr>
          <w:color w:val="000000"/>
          <w:sz w:val="22"/>
          <w:szCs w:val="22"/>
          <w:lang w:val="cs-CZ"/>
        </w:rPr>
        <w:t> </w:t>
      </w:r>
      <w:r w:rsidRPr="00F25A60">
        <w:rPr>
          <w:color w:val="000000"/>
          <w:sz w:val="22"/>
          <w:szCs w:val="22"/>
          <w:lang w:val="cs-CZ"/>
        </w:rPr>
        <w:t xml:space="preserve">% a trombocytopenie (počet </w:t>
      </w:r>
      <w:r w:rsidR="0081768C" w:rsidRPr="00F25A60">
        <w:rPr>
          <w:color w:val="000000"/>
          <w:sz w:val="22"/>
          <w:szCs w:val="22"/>
          <w:lang w:val="cs-CZ"/>
        </w:rPr>
        <w:t>trombocytů</w:t>
      </w:r>
      <w:r w:rsidRPr="00F25A60">
        <w:rPr>
          <w:color w:val="000000"/>
          <w:sz w:val="22"/>
          <w:szCs w:val="22"/>
          <w:lang w:val="cs-CZ"/>
        </w:rPr>
        <w:t xml:space="preserve"> &lt; 10 x 10</w:t>
      </w:r>
      <w:r w:rsidRPr="00F25A60">
        <w:rPr>
          <w:color w:val="000000"/>
          <w:sz w:val="22"/>
          <w:szCs w:val="22"/>
          <w:vertAlign w:val="superscript"/>
          <w:lang w:val="cs-CZ"/>
        </w:rPr>
        <w:t>9</w:t>
      </w:r>
      <w:r w:rsidRPr="00F25A60">
        <w:rPr>
          <w:color w:val="000000"/>
          <w:sz w:val="22"/>
          <w:szCs w:val="22"/>
          <w:lang w:val="cs-CZ"/>
        </w:rPr>
        <w:t>/l) u &lt; 1</w:t>
      </w:r>
      <w:r w:rsidR="0081768C" w:rsidRPr="00F25A60">
        <w:rPr>
          <w:color w:val="000000"/>
          <w:sz w:val="22"/>
          <w:szCs w:val="22"/>
          <w:lang w:val="cs-CZ"/>
        </w:rPr>
        <w:t> </w:t>
      </w:r>
      <w:r w:rsidRPr="00F25A60">
        <w:rPr>
          <w:color w:val="000000"/>
          <w:sz w:val="22"/>
          <w:szCs w:val="22"/>
          <w:lang w:val="cs-CZ"/>
        </w:rPr>
        <w:t>% pacientů. Medián trvání neutropeni</w:t>
      </w:r>
      <w:r w:rsidR="0081768C" w:rsidRPr="00F25A60">
        <w:rPr>
          <w:color w:val="000000"/>
          <w:sz w:val="22"/>
          <w:szCs w:val="22"/>
          <w:lang w:val="cs-CZ"/>
        </w:rPr>
        <w:t>e</w:t>
      </w:r>
      <w:r w:rsidRPr="00F25A60">
        <w:rPr>
          <w:color w:val="000000"/>
          <w:sz w:val="22"/>
          <w:szCs w:val="22"/>
          <w:lang w:val="cs-CZ"/>
        </w:rPr>
        <w:t xml:space="preserve"> a trombocytopeni</w:t>
      </w:r>
      <w:r w:rsidR="0081768C" w:rsidRPr="00F25A60">
        <w:rPr>
          <w:color w:val="000000"/>
          <w:sz w:val="22"/>
          <w:szCs w:val="22"/>
          <w:lang w:val="cs-CZ"/>
        </w:rPr>
        <w:t>e</w:t>
      </w:r>
      <w:r w:rsidRPr="00F25A60">
        <w:rPr>
          <w:color w:val="000000"/>
          <w:sz w:val="22"/>
          <w:szCs w:val="22"/>
          <w:lang w:val="cs-CZ"/>
        </w:rPr>
        <w:t xml:space="preserve"> byl obvykle v rozmezí od 2 do 3 týdnů a od 3 do 4 týdnů. Tyto příhody je možné obvykle zvládnout buď snížením dávky nebo přerušením léčby Glivecem, ale ve vzácných případech mohou vést k trvalému přerušení léčby. U </w:t>
      </w:r>
      <w:r w:rsidR="0081768C" w:rsidRPr="00F25A60">
        <w:rPr>
          <w:color w:val="000000"/>
          <w:sz w:val="22"/>
          <w:szCs w:val="22"/>
          <w:lang w:val="cs-CZ"/>
        </w:rPr>
        <w:t xml:space="preserve">pediatrických </w:t>
      </w:r>
      <w:r w:rsidRPr="00F25A60">
        <w:rPr>
          <w:color w:val="000000"/>
          <w:sz w:val="22"/>
          <w:szCs w:val="22"/>
          <w:lang w:val="cs-CZ"/>
        </w:rPr>
        <w:t>pacientů s CML byla nejčastějším pozorovaným hematologickým nežádoucím účinkem cytopenie stupně 3 nebo 4, která zahrnovala neutropenii, trombocytopenii a anemii. Většinou se objevily během prvních několika měsíců léčby.</w:t>
      </w:r>
    </w:p>
    <w:p w14:paraId="71F23B0C" w14:textId="77777777" w:rsidR="00EA5993" w:rsidRPr="00F25A60" w:rsidRDefault="00EA5993" w:rsidP="0048111F">
      <w:pPr>
        <w:pStyle w:val="Text"/>
        <w:spacing w:before="0"/>
        <w:jc w:val="left"/>
        <w:rPr>
          <w:color w:val="000000"/>
          <w:sz w:val="22"/>
          <w:szCs w:val="22"/>
          <w:lang w:val="cs-CZ"/>
        </w:rPr>
      </w:pPr>
    </w:p>
    <w:p w14:paraId="74D0308B" w14:textId="77777777" w:rsidR="00EA5993" w:rsidRPr="00F25A60" w:rsidRDefault="00EA5993" w:rsidP="0048111F">
      <w:pPr>
        <w:pStyle w:val="Text"/>
        <w:spacing w:before="0"/>
        <w:jc w:val="left"/>
        <w:rPr>
          <w:color w:val="000000"/>
          <w:sz w:val="22"/>
          <w:szCs w:val="22"/>
          <w:lang w:val="cs-CZ"/>
        </w:rPr>
      </w:pPr>
      <w:r w:rsidRPr="00F25A60">
        <w:rPr>
          <w:color w:val="000000"/>
          <w:sz w:val="22"/>
          <w:szCs w:val="22"/>
          <w:lang w:val="cs-CZ"/>
        </w:rPr>
        <w:t>Ve studii u pacientů s inoperabilním a/nebo metastatickým GIST byl popsán stupeň 3 anemie u 5,4</w:t>
      </w:r>
      <w:r w:rsidR="0081768C" w:rsidRPr="00F25A60">
        <w:rPr>
          <w:color w:val="000000"/>
          <w:sz w:val="22"/>
          <w:szCs w:val="22"/>
          <w:lang w:val="cs-CZ"/>
        </w:rPr>
        <w:t> </w:t>
      </w:r>
      <w:r w:rsidRPr="00F25A60">
        <w:rPr>
          <w:color w:val="000000"/>
          <w:sz w:val="22"/>
          <w:szCs w:val="22"/>
          <w:lang w:val="cs-CZ"/>
        </w:rPr>
        <w:t>% a stupeň 4 u 0,7</w:t>
      </w:r>
      <w:r w:rsidR="0081768C" w:rsidRPr="00F25A60">
        <w:rPr>
          <w:color w:val="000000"/>
          <w:sz w:val="22"/>
          <w:szCs w:val="22"/>
          <w:lang w:val="cs-CZ"/>
        </w:rPr>
        <w:t> </w:t>
      </w:r>
      <w:r w:rsidRPr="00F25A60">
        <w:rPr>
          <w:color w:val="000000"/>
          <w:sz w:val="22"/>
          <w:szCs w:val="22"/>
          <w:lang w:val="cs-CZ"/>
        </w:rPr>
        <w:t>% pacientů, které mohly souviset, alespoň u některých pacientů, s gastrointestinálním krvácením nebo krvácením do nádoru. Stupeň 3 neutropenie byl pozorován u 7,5</w:t>
      </w:r>
      <w:r w:rsidR="0081768C" w:rsidRPr="00F25A60">
        <w:rPr>
          <w:color w:val="000000"/>
          <w:sz w:val="22"/>
          <w:szCs w:val="22"/>
          <w:lang w:val="cs-CZ"/>
        </w:rPr>
        <w:t> </w:t>
      </w:r>
      <w:r w:rsidRPr="00F25A60">
        <w:rPr>
          <w:color w:val="000000"/>
          <w:sz w:val="22"/>
          <w:szCs w:val="22"/>
          <w:lang w:val="cs-CZ"/>
        </w:rPr>
        <w:t>% pacientů a stupeň 4 u 2,7</w:t>
      </w:r>
      <w:r w:rsidR="0081768C" w:rsidRPr="00F25A60">
        <w:rPr>
          <w:color w:val="000000"/>
          <w:sz w:val="22"/>
          <w:szCs w:val="22"/>
          <w:lang w:val="cs-CZ"/>
        </w:rPr>
        <w:t> </w:t>
      </w:r>
      <w:r w:rsidRPr="00F25A60">
        <w:rPr>
          <w:color w:val="000000"/>
          <w:sz w:val="22"/>
          <w:szCs w:val="22"/>
          <w:lang w:val="cs-CZ"/>
        </w:rPr>
        <w:t>% pacientů a stupeň 3 trombocytopenie byl u 0,7</w:t>
      </w:r>
      <w:r w:rsidR="0081768C" w:rsidRPr="00F25A60">
        <w:rPr>
          <w:color w:val="000000"/>
          <w:sz w:val="22"/>
          <w:szCs w:val="22"/>
          <w:lang w:val="cs-CZ"/>
        </w:rPr>
        <w:t> </w:t>
      </w:r>
      <w:r w:rsidRPr="00F25A60">
        <w:rPr>
          <w:color w:val="000000"/>
          <w:sz w:val="22"/>
          <w:szCs w:val="22"/>
          <w:lang w:val="cs-CZ"/>
        </w:rPr>
        <w:t xml:space="preserve">% pacientů. U žádného pacienta se nevyvinul stupeň 4 trombocytopenie. Snížení počtu </w:t>
      </w:r>
      <w:r w:rsidR="0081768C" w:rsidRPr="00F25A60">
        <w:rPr>
          <w:color w:val="000000"/>
          <w:sz w:val="22"/>
          <w:szCs w:val="22"/>
          <w:lang w:val="cs-CZ"/>
        </w:rPr>
        <w:t>leukocytů</w:t>
      </w:r>
      <w:r w:rsidRPr="00F25A60">
        <w:rPr>
          <w:color w:val="000000"/>
          <w:sz w:val="22"/>
          <w:szCs w:val="22"/>
          <w:lang w:val="cs-CZ"/>
        </w:rPr>
        <w:t xml:space="preserve"> a neutrofilů se objevilo hlavně během prvních šesti týdnů léčby, potom zůstávaly hodnoty relativně stabilní.</w:t>
      </w:r>
    </w:p>
    <w:p w14:paraId="71E347FE" w14:textId="77777777" w:rsidR="00EA5993" w:rsidRPr="00F25A60" w:rsidRDefault="00EA5993" w:rsidP="0048111F">
      <w:pPr>
        <w:pStyle w:val="Text"/>
        <w:spacing w:before="0"/>
        <w:jc w:val="left"/>
        <w:rPr>
          <w:color w:val="000000"/>
          <w:sz w:val="22"/>
          <w:szCs w:val="22"/>
          <w:lang w:val="cs-CZ"/>
        </w:rPr>
      </w:pPr>
    </w:p>
    <w:p w14:paraId="374DD316" w14:textId="77777777" w:rsidR="00EA5993" w:rsidRPr="00F25A60" w:rsidRDefault="00EA5993" w:rsidP="0048111F">
      <w:pPr>
        <w:pStyle w:val="Text"/>
        <w:keepNext/>
        <w:spacing w:before="0"/>
        <w:jc w:val="left"/>
        <w:rPr>
          <w:i/>
          <w:iCs/>
          <w:color w:val="000000"/>
          <w:sz w:val="22"/>
          <w:szCs w:val="22"/>
          <w:u w:val="single"/>
          <w:lang w:val="cs-CZ"/>
        </w:rPr>
      </w:pPr>
      <w:r w:rsidRPr="00F25A60">
        <w:rPr>
          <w:i/>
          <w:iCs/>
          <w:color w:val="000000"/>
          <w:sz w:val="22"/>
          <w:szCs w:val="22"/>
          <w:u w:val="single"/>
          <w:lang w:val="cs-CZ"/>
        </w:rPr>
        <w:lastRenderedPageBreak/>
        <w:t>Biochemie</w:t>
      </w:r>
    </w:p>
    <w:p w14:paraId="3FA7B78D" w14:textId="2E74CD75" w:rsidR="00EA5993" w:rsidRPr="00F25A60" w:rsidRDefault="00EA5993" w:rsidP="0048111F">
      <w:pPr>
        <w:pStyle w:val="Text"/>
        <w:spacing w:before="0"/>
        <w:jc w:val="left"/>
        <w:rPr>
          <w:color w:val="000000"/>
          <w:sz w:val="22"/>
          <w:szCs w:val="22"/>
          <w:lang w:val="cs-CZ"/>
        </w:rPr>
      </w:pPr>
      <w:r w:rsidRPr="00F25A60">
        <w:rPr>
          <w:color w:val="000000"/>
          <w:sz w:val="22"/>
          <w:szCs w:val="22"/>
          <w:lang w:val="cs-CZ"/>
        </w:rPr>
        <w:t>Závažné zvýšení hodnot transamináz (&lt; 5</w:t>
      </w:r>
      <w:r w:rsidR="0081768C" w:rsidRPr="00F25A60">
        <w:rPr>
          <w:color w:val="000000"/>
          <w:sz w:val="22"/>
          <w:szCs w:val="22"/>
          <w:lang w:val="cs-CZ"/>
        </w:rPr>
        <w:t> </w:t>
      </w:r>
      <w:r w:rsidRPr="00F25A60">
        <w:rPr>
          <w:color w:val="000000"/>
          <w:sz w:val="22"/>
          <w:szCs w:val="22"/>
          <w:lang w:val="cs-CZ"/>
        </w:rPr>
        <w:t>%) nebo bilirubinu (&lt; 1</w:t>
      </w:r>
      <w:r w:rsidR="0081768C" w:rsidRPr="00F25A60">
        <w:rPr>
          <w:color w:val="000000"/>
          <w:sz w:val="22"/>
          <w:szCs w:val="22"/>
          <w:lang w:val="cs-CZ"/>
        </w:rPr>
        <w:t> </w:t>
      </w:r>
      <w:r w:rsidRPr="00F25A60">
        <w:rPr>
          <w:color w:val="000000"/>
          <w:sz w:val="22"/>
          <w:szCs w:val="22"/>
          <w:lang w:val="cs-CZ"/>
        </w:rPr>
        <w:t>%) bylo pozorováno u pacientů s</w:t>
      </w:r>
      <w:ins w:id="172" w:author="Author">
        <w:r w:rsidR="009274D5" w:rsidRPr="00F25A60">
          <w:rPr>
            <w:color w:val="000000"/>
          </w:rPr>
          <w:t> </w:t>
        </w:r>
      </w:ins>
      <w:del w:id="173" w:author="Author">
        <w:r w:rsidRPr="00F25A60" w:rsidDel="009274D5">
          <w:rPr>
            <w:color w:val="000000"/>
            <w:sz w:val="22"/>
            <w:szCs w:val="22"/>
            <w:lang w:val="cs-CZ"/>
          </w:rPr>
          <w:delText xml:space="preserve"> </w:delText>
        </w:r>
      </w:del>
      <w:r w:rsidRPr="00F25A60">
        <w:rPr>
          <w:color w:val="000000"/>
          <w:sz w:val="22"/>
          <w:szCs w:val="22"/>
          <w:lang w:val="cs-CZ"/>
        </w:rPr>
        <w:t xml:space="preserve">CML a obvykle je bylo možné zvládnout snížením dávky nebo přerušením léčby (medián trvání těchto </w:t>
      </w:r>
      <w:r w:rsidR="0081768C" w:rsidRPr="00F25A60">
        <w:rPr>
          <w:color w:val="000000"/>
          <w:sz w:val="22"/>
          <w:szCs w:val="22"/>
          <w:lang w:val="cs-CZ"/>
        </w:rPr>
        <w:t xml:space="preserve">nežádoucích účinků </w:t>
      </w:r>
      <w:r w:rsidRPr="00F25A60">
        <w:rPr>
          <w:color w:val="000000"/>
          <w:sz w:val="22"/>
          <w:szCs w:val="22"/>
          <w:lang w:val="cs-CZ"/>
        </w:rPr>
        <w:t>byl přibližně jeden týden). Léčba byla z důvodů abnormálních laboratorních hodnot jaterních testů trvale přerušena u méně než 1</w:t>
      </w:r>
      <w:r w:rsidR="0081768C" w:rsidRPr="00F25A60">
        <w:rPr>
          <w:color w:val="000000"/>
          <w:sz w:val="22"/>
          <w:szCs w:val="22"/>
          <w:lang w:val="cs-CZ"/>
        </w:rPr>
        <w:t> </w:t>
      </w:r>
      <w:r w:rsidRPr="00F25A60">
        <w:rPr>
          <w:color w:val="000000"/>
          <w:sz w:val="22"/>
          <w:szCs w:val="22"/>
          <w:lang w:val="cs-CZ"/>
        </w:rPr>
        <w:t xml:space="preserve">% pacientů s CML. U pacientů s GIST (studie B2222), bylo pozorováno zvýšení </w:t>
      </w:r>
      <w:smartTag w:uri="urn:schemas-microsoft-com:office:smarttags" w:element="stockticker">
        <w:r w:rsidRPr="00F25A60">
          <w:rPr>
            <w:color w:val="000000"/>
            <w:sz w:val="22"/>
            <w:szCs w:val="22"/>
            <w:lang w:val="cs-CZ"/>
          </w:rPr>
          <w:t>ALT</w:t>
        </w:r>
      </w:smartTag>
      <w:r w:rsidRPr="00F25A60">
        <w:rPr>
          <w:color w:val="000000"/>
          <w:sz w:val="22"/>
          <w:szCs w:val="22"/>
          <w:lang w:val="cs-CZ"/>
        </w:rPr>
        <w:t xml:space="preserve"> (alaninaminotransferáza) stupně 3 nebo 4 u 6,8</w:t>
      </w:r>
      <w:r w:rsidR="0081768C" w:rsidRPr="00F25A60">
        <w:rPr>
          <w:color w:val="000000"/>
          <w:sz w:val="22"/>
          <w:szCs w:val="22"/>
          <w:lang w:val="cs-CZ"/>
        </w:rPr>
        <w:t> </w:t>
      </w:r>
      <w:r w:rsidRPr="00F25A60">
        <w:rPr>
          <w:color w:val="000000"/>
          <w:sz w:val="22"/>
          <w:szCs w:val="22"/>
          <w:lang w:val="cs-CZ"/>
        </w:rPr>
        <w:t>% a zvýšení AST (aspartátaminotransferáza) stupně 3 nebo 4 u 4,8</w:t>
      </w:r>
      <w:r w:rsidR="0081768C" w:rsidRPr="00F25A60">
        <w:rPr>
          <w:color w:val="000000"/>
          <w:sz w:val="22"/>
          <w:szCs w:val="22"/>
          <w:lang w:val="cs-CZ"/>
        </w:rPr>
        <w:t> </w:t>
      </w:r>
      <w:r w:rsidRPr="00F25A60">
        <w:rPr>
          <w:color w:val="000000"/>
          <w:sz w:val="22"/>
          <w:szCs w:val="22"/>
          <w:lang w:val="cs-CZ"/>
        </w:rPr>
        <w:t>%. Zvýšení bilirubinu bylo méně než 3</w:t>
      </w:r>
      <w:r w:rsidR="0081768C" w:rsidRPr="00F25A60">
        <w:rPr>
          <w:color w:val="000000"/>
          <w:sz w:val="22"/>
          <w:szCs w:val="22"/>
          <w:lang w:val="cs-CZ"/>
        </w:rPr>
        <w:t> </w:t>
      </w:r>
      <w:r w:rsidRPr="00F25A60">
        <w:rPr>
          <w:color w:val="000000"/>
          <w:sz w:val="22"/>
          <w:szCs w:val="22"/>
          <w:lang w:val="cs-CZ"/>
        </w:rPr>
        <w:t>%.</w:t>
      </w:r>
    </w:p>
    <w:p w14:paraId="20397DC8" w14:textId="77777777" w:rsidR="00EA5993" w:rsidRPr="00F25A60" w:rsidRDefault="00EA5993" w:rsidP="0048111F">
      <w:pPr>
        <w:pStyle w:val="Text"/>
        <w:spacing w:before="0"/>
        <w:jc w:val="left"/>
        <w:rPr>
          <w:color w:val="000000"/>
          <w:sz w:val="22"/>
          <w:szCs w:val="22"/>
          <w:lang w:val="cs-CZ"/>
        </w:rPr>
      </w:pPr>
    </w:p>
    <w:p w14:paraId="589B282A" w14:textId="77777777" w:rsidR="001927EB" w:rsidRPr="00F25A60" w:rsidRDefault="00EA5993" w:rsidP="0048111F">
      <w:pPr>
        <w:pStyle w:val="Text"/>
        <w:spacing w:before="0"/>
        <w:jc w:val="left"/>
        <w:rPr>
          <w:color w:val="000000"/>
          <w:sz w:val="22"/>
          <w:szCs w:val="22"/>
          <w:lang w:val="cs-CZ"/>
        </w:rPr>
      </w:pPr>
      <w:r w:rsidRPr="00F25A60">
        <w:rPr>
          <w:color w:val="000000"/>
          <w:sz w:val="22"/>
          <w:szCs w:val="22"/>
          <w:lang w:val="cs-CZ"/>
        </w:rPr>
        <w:t xml:space="preserve">Byly </w:t>
      </w:r>
      <w:r w:rsidR="0081768C" w:rsidRPr="00F25A60">
        <w:rPr>
          <w:color w:val="000000"/>
          <w:sz w:val="22"/>
          <w:szCs w:val="22"/>
          <w:lang w:val="cs-CZ"/>
        </w:rPr>
        <w:t>hlášeny</w:t>
      </w:r>
      <w:r w:rsidRPr="00F25A60">
        <w:rPr>
          <w:color w:val="000000"/>
          <w:sz w:val="22"/>
          <w:szCs w:val="22"/>
          <w:lang w:val="cs-CZ"/>
        </w:rPr>
        <w:t xml:space="preserve"> případy cytolytické a cholestatické hepatitidy a jaterního selhání; některé z nich byly fatální, </w:t>
      </w:r>
      <w:r w:rsidR="0081768C" w:rsidRPr="00F25A60">
        <w:rPr>
          <w:color w:val="000000"/>
          <w:sz w:val="22"/>
          <w:szCs w:val="22"/>
          <w:lang w:val="cs-CZ"/>
        </w:rPr>
        <w:t>zahrnující i</w:t>
      </w:r>
      <w:r w:rsidRPr="00F25A60">
        <w:rPr>
          <w:color w:val="000000"/>
          <w:sz w:val="22"/>
          <w:szCs w:val="22"/>
          <w:lang w:val="cs-CZ"/>
        </w:rPr>
        <w:t xml:space="preserve"> jednoho pacienta užívajícího vysoké dávky paracetamolu.</w:t>
      </w:r>
    </w:p>
    <w:p w14:paraId="5360AA2C" w14:textId="77777777" w:rsidR="001927EB" w:rsidRPr="00F25A60" w:rsidRDefault="001927EB" w:rsidP="0048111F">
      <w:pPr>
        <w:pStyle w:val="Text"/>
        <w:spacing w:before="0"/>
        <w:jc w:val="left"/>
        <w:rPr>
          <w:color w:val="000000"/>
          <w:sz w:val="22"/>
          <w:szCs w:val="22"/>
          <w:lang w:val="cs-CZ"/>
        </w:rPr>
      </w:pPr>
    </w:p>
    <w:p w14:paraId="3E6D4ECC" w14:textId="591B3A0D" w:rsidR="001927EB" w:rsidRPr="00F25A60" w:rsidRDefault="001927EB" w:rsidP="0048111F">
      <w:pPr>
        <w:pStyle w:val="Text"/>
        <w:keepNext/>
        <w:spacing w:before="0"/>
        <w:jc w:val="left"/>
        <w:rPr>
          <w:color w:val="000000"/>
          <w:sz w:val="22"/>
          <w:szCs w:val="22"/>
          <w:u w:val="single"/>
          <w:lang w:val="cs-CZ"/>
        </w:rPr>
      </w:pPr>
      <w:r w:rsidRPr="00F25A60">
        <w:rPr>
          <w:color w:val="000000"/>
          <w:sz w:val="22"/>
          <w:szCs w:val="22"/>
          <w:u w:val="single"/>
          <w:lang w:val="cs-CZ"/>
        </w:rPr>
        <w:t>Popis vybraných nežádoucích účinků</w:t>
      </w:r>
    </w:p>
    <w:p w14:paraId="048EEFF3" w14:textId="77777777" w:rsidR="0096691F" w:rsidRPr="00F25A60" w:rsidRDefault="0096691F" w:rsidP="0048111F">
      <w:pPr>
        <w:pStyle w:val="Text"/>
        <w:keepNext/>
        <w:spacing w:before="0"/>
        <w:jc w:val="left"/>
        <w:rPr>
          <w:color w:val="000000"/>
          <w:sz w:val="22"/>
          <w:szCs w:val="22"/>
          <w:lang w:val="cs-CZ"/>
        </w:rPr>
      </w:pPr>
    </w:p>
    <w:p w14:paraId="0274C8C5" w14:textId="77777777" w:rsidR="001927EB" w:rsidRPr="00F25A60" w:rsidRDefault="001927EB" w:rsidP="0048111F">
      <w:pPr>
        <w:pStyle w:val="Text"/>
        <w:keepNext/>
        <w:spacing w:before="0"/>
        <w:jc w:val="left"/>
        <w:rPr>
          <w:i/>
          <w:color w:val="000000"/>
          <w:sz w:val="22"/>
          <w:szCs w:val="22"/>
          <w:u w:val="single"/>
          <w:lang w:val="cs-CZ"/>
        </w:rPr>
      </w:pPr>
      <w:r w:rsidRPr="00F25A60">
        <w:rPr>
          <w:i/>
          <w:color w:val="000000"/>
          <w:sz w:val="22"/>
          <w:szCs w:val="22"/>
          <w:u w:val="single"/>
          <w:lang w:val="cs-CZ"/>
        </w:rPr>
        <w:t>Reaktivace hepatitidy B</w:t>
      </w:r>
    </w:p>
    <w:p w14:paraId="5546ED2E" w14:textId="77777777" w:rsidR="001927EB" w:rsidRPr="00F25A60" w:rsidRDefault="001927EB" w:rsidP="0048111F">
      <w:pPr>
        <w:pStyle w:val="Text"/>
        <w:spacing w:before="0"/>
        <w:jc w:val="left"/>
        <w:rPr>
          <w:color w:val="000000"/>
          <w:sz w:val="22"/>
          <w:szCs w:val="22"/>
          <w:lang w:val="cs-CZ"/>
        </w:rPr>
      </w:pPr>
      <w:r w:rsidRPr="00F25A60">
        <w:rPr>
          <w:color w:val="000000"/>
          <w:sz w:val="22"/>
          <w:szCs w:val="22"/>
          <w:lang w:val="cs-CZ"/>
        </w:rPr>
        <w:t>V souvislosti s tyrosinkinázou bcr-abl byla zaznamenána reaktivace hepatitidy B. Některé případy vyústily v akutní selhání jater nebo ve fulminantní hepatitidu vedoucí k transplantaci jater nebo došlo k úmrtí pacienta (viz bod</w:t>
      </w:r>
      <w:r w:rsidR="003104BF" w:rsidRPr="00F25A60">
        <w:rPr>
          <w:color w:val="000000"/>
          <w:sz w:val="22"/>
          <w:szCs w:val="22"/>
          <w:lang w:val="cs-CZ"/>
        </w:rPr>
        <w:t> </w:t>
      </w:r>
      <w:r w:rsidRPr="00F25A60">
        <w:rPr>
          <w:color w:val="000000"/>
          <w:sz w:val="22"/>
          <w:szCs w:val="22"/>
          <w:lang w:val="cs-CZ"/>
        </w:rPr>
        <w:t>4.4).</w:t>
      </w:r>
    </w:p>
    <w:p w14:paraId="1D05DFB9" w14:textId="77777777" w:rsidR="00EA5993" w:rsidRPr="00F25A60" w:rsidRDefault="00EA5993" w:rsidP="0048111F">
      <w:pPr>
        <w:pStyle w:val="Text"/>
        <w:spacing w:before="0"/>
        <w:jc w:val="left"/>
        <w:rPr>
          <w:color w:val="000000"/>
          <w:sz w:val="22"/>
          <w:szCs w:val="22"/>
          <w:lang w:val="cs-CZ"/>
        </w:rPr>
      </w:pPr>
    </w:p>
    <w:p w14:paraId="056476CE" w14:textId="09E0A7A6" w:rsidR="00EA5993" w:rsidRPr="00F25A60" w:rsidRDefault="00EA5993" w:rsidP="0048111F">
      <w:pPr>
        <w:keepNext/>
        <w:autoSpaceDE w:val="0"/>
        <w:autoSpaceDN w:val="0"/>
        <w:adjustRightInd w:val="0"/>
        <w:spacing w:line="240" w:lineRule="auto"/>
        <w:jc w:val="both"/>
        <w:rPr>
          <w:noProof/>
          <w:u w:val="single"/>
        </w:rPr>
      </w:pPr>
      <w:r w:rsidRPr="00F25A60">
        <w:rPr>
          <w:noProof/>
          <w:u w:val="single"/>
        </w:rPr>
        <w:t>Hlášení podezření na nežádoucí účinky</w:t>
      </w:r>
    </w:p>
    <w:p w14:paraId="0A8C43BB" w14:textId="77777777" w:rsidR="0096691F" w:rsidRPr="00F25A60" w:rsidRDefault="0096691F" w:rsidP="0048111F">
      <w:pPr>
        <w:keepNext/>
        <w:autoSpaceDE w:val="0"/>
        <w:autoSpaceDN w:val="0"/>
        <w:adjustRightInd w:val="0"/>
        <w:spacing w:line="240" w:lineRule="auto"/>
        <w:jc w:val="both"/>
      </w:pPr>
    </w:p>
    <w:p w14:paraId="7A2E71F5" w14:textId="47BB5C15" w:rsidR="00EA5993" w:rsidRPr="00FD05F1" w:rsidRDefault="00EA5993" w:rsidP="0048111F">
      <w:pPr>
        <w:pStyle w:val="Text"/>
        <w:spacing w:before="0"/>
        <w:jc w:val="left"/>
        <w:rPr>
          <w:rStyle w:val="Hyperlink"/>
          <w:noProof/>
          <w:color w:val="auto"/>
          <w:sz w:val="22"/>
          <w:szCs w:val="22"/>
          <w:lang w:val="cs-CZ"/>
        </w:rPr>
      </w:pPr>
      <w:r w:rsidRPr="00F25A60">
        <w:rPr>
          <w:noProof/>
          <w:sz w:val="22"/>
          <w:szCs w:val="22"/>
          <w:lang w:val="cs-CZ"/>
        </w:rPr>
        <w:t>Hlášení podezření na nežádoucí účinky po registraci léčivého přípravku je důležité. Umožňuje to pokrač</w:t>
      </w:r>
      <w:r w:rsidRPr="00F25A60">
        <w:rPr>
          <w:sz w:val="22"/>
          <w:szCs w:val="22"/>
          <w:lang w:val="cs-CZ"/>
        </w:rPr>
        <w:t>ovat ve</w:t>
      </w:r>
      <w:r w:rsidRPr="00F25A60">
        <w:rPr>
          <w:noProof/>
          <w:sz w:val="22"/>
          <w:szCs w:val="22"/>
          <w:lang w:val="cs-CZ"/>
        </w:rPr>
        <w:t xml:space="preserve"> sledování poměru přínosů a rizik léčivého přípravku. Žádáme </w:t>
      </w:r>
      <w:r w:rsidRPr="00F25A60">
        <w:rPr>
          <w:sz w:val="22"/>
          <w:szCs w:val="22"/>
          <w:lang w:val="cs-CZ"/>
        </w:rPr>
        <w:t xml:space="preserve">zdravotnické pracovníky, aby hlásili podezření na nežádoucí účinky </w:t>
      </w:r>
      <w:r w:rsidRPr="00F25A60">
        <w:rPr>
          <w:noProof/>
          <w:sz w:val="22"/>
          <w:szCs w:val="22"/>
          <w:lang w:val="cs-CZ"/>
        </w:rPr>
        <w:t xml:space="preserve">prostřednictvím </w:t>
      </w:r>
      <w:r w:rsidRPr="00F25A60">
        <w:rPr>
          <w:noProof/>
          <w:sz w:val="22"/>
          <w:szCs w:val="22"/>
          <w:shd w:val="pct15" w:color="auto" w:fill="auto"/>
          <w:lang w:val="cs-CZ"/>
        </w:rPr>
        <w:t xml:space="preserve">národního systému hlášení nežádoucích účinků uvedeného v </w:t>
      </w:r>
      <w:r>
        <w:fldChar w:fldCharType="begin"/>
      </w:r>
      <w:ins w:id="174" w:author="Author">
        <w:r w:rsidR="00FD05F1">
          <w:instrText>HYPERLINK "https://www.ema.europa.eu/documents/template-form/qrd-appendix-v-adverse-drug-reaction-reporting-details_en.docx"</w:instrText>
        </w:r>
      </w:ins>
      <w:del w:id="175" w:author="Author">
        <w:r w:rsidDel="00FD05F1">
          <w:delInstrText>HYPERLINK "http://www.ema.europa.eu/docs/en_GB/document_library/Template_or_form/2013/03/WC500139752.doc"</w:delInstrText>
        </w:r>
      </w:del>
      <w:r>
        <w:fldChar w:fldCharType="separate"/>
      </w:r>
      <w:r w:rsidRPr="00F25A60">
        <w:rPr>
          <w:rStyle w:val="Hyperlink"/>
          <w:noProof/>
          <w:sz w:val="22"/>
          <w:szCs w:val="22"/>
          <w:shd w:val="pct15" w:color="auto" w:fill="auto"/>
          <w:lang w:val="cs-CZ"/>
        </w:rPr>
        <w:t>Dodatku V</w:t>
      </w:r>
      <w:r>
        <w:fldChar w:fldCharType="end"/>
      </w:r>
      <w:r w:rsidRPr="00F25A60">
        <w:rPr>
          <w:rStyle w:val="Hyperlink"/>
          <w:noProof/>
          <w:sz w:val="22"/>
          <w:szCs w:val="22"/>
          <w:lang w:val="cs-CZ"/>
        </w:rPr>
        <w:t>.</w:t>
      </w:r>
    </w:p>
    <w:p w14:paraId="62D6BBE3" w14:textId="77777777" w:rsidR="00EA5993" w:rsidRPr="00F25A60" w:rsidRDefault="00EA5993" w:rsidP="0048111F">
      <w:pPr>
        <w:pStyle w:val="Text"/>
        <w:spacing w:before="0"/>
        <w:jc w:val="left"/>
        <w:rPr>
          <w:color w:val="000000"/>
          <w:sz w:val="22"/>
          <w:szCs w:val="22"/>
          <w:lang w:val="cs-CZ"/>
        </w:rPr>
      </w:pPr>
    </w:p>
    <w:p w14:paraId="62F2E547" w14:textId="77777777" w:rsidR="00EA5993" w:rsidRPr="00F25A60" w:rsidRDefault="00EA5993" w:rsidP="0048111F">
      <w:pPr>
        <w:keepNext/>
        <w:tabs>
          <w:tab w:val="clear" w:pos="567"/>
        </w:tabs>
        <w:spacing w:line="240" w:lineRule="auto"/>
        <w:ind w:left="567" w:hanging="567"/>
        <w:rPr>
          <w:b/>
          <w:bCs/>
          <w:color w:val="000000"/>
        </w:rPr>
      </w:pPr>
      <w:r w:rsidRPr="00F25A60">
        <w:rPr>
          <w:b/>
          <w:bCs/>
          <w:color w:val="000000"/>
        </w:rPr>
        <w:t>4.9</w:t>
      </w:r>
      <w:r w:rsidRPr="00F25A60">
        <w:rPr>
          <w:b/>
          <w:bCs/>
          <w:color w:val="000000"/>
        </w:rPr>
        <w:tab/>
        <w:t>Předávkování</w:t>
      </w:r>
    </w:p>
    <w:p w14:paraId="1B52D1A0" w14:textId="77777777" w:rsidR="00EA5993" w:rsidRPr="00F25A60" w:rsidRDefault="00EA5993" w:rsidP="0048111F">
      <w:pPr>
        <w:keepNext/>
        <w:tabs>
          <w:tab w:val="clear" w:pos="567"/>
        </w:tabs>
        <w:spacing w:line="240" w:lineRule="auto"/>
        <w:rPr>
          <w:color w:val="000000"/>
        </w:rPr>
      </w:pPr>
    </w:p>
    <w:p w14:paraId="5340B221" w14:textId="77777777" w:rsidR="00EA5993" w:rsidRPr="00F25A60" w:rsidRDefault="00EA5993" w:rsidP="0048111F">
      <w:pPr>
        <w:pStyle w:val="EndnoteText"/>
        <w:keepNext/>
        <w:tabs>
          <w:tab w:val="clear" w:pos="567"/>
        </w:tabs>
        <w:rPr>
          <w:color w:val="000000"/>
        </w:rPr>
      </w:pPr>
      <w:r w:rsidRPr="00F25A60">
        <w:rPr>
          <w:color w:val="000000"/>
        </w:rPr>
        <w:t>Zkušenosti s</w:t>
      </w:r>
      <w:r w:rsidRPr="00F25A60">
        <w:rPr>
          <w:color w:val="000000"/>
          <w:sz w:val="24"/>
          <w:szCs w:val="24"/>
        </w:rPr>
        <w:t> </w:t>
      </w:r>
      <w:r w:rsidRPr="00F25A60">
        <w:rPr>
          <w:color w:val="000000"/>
        </w:rPr>
        <w:t>dávkami vyššími než doporučená terapeutická dávka jsou omezené. Jednotlivé případy předávkování Glivecem byly hlášeny spontánně a v</w:t>
      </w:r>
      <w:r w:rsidRPr="00F25A60">
        <w:rPr>
          <w:color w:val="000000"/>
          <w:sz w:val="24"/>
          <w:szCs w:val="24"/>
        </w:rPr>
        <w:t> </w:t>
      </w:r>
      <w:r w:rsidRPr="00F25A60">
        <w:rPr>
          <w:color w:val="000000"/>
        </w:rPr>
        <w:t>literatuře. V</w:t>
      </w:r>
      <w:r w:rsidRPr="00F25A60">
        <w:rPr>
          <w:color w:val="000000"/>
          <w:sz w:val="24"/>
          <w:szCs w:val="24"/>
        </w:rPr>
        <w:t> </w:t>
      </w:r>
      <w:r w:rsidRPr="00F25A60">
        <w:rPr>
          <w:color w:val="000000"/>
        </w:rPr>
        <w:t>případě předávkování by měl být pacient pozorován a odpovídajícím způsobem léčen podpůrnou léčbou. Obecně byl v</w:t>
      </w:r>
      <w:r w:rsidRPr="00F25A60">
        <w:rPr>
          <w:color w:val="000000"/>
          <w:sz w:val="24"/>
          <w:szCs w:val="24"/>
        </w:rPr>
        <w:t> </w:t>
      </w:r>
      <w:r w:rsidRPr="00F25A60">
        <w:rPr>
          <w:color w:val="000000"/>
        </w:rPr>
        <w:t>těchto případech hlášen výsledek „zlepšený“ nebo „vyléčený“. Následující příhody byly hlášeny při podání různých rozmezí dávky:</w:t>
      </w:r>
    </w:p>
    <w:p w14:paraId="73FE6F02" w14:textId="77777777" w:rsidR="00EA5993" w:rsidRPr="00F25A60" w:rsidRDefault="00EA5993" w:rsidP="0048111F">
      <w:pPr>
        <w:keepNext/>
        <w:tabs>
          <w:tab w:val="clear" w:pos="567"/>
        </w:tabs>
        <w:spacing w:line="240" w:lineRule="auto"/>
        <w:rPr>
          <w:color w:val="000000"/>
        </w:rPr>
      </w:pPr>
    </w:p>
    <w:p w14:paraId="02F58376" w14:textId="03BB7BBF" w:rsidR="00EA5993" w:rsidRPr="00F25A60" w:rsidRDefault="00EA5993" w:rsidP="0048111F">
      <w:pPr>
        <w:pStyle w:val="Text"/>
        <w:keepNext/>
        <w:spacing w:before="0"/>
        <w:jc w:val="left"/>
        <w:rPr>
          <w:iCs/>
          <w:color w:val="000000"/>
          <w:sz w:val="22"/>
          <w:szCs w:val="22"/>
          <w:u w:val="single"/>
          <w:lang w:val="cs-CZ"/>
        </w:rPr>
      </w:pPr>
      <w:r w:rsidRPr="00F25A60">
        <w:rPr>
          <w:iCs/>
          <w:color w:val="000000"/>
          <w:sz w:val="22"/>
          <w:szCs w:val="22"/>
          <w:u w:val="single"/>
          <w:lang w:val="cs-CZ"/>
        </w:rPr>
        <w:t>Dospělá populace</w:t>
      </w:r>
    </w:p>
    <w:p w14:paraId="4A870396" w14:textId="77777777" w:rsidR="0096691F" w:rsidRPr="00F25A60" w:rsidRDefault="0096691F" w:rsidP="0048111F">
      <w:pPr>
        <w:pStyle w:val="Text"/>
        <w:keepNext/>
        <w:spacing w:before="0"/>
        <w:jc w:val="left"/>
        <w:rPr>
          <w:iCs/>
          <w:sz w:val="22"/>
          <w:szCs w:val="22"/>
          <w:lang w:val="cs-CZ"/>
        </w:rPr>
      </w:pPr>
    </w:p>
    <w:p w14:paraId="1FC0F05B" w14:textId="58F5E10D" w:rsidR="00EA5993" w:rsidRPr="00F25A60" w:rsidRDefault="00EA5993" w:rsidP="0048111F">
      <w:pPr>
        <w:pStyle w:val="Text"/>
        <w:spacing w:before="0"/>
        <w:jc w:val="left"/>
        <w:rPr>
          <w:lang w:val="cs-CZ"/>
        </w:rPr>
      </w:pPr>
      <w:r w:rsidRPr="00F25A60">
        <w:rPr>
          <w:sz w:val="22"/>
          <w:szCs w:val="22"/>
          <w:lang w:val="cs-CZ"/>
        </w:rPr>
        <w:t>1</w:t>
      </w:r>
      <w:ins w:id="176" w:author="Author">
        <w:r w:rsidR="00640F43" w:rsidRPr="00F25A60">
          <w:rPr>
            <w:color w:val="000000"/>
            <w:sz w:val="22"/>
            <w:szCs w:val="22"/>
            <w:lang w:val="cs-CZ"/>
          </w:rPr>
          <w:t> </w:t>
        </w:r>
      </w:ins>
      <w:r w:rsidRPr="00F25A60">
        <w:rPr>
          <w:sz w:val="22"/>
          <w:szCs w:val="22"/>
          <w:lang w:val="cs-CZ"/>
        </w:rPr>
        <w:t>200 až 1</w:t>
      </w:r>
      <w:ins w:id="177" w:author="Author">
        <w:r w:rsidR="000857AB" w:rsidRPr="00F25A60">
          <w:rPr>
            <w:color w:val="000000"/>
            <w:sz w:val="22"/>
            <w:szCs w:val="22"/>
            <w:lang w:val="cs-CZ"/>
          </w:rPr>
          <w:t> </w:t>
        </w:r>
      </w:ins>
      <w:r w:rsidRPr="00F25A60">
        <w:rPr>
          <w:sz w:val="22"/>
          <w:szCs w:val="22"/>
          <w:lang w:val="cs-CZ"/>
        </w:rPr>
        <w:t>600</w:t>
      </w:r>
      <w:r w:rsidRPr="00F25A60">
        <w:rPr>
          <w:color w:val="000000"/>
          <w:lang w:val="cs-CZ"/>
        </w:rPr>
        <w:t> </w:t>
      </w:r>
      <w:r w:rsidRPr="00F25A60">
        <w:rPr>
          <w:sz w:val="22"/>
          <w:szCs w:val="22"/>
          <w:lang w:val="cs-CZ"/>
        </w:rPr>
        <w:t xml:space="preserve">mg (délka trvání 1 až 10 dní): </w:t>
      </w:r>
      <w:r w:rsidRPr="00F25A60">
        <w:rPr>
          <w:color w:val="000000"/>
          <w:sz w:val="22"/>
          <w:szCs w:val="22"/>
          <w:lang w:val="cs-CZ"/>
        </w:rPr>
        <w:t>N</w:t>
      </w:r>
      <w:r w:rsidRPr="00F25A60">
        <w:rPr>
          <w:sz w:val="22"/>
          <w:szCs w:val="22"/>
          <w:lang w:val="cs-CZ"/>
        </w:rPr>
        <w:t>auzea, zvracení, průjem,</w:t>
      </w:r>
      <w:r w:rsidR="00A12785" w:rsidRPr="00F25A60">
        <w:rPr>
          <w:sz w:val="22"/>
          <w:szCs w:val="22"/>
          <w:lang w:val="cs-CZ"/>
        </w:rPr>
        <w:t xml:space="preserve"> </w:t>
      </w:r>
      <w:r w:rsidRPr="00F25A60">
        <w:rPr>
          <w:sz w:val="22"/>
          <w:szCs w:val="22"/>
          <w:lang w:val="cs-CZ"/>
        </w:rPr>
        <w:t xml:space="preserve">vyrážka, </w:t>
      </w:r>
      <w:r w:rsidR="000C14F2" w:rsidRPr="00F25A60">
        <w:rPr>
          <w:sz w:val="22"/>
          <w:szCs w:val="22"/>
          <w:lang w:val="cs-CZ"/>
        </w:rPr>
        <w:t>erytém</w:t>
      </w:r>
      <w:r w:rsidRPr="00F25A60">
        <w:rPr>
          <w:sz w:val="22"/>
          <w:szCs w:val="22"/>
          <w:lang w:val="cs-CZ"/>
        </w:rPr>
        <w:t>, edém, otoky, únava, svalové křeče, trombocytopenie, pancytopenie, bolest břicha, bolest hlavy, snížená chuť k jídlu.</w:t>
      </w:r>
    </w:p>
    <w:p w14:paraId="47D18629" w14:textId="7DEF6DFD" w:rsidR="00EA5993" w:rsidRPr="00F25A60" w:rsidRDefault="00EA5993" w:rsidP="0048111F">
      <w:pPr>
        <w:pStyle w:val="Text"/>
        <w:spacing w:before="0"/>
        <w:jc w:val="left"/>
        <w:rPr>
          <w:color w:val="000000"/>
          <w:sz w:val="22"/>
          <w:szCs w:val="22"/>
          <w:lang w:val="cs-CZ"/>
        </w:rPr>
      </w:pPr>
      <w:r w:rsidRPr="00F25A60">
        <w:rPr>
          <w:sz w:val="22"/>
          <w:szCs w:val="22"/>
          <w:lang w:val="cs-CZ"/>
        </w:rPr>
        <w:t>1</w:t>
      </w:r>
      <w:ins w:id="178" w:author="Author">
        <w:r w:rsidR="000857AB" w:rsidRPr="00F25A60">
          <w:rPr>
            <w:color w:val="000000"/>
            <w:sz w:val="22"/>
            <w:szCs w:val="22"/>
            <w:lang w:val="cs-CZ"/>
          </w:rPr>
          <w:t> </w:t>
        </w:r>
      </w:ins>
      <w:r w:rsidRPr="00F25A60">
        <w:rPr>
          <w:sz w:val="22"/>
          <w:szCs w:val="22"/>
          <w:lang w:val="cs-CZ"/>
        </w:rPr>
        <w:t>800 až 3</w:t>
      </w:r>
      <w:ins w:id="179" w:author="Author">
        <w:r w:rsidR="000857AB" w:rsidRPr="00F25A60">
          <w:rPr>
            <w:color w:val="000000"/>
            <w:sz w:val="22"/>
            <w:szCs w:val="22"/>
            <w:lang w:val="cs-CZ"/>
          </w:rPr>
          <w:t> </w:t>
        </w:r>
      </w:ins>
      <w:r w:rsidRPr="00F25A60">
        <w:rPr>
          <w:sz w:val="22"/>
          <w:szCs w:val="22"/>
          <w:lang w:val="cs-CZ"/>
        </w:rPr>
        <w:t>200 mg (</w:t>
      </w:r>
      <w:r w:rsidRPr="00F25A60">
        <w:rPr>
          <w:color w:val="000000"/>
          <w:sz w:val="22"/>
          <w:szCs w:val="22"/>
          <w:lang w:val="cs-CZ"/>
        </w:rPr>
        <w:t>dosáhlo až</w:t>
      </w:r>
      <w:r w:rsidRPr="00F25A60">
        <w:rPr>
          <w:sz w:val="22"/>
          <w:szCs w:val="22"/>
          <w:lang w:val="cs-CZ"/>
        </w:rPr>
        <w:t xml:space="preserve"> 3</w:t>
      </w:r>
      <w:ins w:id="180" w:author="Author">
        <w:r w:rsidR="000857AB" w:rsidRPr="00F25A60">
          <w:rPr>
            <w:color w:val="000000"/>
            <w:sz w:val="22"/>
            <w:szCs w:val="22"/>
            <w:lang w:val="cs-CZ"/>
          </w:rPr>
          <w:t> </w:t>
        </w:r>
      </w:ins>
      <w:r w:rsidRPr="00F25A60">
        <w:rPr>
          <w:sz w:val="22"/>
          <w:szCs w:val="22"/>
          <w:lang w:val="cs-CZ"/>
        </w:rPr>
        <w:t>200</w:t>
      </w:r>
      <w:r w:rsidRPr="00F25A60">
        <w:rPr>
          <w:color w:val="000000"/>
          <w:sz w:val="22"/>
          <w:szCs w:val="22"/>
          <w:lang w:val="cs-CZ"/>
        </w:rPr>
        <w:t> </w:t>
      </w:r>
      <w:r w:rsidRPr="00F25A60">
        <w:rPr>
          <w:sz w:val="22"/>
          <w:szCs w:val="22"/>
          <w:lang w:val="cs-CZ"/>
        </w:rPr>
        <w:t xml:space="preserve">mg </w:t>
      </w:r>
      <w:r w:rsidRPr="00F25A60">
        <w:rPr>
          <w:color w:val="000000"/>
          <w:sz w:val="22"/>
          <w:szCs w:val="22"/>
          <w:lang w:val="cs-CZ"/>
        </w:rPr>
        <w:t>denně po dobu</w:t>
      </w:r>
      <w:r w:rsidRPr="00F25A60">
        <w:rPr>
          <w:sz w:val="22"/>
          <w:szCs w:val="22"/>
          <w:lang w:val="cs-CZ"/>
        </w:rPr>
        <w:t xml:space="preserve"> 6</w:t>
      </w:r>
      <w:r w:rsidRPr="00F25A60">
        <w:rPr>
          <w:color w:val="000000"/>
          <w:sz w:val="22"/>
          <w:szCs w:val="22"/>
          <w:lang w:val="cs-CZ"/>
        </w:rPr>
        <w:t> </w:t>
      </w:r>
      <w:r w:rsidRPr="00F25A60">
        <w:rPr>
          <w:sz w:val="22"/>
          <w:szCs w:val="22"/>
          <w:lang w:val="cs-CZ"/>
        </w:rPr>
        <w:t>d</w:t>
      </w:r>
      <w:r w:rsidRPr="00F25A60">
        <w:rPr>
          <w:color w:val="000000"/>
          <w:sz w:val="22"/>
          <w:szCs w:val="22"/>
          <w:lang w:val="cs-CZ"/>
        </w:rPr>
        <w:t>nů</w:t>
      </w:r>
      <w:r w:rsidRPr="00F25A60">
        <w:rPr>
          <w:sz w:val="22"/>
          <w:szCs w:val="22"/>
          <w:lang w:val="cs-CZ"/>
        </w:rPr>
        <w:t xml:space="preserve">): </w:t>
      </w:r>
      <w:r w:rsidRPr="00F25A60">
        <w:rPr>
          <w:color w:val="000000"/>
          <w:sz w:val="22"/>
          <w:szCs w:val="22"/>
          <w:lang w:val="cs-CZ"/>
        </w:rPr>
        <w:t>Slabost</w:t>
      </w:r>
      <w:r w:rsidRPr="00F25A60">
        <w:rPr>
          <w:sz w:val="22"/>
          <w:szCs w:val="22"/>
          <w:lang w:val="cs-CZ"/>
        </w:rPr>
        <w:t>, myalgi</w:t>
      </w:r>
      <w:r w:rsidRPr="00F25A60">
        <w:rPr>
          <w:color w:val="000000"/>
          <w:sz w:val="22"/>
          <w:szCs w:val="22"/>
          <w:lang w:val="cs-CZ"/>
        </w:rPr>
        <w:t>e</w:t>
      </w:r>
      <w:r w:rsidRPr="00F25A60">
        <w:rPr>
          <w:sz w:val="22"/>
          <w:szCs w:val="22"/>
          <w:lang w:val="cs-CZ"/>
        </w:rPr>
        <w:t xml:space="preserve">, </w:t>
      </w:r>
      <w:r w:rsidRPr="00F25A60">
        <w:rPr>
          <w:color w:val="000000"/>
          <w:sz w:val="22"/>
          <w:szCs w:val="22"/>
          <w:lang w:val="cs-CZ"/>
        </w:rPr>
        <w:t>zvýšená hodnota kreatinfosfokinázy</w:t>
      </w:r>
      <w:r w:rsidRPr="00F25A60">
        <w:rPr>
          <w:sz w:val="22"/>
          <w:szCs w:val="22"/>
          <w:lang w:val="cs-CZ"/>
        </w:rPr>
        <w:t xml:space="preserve">, </w:t>
      </w:r>
      <w:r w:rsidRPr="00F25A60">
        <w:rPr>
          <w:color w:val="000000"/>
          <w:sz w:val="22"/>
          <w:szCs w:val="22"/>
          <w:lang w:val="cs-CZ"/>
        </w:rPr>
        <w:t>zvýšená hodnota b</w:t>
      </w:r>
      <w:r w:rsidRPr="00F25A60">
        <w:rPr>
          <w:sz w:val="22"/>
          <w:szCs w:val="22"/>
          <w:lang w:val="cs-CZ"/>
        </w:rPr>
        <w:t>ilirubin</w:t>
      </w:r>
      <w:r w:rsidRPr="00F25A60">
        <w:rPr>
          <w:color w:val="000000"/>
          <w:sz w:val="22"/>
          <w:szCs w:val="22"/>
          <w:lang w:val="cs-CZ"/>
        </w:rPr>
        <w:t>u</w:t>
      </w:r>
      <w:r w:rsidRPr="00F25A60">
        <w:rPr>
          <w:sz w:val="22"/>
          <w:szCs w:val="22"/>
          <w:lang w:val="cs-CZ"/>
        </w:rPr>
        <w:t>, gastrointestin</w:t>
      </w:r>
      <w:r w:rsidRPr="00F25A60">
        <w:rPr>
          <w:color w:val="000000"/>
          <w:sz w:val="22"/>
          <w:szCs w:val="22"/>
          <w:lang w:val="cs-CZ"/>
        </w:rPr>
        <w:t>á</w:t>
      </w:r>
      <w:r w:rsidRPr="00F25A60">
        <w:rPr>
          <w:sz w:val="22"/>
          <w:szCs w:val="22"/>
          <w:lang w:val="cs-CZ"/>
        </w:rPr>
        <w:t>l</w:t>
      </w:r>
      <w:r w:rsidRPr="00F25A60">
        <w:rPr>
          <w:color w:val="000000"/>
          <w:sz w:val="22"/>
          <w:szCs w:val="22"/>
          <w:lang w:val="cs-CZ"/>
        </w:rPr>
        <w:t>ní</w:t>
      </w:r>
      <w:r w:rsidRPr="00F25A60">
        <w:rPr>
          <w:sz w:val="22"/>
          <w:szCs w:val="22"/>
          <w:lang w:val="cs-CZ"/>
        </w:rPr>
        <w:t xml:space="preserve"> </w:t>
      </w:r>
      <w:r w:rsidRPr="00F25A60">
        <w:rPr>
          <w:color w:val="000000"/>
          <w:sz w:val="22"/>
          <w:szCs w:val="22"/>
          <w:lang w:val="cs-CZ"/>
        </w:rPr>
        <w:t>bolest.</w:t>
      </w:r>
    </w:p>
    <w:p w14:paraId="4C14BF17" w14:textId="66464892" w:rsidR="00EA5993" w:rsidRPr="00F25A60" w:rsidRDefault="00EA5993" w:rsidP="0048111F">
      <w:pPr>
        <w:pStyle w:val="Text"/>
        <w:spacing w:before="0"/>
        <w:jc w:val="left"/>
        <w:rPr>
          <w:sz w:val="22"/>
          <w:szCs w:val="22"/>
          <w:lang w:val="cs-CZ"/>
        </w:rPr>
      </w:pPr>
      <w:r w:rsidRPr="00F25A60">
        <w:rPr>
          <w:sz w:val="22"/>
          <w:szCs w:val="22"/>
          <w:lang w:val="cs-CZ"/>
        </w:rPr>
        <w:t>6</w:t>
      </w:r>
      <w:ins w:id="181" w:author="Author">
        <w:r w:rsidR="000857AB" w:rsidRPr="00F25A60">
          <w:rPr>
            <w:color w:val="000000"/>
            <w:sz w:val="22"/>
            <w:szCs w:val="22"/>
            <w:lang w:val="cs-CZ"/>
          </w:rPr>
          <w:t> </w:t>
        </w:r>
      </w:ins>
      <w:r w:rsidRPr="00F25A60">
        <w:rPr>
          <w:sz w:val="22"/>
          <w:szCs w:val="22"/>
          <w:lang w:val="cs-CZ"/>
        </w:rPr>
        <w:t>400 mg (jednotlivá dávka): V</w:t>
      </w:r>
      <w:r w:rsidRPr="00F25A60">
        <w:rPr>
          <w:color w:val="000000"/>
          <w:lang w:val="cs-CZ"/>
        </w:rPr>
        <w:t> </w:t>
      </w:r>
      <w:r w:rsidRPr="00F25A60">
        <w:rPr>
          <w:sz w:val="22"/>
          <w:szCs w:val="22"/>
          <w:lang w:val="cs-CZ"/>
        </w:rPr>
        <w:t>literatuře hlášený případ jednoho pacienta, u kterého se objevila nauzea, zvracení, bolest břicha, pyrexie, otok obličeje, snížený počet neutro</w:t>
      </w:r>
      <w:r w:rsidR="000C14F2" w:rsidRPr="00F25A60">
        <w:rPr>
          <w:sz w:val="22"/>
          <w:szCs w:val="22"/>
          <w:lang w:val="cs-CZ"/>
        </w:rPr>
        <w:t>filů</w:t>
      </w:r>
      <w:r w:rsidRPr="00F25A60">
        <w:rPr>
          <w:sz w:val="22"/>
          <w:szCs w:val="22"/>
          <w:lang w:val="cs-CZ"/>
        </w:rPr>
        <w:t>, zvýšení hodnot transamináz.</w:t>
      </w:r>
    </w:p>
    <w:p w14:paraId="52F3BA48" w14:textId="77777777" w:rsidR="00EA5993" w:rsidRPr="00F25A60" w:rsidRDefault="00EA5993" w:rsidP="0048111F">
      <w:pPr>
        <w:pStyle w:val="Text"/>
        <w:spacing w:before="0"/>
        <w:jc w:val="left"/>
        <w:rPr>
          <w:sz w:val="22"/>
          <w:szCs w:val="22"/>
          <w:lang w:val="cs-CZ"/>
        </w:rPr>
      </w:pPr>
      <w:r w:rsidRPr="00F25A60">
        <w:rPr>
          <w:sz w:val="22"/>
          <w:szCs w:val="22"/>
          <w:lang w:val="cs-CZ"/>
        </w:rPr>
        <w:t xml:space="preserve">8 až </w:t>
      </w:r>
      <w:smartTag w:uri="urn:schemas-microsoft-com:office:smarttags" w:element="metricconverter">
        <w:smartTagPr>
          <w:attr w:name="ProductID" w:val="10ﾠg"/>
        </w:smartTagPr>
        <w:r w:rsidRPr="00F25A60">
          <w:rPr>
            <w:sz w:val="22"/>
            <w:szCs w:val="22"/>
            <w:lang w:val="cs-CZ"/>
          </w:rPr>
          <w:t>10 g</w:t>
        </w:r>
      </w:smartTag>
      <w:r w:rsidRPr="00F25A60">
        <w:rPr>
          <w:sz w:val="22"/>
          <w:szCs w:val="22"/>
          <w:lang w:val="cs-CZ"/>
        </w:rPr>
        <w:t xml:space="preserve"> (jednotlivá dávka): Bylo hlášené zvracení a gastrointestinální bolest.</w:t>
      </w:r>
    </w:p>
    <w:p w14:paraId="6B3E4FB2" w14:textId="77777777" w:rsidR="00EA5993" w:rsidRPr="00F25A60" w:rsidRDefault="00EA5993" w:rsidP="0048111F">
      <w:pPr>
        <w:pStyle w:val="Text"/>
        <w:spacing w:before="0"/>
        <w:jc w:val="left"/>
        <w:rPr>
          <w:sz w:val="22"/>
          <w:szCs w:val="22"/>
          <w:lang w:val="cs-CZ"/>
        </w:rPr>
      </w:pPr>
    </w:p>
    <w:p w14:paraId="50843CF3" w14:textId="18D0C38F" w:rsidR="00EA5993" w:rsidRPr="00F25A60" w:rsidRDefault="00EA5993" w:rsidP="0048111F">
      <w:pPr>
        <w:pStyle w:val="Text"/>
        <w:keepNext/>
        <w:spacing w:before="0"/>
        <w:jc w:val="left"/>
        <w:rPr>
          <w:iCs/>
          <w:color w:val="000000"/>
          <w:sz w:val="22"/>
          <w:szCs w:val="22"/>
          <w:u w:val="single"/>
          <w:lang w:val="cs-CZ"/>
        </w:rPr>
      </w:pPr>
      <w:r w:rsidRPr="00F25A60">
        <w:rPr>
          <w:iCs/>
          <w:color w:val="000000"/>
          <w:sz w:val="22"/>
          <w:szCs w:val="22"/>
          <w:u w:val="single"/>
          <w:lang w:val="cs-CZ"/>
        </w:rPr>
        <w:t>Pediatrická</w:t>
      </w:r>
      <w:r w:rsidRPr="00F25A60">
        <w:rPr>
          <w:iCs/>
          <w:color w:val="000000"/>
          <w:u w:val="single"/>
          <w:lang w:val="cs-CZ"/>
        </w:rPr>
        <w:t xml:space="preserve"> </w:t>
      </w:r>
      <w:r w:rsidRPr="00F25A60">
        <w:rPr>
          <w:iCs/>
          <w:color w:val="000000"/>
          <w:sz w:val="22"/>
          <w:szCs w:val="22"/>
          <w:u w:val="single"/>
          <w:lang w:val="cs-CZ"/>
        </w:rPr>
        <w:t>populace</w:t>
      </w:r>
    </w:p>
    <w:p w14:paraId="1BEB07F0" w14:textId="77777777" w:rsidR="0096691F" w:rsidRPr="00F25A60" w:rsidRDefault="0096691F" w:rsidP="0048111F">
      <w:pPr>
        <w:pStyle w:val="Text"/>
        <w:keepNext/>
        <w:spacing w:before="0"/>
        <w:jc w:val="left"/>
        <w:rPr>
          <w:iCs/>
          <w:sz w:val="22"/>
          <w:szCs w:val="22"/>
          <w:lang w:val="cs-CZ"/>
        </w:rPr>
      </w:pPr>
    </w:p>
    <w:p w14:paraId="7C2315A8" w14:textId="77777777" w:rsidR="00EA5993" w:rsidRPr="00F25A60" w:rsidRDefault="00EA5993" w:rsidP="0048111F">
      <w:pPr>
        <w:tabs>
          <w:tab w:val="clear" w:pos="567"/>
        </w:tabs>
        <w:spacing w:line="240" w:lineRule="auto"/>
        <w:rPr>
          <w:color w:val="000000"/>
        </w:rPr>
      </w:pPr>
      <w:r w:rsidRPr="00F25A60">
        <w:t>U 3letého chlapce, kterému byla podána jednotlivá dávka 400 mg, se objevilo zvracení, průjem a anorexie, u</w:t>
      </w:r>
      <w:r w:rsidRPr="00F25A60">
        <w:rPr>
          <w:color w:val="000000"/>
        </w:rPr>
        <w:t> </w:t>
      </w:r>
      <w:r w:rsidRPr="00F25A60">
        <w:t xml:space="preserve">dalšího 3letého chlapce, kterému byla podána jednotlivá dávka 980 mg, byl zjištěn snížený počet </w:t>
      </w:r>
      <w:r w:rsidR="000C14F2" w:rsidRPr="00F25A60">
        <w:t>leukocytů</w:t>
      </w:r>
      <w:r w:rsidRPr="00F25A60">
        <w:t xml:space="preserve"> a průjem.</w:t>
      </w:r>
    </w:p>
    <w:p w14:paraId="6902D6FF" w14:textId="77777777" w:rsidR="00EA5993" w:rsidRPr="00F25A60" w:rsidRDefault="00EA5993" w:rsidP="0048111F">
      <w:pPr>
        <w:tabs>
          <w:tab w:val="clear" w:pos="567"/>
        </w:tabs>
        <w:spacing w:line="240" w:lineRule="auto"/>
        <w:rPr>
          <w:color w:val="000000"/>
        </w:rPr>
      </w:pPr>
    </w:p>
    <w:p w14:paraId="2CFEF657" w14:textId="77777777" w:rsidR="00EA5993" w:rsidRPr="00F25A60" w:rsidRDefault="00EA5993" w:rsidP="0048111F">
      <w:pPr>
        <w:tabs>
          <w:tab w:val="clear" w:pos="567"/>
        </w:tabs>
        <w:spacing w:line="240" w:lineRule="auto"/>
        <w:rPr>
          <w:color w:val="000000"/>
        </w:rPr>
      </w:pPr>
      <w:r w:rsidRPr="00F25A60">
        <w:rPr>
          <w:color w:val="000000"/>
        </w:rPr>
        <w:t xml:space="preserve">V případě předávkování </w:t>
      </w:r>
      <w:r w:rsidR="000C14F2" w:rsidRPr="00F25A60">
        <w:rPr>
          <w:color w:val="000000"/>
        </w:rPr>
        <w:t>má</w:t>
      </w:r>
      <w:r w:rsidRPr="00F25A60">
        <w:rPr>
          <w:color w:val="000000"/>
        </w:rPr>
        <w:t xml:space="preserve"> být pacient pozorován a vhodně léčen podpůrnou léčbou.</w:t>
      </w:r>
    </w:p>
    <w:p w14:paraId="4C3D2B31" w14:textId="77777777" w:rsidR="00EA5993" w:rsidRPr="00F25A60" w:rsidRDefault="00EA5993" w:rsidP="0048111F">
      <w:pPr>
        <w:tabs>
          <w:tab w:val="clear" w:pos="567"/>
        </w:tabs>
        <w:spacing w:line="240" w:lineRule="auto"/>
        <w:rPr>
          <w:color w:val="000000"/>
        </w:rPr>
      </w:pPr>
    </w:p>
    <w:p w14:paraId="61AECA7E" w14:textId="77777777" w:rsidR="00EA5993" w:rsidRPr="00F25A60" w:rsidRDefault="00EA5993" w:rsidP="0048111F">
      <w:pPr>
        <w:tabs>
          <w:tab w:val="clear" w:pos="567"/>
        </w:tabs>
        <w:spacing w:line="240" w:lineRule="auto"/>
        <w:rPr>
          <w:color w:val="000000"/>
        </w:rPr>
      </w:pPr>
    </w:p>
    <w:p w14:paraId="099B3FDC" w14:textId="77777777" w:rsidR="00EA5993" w:rsidRPr="00F25A60" w:rsidRDefault="00EA5993" w:rsidP="0048111F">
      <w:pPr>
        <w:keepNext/>
        <w:tabs>
          <w:tab w:val="clear" w:pos="567"/>
        </w:tabs>
        <w:spacing w:line="240" w:lineRule="auto"/>
        <w:ind w:left="567" w:hanging="567"/>
        <w:rPr>
          <w:b/>
          <w:bCs/>
          <w:color w:val="000000"/>
        </w:rPr>
      </w:pPr>
      <w:r w:rsidRPr="00F25A60">
        <w:rPr>
          <w:b/>
          <w:bCs/>
          <w:color w:val="000000"/>
        </w:rPr>
        <w:lastRenderedPageBreak/>
        <w:t>5.</w:t>
      </w:r>
      <w:r w:rsidRPr="00F25A60">
        <w:rPr>
          <w:b/>
          <w:bCs/>
          <w:color w:val="000000"/>
        </w:rPr>
        <w:tab/>
        <w:t>FARMAKOLOGICKÉ VLASTNOSTI</w:t>
      </w:r>
    </w:p>
    <w:p w14:paraId="23ED869B" w14:textId="77777777" w:rsidR="00EA5993" w:rsidRPr="00F25A60" w:rsidRDefault="00EA5993" w:rsidP="0048111F">
      <w:pPr>
        <w:keepNext/>
        <w:tabs>
          <w:tab w:val="clear" w:pos="567"/>
        </w:tabs>
        <w:spacing w:line="240" w:lineRule="auto"/>
        <w:rPr>
          <w:color w:val="000000"/>
        </w:rPr>
      </w:pPr>
    </w:p>
    <w:p w14:paraId="6A51BE2D" w14:textId="77777777" w:rsidR="00EA5993" w:rsidRPr="00F25A60" w:rsidRDefault="00EA5993" w:rsidP="0048111F">
      <w:pPr>
        <w:keepNext/>
        <w:tabs>
          <w:tab w:val="clear" w:pos="567"/>
        </w:tabs>
        <w:spacing w:line="240" w:lineRule="auto"/>
        <w:ind w:left="567" w:hanging="567"/>
        <w:rPr>
          <w:b/>
          <w:bCs/>
          <w:color w:val="000000"/>
        </w:rPr>
      </w:pPr>
      <w:r w:rsidRPr="00F25A60">
        <w:rPr>
          <w:b/>
          <w:bCs/>
          <w:color w:val="000000"/>
        </w:rPr>
        <w:t>5.1</w:t>
      </w:r>
      <w:r w:rsidRPr="00F25A60">
        <w:rPr>
          <w:b/>
          <w:bCs/>
          <w:color w:val="000000"/>
        </w:rPr>
        <w:tab/>
        <w:t>Farmakodynamické vlastnosti</w:t>
      </w:r>
    </w:p>
    <w:p w14:paraId="5CF9A454" w14:textId="77777777" w:rsidR="00EA5993" w:rsidRPr="00F25A60" w:rsidRDefault="00EA5993" w:rsidP="0048111F">
      <w:pPr>
        <w:pStyle w:val="EndnoteText"/>
        <w:keepNext/>
        <w:tabs>
          <w:tab w:val="clear" w:pos="567"/>
        </w:tabs>
        <w:rPr>
          <w:color w:val="000000"/>
        </w:rPr>
      </w:pPr>
    </w:p>
    <w:p w14:paraId="604A9C98" w14:textId="34FDC67E" w:rsidR="000A27ED" w:rsidRPr="00F25A60" w:rsidRDefault="000A27ED" w:rsidP="0048111F">
      <w:pPr>
        <w:keepNext/>
        <w:tabs>
          <w:tab w:val="clear" w:pos="567"/>
        </w:tabs>
        <w:spacing w:line="240" w:lineRule="auto"/>
        <w:rPr>
          <w:color w:val="000000"/>
        </w:rPr>
      </w:pPr>
      <w:r w:rsidRPr="00F25A60">
        <w:rPr>
          <w:color w:val="000000"/>
        </w:rPr>
        <w:t xml:space="preserve">Farmakoterapeutická skupina: </w:t>
      </w:r>
      <w:r w:rsidRPr="004336C5">
        <w:t xml:space="preserve">Cytostatika, </w:t>
      </w:r>
      <w:r w:rsidR="00C44E19" w:rsidRPr="004336C5">
        <w:rPr>
          <w:color w:val="000000"/>
        </w:rPr>
        <w:t xml:space="preserve">tyrosinkinázové </w:t>
      </w:r>
      <w:r w:rsidRPr="004336C5">
        <w:rPr>
          <w:color w:val="000000"/>
        </w:rPr>
        <w:t>inhibitory BCR-ABL, ATC kód</w:t>
      </w:r>
      <w:r w:rsidRPr="00F25A60">
        <w:rPr>
          <w:color w:val="000000"/>
        </w:rPr>
        <w:t>: L01EA01</w:t>
      </w:r>
    </w:p>
    <w:p w14:paraId="67F91B98" w14:textId="77777777" w:rsidR="00EA5993" w:rsidRPr="00F25A60" w:rsidRDefault="00EA5993" w:rsidP="0048111F">
      <w:pPr>
        <w:pStyle w:val="EndnoteText"/>
        <w:keepNext/>
        <w:tabs>
          <w:tab w:val="clear" w:pos="567"/>
        </w:tabs>
        <w:rPr>
          <w:color w:val="000000"/>
          <w:u w:val="single"/>
        </w:rPr>
      </w:pPr>
    </w:p>
    <w:p w14:paraId="5AA4833D" w14:textId="58929DEA" w:rsidR="00EA5993" w:rsidRPr="00F25A60" w:rsidRDefault="00EA5993" w:rsidP="0048111F">
      <w:pPr>
        <w:pStyle w:val="EndnoteText"/>
        <w:keepNext/>
        <w:tabs>
          <w:tab w:val="clear" w:pos="567"/>
        </w:tabs>
        <w:rPr>
          <w:color w:val="000000"/>
          <w:u w:val="single"/>
        </w:rPr>
      </w:pPr>
      <w:r w:rsidRPr="00F25A60">
        <w:rPr>
          <w:color w:val="000000"/>
          <w:u w:val="single"/>
        </w:rPr>
        <w:t>Mechanismus účinku</w:t>
      </w:r>
    </w:p>
    <w:p w14:paraId="0BC0FE7D" w14:textId="77777777" w:rsidR="007903A3" w:rsidRPr="00F25A60" w:rsidRDefault="007903A3" w:rsidP="0048111F">
      <w:pPr>
        <w:pStyle w:val="EndnoteText"/>
        <w:keepNext/>
        <w:tabs>
          <w:tab w:val="clear" w:pos="567"/>
        </w:tabs>
        <w:rPr>
          <w:color w:val="000000"/>
        </w:rPr>
      </w:pPr>
    </w:p>
    <w:p w14:paraId="744BA003" w14:textId="77777777" w:rsidR="00EA5993" w:rsidRPr="00F25A60" w:rsidRDefault="00EA5993" w:rsidP="0048111F">
      <w:pPr>
        <w:pStyle w:val="EndnoteText"/>
        <w:tabs>
          <w:tab w:val="clear" w:pos="567"/>
        </w:tabs>
      </w:pPr>
      <w:r w:rsidRPr="00F25A60">
        <w:t>Imatinib je nízkomolekulární inhibitor tyrosinkinázy, který účinně inhibuje aktivitu BCR-ABL tyrosinkinázy (TK) a dalších receptorových tyrosinkináz: K</w:t>
      </w:r>
      <w:r w:rsidR="000C14F2" w:rsidRPr="00F25A60">
        <w:t>it</w:t>
      </w:r>
      <w:r w:rsidRPr="00F25A60">
        <w:t>, receptor pro růstový faktor kmenových buněk (SCF, stem cell factor) kódovaný protoonkogenem c-Kit, receptory dis</w:t>
      </w:r>
      <w:r w:rsidR="000C14F2" w:rsidRPr="00F25A60">
        <w:t>k</w:t>
      </w:r>
      <w:r w:rsidRPr="00F25A60">
        <w:t xml:space="preserve">oidinové domény (DDR1 and DDR2), receptor kolonie stimulujícího faktoru (CSF-1R) a receptory pro </w:t>
      </w:r>
      <w:r w:rsidR="000C14F2" w:rsidRPr="00F25A60">
        <w:t xml:space="preserve">trombocytární </w:t>
      </w:r>
      <w:r w:rsidRPr="00F25A60">
        <w:t>růstový faktor alfa a beta (PDGFR-alfa a PDGFR-beta). Imatinib také může inhibovat buněčné procesy, na kterých se tyto receptorové kinázy podílí</w:t>
      </w:r>
      <w:r w:rsidRPr="00F25A60">
        <w:rPr>
          <w:color w:val="0000FF"/>
        </w:rPr>
        <w:t>.</w:t>
      </w:r>
    </w:p>
    <w:p w14:paraId="14467FAA" w14:textId="77777777" w:rsidR="00EA5993" w:rsidRPr="00F25A60" w:rsidRDefault="00EA5993" w:rsidP="0048111F">
      <w:pPr>
        <w:pStyle w:val="EndnoteText"/>
        <w:tabs>
          <w:tab w:val="clear" w:pos="567"/>
        </w:tabs>
        <w:rPr>
          <w:color w:val="000000"/>
          <w:u w:val="single"/>
        </w:rPr>
      </w:pPr>
    </w:p>
    <w:p w14:paraId="6F9C57E0" w14:textId="41D71BF2" w:rsidR="00EA5993" w:rsidRPr="00F25A60" w:rsidRDefault="00EA5993" w:rsidP="0048111F">
      <w:pPr>
        <w:pStyle w:val="EndnoteText"/>
        <w:keepNext/>
        <w:tabs>
          <w:tab w:val="clear" w:pos="567"/>
        </w:tabs>
        <w:rPr>
          <w:color w:val="000000"/>
          <w:u w:val="single"/>
        </w:rPr>
      </w:pPr>
      <w:r w:rsidRPr="00F25A60">
        <w:rPr>
          <w:color w:val="000000"/>
          <w:u w:val="single"/>
        </w:rPr>
        <w:t>Farmakodynamické účinky</w:t>
      </w:r>
    </w:p>
    <w:p w14:paraId="7457F358" w14:textId="77777777" w:rsidR="007903A3" w:rsidRPr="00F25A60" w:rsidRDefault="007903A3" w:rsidP="0048111F">
      <w:pPr>
        <w:pStyle w:val="EndnoteText"/>
        <w:keepNext/>
        <w:tabs>
          <w:tab w:val="clear" w:pos="567"/>
        </w:tabs>
        <w:rPr>
          <w:color w:val="000000"/>
        </w:rPr>
      </w:pPr>
    </w:p>
    <w:p w14:paraId="5BE41247" w14:textId="77777777" w:rsidR="00EA5993" w:rsidRPr="00F25A60" w:rsidRDefault="00EA5993" w:rsidP="0048111F">
      <w:pPr>
        <w:pStyle w:val="EndnoteText"/>
        <w:tabs>
          <w:tab w:val="clear" w:pos="567"/>
        </w:tabs>
        <w:rPr>
          <w:color w:val="000000"/>
        </w:rPr>
      </w:pPr>
      <w:r w:rsidRPr="00F25A60">
        <w:rPr>
          <w:color w:val="000000"/>
        </w:rPr>
        <w:t xml:space="preserve">Imatinib je inhibitor tyrosinkinázy, který účinně inhibuje Bcr-Abl tyrosinkinázu na buněčné úrovni </w:t>
      </w:r>
      <w:r w:rsidRPr="00F25A60">
        <w:rPr>
          <w:i/>
          <w:iCs/>
          <w:color w:val="000000"/>
        </w:rPr>
        <w:t>in vitro</w:t>
      </w:r>
      <w:r w:rsidRPr="00F25A60">
        <w:rPr>
          <w:color w:val="000000"/>
        </w:rPr>
        <w:t xml:space="preserve"> i </w:t>
      </w:r>
      <w:r w:rsidRPr="00F25A60">
        <w:rPr>
          <w:i/>
          <w:iCs/>
          <w:color w:val="000000"/>
        </w:rPr>
        <w:t>in vivo</w:t>
      </w:r>
      <w:r w:rsidRPr="00F25A60">
        <w:rPr>
          <w:color w:val="000000"/>
        </w:rPr>
        <w:t>. Látka selektivně inhibuje proliferaci a indukuje apoptózu u Bcr-Abl pozitivních buněčných linií, stejně jako u čerstvých leukemických buněk od pacientů s CML s pozitivním Philadelphia chromozomem a od pacientů s akutní lymfoblastickou leukemií (</w:t>
      </w:r>
      <w:smartTag w:uri="urn:schemas-microsoft-com:office:smarttags" w:element="stockticker">
        <w:r w:rsidRPr="00F25A60">
          <w:rPr>
            <w:color w:val="000000"/>
          </w:rPr>
          <w:t>ALL</w:t>
        </w:r>
      </w:smartTag>
      <w:r w:rsidRPr="00F25A60">
        <w:rPr>
          <w:color w:val="000000"/>
        </w:rPr>
        <w:t>).</w:t>
      </w:r>
    </w:p>
    <w:p w14:paraId="579E08D4" w14:textId="77777777" w:rsidR="00EA5993" w:rsidRPr="00F25A60" w:rsidRDefault="00EA5993" w:rsidP="0048111F">
      <w:pPr>
        <w:pStyle w:val="EndnoteText"/>
        <w:tabs>
          <w:tab w:val="clear" w:pos="567"/>
        </w:tabs>
        <w:rPr>
          <w:color w:val="000000"/>
        </w:rPr>
      </w:pPr>
    </w:p>
    <w:p w14:paraId="64C5A174" w14:textId="77777777" w:rsidR="00EA5993" w:rsidRPr="00F25A60" w:rsidRDefault="00EA5993" w:rsidP="0048111F">
      <w:pPr>
        <w:pStyle w:val="EndnoteText"/>
        <w:tabs>
          <w:tab w:val="clear" w:pos="567"/>
        </w:tabs>
        <w:rPr>
          <w:color w:val="000000"/>
        </w:rPr>
      </w:pPr>
      <w:r w:rsidRPr="00F25A60">
        <w:rPr>
          <w:i/>
          <w:iCs/>
          <w:color w:val="000000"/>
        </w:rPr>
        <w:t>In vivo</w:t>
      </w:r>
      <w:r w:rsidRPr="00F25A60">
        <w:rPr>
          <w:color w:val="000000"/>
        </w:rPr>
        <w:t xml:space="preserve"> byl na zvířecích modelech s Bcr-Abl pozitivními nádorovými buňkami při monoterapii pozorován protinádorový účinek této látky.</w:t>
      </w:r>
    </w:p>
    <w:p w14:paraId="0CCFC353" w14:textId="77777777" w:rsidR="00EA5993" w:rsidRPr="00F25A60" w:rsidRDefault="00EA5993" w:rsidP="0048111F">
      <w:pPr>
        <w:pStyle w:val="EndnoteText"/>
        <w:tabs>
          <w:tab w:val="clear" w:pos="567"/>
        </w:tabs>
        <w:rPr>
          <w:color w:val="000000"/>
        </w:rPr>
      </w:pPr>
    </w:p>
    <w:p w14:paraId="1984F503" w14:textId="77777777" w:rsidR="00EA5993" w:rsidRPr="00F25A60" w:rsidRDefault="00EA5993" w:rsidP="0048111F">
      <w:pPr>
        <w:pStyle w:val="EndnoteText"/>
        <w:tabs>
          <w:tab w:val="clear" w:pos="567"/>
        </w:tabs>
        <w:rPr>
          <w:color w:val="000000"/>
        </w:rPr>
      </w:pPr>
      <w:r w:rsidRPr="00F25A60">
        <w:rPr>
          <w:color w:val="000000"/>
        </w:rPr>
        <w:t>Imatinib je také inhibitor receptor</w:t>
      </w:r>
      <w:r w:rsidR="000C14F2" w:rsidRPr="00F25A60">
        <w:rPr>
          <w:color w:val="000000"/>
        </w:rPr>
        <w:t>ových</w:t>
      </w:r>
      <w:r w:rsidRPr="00F25A60">
        <w:rPr>
          <w:color w:val="000000"/>
        </w:rPr>
        <w:t xml:space="preserve"> tyrosinkináz pro růstový faktor destiček - platelet-derived growth factor (PDGF), PDGF-R, </w:t>
      </w:r>
      <w:r w:rsidR="000C14F2" w:rsidRPr="00F25A60">
        <w:rPr>
          <w:color w:val="000000"/>
        </w:rPr>
        <w:t xml:space="preserve">růstový </w:t>
      </w:r>
      <w:r w:rsidRPr="00F25A60">
        <w:rPr>
          <w:color w:val="000000"/>
        </w:rPr>
        <w:t xml:space="preserve">faktor kmenových buněk - stem cell factor (SCF), c-Kit, a inhibuje </w:t>
      </w:r>
      <w:r w:rsidR="000C14F2" w:rsidRPr="00F25A60">
        <w:rPr>
          <w:color w:val="000000"/>
        </w:rPr>
        <w:t xml:space="preserve">buněčné pochody zprostředkované </w:t>
      </w:r>
      <w:r w:rsidRPr="00F25A60">
        <w:rPr>
          <w:color w:val="000000"/>
        </w:rPr>
        <w:t xml:space="preserve">PDGF a SCF. </w:t>
      </w:r>
      <w:r w:rsidRPr="00F25A60">
        <w:rPr>
          <w:i/>
          <w:iCs/>
          <w:color w:val="000000"/>
        </w:rPr>
        <w:t>In vitro</w:t>
      </w:r>
      <w:r w:rsidRPr="00F25A60">
        <w:rPr>
          <w:color w:val="000000"/>
        </w:rPr>
        <w:t xml:space="preserve">, imatinib inhibuje proliferaci a indukuje apoptózu </w:t>
      </w:r>
      <w:r w:rsidR="000C14F2" w:rsidRPr="00F25A60">
        <w:rPr>
          <w:color w:val="000000"/>
        </w:rPr>
        <w:t xml:space="preserve">v </w:t>
      </w:r>
      <w:r w:rsidRPr="00F25A60">
        <w:rPr>
          <w:color w:val="000000"/>
        </w:rPr>
        <w:t>gastrointestinálních stromálních nádorových bu</w:t>
      </w:r>
      <w:r w:rsidR="000C14F2" w:rsidRPr="00F25A60">
        <w:rPr>
          <w:color w:val="000000"/>
        </w:rPr>
        <w:t>ňkách</w:t>
      </w:r>
      <w:r w:rsidRPr="00F25A60">
        <w:rPr>
          <w:color w:val="000000"/>
        </w:rPr>
        <w:t xml:space="preserve"> (GIST), které mají schopnost aktivovat </w:t>
      </w:r>
      <w:r w:rsidRPr="00F25A60">
        <w:rPr>
          <w:i/>
          <w:iCs/>
          <w:color w:val="000000"/>
        </w:rPr>
        <w:t>kit</w:t>
      </w:r>
      <w:r w:rsidRPr="00F25A60">
        <w:rPr>
          <w:color w:val="000000"/>
        </w:rPr>
        <w:t xml:space="preserve"> mutaci. Konstitutivní aktivace receptorů pro PDGF či Abl proteinu tyrosinkinázy jako následek spojení rozdílných partnerských proteinů či konstitutivní produkce PDGF zřejmě hrají roli v patogenezi </w:t>
      </w:r>
      <w:smartTag w:uri="urn:schemas-microsoft-com:office:smarttags" w:element="stockticker">
        <w:r w:rsidRPr="00F25A60">
          <w:rPr>
            <w:color w:val="000000"/>
          </w:rPr>
          <w:t>MDS</w:t>
        </w:r>
      </w:smartTag>
      <w:r w:rsidRPr="00F25A60">
        <w:rPr>
          <w:color w:val="000000"/>
        </w:rPr>
        <w:t>/MPD, HES/</w:t>
      </w:r>
      <w:smartTag w:uri="urn:schemas-microsoft-com:office:smarttags" w:element="stockticker">
        <w:r w:rsidRPr="00F25A60">
          <w:rPr>
            <w:color w:val="000000"/>
          </w:rPr>
          <w:t>CEL</w:t>
        </w:r>
      </w:smartTag>
      <w:r w:rsidRPr="00F25A60">
        <w:rPr>
          <w:color w:val="000000"/>
        </w:rPr>
        <w:t xml:space="preserve"> a DFSP. Imatinib inhibuje signalizaci a proliferaci buněk ovlivňovaných porušenou regulací aktivity PDGFR a Abl kinázy.</w:t>
      </w:r>
    </w:p>
    <w:p w14:paraId="1CB82DDD" w14:textId="77777777" w:rsidR="00EA5993" w:rsidRPr="00F25A60" w:rsidRDefault="00EA5993" w:rsidP="0048111F">
      <w:pPr>
        <w:pStyle w:val="EndnoteText"/>
        <w:tabs>
          <w:tab w:val="clear" w:pos="567"/>
        </w:tabs>
        <w:rPr>
          <w:color w:val="000000"/>
        </w:rPr>
      </w:pPr>
    </w:p>
    <w:p w14:paraId="60C42C7C" w14:textId="38186147" w:rsidR="00EA5993" w:rsidRPr="00F25A60" w:rsidRDefault="00EA5993" w:rsidP="0048111F">
      <w:pPr>
        <w:pStyle w:val="EndnoteText"/>
        <w:keepNext/>
        <w:tabs>
          <w:tab w:val="clear" w:pos="567"/>
        </w:tabs>
        <w:rPr>
          <w:color w:val="000000"/>
          <w:u w:val="single"/>
        </w:rPr>
      </w:pPr>
      <w:r w:rsidRPr="00F25A60">
        <w:rPr>
          <w:color w:val="000000"/>
          <w:u w:val="single"/>
        </w:rPr>
        <w:t>Klinické studie u chronické myeloidní leukemie</w:t>
      </w:r>
    </w:p>
    <w:p w14:paraId="1A58ABE0" w14:textId="77777777" w:rsidR="007903A3" w:rsidRPr="00F25A60" w:rsidRDefault="007903A3" w:rsidP="0048111F">
      <w:pPr>
        <w:pStyle w:val="EndnoteText"/>
        <w:keepNext/>
        <w:tabs>
          <w:tab w:val="clear" w:pos="567"/>
        </w:tabs>
        <w:rPr>
          <w:color w:val="000000"/>
        </w:rPr>
      </w:pPr>
    </w:p>
    <w:p w14:paraId="60EB6989" w14:textId="77777777" w:rsidR="00EA5993" w:rsidRPr="00F25A60" w:rsidRDefault="00EA5993" w:rsidP="0048111F">
      <w:pPr>
        <w:pStyle w:val="EndnoteText"/>
        <w:tabs>
          <w:tab w:val="clear" w:pos="567"/>
        </w:tabs>
        <w:rPr>
          <w:color w:val="000000"/>
        </w:rPr>
      </w:pPr>
      <w:r w:rsidRPr="00F25A60">
        <w:rPr>
          <w:color w:val="000000"/>
        </w:rPr>
        <w:t xml:space="preserve">Účinnost Glivecu je založena na </w:t>
      </w:r>
      <w:r w:rsidR="000C14F2" w:rsidRPr="00F25A60">
        <w:rPr>
          <w:color w:val="000000"/>
        </w:rPr>
        <w:t>výskytu</w:t>
      </w:r>
      <w:r w:rsidRPr="00F25A60">
        <w:rPr>
          <w:color w:val="000000"/>
        </w:rPr>
        <w:t xml:space="preserve"> celkové hematologické a cytologické odpovědi a doby přežití bez progrese onemocnění. Kromě nově diagnostikované chronické fáze CML nejsou k dispozici kontrolované klinické studie, které by demonstrovaly klinický přínos, jako je zlepšení projevů onemocnění nebo prodloužení </w:t>
      </w:r>
      <w:r w:rsidR="000C14F2" w:rsidRPr="00F25A60">
        <w:rPr>
          <w:color w:val="000000"/>
        </w:rPr>
        <w:t xml:space="preserve">doby </w:t>
      </w:r>
      <w:r w:rsidRPr="00F25A60">
        <w:rPr>
          <w:color w:val="000000"/>
        </w:rPr>
        <w:t>přežití.</w:t>
      </w:r>
    </w:p>
    <w:p w14:paraId="423C9A77" w14:textId="77777777" w:rsidR="00EA5993" w:rsidRPr="00F25A60" w:rsidRDefault="00EA5993" w:rsidP="0048111F">
      <w:pPr>
        <w:pStyle w:val="EndnoteText"/>
        <w:tabs>
          <w:tab w:val="clear" w:pos="567"/>
        </w:tabs>
        <w:rPr>
          <w:color w:val="000000"/>
        </w:rPr>
      </w:pPr>
    </w:p>
    <w:p w14:paraId="29FE9E13" w14:textId="77777777" w:rsidR="00EA5993" w:rsidRPr="00F25A60" w:rsidRDefault="00EA5993" w:rsidP="0048111F">
      <w:pPr>
        <w:pStyle w:val="EndnoteText"/>
        <w:tabs>
          <w:tab w:val="clear" w:pos="567"/>
        </w:tabs>
        <w:rPr>
          <w:color w:val="000000"/>
        </w:rPr>
      </w:pPr>
      <w:r w:rsidRPr="00F25A60">
        <w:rPr>
          <w:color w:val="000000"/>
        </w:rPr>
        <w:t>Tři velké, mezinárodní, otevřené, nekontrolované studie fáze II byly provedeny u pacientů s pozitivním Philadelphia chromozomem (Ph+) s pokročilou CML, blastickou nebo akcelerovanou fází onemocnění, jinými Ph+ leukemiemi nebo s CML v chronické fázi, ale kde selhala předchozí léčba interferonem-alpha (IFN). Jedna velká, otevřená, multicentrická, mezinárodní randomizovaná studie fáze </w:t>
      </w:r>
      <w:smartTag w:uri="urn:schemas-microsoft-com:office:smarttags" w:element="stockticker">
        <w:r w:rsidRPr="00F25A60">
          <w:rPr>
            <w:color w:val="000000"/>
          </w:rPr>
          <w:t>III</w:t>
        </w:r>
      </w:smartTag>
      <w:r w:rsidRPr="00F25A60">
        <w:rPr>
          <w:color w:val="000000"/>
        </w:rPr>
        <w:t xml:space="preserve"> byla provedena u pacientů s nově diagnostikovanou Ph+ CML. Navíc děti byly léčeny ve dvou studiích fáze I a v jedné studii fáze II.</w:t>
      </w:r>
    </w:p>
    <w:p w14:paraId="28030663" w14:textId="77777777" w:rsidR="00EA5993" w:rsidRPr="00F25A60" w:rsidRDefault="00EA5993" w:rsidP="0048111F">
      <w:pPr>
        <w:pStyle w:val="EndnoteText"/>
        <w:tabs>
          <w:tab w:val="clear" w:pos="567"/>
        </w:tabs>
        <w:rPr>
          <w:color w:val="000000"/>
        </w:rPr>
      </w:pPr>
    </w:p>
    <w:p w14:paraId="1718C262" w14:textId="77777777" w:rsidR="00EA5993" w:rsidRPr="00F25A60" w:rsidRDefault="00EA5993" w:rsidP="0048111F">
      <w:pPr>
        <w:pStyle w:val="EndnoteText"/>
        <w:tabs>
          <w:tab w:val="clear" w:pos="567"/>
        </w:tabs>
        <w:rPr>
          <w:color w:val="000000"/>
        </w:rPr>
      </w:pPr>
      <w:r w:rsidRPr="00F25A60">
        <w:rPr>
          <w:color w:val="000000"/>
        </w:rPr>
        <w:t>Ve všech klinických studiích bylo 38–40</w:t>
      </w:r>
      <w:r w:rsidR="000C14F2" w:rsidRPr="00F25A60">
        <w:rPr>
          <w:color w:val="000000"/>
        </w:rPr>
        <w:t> </w:t>
      </w:r>
      <w:r w:rsidRPr="00F25A60">
        <w:rPr>
          <w:color w:val="000000"/>
        </w:rPr>
        <w:t xml:space="preserve">% pacientů ve věku </w:t>
      </w:r>
      <w:r w:rsidRPr="00F25A60">
        <w:rPr>
          <w:rFonts w:ascii="Symbol" w:hAnsi="Symbol"/>
          <w:color w:val="000000"/>
        </w:rPr>
        <w:t></w:t>
      </w:r>
      <w:r w:rsidRPr="00F25A60">
        <w:rPr>
          <w:color w:val="000000"/>
        </w:rPr>
        <w:t> 60 let a 10–12</w:t>
      </w:r>
      <w:r w:rsidR="000C14F2" w:rsidRPr="00F25A60">
        <w:rPr>
          <w:color w:val="000000"/>
        </w:rPr>
        <w:t xml:space="preserve"> </w:t>
      </w:r>
      <w:r w:rsidRPr="00F25A60">
        <w:rPr>
          <w:color w:val="000000"/>
        </w:rPr>
        <w:t xml:space="preserve">% pacientů bylo ve věku </w:t>
      </w:r>
      <w:r w:rsidRPr="00F25A60">
        <w:rPr>
          <w:rFonts w:ascii="Symbol" w:hAnsi="Symbol"/>
          <w:color w:val="000000"/>
        </w:rPr>
        <w:t></w:t>
      </w:r>
      <w:r w:rsidRPr="00F25A60">
        <w:rPr>
          <w:color w:val="000000"/>
        </w:rPr>
        <w:t> 70 let.</w:t>
      </w:r>
    </w:p>
    <w:p w14:paraId="2BE5E8D8" w14:textId="77777777" w:rsidR="00EA5993" w:rsidRPr="00F25A60" w:rsidRDefault="00EA5993" w:rsidP="0048111F">
      <w:pPr>
        <w:pStyle w:val="EndnoteText"/>
        <w:tabs>
          <w:tab w:val="clear" w:pos="567"/>
        </w:tabs>
        <w:rPr>
          <w:color w:val="000000"/>
        </w:rPr>
      </w:pPr>
    </w:p>
    <w:p w14:paraId="772B3766" w14:textId="21CA33D0" w:rsidR="007903A3" w:rsidRPr="00F25A60" w:rsidRDefault="00EA5993" w:rsidP="0048111F">
      <w:pPr>
        <w:pStyle w:val="EndnoteText"/>
        <w:keepNext/>
        <w:rPr>
          <w:color w:val="000000"/>
        </w:rPr>
      </w:pPr>
      <w:r w:rsidRPr="00F25A60">
        <w:rPr>
          <w:i/>
          <w:iCs/>
          <w:color w:val="000000"/>
          <w:u w:val="single"/>
        </w:rPr>
        <w:t>Chronická fáze, nově diagnostikovaná</w:t>
      </w:r>
    </w:p>
    <w:p w14:paraId="2E2265A2" w14:textId="1558AC84" w:rsidR="00EA5993" w:rsidRPr="00F25A60" w:rsidRDefault="00EA5993" w:rsidP="0048111F">
      <w:pPr>
        <w:pStyle w:val="EndnoteText"/>
        <w:rPr>
          <w:color w:val="000000"/>
        </w:rPr>
      </w:pPr>
      <w:r w:rsidRPr="00F25A60">
        <w:rPr>
          <w:color w:val="000000"/>
        </w:rPr>
        <w:t>Studie fáze </w:t>
      </w:r>
      <w:smartTag w:uri="urn:schemas-microsoft-com:office:smarttags" w:element="stockticker">
        <w:r w:rsidRPr="00F25A60">
          <w:rPr>
            <w:color w:val="000000"/>
          </w:rPr>
          <w:t>III</w:t>
        </w:r>
      </w:smartTag>
      <w:r w:rsidRPr="00F25A60">
        <w:rPr>
          <w:color w:val="000000"/>
        </w:rPr>
        <w:t xml:space="preserve"> u dospělých pacientů srovnávala léčbu Glivecem v monoterapii s kombinovanou léčbou interferonem-al</w:t>
      </w:r>
      <w:r w:rsidR="000C14F2" w:rsidRPr="00F25A60">
        <w:rPr>
          <w:color w:val="000000"/>
        </w:rPr>
        <w:t>f</w:t>
      </w:r>
      <w:r w:rsidRPr="00F25A60">
        <w:rPr>
          <w:color w:val="000000"/>
        </w:rPr>
        <w:t>a (IFN) a cytarabinem (Ara-C). Bylo dovoleno, aby pacienti, u kterých nebylo dosaženo léčebné odpovědi (chybění kompletní hematologické odpovědi (</w:t>
      </w:r>
      <w:smartTag w:uri="urn:schemas-microsoft-com:office:smarttags" w:element="stockticker">
        <w:r w:rsidRPr="00F25A60">
          <w:rPr>
            <w:color w:val="000000"/>
          </w:rPr>
          <w:t>CHR</w:t>
        </w:r>
      </w:smartTag>
      <w:r w:rsidRPr="00F25A60">
        <w:rPr>
          <w:color w:val="000000"/>
        </w:rPr>
        <w:t xml:space="preserve">) v 6. měsíci, zvýšení počtu </w:t>
      </w:r>
      <w:r w:rsidR="000C14F2" w:rsidRPr="00F25A60">
        <w:rPr>
          <w:color w:val="000000"/>
        </w:rPr>
        <w:t>leukocytů</w:t>
      </w:r>
      <w:r w:rsidRPr="00F25A60">
        <w:rPr>
          <w:color w:val="000000"/>
        </w:rPr>
        <w:t>, bez velké cytogenetické odpovědi (MCyR) ve 24. měsíci), se ztrátou odpovědi (</w:t>
      </w:r>
      <w:smartTag w:uri="urn:schemas-microsoft-com:office:smarttags" w:element="stockticker">
        <w:r w:rsidRPr="00F25A60">
          <w:rPr>
            <w:color w:val="000000"/>
          </w:rPr>
          <w:t>CHR</w:t>
        </w:r>
      </w:smartTag>
      <w:r w:rsidRPr="00F25A60">
        <w:rPr>
          <w:color w:val="000000"/>
        </w:rPr>
        <w:t xml:space="preserve"> </w:t>
      </w:r>
      <w:r w:rsidRPr="00F25A60">
        <w:rPr>
          <w:color w:val="000000"/>
        </w:rPr>
        <w:lastRenderedPageBreak/>
        <w:t>nebo MCyR) nebo se závažnou intolerancí léčby, byli převedeni do alternativního ramene léčby. V</w:t>
      </w:r>
      <w:ins w:id="182" w:author="Author">
        <w:r w:rsidR="009274D5" w:rsidRPr="00F25A60">
          <w:rPr>
            <w:color w:val="000000"/>
          </w:rPr>
          <w:t> </w:t>
        </w:r>
      </w:ins>
      <w:del w:id="183" w:author="Author">
        <w:r w:rsidRPr="00F25A60" w:rsidDel="009274D5">
          <w:rPr>
            <w:color w:val="000000"/>
          </w:rPr>
          <w:delText xml:space="preserve"> </w:delText>
        </w:r>
      </w:del>
      <w:r w:rsidRPr="00F25A60">
        <w:rPr>
          <w:color w:val="000000"/>
        </w:rPr>
        <w:t>rameni s Glivecem byli pacienti léčeni dávkou 400 mg denně. V rameni s IFN byli pacienti léčeni s cílovou dávkou IFN 5 MIU/m</w:t>
      </w:r>
      <w:r w:rsidRPr="00F25A60">
        <w:rPr>
          <w:color w:val="000000"/>
          <w:vertAlign w:val="superscript"/>
        </w:rPr>
        <w:t>2</w:t>
      </w:r>
      <w:r w:rsidRPr="00F25A60">
        <w:rPr>
          <w:color w:val="000000"/>
        </w:rPr>
        <w:t>/den subkutánně v kombinaci se subkutánním podáním Ara-C 20 mg/m</w:t>
      </w:r>
      <w:r w:rsidRPr="00F25A60">
        <w:rPr>
          <w:color w:val="000000"/>
          <w:vertAlign w:val="superscript"/>
        </w:rPr>
        <w:t>2</w:t>
      </w:r>
      <w:r w:rsidRPr="00F25A60">
        <w:rPr>
          <w:color w:val="000000"/>
        </w:rPr>
        <w:t>/den po 10 dnů/měsíc.</w:t>
      </w:r>
    </w:p>
    <w:p w14:paraId="78A1D668" w14:textId="77777777" w:rsidR="00EA5993" w:rsidRPr="00F25A60" w:rsidRDefault="00EA5993" w:rsidP="0048111F">
      <w:pPr>
        <w:pStyle w:val="EndnoteText"/>
        <w:rPr>
          <w:color w:val="000000"/>
        </w:rPr>
      </w:pPr>
    </w:p>
    <w:p w14:paraId="73AB5CD3" w14:textId="77777777" w:rsidR="00EA5993" w:rsidRPr="00F25A60" w:rsidRDefault="00EA5993" w:rsidP="0048111F">
      <w:pPr>
        <w:pStyle w:val="EndnoteText"/>
        <w:rPr>
          <w:color w:val="000000"/>
        </w:rPr>
      </w:pPr>
      <w:r w:rsidRPr="00F25A60">
        <w:rPr>
          <w:color w:val="000000"/>
        </w:rPr>
        <w:t>Celkem bylo randomizováno 1 106 pacientů, 553 do každého ramene. Výchozí charakteristiky byly mezi oběma rameny dobře vyvážené. Medián věku byl 51 let (rozmezí 18–70 let), 21,9</w:t>
      </w:r>
      <w:r w:rsidR="00D82A16" w:rsidRPr="00F25A60">
        <w:rPr>
          <w:color w:val="000000"/>
        </w:rPr>
        <w:t> </w:t>
      </w:r>
      <w:r w:rsidRPr="00F25A60">
        <w:rPr>
          <w:color w:val="000000"/>
        </w:rPr>
        <w:t>% pacientů bylo ve věku ≥ 60 let. Bylo zde 59</w:t>
      </w:r>
      <w:r w:rsidR="00D82A16" w:rsidRPr="00F25A60">
        <w:rPr>
          <w:color w:val="000000"/>
        </w:rPr>
        <w:t> </w:t>
      </w:r>
      <w:r w:rsidRPr="00F25A60">
        <w:rPr>
          <w:color w:val="000000"/>
        </w:rPr>
        <w:t>% mužů a 41</w:t>
      </w:r>
      <w:r w:rsidR="00D82A16" w:rsidRPr="00F25A60">
        <w:rPr>
          <w:color w:val="000000"/>
        </w:rPr>
        <w:t xml:space="preserve"> </w:t>
      </w:r>
      <w:r w:rsidRPr="00F25A60">
        <w:rPr>
          <w:color w:val="000000"/>
        </w:rPr>
        <w:t>% žen; 89,9</w:t>
      </w:r>
      <w:r w:rsidR="00D82A16" w:rsidRPr="00F25A60">
        <w:rPr>
          <w:color w:val="000000"/>
        </w:rPr>
        <w:t xml:space="preserve"> </w:t>
      </w:r>
      <w:r w:rsidRPr="00F25A60">
        <w:rPr>
          <w:color w:val="000000"/>
        </w:rPr>
        <w:t>% pacientů bylo bílé pleti a 4,7% černé pleti. Po sedmi letech od zařazení posledního pacienta byl medián trvání léčby v první linii 82 měsíců v rameni s Glivecem a 8 měsíců v rameni s IFN. Medián trvání léčby v druhé linii byl 64 měsíců v rameni s Glivecem. Souhrnně u pacientů</w:t>
      </w:r>
      <w:r w:rsidR="00D82A16" w:rsidRPr="00F25A60">
        <w:rPr>
          <w:color w:val="000000"/>
        </w:rPr>
        <w:t xml:space="preserve"> </w:t>
      </w:r>
      <w:r w:rsidRPr="00F25A60">
        <w:rPr>
          <w:color w:val="000000"/>
        </w:rPr>
        <w:t xml:space="preserve">léčených Glivecem v první linii byla průměrná podávaná denní dávka 406 ± 76 mg. Primárním cílovým parametrem účinnosti ve studii bylo přežití bez progrese onemocnění. Progrese byla definována jako jakákoliv z následujících událostí: progrese do akcelerované fáze nebo blastické krize, úmrtí, ztráta </w:t>
      </w:r>
      <w:smartTag w:uri="urn:schemas-microsoft-com:office:smarttags" w:element="stockticker">
        <w:r w:rsidRPr="00F25A60">
          <w:rPr>
            <w:color w:val="000000"/>
          </w:rPr>
          <w:t>CHR</w:t>
        </w:r>
      </w:smartTag>
      <w:r w:rsidRPr="00F25A60">
        <w:rPr>
          <w:color w:val="000000"/>
        </w:rPr>
        <w:t xml:space="preserve"> nebo MCyR, nebo u pacientů, kteří nedosáhli </w:t>
      </w:r>
      <w:smartTag w:uri="urn:schemas-microsoft-com:office:smarttags" w:element="stockticker">
        <w:r w:rsidRPr="00F25A60">
          <w:rPr>
            <w:color w:val="000000"/>
          </w:rPr>
          <w:t>CHR</w:t>
        </w:r>
      </w:smartTag>
      <w:r w:rsidRPr="00F25A60">
        <w:rPr>
          <w:color w:val="000000"/>
        </w:rPr>
        <w:t xml:space="preserve">, zvýšení počtu </w:t>
      </w:r>
      <w:r w:rsidR="00D82A16" w:rsidRPr="00F25A60">
        <w:rPr>
          <w:color w:val="000000"/>
        </w:rPr>
        <w:t>leukocytů</w:t>
      </w:r>
      <w:r w:rsidRPr="00F25A60">
        <w:rPr>
          <w:color w:val="000000"/>
        </w:rPr>
        <w:t xml:space="preserve"> navzdory přiměřené léčbě. Velká cytogenetická odpověď, hematologická odpověď, molekulární odpověď (hodnocení minimálního reziduálního onemocnění) doba do akcelerované fáze nebo blastické krize a přežívání jsou hlavními sekundárními cílovými parametry. Údaje o odpovědích jsou uvedeny v </w:t>
      </w:r>
      <w:r w:rsidR="00D82A16" w:rsidRPr="00F25A60">
        <w:rPr>
          <w:color w:val="000000"/>
        </w:rPr>
        <w:t>t</w:t>
      </w:r>
      <w:r w:rsidRPr="00F25A60">
        <w:rPr>
          <w:color w:val="000000"/>
        </w:rPr>
        <w:t>abulce </w:t>
      </w:r>
      <w:r w:rsidR="00A2522A" w:rsidRPr="00F25A60">
        <w:rPr>
          <w:color w:val="000000"/>
        </w:rPr>
        <w:t>2</w:t>
      </w:r>
      <w:r w:rsidRPr="00F25A60">
        <w:rPr>
          <w:color w:val="000000"/>
        </w:rPr>
        <w:t>.</w:t>
      </w:r>
    </w:p>
    <w:p w14:paraId="1014ED09" w14:textId="77777777" w:rsidR="00EA5993" w:rsidRPr="00F25A60" w:rsidRDefault="00EA5993" w:rsidP="0048111F">
      <w:pPr>
        <w:pStyle w:val="EndnoteText"/>
        <w:tabs>
          <w:tab w:val="clear" w:pos="567"/>
          <w:tab w:val="left" w:pos="1134"/>
        </w:tabs>
        <w:rPr>
          <w:color w:val="000000"/>
        </w:rPr>
      </w:pPr>
    </w:p>
    <w:p w14:paraId="0DD638C8" w14:textId="77777777" w:rsidR="00EA5993" w:rsidRPr="00F25A60" w:rsidRDefault="00EA5993" w:rsidP="0048111F">
      <w:pPr>
        <w:pStyle w:val="EndnoteText"/>
        <w:keepNext/>
        <w:tabs>
          <w:tab w:val="clear" w:pos="567"/>
          <w:tab w:val="left" w:pos="1134"/>
        </w:tabs>
        <w:rPr>
          <w:b/>
          <w:bCs/>
          <w:color w:val="000000"/>
        </w:rPr>
      </w:pPr>
      <w:r w:rsidRPr="00F25A60">
        <w:rPr>
          <w:b/>
          <w:bCs/>
          <w:color w:val="000000"/>
        </w:rPr>
        <w:t>Tabulka </w:t>
      </w:r>
      <w:r w:rsidR="00A2522A" w:rsidRPr="00F25A60">
        <w:rPr>
          <w:b/>
          <w:bCs/>
          <w:color w:val="000000"/>
        </w:rPr>
        <w:t>2</w:t>
      </w:r>
      <w:r w:rsidRPr="00F25A60">
        <w:rPr>
          <w:b/>
          <w:bCs/>
          <w:color w:val="000000"/>
        </w:rPr>
        <w:tab/>
        <w:t>Odpovědi na léčbu ve studii u nově diagnostikované CML (84měsíční data)</w:t>
      </w:r>
    </w:p>
    <w:p w14:paraId="6E4D0135" w14:textId="77777777" w:rsidR="00EA5993" w:rsidRPr="00F25A60" w:rsidRDefault="00EA5993" w:rsidP="0048111F">
      <w:pPr>
        <w:pStyle w:val="EndnoteText"/>
        <w:keepNext/>
        <w:rPr>
          <w:color w:val="000000"/>
        </w:rPr>
      </w:pPr>
    </w:p>
    <w:tbl>
      <w:tblPr>
        <w:tblW w:w="0" w:type="auto"/>
        <w:tblInd w:w="-20" w:type="dxa"/>
        <w:tblLayout w:type="fixed"/>
        <w:tblLook w:val="0000" w:firstRow="0" w:lastRow="0" w:firstColumn="0" w:lastColumn="0" w:noHBand="0" w:noVBand="0"/>
      </w:tblPr>
      <w:tblGrid>
        <w:gridCol w:w="3794"/>
        <w:gridCol w:w="2693"/>
        <w:gridCol w:w="2758"/>
      </w:tblGrid>
      <w:tr w:rsidR="00EA5993" w:rsidRPr="00F25A60" w14:paraId="5AE3F6F4" w14:textId="77777777" w:rsidTr="00EB4FF7">
        <w:trPr>
          <w:cantSplit/>
        </w:trPr>
        <w:tc>
          <w:tcPr>
            <w:tcW w:w="3794" w:type="dxa"/>
            <w:tcBorders>
              <w:top w:val="single" w:sz="4" w:space="0" w:color="000000"/>
              <w:left w:val="single" w:sz="4" w:space="0" w:color="000000"/>
            </w:tcBorders>
          </w:tcPr>
          <w:p w14:paraId="1B344312"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c>
          <w:tcPr>
            <w:tcW w:w="2693" w:type="dxa"/>
            <w:tcBorders>
              <w:top w:val="single" w:sz="4" w:space="0" w:color="000000"/>
            </w:tcBorders>
          </w:tcPr>
          <w:p w14:paraId="3EFDC3E9" w14:textId="77777777" w:rsidR="00EA5993" w:rsidRPr="00F25A60" w:rsidRDefault="00EA5993" w:rsidP="0048111F">
            <w:pPr>
              <w:pStyle w:val="Table"/>
              <w:keepLines w:val="0"/>
              <w:snapToGrid w:val="0"/>
              <w:spacing w:before="0" w:after="0"/>
              <w:jc w:val="center"/>
              <w:rPr>
                <w:rFonts w:ascii="Times New Roman" w:hAnsi="Times New Roman" w:cs="Times New Roman"/>
                <w:b/>
                <w:bCs/>
                <w:color w:val="000000"/>
                <w:sz w:val="22"/>
                <w:szCs w:val="22"/>
                <w:lang w:val="cs-CZ"/>
              </w:rPr>
            </w:pPr>
            <w:r w:rsidRPr="00F25A60">
              <w:rPr>
                <w:rFonts w:ascii="Times New Roman" w:hAnsi="Times New Roman" w:cs="Times New Roman"/>
                <w:b/>
                <w:bCs/>
                <w:color w:val="000000"/>
                <w:sz w:val="22"/>
                <w:szCs w:val="22"/>
                <w:lang w:val="cs-CZ"/>
              </w:rPr>
              <w:t>Glivec</w:t>
            </w:r>
          </w:p>
        </w:tc>
        <w:tc>
          <w:tcPr>
            <w:tcW w:w="2758" w:type="dxa"/>
            <w:tcBorders>
              <w:top w:val="single" w:sz="4" w:space="0" w:color="000000"/>
              <w:right w:val="single" w:sz="4" w:space="0" w:color="000000"/>
            </w:tcBorders>
          </w:tcPr>
          <w:p w14:paraId="2851883B" w14:textId="77777777" w:rsidR="00EA5993" w:rsidRPr="00F25A60" w:rsidRDefault="00EA5993" w:rsidP="0048111F">
            <w:pPr>
              <w:pStyle w:val="Table"/>
              <w:keepLines w:val="0"/>
              <w:snapToGrid w:val="0"/>
              <w:spacing w:before="0" w:after="0"/>
              <w:jc w:val="center"/>
              <w:rPr>
                <w:rFonts w:ascii="Times New Roman" w:hAnsi="Times New Roman" w:cs="Times New Roman"/>
                <w:b/>
                <w:bCs/>
                <w:color w:val="000000"/>
                <w:sz w:val="22"/>
                <w:szCs w:val="22"/>
                <w:lang w:val="cs-CZ"/>
              </w:rPr>
            </w:pPr>
            <w:r w:rsidRPr="00F25A60">
              <w:rPr>
                <w:rFonts w:ascii="Times New Roman" w:hAnsi="Times New Roman" w:cs="Times New Roman"/>
                <w:b/>
                <w:bCs/>
                <w:color w:val="000000"/>
                <w:sz w:val="22"/>
                <w:szCs w:val="22"/>
                <w:lang w:val="cs-CZ"/>
              </w:rPr>
              <w:t>IFN+Ara-C</w:t>
            </w:r>
          </w:p>
        </w:tc>
      </w:tr>
      <w:tr w:rsidR="00EA5993" w:rsidRPr="00F25A60" w14:paraId="1AB9ABB8" w14:textId="77777777" w:rsidTr="00EB4FF7">
        <w:trPr>
          <w:cantSplit/>
        </w:trPr>
        <w:tc>
          <w:tcPr>
            <w:tcW w:w="3794" w:type="dxa"/>
            <w:tcBorders>
              <w:left w:val="single" w:sz="4" w:space="0" w:color="000000"/>
              <w:bottom w:val="single" w:sz="4" w:space="0" w:color="000000"/>
            </w:tcBorders>
          </w:tcPr>
          <w:p w14:paraId="7685DF54" w14:textId="77777777" w:rsidR="00EA5993" w:rsidRPr="00F25A60" w:rsidRDefault="00EA5993" w:rsidP="0048111F">
            <w:pPr>
              <w:pStyle w:val="Table"/>
              <w:keepLines w:val="0"/>
              <w:snapToGrid w:val="0"/>
              <w:spacing w:before="0" w:after="0"/>
              <w:rPr>
                <w:rFonts w:ascii="Times New Roman" w:hAnsi="Times New Roman" w:cs="Times New Roman"/>
                <w:b/>
                <w:bCs/>
                <w:color w:val="000000"/>
                <w:sz w:val="22"/>
                <w:szCs w:val="22"/>
                <w:lang w:val="cs-CZ"/>
              </w:rPr>
            </w:pPr>
            <w:r w:rsidRPr="00F25A60">
              <w:rPr>
                <w:rFonts w:ascii="Times New Roman" w:hAnsi="Times New Roman" w:cs="Times New Roman"/>
                <w:b/>
                <w:bCs/>
                <w:color w:val="000000"/>
                <w:sz w:val="22"/>
                <w:szCs w:val="22"/>
                <w:lang w:val="cs-CZ"/>
              </w:rPr>
              <w:t>(Nejlepší míra odpovědi)</w:t>
            </w:r>
          </w:p>
        </w:tc>
        <w:tc>
          <w:tcPr>
            <w:tcW w:w="2693" w:type="dxa"/>
            <w:tcBorders>
              <w:bottom w:val="single" w:sz="4" w:space="0" w:color="000000"/>
            </w:tcBorders>
          </w:tcPr>
          <w:p w14:paraId="08D5A0EA" w14:textId="77777777" w:rsidR="00EA5993" w:rsidRPr="00F25A60" w:rsidRDefault="00EA5993" w:rsidP="0048111F">
            <w:pPr>
              <w:pStyle w:val="Table"/>
              <w:keepLines w:val="0"/>
              <w:snapToGrid w:val="0"/>
              <w:spacing w:before="0" w:after="0"/>
              <w:jc w:val="center"/>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n=553</w:t>
            </w:r>
          </w:p>
        </w:tc>
        <w:tc>
          <w:tcPr>
            <w:tcW w:w="2758" w:type="dxa"/>
            <w:tcBorders>
              <w:bottom w:val="single" w:sz="4" w:space="0" w:color="000000"/>
              <w:right w:val="single" w:sz="4" w:space="0" w:color="000000"/>
            </w:tcBorders>
          </w:tcPr>
          <w:p w14:paraId="068AED2E" w14:textId="77777777" w:rsidR="00EA5993" w:rsidRPr="00F25A60" w:rsidRDefault="00EA5993" w:rsidP="0048111F">
            <w:pPr>
              <w:pStyle w:val="Table"/>
              <w:keepLines w:val="0"/>
              <w:snapToGrid w:val="0"/>
              <w:spacing w:before="0" w:after="0"/>
              <w:jc w:val="center"/>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n=553</w:t>
            </w:r>
          </w:p>
        </w:tc>
      </w:tr>
      <w:tr w:rsidR="00EA5993" w:rsidRPr="00F25A60" w14:paraId="025ADCF4" w14:textId="77777777" w:rsidTr="00EB4FF7">
        <w:trPr>
          <w:cantSplit/>
        </w:trPr>
        <w:tc>
          <w:tcPr>
            <w:tcW w:w="3794" w:type="dxa"/>
            <w:tcBorders>
              <w:left w:val="single" w:sz="4" w:space="0" w:color="000000"/>
            </w:tcBorders>
          </w:tcPr>
          <w:p w14:paraId="5FFD798C" w14:textId="77777777" w:rsidR="00EA5993" w:rsidRPr="00F25A60" w:rsidRDefault="00EA5993" w:rsidP="0048111F">
            <w:pPr>
              <w:pStyle w:val="Table"/>
              <w:keepLines w:val="0"/>
              <w:snapToGrid w:val="0"/>
              <w:spacing w:before="0" w:after="0"/>
              <w:rPr>
                <w:rFonts w:ascii="Times New Roman" w:hAnsi="Times New Roman" w:cs="Times New Roman"/>
                <w:b/>
                <w:bCs/>
                <w:color w:val="000000"/>
                <w:sz w:val="22"/>
                <w:szCs w:val="22"/>
                <w:lang w:val="cs-CZ"/>
              </w:rPr>
            </w:pPr>
            <w:r w:rsidRPr="00F25A60">
              <w:rPr>
                <w:rFonts w:ascii="Times New Roman" w:hAnsi="Times New Roman" w:cs="Times New Roman"/>
                <w:b/>
                <w:bCs/>
                <w:color w:val="000000"/>
                <w:sz w:val="22"/>
                <w:szCs w:val="22"/>
                <w:lang w:val="cs-CZ"/>
              </w:rPr>
              <w:t>Hematologická odpověď</w:t>
            </w:r>
          </w:p>
        </w:tc>
        <w:tc>
          <w:tcPr>
            <w:tcW w:w="2693" w:type="dxa"/>
          </w:tcPr>
          <w:p w14:paraId="1A2CE98C" w14:textId="77777777" w:rsidR="00EA5993" w:rsidRPr="00F25A60" w:rsidRDefault="00EA5993" w:rsidP="0048111F">
            <w:pPr>
              <w:pStyle w:val="Table"/>
              <w:keepLines w:val="0"/>
              <w:snapToGrid w:val="0"/>
              <w:spacing w:before="0" w:after="0"/>
              <w:jc w:val="center"/>
              <w:rPr>
                <w:rFonts w:ascii="Times New Roman" w:hAnsi="Times New Roman" w:cs="Times New Roman"/>
                <w:b/>
                <w:bCs/>
                <w:color w:val="000000"/>
                <w:sz w:val="22"/>
                <w:szCs w:val="22"/>
                <w:lang w:val="cs-CZ"/>
              </w:rPr>
            </w:pPr>
          </w:p>
        </w:tc>
        <w:tc>
          <w:tcPr>
            <w:tcW w:w="2758" w:type="dxa"/>
            <w:tcBorders>
              <w:right w:val="single" w:sz="4" w:space="0" w:color="000000"/>
            </w:tcBorders>
          </w:tcPr>
          <w:p w14:paraId="480852BC" w14:textId="77777777" w:rsidR="00EA5993" w:rsidRPr="00F25A60" w:rsidRDefault="00EA5993" w:rsidP="0048111F">
            <w:pPr>
              <w:pStyle w:val="Table"/>
              <w:keepLines w:val="0"/>
              <w:snapToGrid w:val="0"/>
              <w:spacing w:before="0" w:after="0"/>
              <w:jc w:val="center"/>
              <w:rPr>
                <w:rFonts w:ascii="Times New Roman" w:hAnsi="Times New Roman" w:cs="Times New Roman"/>
                <w:b/>
                <w:bCs/>
                <w:color w:val="000000"/>
                <w:sz w:val="22"/>
                <w:szCs w:val="22"/>
                <w:lang w:val="cs-CZ"/>
              </w:rPr>
            </w:pPr>
          </w:p>
        </w:tc>
      </w:tr>
      <w:tr w:rsidR="00EA5993" w:rsidRPr="00F25A60" w14:paraId="64FB8489" w14:textId="77777777" w:rsidTr="00EB4FF7">
        <w:trPr>
          <w:cantSplit/>
        </w:trPr>
        <w:tc>
          <w:tcPr>
            <w:tcW w:w="3794" w:type="dxa"/>
            <w:tcBorders>
              <w:left w:val="single" w:sz="4" w:space="0" w:color="000000"/>
            </w:tcBorders>
          </w:tcPr>
          <w:p w14:paraId="72DB2A45"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 xml:space="preserve">Míra </w:t>
            </w:r>
            <w:smartTag w:uri="urn:schemas-microsoft-com:office:smarttags" w:element="stockticker">
              <w:r w:rsidRPr="00F25A60">
                <w:rPr>
                  <w:rFonts w:ascii="Times New Roman" w:hAnsi="Times New Roman" w:cs="Times New Roman"/>
                  <w:color w:val="000000"/>
                  <w:sz w:val="22"/>
                  <w:szCs w:val="22"/>
                  <w:lang w:val="cs-CZ"/>
                </w:rPr>
                <w:t>CHR</w:t>
              </w:r>
            </w:smartTag>
            <w:r w:rsidRPr="00F25A60">
              <w:rPr>
                <w:rFonts w:ascii="Times New Roman" w:hAnsi="Times New Roman" w:cs="Times New Roman"/>
                <w:color w:val="000000"/>
                <w:sz w:val="22"/>
                <w:szCs w:val="22"/>
                <w:lang w:val="cs-CZ"/>
              </w:rPr>
              <w:t xml:space="preserve"> n (%)</w:t>
            </w:r>
          </w:p>
        </w:tc>
        <w:tc>
          <w:tcPr>
            <w:tcW w:w="2693" w:type="dxa"/>
          </w:tcPr>
          <w:p w14:paraId="5CF18AA9" w14:textId="77777777" w:rsidR="00EA5993" w:rsidRPr="00F25A60" w:rsidRDefault="00EA5993" w:rsidP="0048111F">
            <w:pPr>
              <w:pStyle w:val="Table"/>
              <w:keepLines w:val="0"/>
              <w:snapToGrid w:val="0"/>
              <w:spacing w:before="0" w:after="0"/>
              <w:jc w:val="center"/>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534 (96,6</w:t>
            </w:r>
            <w:r w:rsidR="004B270C" w:rsidRPr="00F25A60">
              <w:rPr>
                <w:rFonts w:ascii="Times New Roman" w:hAnsi="Times New Roman" w:cs="Times New Roman"/>
                <w:color w:val="000000"/>
                <w:sz w:val="22"/>
                <w:szCs w:val="22"/>
                <w:lang w:val="cs-CZ"/>
              </w:rPr>
              <w:t> </w:t>
            </w:r>
            <w:r w:rsidRPr="00F25A60">
              <w:rPr>
                <w:rFonts w:ascii="Times New Roman" w:hAnsi="Times New Roman" w:cs="Times New Roman"/>
                <w:color w:val="000000"/>
                <w:sz w:val="22"/>
                <w:szCs w:val="22"/>
                <w:lang w:val="cs-CZ"/>
              </w:rPr>
              <w:t>%)*</w:t>
            </w:r>
          </w:p>
        </w:tc>
        <w:tc>
          <w:tcPr>
            <w:tcW w:w="2758" w:type="dxa"/>
            <w:tcBorders>
              <w:right w:val="single" w:sz="4" w:space="0" w:color="000000"/>
            </w:tcBorders>
          </w:tcPr>
          <w:p w14:paraId="39614E09" w14:textId="77777777" w:rsidR="00EA5993" w:rsidRPr="00F25A60" w:rsidRDefault="00EA5993" w:rsidP="0048111F">
            <w:pPr>
              <w:pStyle w:val="Table"/>
              <w:keepLines w:val="0"/>
              <w:snapToGrid w:val="0"/>
              <w:spacing w:before="0" w:after="0"/>
              <w:jc w:val="center"/>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313 (56,6</w:t>
            </w:r>
            <w:r w:rsidR="004B270C" w:rsidRPr="00F25A60">
              <w:rPr>
                <w:rFonts w:ascii="Times New Roman" w:hAnsi="Times New Roman" w:cs="Times New Roman"/>
                <w:color w:val="000000"/>
                <w:sz w:val="22"/>
                <w:szCs w:val="22"/>
                <w:lang w:val="cs-CZ"/>
              </w:rPr>
              <w:t> </w:t>
            </w:r>
            <w:r w:rsidRPr="00F25A60">
              <w:rPr>
                <w:rFonts w:ascii="Times New Roman" w:hAnsi="Times New Roman" w:cs="Times New Roman"/>
                <w:color w:val="000000"/>
                <w:sz w:val="22"/>
                <w:szCs w:val="22"/>
                <w:lang w:val="cs-CZ"/>
              </w:rPr>
              <w:t>%)*</w:t>
            </w:r>
          </w:p>
        </w:tc>
      </w:tr>
      <w:tr w:rsidR="00EA5993" w:rsidRPr="00F25A60" w14:paraId="0306310D" w14:textId="77777777" w:rsidTr="00EB4FF7">
        <w:trPr>
          <w:cantSplit/>
        </w:trPr>
        <w:tc>
          <w:tcPr>
            <w:tcW w:w="3794" w:type="dxa"/>
            <w:tcBorders>
              <w:left w:val="single" w:sz="4" w:space="0" w:color="000000"/>
            </w:tcBorders>
          </w:tcPr>
          <w:p w14:paraId="201870BC"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ab/>
              <w:t>[95% CI]</w:t>
            </w:r>
          </w:p>
        </w:tc>
        <w:tc>
          <w:tcPr>
            <w:tcW w:w="2693" w:type="dxa"/>
          </w:tcPr>
          <w:p w14:paraId="64A9A487" w14:textId="77777777" w:rsidR="00EA5993" w:rsidRPr="00F25A60" w:rsidRDefault="00EA5993" w:rsidP="0048111F">
            <w:pPr>
              <w:pStyle w:val="Table"/>
              <w:keepLines w:val="0"/>
              <w:snapToGrid w:val="0"/>
              <w:spacing w:before="0" w:after="0"/>
              <w:jc w:val="center"/>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[94,7</w:t>
            </w:r>
            <w:r w:rsidR="004B270C" w:rsidRPr="00F25A60">
              <w:rPr>
                <w:rFonts w:ascii="Times New Roman" w:hAnsi="Times New Roman" w:cs="Times New Roman"/>
                <w:color w:val="000000"/>
                <w:sz w:val="22"/>
                <w:szCs w:val="22"/>
                <w:lang w:val="cs-CZ"/>
              </w:rPr>
              <w:t> </w:t>
            </w:r>
            <w:r w:rsidRPr="00F25A60">
              <w:rPr>
                <w:rFonts w:ascii="Times New Roman" w:hAnsi="Times New Roman" w:cs="Times New Roman"/>
                <w:color w:val="000000"/>
                <w:sz w:val="22"/>
                <w:szCs w:val="22"/>
                <w:lang w:val="cs-CZ"/>
              </w:rPr>
              <w:t>%, 97,9</w:t>
            </w:r>
            <w:r w:rsidR="004B270C" w:rsidRPr="00F25A60">
              <w:rPr>
                <w:rFonts w:ascii="Times New Roman" w:hAnsi="Times New Roman" w:cs="Times New Roman"/>
                <w:color w:val="000000"/>
                <w:sz w:val="22"/>
                <w:szCs w:val="22"/>
                <w:lang w:val="cs-CZ"/>
              </w:rPr>
              <w:t> </w:t>
            </w:r>
            <w:r w:rsidRPr="00F25A60">
              <w:rPr>
                <w:rFonts w:ascii="Times New Roman" w:hAnsi="Times New Roman" w:cs="Times New Roman"/>
                <w:color w:val="000000"/>
                <w:sz w:val="22"/>
                <w:szCs w:val="22"/>
                <w:lang w:val="cs-CZ"/>
              </w:rPr>
              <w:t>%]</w:t>
            </w:r>
          </w:p>
        </w:tc>
        <w:tc>
          <w:tcPr>
            <w:tcW w:w="2758" w:type="dxa"/>
            <w:tcBorders>
              <w:right w:val="single" w:sz="4" w:space="0" w:color="000000"/>
            </w:tcBorders>
          </w:tcPr>
          <w:p w14:paraId="5B19ACC7" w14:textId="77777777" w:rsidR="00EA5993" w:rsidRPr="00F25A60" w:rsidRDefault="00EA5993" w:rsidP="0048111F">
            <w:pPr>
              <w:pStyle w:val="Table"/>
              <w:keepLines w:val="0"/>
              <w:snapToGrid w:val="0"/>
              <w:spacing w:before="0" w:after="0"/>
              <w:jc w:val="center"/>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[52,4%, 60,8</w:t>
            </w:r>
            <w:r w:rsidR="004B270C" w:rsidRPr="00F25A60">
              <w:rPr>
                <w:rFonts w:ascii="Times New Roman" w:hAnsi="Times New Roman" w:cs="Times New Roman"/>
                <w:color w:val="000000"/>
                <w:sz w:val="22"/>
                <w:szCs w:val="22"/>
                <w:lang w:val="cs-CZ"/>
              </w:rPr>
              <w:t> </w:t>
            </w:r>
            <w:r w:rsidRPr="00F25A60">
              <w:rPr>
                <w:rFonts w:ascii="Times New Roman" w:hAnsi="Times New Roman" w:cs="Times New Roman"/>
                <w:color w:val="000000"/>
                <w:sz w:val="22"/>
                <w:szCs w:val="22"/>
                <w:lang w:val="cs-CZ"/>
              </w:rPr>
              <w:t>%]</w:t>
            </w:r>
          </w:p>
        </w:tc>
      </w:tr>
      <w:tr w:rsidR="00EA5993" w:rsidRPr="00F25A60" w14:paraId="6FF755A9" w14:textId="77777777" w:rsidTr="00EB4FF7">
        <w:trPr>
          <w:cantSplit/>
        </w:trPr>
        <w:tc>
          <w:tcPr>
            <w:tcW w:w="3794" w:type="dxa"/>
            <w:tcBorders>
              <w:left w:val="single" w:sz="4" w:space="0" w:color="000000"/>
            </w:tcBorders>
          </w:tcPr>
          <w:p w14:paraId="1F9482A3"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c>
          <w:tcPr>
            <w:tcW w:w="2693" w:type="dxa"/>
          </w:tcPr>
          <w:p w14:paraId="1F646290"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c>
          <w:tcPr>
            <w:tcW w:w="2758" w:type="dxa"/>
            <w:tcBorders>
              <w:right w:val="single" w:sz="4" w:space="0" w:color="000000"/>
            </w:tcBorders>
          </w:tcPr>
          <w:p w14:paraId="6925F365"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r>
      <w:tr w:rsidR="00EA5993" w:rsidRPr="00F25A60" w14:paraId="3E6C9FE6" w14:textId="77777777" w:rsidTr="00EB4FF7">
        <w:trPr>
          <w:cantSplit/>
        </w:trPr>
        <w:tc>
          <w:tcPr>
            <w:tcW w:w="3794" w:type="dxa"/>
            <w:tcBorders>
              <w:left w:val="single" w:sz="4" w:space="0" w:color="000000"/>
            </w:tcBorders>
          </w:tcPr>
          <w:p w14:paraId="7E9E2AC7" w14:textId="77777777" w:rsidR="00EA5993" w:rsidRPr="00F25A60" w:rsidRDefault="00EA5993" w:rsidP="0048111F">
            <w:pPr>
              <w:pStyle w:val="Table"/>
              <w:keepLines w:val="0"/>
              <w:snapToGrid w:val="0"/>
              <w:spacing w:before="0" w:after="0"/>
              <w:rPr>
                <w:rFonts w:ascii="Times New Roman" w:hAnsi="Times New Roman" w:cs="Times New Roman"/>
                <w:b/>
                <w:bCs/>
                <w:color w:val="000000"/>
                <w:sz w:val="22"/>
                <w:szCs w:val="22"/>
                <w:lang w:val="cs-CZ"/>
              </w:rPr>
            </w:pPr>
            <w:r w:rsidRPr="00F25A60">
              <w:rPr>
                <w:rFonts w:ascii="Times New Roman" w:hAnsi="Times New Roman" w:cs="Times New Roman"/>
                <w:b/>
                <w:bCs/>
                <w:color w:val="000000"/>
                <w:sz w:val="22"/>
                <w:szCs w:val="22"/>
                <w:lang w:val="cs-CZ"/>
              </w:rPr>
              <w:t>Cytogenetická odpověď</w:t>
            </w:r>
          </w:p>
        </w:tc>
        <w:tc>
          <w:tcPr>
            <w:tcW w:w="2693" w:type="dxa"/>
          </w:tcPr>
          <w:p w14:paraId="14DC1433" w14:textId="77777777" w:rsidR="00EA5993" w:rsidRPr="00F25A60" w:rsidRDefault="00EA5993" w:rsidP="0048111F">
            <w:pPr>
              <w:pStyle w:val="Table"/>
              <w:keepLines w:val="0"/>
              <w:snapToGrid w:val="0"/>
              <w:spacing w:before="0" w:after="0"/>
              <w:rPr>
                <w:rFonts w:ascii="Times New Roman" w:hAnsi="Times New Roman" w:cs="Times New Roman"/>
                <w:b/>
                <w:bCs/>
                <w:color w:val="000000"/>
                <w:sz w:val="22"/>
                <w:szCs w:val="22"/>
                <w:lang w:val="cs-CZ"/>
              </w:rPr>
            </w:pPr>
          </w:p>
        </w:tc>
        <w:tc>
          <w:tcPr>
            <w:tcW w:w="2758" w:type="dxa"/>
            <w:tcBorders>
              <w:right w:val="single" w:sz="4" w:space="0" w:color="000000"/>
            </w:tcBorders>
          </w:tcPr>
          <w:p w14:paraId="59FF9E66" w14:textId="77777777" w:rsidR="00EA5993" w:rsidRPr="00F25A60" w:rsidRDefault="00EA5993" w:rsidP="0048111F">
            <w:pPr>
              <w:pStyle w:val="Table"/>
              <w:keepLines w:val="0"/>
              <w:snapToGrid w:val="0"/>
              <w:spacing w:before="0" w:after="0"/>
              <w:rPr>
                <w:rFonts w:ascii="Times New Roman" w:hAnsi="Times New Roman" w:cs="Times New Roman"/>
                <w:b/>
                <w:bCs/>
                <w:color w:val="000000"/>
                <w:sz w:val="22"/>
                <w:szCs w:val="22"/>
                <w:lang w:val="cs-CZ"/>
              </w:rPr>
            </w:pPr>
          </w:p>
        </w:tc>
      </w:tr>
      <w:tr w:rsidR="00EA5993" w:rsidRPr="00F25A60" w14:paraId="3C067AF0" w14:textId="77777777" w:rsidTr="00EB4FF7">
        <w:trPr>
          <w:cantSplit/>
        </w:trPr>
        <w:tc>
          <w:tcPr>
            <w:tcW w:w="3794" w:type="dxa"/>
            <w:tcBorders>
              <w:left w:val="single" w:sz="4" w:space="0" w:color="000000"/>
            </w:tcBorders>
          </w:tcPr>
          <w:p w14:paraId="683F0328"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Velká odpověď n (%)</w:t>
            </w:r>
          </w:p>
        </w:tc>
        <w:tc>
          <w:tcPr>
            <w:tcW w:w="2693" w:type="dxa"/>
          </w:tcPr>
          <w:p w14:paraId="5469161B" w14:textId="77777777" w:rsidR="00EA5993" w:rsidRPr="00F25A60" w:rsidRDefault="00EA5993" w:rsidP="0048111F">
            <w:pPr>
              <w:pStyle w:val="Table"/>
              <w:keepLines w:val="0"/>
              <w:snapToGrid w:val="0"/>
              <w:spacing w:before="0" w:after="0"/>
              <w:jc w:val="center"/>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490 (88,6</w:t>
            </w:r>
            <w:r w:rsidR="004B270C" w:rsidRPr="00F25A60">
              <w:rPr>
                <w:rFonts w:ascii="Times New Roman" w:hAnsi="Times New Roman" w:cs="Times New Roman"/>
                <w:color w:val="000000"/>
                <w:sz w:val="22"/>
                <w:szCs w:val="22"/>
                <w:lang w:val="cs-CZ"/>
              </w:rPr>
              <w:t> </w:t>
            </w:r>
            <w:r w:rsidRPr="00F25A60">
              <w:rPr>
                <w:rFonts w:ascii="Times New Roman" w:hAnsi="Times New Roman" w:cs="Times New Roman"/>
                <w:color w:val="000000"/>
                <w:sz w:val="22"/>
                <w:szCs w:val="22"/>
                <w:lang w:val="cs-CZ"/>
              </w:rPr>
              <w:t>%)*</w:t>
            </w:r>
          </w:p>
        </w:tc>
        <w:tc>
          <w:tcPr>
            <w:tcW w:w="2758" w:type="dxa"/>
            <w:tcBorders>
              <w:right w:val="single" w:sz="4" w:space="0" w:color="000000"/>
            </w:tcBorders>
          </w:tcPr>
          <w:p w14:paraId="5E81FE52" w14:textId="77777777" w:rsidR="00EA5993" w:rsidRPr="00F25A60" w:rsidRDefault="00EA5993" w:rsidP="0048111F">
            <w:pPr>
              <w:pStyle w:val="Table"/>
              <w:keepLines w:val="0"/>
              <w:snapToGrid w:val="0"/>
              <w:spacing w:before="0" w:after="0"/>
              <w:jc w:val="center"/>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129 (23,3</w:t>
            </w:r>
            <w:r w:rsidR="004B270C" w:rsidRPr="00F25A60">
              <w:rPr>
                <w:rFonts w:ascii="Times New Roman" w:hAnsi="Times New Roman" w:cs="Times New Roman"/>
                <w:color w:val="000000"/>
                <w:sz w:val="22"/>
                <w:szCs w:val="22"/>
                <w:lang w:val="cs-CZ"/>
              </w:rPr>
              <w:t> </w:t>
            </w:r>
            <w:r w:rsidRPr="00F25A60">
              <w:rPr>
                <w:rFonts w:ascii="Times New Roman" w:hAnsi="Times New Roman" w:cs="Times New Roman"/>
                <w:color w:val="000000"/>
                <w:sz w:val="22"/>
                <w:szCs w:val="22"/>
                <w:lang w:val="cs-CZ"/>
              </w:rPr>
              <w:t>%)*</w:t>
            </w:r>
          </w:p>
        </w:tc>
      </w:tr>
      <w:tr w:rsidR="00EA5993" w:rsidRPr="00F25A60" w14:paraId="4DD2A860" w14:textId="77777777" w:rsidTr="00EB4FF7">
        <w:trPr>
          <w:cantSplit/>
        </w:trPr>
        <w:tc>
          <w:tcPr>
            <w:tcW w:w="3794" w:type="dxa"/>
            <w:tcBorders>
              <w:left w:val="single" w:sz="4" w:space="0" w:color="000000"/>
            </w:tcBorders>
          </w:tcPr>
          <w:p w14:paraId="5FA71949"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ab/>
              <w:t>[95% CI]</w:t>
            </w:r>
          </w:p>
        </w:tc>
        <w:tc>
          <w:tcPr>
            <w:tcW w:w="2693" w:type="dxa"/>
          </w:tcPr>
          <w:p w14:paraId="2881E607" w14:textId="77777777" w:rsidR="00EA5993" w:rsidRPr="00F25A60" w:rsidRDefault="00EA5993" w:rsidP="0048111F">
            <w:pPr>
              <w:pStyle w:val="Table"/>
              <w:keepLines w:val="0"/>
              <w:snapToGrid w:val="0"/>
              <w:spacing w:before="0" w:after="0"/>
              <w:jc w:val="center"/>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[85,7%, 91,1</w:t>
            </w:r>
            <w:r w:rsidR="004B270C" w:rsidRPr="00F25A60">
              <w:rPr>
                <w:rFonts w:ascii="Times New Roman" w:hAnsi="Times New Roman" w:cs="Times New Roman"/>
                <w:color w:val="000000"/>
                <w:sz w:val="22"/>
                <w:szCs w:val="22"/>
                <w:lang w:val="cs-CZ"/>
              </w:rPr>
              <w:t> </w:t>
            </w:r>
            <w:r w:rsidRPr="00F25A60">
              <w:rPr>
                <w:rFonts w:ascii="Times New Roman" w:hAnsi="Times New Roman" w:cs="Times New Roman"/>
                <w:color w:val="000000"/>
                <w:sz w:val="22"/>
                <w:szCs w:val="22"/>
                <w:lang w:val="cs-CZ"/>
              </w:rPr>
              <w:t>%]</w:t>
            </w:r>
          </w:p>
        </w:tc>
        <w:tc>
          <w:tcPr>
            <w:tcW w:w="2758" w:type="dxa"/>
            <w:tcBorders>
              <w:right w:val="single" w:sz="4" w:space="0" w:color="000000"/>
            </w:tcBorders>
          </w:tcPr>
          <w:p w14:paraId="1A627296" w14:textId="77777777" w:rsidR="00EA5993" w:rsidRPr="00F25A60" w:rsidRDefault="00EA5993" w:rsidP="0048111F">
            <w:pPr>
              <w:pStyle w:val="Table"/>
              <w:keepLines w:val="0"/>
              <w:snapToGrid w:val="0"/>
              <w:spacing w:before="0" w:after="0"/>
              <w:jc w:val="center"/>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[19,9%, 27,1</w:t>
            </w:r>
            <w:r w:rsidR="004B270C" w:rsidRPr="00F25A60">
              <w:rPr>
                <w:rFonts w:ascii="Times New Roman" w:hAnsi="Times New Roman" w:cs="Times New Roman"/>
                <w:color w:val="000000"/>
                <w:sz w:val="22"/>
                <w:szCs w:val="22"/>
                <w:lang w:val="cs-CZ"/>
              </w:rPr>
              <w:t> </w:t>
            </w:r>
            <w:r w:rsidRPr="00F25A60">
              <w:rPr>
                <w:rFonts w:ascii="Times New Roman" w:hAnsi="Times New Roman" w:cs="Times New Roman"/>
                <w:color w:val="000000"/>
                <w:sz w:val="22"/>
                <w:szCs w:val="22"/>
                <w:lang w:val="cs-CZ"/>
              </w:rPr>
              <w:t>%]</w:t>
            </w:r>
          </w:p>
        </w:tc>
      </w:tr>
      <w:tr w:rsidR="00EA5993" w:rsidRPr="00F25A60" w14:paraId="4AFF660D" w14:textId="77777777" w:rsidTr="00EB4FF7">
        <w:trPr>
          <w:cantSplit/>
        </w:trPr>
        <w:tc>
          <w:tcPr>
            <w:tcW w:w="3794" w:type="dxa"/>
            <w:tcBorders>
              <w:left w:val="single" w:sz="4" w:space="0" w:color="000000"/>
            </w:tcBorders>
          </w:tcPr>
          <w:p w14:paraId="25925A72"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ab/>
              <w:t>Kompletní CyR n (%)</w:t>
            </w:r>
          </w:p>
        </w:tc>
        <w:tc>
          <w:tcPr>
            <w:tcW w:w="2693" w:type="dxa"/>
          </w:tcPr>
          <w:p w14:paraId="7AA48CA5" w14:textId="77777777" w:rsidR="00EA5993" w:rsidRPr="00F25A60" w:rsidRDefault="00EA5993" w:rsidP="0048111F">
            <w:pPr>
              <w:pStyle w:val="Table"/>
              <w:keepLines w:val="0"/>
              <w:snapToGrid w:val="0"/>
              <w:spacing w:before="0" w:after="0"/>
              <w:jc w:val="center"/>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456 (82,5</w:t>
            </w:r>
            <w:r w:rsidR="004B270C" w:rsidRPr="00F25A60">
              <w:rPr>
                <w:rFonts w:ascii="Times New Roman" w:hAnsi="Times New Roman" w:cs="Times New Roman"/>
                <w:color w:val="000000"/>
                <w:sz w:val="22"/>
                <w:szCs w:val="22"/>
                <w:lang w:val="cs-CZ"/>
              </w:rPr>
              <w:t> </w:t>
            </w:r>
            <w:r w:rsidRPr="00F25A60">
              <w:rPr>
                <w:rFonts w:ascii="Times New Roman" w:hAnsi="Times New Roman" w:cs="Times New Roman"/>
                <w:color w:val="000000"/>
                <w:sz w:val="22"/>
                <w:szCs w:val="22"/>
                <w:lang w:val="cs-CZ"/>
              </w:rPr>
              <w:t>%)*</w:t>
            </w:r>
          </w:p>
        </w:tc>
        <w:tc>
          <w:tcPr>
            <w:tcW w:w="2758" w:type="dxa"/>
            <w:tcBorders>
              <w:right w:val="single" w:sz="4" w:space="0" w:color="000000"/>
            </w:tcBorders>
          </w:tcPr>
          <w:p w14:paraId="15B48FDA" w14:textId="77777777" w:rsidR="00EA5993" w:rsidRPr="00F25A60" w:rsidRDefault="00EA5993" w:rsidP="0048111F">
            <w:pPr>
              <w:pStyle w:val="Table"/>
              <w:keepLines w:val="0"/>
              <w:snapToGrid w:val="0"/>
              <w:spacing w:before="0" w:after="0"/>
              <w:jc w:val="center"/>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64 (11,6</w:t>
            </w:r>
            <w:r w:rsidR="004B270C" w:rsidRPr="00F25A60">
              <w:rPr>
                <w:rFonts w:ascii="Times New Roman" w:hAnsi="Times New Roman" w:cs="Times New Roman"/>
                <w:color w:val="000000"/>
                <w:sz w:val="22"/>
                <w:szCs w:val="22"/>
                <w:lang w:val="cs-CZ"/>
              </w:rPr>
              <w:t> </w:t>
            </w:r>
            <w:r w:rsidRPr="00F25A60">
              <w:rPr>
                <w:rFonts w:ascii="Times New Roman" w:hAnsi="Times New Roman" w:cs="Times New Roman"/>
                <w:color w:val="000000"/>
                <w:sz w:val="22"/>
                <w:szCs w:val="22"/>
                <w:lang w:val="cs-CZ"/>
              </w:rPr>
              <w:t>%)*</w:t>
            </w:r>
          </w:p>
        </w:tc>
      </w:tr>
      <w:tr w:rsidR="00EA5993" w:rsidRPr="00F25A60" w14:paraId="4B07047C" w14:textId="77777777" w:rsidTr="00EB4FF7">
        <w:trPr>
          <w:cantSplit/>
        </w:trPr>
        <w:tc>
          <w:tcPr>
            <w:tcW w:w="3794" w:type="dxa"/>
            <w:tcBorders>
              <w:left w:val="single" w:sz="4" w:space="0" w:color="000000"/>
            </w:tcBorders>
          </w:tcPr>
          <w:p w14:paraId="42FAE1FB"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ab/>
              <w:t>Parciální CyR n (%)</w:t>
            </w:r>
          </w:p>
        </w:tc>
        <w:tc>
          <w:tcPr>
            <w:tcW w:w="2693" w:type="dxa"/>
          </w:tcPr>
          <w:p w14:paraId="2DBC2B2F" w14:textId="77777777" w:rsidR="00EA5993" w:rsidRPr="00F25A60" w:rsidRDefault="00EA5993" w:rsidP="0048111F">
            <w:pPr>
              <w:pStyle w:val="Table"/>
              <w:keepLines w:val="0"/>
              <w:snapToGrid w:val="0"/>
              <w:spacing w:before="0" w:after="0"/>
              <w:jc w:val="center"/>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34 (6,1</w:t>
            </w:r>
            <w:r w:rsidR="004B270C" w:rsidRPr="00F25A60">
              <w:rPr>
                <w:rFonts w:ascii="Times New Roman" w:hAnsi="Times New Roman" w:cs="Times New Roman"/>
                <w:color w:val="000000"/>
                <w:sz w:val="22"/>
                <w:szCs w:val="22"/>
                <w:lang w:val="cs-CZ"/>
              </w:rPr>
              <w:t> </w:t>
            </w:r>
            <w:r w:rsidRPr="00F25A60">
              <w:rPr>
                <w:rFonts w:ascii="Times New Roman" w:hAnsi="Times New Roman" w:cs="Times New Roman"/>
                <w:color w:val="000000"/>
                <w:sz w:val="22"/>
                <w:szCs w:val="22"/>
                <w:lang w:val="cs-CZ"/>
              </w:rPr>
              <w:t>%)</w:t>
            </w:r>
          </w:p>
        </w:tc>
        <w:tc>
          <w:tcPr>
            <w:tcW w:w="2758" w:type="dxa"/>
            <w:tcBorders>
              <w:right w:val="single" w:sz="4" w:space="0" w:color="000000"/>
            </w:tcBorders>
          </w:tcPr>
          <w:p w14:paraId="26D16B1D" w14:textId="77777777" w:rsidR="00EA5993" w:rsidRPr="00F25A60" w:rsidRDefault="00EA5993" w:rsidP="0048111F">
            <w:pPr>
              <w:pStyle w:val="Table"/>
              <w:keepLines w:val="0"/>
              <w:snapToGrid w:val="0"/>
              <w:spacing w:before="0" w:after="0"/>
              <w:jc w:val="center"/>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65 (11,8</w:t>
            </w:r>
            <w:r w:rsidR="004B270C" w:rsidRPr="00F25A60">
              <w:rPr>
                <w:rFonts w:ascii="Times New Roman" w:hAnsi="Times New Roman" w:cs="Times New Roman"/>
                <w:color w:val="000000"/>
                <w:sz w:val="22"/>
                <w:szCs w:val="22"/>
                <w:lang w:val="cs-CZ"/>
              </w:rPr>
              <w:t> </w:t>
            </w:r>
            <w:r w:rsidRPr="00F25A60">
              <w:rPr>
                <w:rFonts w:ascii="Times New Roman" w:hAnsi="Times New Roman" w:cs="Times New Roman"/>
                <w:color w:val="000000"/>
                <w:sz w:val="22"/>
                <w:szCs w:val="22"/>
                <w:lang w:val="cs-CZ"/>
              </w:rPr>
              <w:t>%)</w:t>
            </w:r>
          </w:p>
        </w:tc>
      </w:tr>
      <w:tr w:rsidR="00EA5993" w:rsidRPr="00F25A60" w14:paraId="21066A9C" w14:textId="77777777" w:rsidTr="00EB4FF7">
        <w:trPr>
          <w:cantSplit/>
        </w:trPr>
        <w:tc>
          <w:tcPr>
            <w:tcW w:w="3794" w:type="dxa"/>
            <w:tcBorders>
              <w:left w:val="single" w:sz="4" w:space="0" w:color="000000"/>
            </w:tcBorders>
          </w:tcPr>
          <w:p w14:paraId="6743F7CA"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c>
          <w:tcPr>
            <w:tcW w:w="2693" w:type="dxa"/>
          </w:tcPr>
          <w:p w14:paraId="3585EC0E"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c>
          <w:tcPr>
            <w:tcW w:w="2758" w:type="dxa"/>
            <w:tcBorders>
              <w:right w:val="single" w:sz="4" w:space="0" w:color="000000"/>
            </w:tcBorders>
          </w:tcPr>
          <w:p w14:paraId="6DBDAF99"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r>
      <w:tr w:rsidR="00EA5993" w:rsidRPr="00F25A60" w14:paraId="63679CC6" w14:textId="77777777" w:rsidTr="00EB4FF7">
        <w:trPr>
          <w:cantSplit/>
        </w:trPr>
        <w:tc>
          <w:tcPr>
            <w:tcW w:w="3794" w:type="dxa"/>
            <w:tcBorders>
              <w:left w:val="single" w:sz="4" w:space="0" w:color="000000"/>
            </w:tcBorders>
          </w:tcPr>
          <w:p w14:paraId="0E34970D"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b/>
                <w:bCs/>
                <w:color w:val="000000"/>
                <w:sz w:val="22"/>
                <w:szCs w:val="22"/>
                <w:lang w:val="cs-CZ"/>
              </w:rPr>
              <w:t>Molekulární odpověď</w:t>
            </w:r>
            <w:r w:rsidRPr="00F25A60">
              <w:rPr>
                <w:rFonts w:ascii="Times New Roman" w:hAnsi="Times New Roman" w:cs="Times New Roman"/>
                <w:color w:val="000000"/>
                <w:sz w:val="22"/>
                <w:szCs w:val="22"/>
                <w:lang w:val="cs-CZ"/>
              </w:rPr>
              <w:t>**</w:t>
            </w:r>
          </w:p>
        </w:tc>
        <w:tc>
          <w:tcPr>
            <w:tcW w:w="2693" w:type="dxa"/>
          </w:tcPr>
          <w:p w14:paraId="12937FED"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c>
          <w:tcPr>
            <w:tcW w:w="2758" w:type="dxa"/>
            <w:tcBorders>
              <w:right w:val="single" w:sz="4" w:space="0" w:color="000000"/>
            </w:tcBorders>
          </w:tcPr>
          <w:p w14:paraId="3F9F7566"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r>
      <w:tr w:rsidR="00EA5993" w:rsidRPr="00F25A60" w14:paraId="6C525399" w14:textId="77777777" w:rsidTr="00EB4FF7">
        <w:trPr>
          <w:cantSplit/>
        </w:trPr>
        <w:tc>
          <w:tcPr>
            <w:tcW w:w="3794" w:type="dxa"/>
            <w:tcBorders>
              <w:left w:val="single" w:sz="4" w:space="0" w:color="000000"/>
            </w:tcBorders>
          </w:tcPr>
          <w:p w14:paraId="18F64627"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Velká odpověď ve 12. měsíci (%)</w:t>
            </w:r>
          </w:p>
        </w:tc>
        <w:tc>
          <w:tcPr>
            <w:tcW w:w="2693" w:type="dxa"/>
          </w:tcPr>
          <w:p w14:paraId="3AEE0110" w14:textId="77777777" w:rsidR="00EA5993" w:rsidRPr="00F25A60" w:rsidRDefault="00EA5993" w:rsidP="0048111F">
            <w:pPr>
              <w:pStyle w:val="Table"/>
              <w:keepLines w:val="0"/>
              <w:snapToGrid w:val="0"/>
              <w:spacing w:before="0" w:after="0"/>
              <w:jc w:val="center"/>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153/305=50,2</w:t>
            </w:r>
            <w:r w:rsidR="004B270C" w:rsidRPr="00F25A60">
              <w:rPr>
                <w:rFonts w:ascii="Times New Roman" w:hAnsi="Times New Roman" w:cs="Times New Roman"/>
                <w:color w:val="000000"/>
                <w:sz w:val="22"/>
                <w:szCs w:val="22"/>
                <w:lang w:val="cs-CZ"/>
              </w:rPr>
              <w:t> </w:t>
            </w:r>
            <w:r w:rsidRPr="00F25A60">
              <w:rPr>
                <w:rFonts w:ascii="Times New Roman" w:hAnsi="Times New Roman" w:cs="Times New Roman"/>
                <w:color w:val="000000"/>
                <w:sz w:val="22"/>
                <w:szCs w:val="22"/>
                <w:lang w:val="cs-CZ"/>
              </w:rPr>
              <w:t>%</w:t>
            </w:r>
          </w:p>
        </w:tc>
        <w:tc>
          <w:tcPr>
            <w:tcW w:w="2758" w:type="dxa"/>
            <w:tcBorders>
              <w:right w:val="single" w:sz="4" w:space="0" w:color="000000"/>
            </w:tcBorders>
          </w:tcPr>
          <w:p w14:paraId="57AB93CF" w14:textId="77777777" w:rsidR="00EA5993" w:rsidRPr="00F25A60" w:rsidRDefault="00EA5993" w:rsidP="0048111F">
            <w:pPr>
              <w:pStyle w:val="Table"/>
              <w:keepLines w:val="0"/>
              <w:snapToGrid w:val="0"/>
              <w:spacing w:before="0" w:after="0"/>
              <w:jc w:val="center"/>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8/83=9,6</w:t>
            </w:r>
            <w:r w:rsidR="004B270C" w:rsidRPr="00F25A60">
              <w:rPr>
                <w:rFonts w:ascii="Times New Roman" w:hAnsi="Times New Roman" w:cs="Times New Roman"/>
                <w:color w:val="000000"/>
                <w:sz w:val="22"/>
                <w:szCs w:val="22"/>
                <w:lang w:val="cs-CZ"/>
              </w:rPr>
              <w:t> </w:t>
            </w:r>
            <w:r w:rsidRPr="00F25A60">
              <w:rPr>
                <w:rFonts w:ascii="Times New Roman" w:hAnsi="Times New Roman" w:cs="Times New Roman"/>
                <w:color w:val="000000"/>
                <w:sz w:val="22"/>
                <w:szCs w:val="22"/>
                <w:lang w:val="cs-CZ"/>
              </w:rPr>
              <w:t>%</w:t>
            </w:r>
          </w:p>
        </w:tc>
      </w:tr>
      <w:tr w:rsidR="00EA5993" w:rsidRPr="00F25A60" w14:paraId="19C88838" w14:textId="77777777" w:rsidTr="00EB4FF7">
        <w:trPr>
          <w:cantSplit/>
        </w:trPr>
        <w:tc>
          <w:tcPr>
            <w:tcW w:w="3794" w:type="dxa"/>
            <w:tcBorders>
              <w:left w:val="single" w:sz="4" w:space="0" w:color="000000"/>
            </w:tcBorders>
          </w:tcPr>
          <w:p w14:paraId="2D5E07E6"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Velká odpověď ve 24. měsíci (%)</w:t>
            </w:r>
          </w:p>
          <w:p w14:paraId="0B61CB04" w14:textId="77777777" w:rsidR="00EA5993" w:rsidRPr="00F25A60" w:rsidRDefault="00EA5993" w:rsidP="0048111F">
            <w:pPr>
              <w:pStyle w:val="Table"/>
              <w:keepLines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Velká odpověď v 84. měsíci (%)</w:t>
            </w:r>
          </w:p>
        </w:tc>
        <w:tc>
          <w:tcPr>
            <w:tcW w:w="2693" w:type="dxa"/>
          </w:tcPr>
          <w:p w14:paraId="41B5FE5E" w14:textId="77777777" w:rsidR="00EA5993" w:rsidRPr="00F25A60" w:rsidRDefault="00EA5993" w:rsidP="0048111F">
            <w:pPr>
              <w:pStyle w:val="Table"/>
              <w:keepLines w:val="0"/>
              <w:snapToGrid w:val="0"/>
              <w:spacing w:before="0" w:after="0"/>
              <w:jc w:val="center"/>
              <w:rPr>
                <w:lang w:val="cs-CZ"/>
              </w:rPr>
            </w:pPr>
            <w:r w:rsidRPr="00F25A60">
              <w:rPr>
                <w:rFonts w:ascii="Times New Roman" w:hAnsi="Times New Roman" w:cs="Times New Roman"/>
                <w:color w:val="000000"/>
                <w:sz w:val="22"/>
                <w:szCs w:val="22"/>
                <w:lang w:val="cs-CZ"/>
              </w:rPr>
              <w:t>73/104=70,2</w:t>
            </w:r>
            <w:r w:rsidR="004B270C" w:rsidRPr="00F25A60">
              <w:rPr>
                <w:rFonts w:ascii="Times New Roman" w:hAnsi="Times New Roman" w:cs="Times New Roman"/>
                <w:color w:val="000000"/>
                <w:sz w:val="22"/>
                <w:szCs w:val="22"/>
                <w:lang w:val="cs-CZ"/>
              </w:rPr>
              <w:t> </w:t>
            </w:r>
            <w:r w:rsidRPr="00F25A60">
              <w:rPr>
                <w:rFonts w:ascii="Times New Roman" w:hAnsi="Times New Roman" w:cs="Times New Roman"/>
                <w:color w:val="000000"/>
                <w:sz w:val="22"/>
                <w:szCs w:val="22"/>
                <w:lang w:val="cs-CZ"/>
              </w:rPr>
              <w:t>%</w:t>
            </w:r>
          </w:p>
          <w:p w14:paraId="7DEC328A" w14:textId="77777777" w:rsidR="00EA5993" w:rsidRPr="00F25A60" w:rsidRDefault="00EA5993" w:rsidP="0048111F">
            <w:pPr>
              <w:pStyle w:val="Table"/>
              <w:keepLines w:val="0"/>
              <w:spacing w:before="0" w:after="0"/>
              <w:jc w:val="center"/>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102/116=87,9</w:t>
            </w:r>
            <w:r w:rsidR="004B270C" w:rsidRPr="00F25A60">
              <w:rPr>
                <w:rFonts w:ascii="Times New Roman" w:hAnsi="Times New Roman" w:cs="Times New Roman"/>
                <w:color w:val="000000"/>
                <w:sz w:val="22"/>
                <w:szCs w:val="22"/>
                <w:lang w:val="cs-CZ"/>
              </w:rPr>
              <w:t> </w:t>
            </w:r>
            <w:r w:rsidRPr="00F25A60">
              <w:rPr>
                <w:rFonts w:ascii="Times New Roman" w:hAnsi="Times New Roman" w:cs="Times New Roman"/>
                <w:color w:val="000000"/>
                <w:sz w:val="22"/>
                <w:szCs w:val="22"/>
                <w:lang w:val="cs-CZ"/>
              </w:rPr>
              <w:t>%</w:t>
            </w:r>
          </w:p>
        </w:tc>
        <w:tc>
          <w:tcPr>
            <w:tcW w:w="2758" w:type="dxa"/>
            <w:tcBorders>
              <w:right w:val="single" w:sz="4" w:space="0" w:color="000000"/>
            </w:tcBorders>
          </w:tcPr>
          <w:p w14:paraId="695BC287" w14:textId="77777777" w:rsidR="00EA5993" w:rsidRPr="00F25A60" w:rsidRDefault="00EA5993" w:rsidP="0048111F">
            <w:pPr>
              <w:pStyle w:val="Table"/>
              <w:keepLines w:val="0"/>
              <w:snapToGrid w:val="0"/>
              <w:spacing w:before="0" w:after="0"/>
              <w:jc w:val="center"/>
              <w:rPr>
                <w:lang w:val="cs-CZ"/>
              </w:rPr>
            </w:pPr>
            <w:r w:rsidRPr="00F25A60">
              <w:rPr>
                <w:rFonts w:ascii="Times New Roman" w:hAnsi="Times New Roman" w:cs="Times New Roman"/>
                <w:color w:val="000000"/>
                <w:sz w:val="22"/>
                <w:szCs w:val="22"/>
                <w:lang w:val="cs-CZ"/>
              </w:rPr>
              <w:t>3/12=25</w:t>
            </w:r>
            <w:r w:rsidR="004B270C" w:rsidRPr="00F25A60">
              <w:rPr>
                <w:rFonts w:ascii="Times New Roman" w:hAnsi="Times New Roman" w:cs="Times New Roman"/>
                <w:color w:val="000000"/>
                <w:sz w:val="22"/>
                <w:szCs w:val="22"/>
                <w:lang w:val="cs-CZ"/>
              </w:rPr>
              <w:t> </w:t>
            </w:r>
            <w:r w:rsidRPr="00F25A60">
              <w:rPr>
                <w:rFonts w:ascii="Times New Roman" w:hAnsi="Times New Roman" w:cs="Times New Roman"/>
                <w:color w:val="000000"/>
                <w:sz w:val="22"/>
                <w:szCs w:val="22"/>
                <w:lang w:val="cs-CZ"/>
              </w:rPr>
              <w:t>%</w:t>
            </w:r>
          </w:p>
          <w:p w14:paraId="0042B28D" w14:textId="77777777" w:rsidR="00EA5993" w:rsidRPr="00F25A60" w:rsidRDefault="00EA5993" w:rsidP="0048111F">
            <w:pPr>
              <w:pStyle w:val="Table"/>
              <w:keepLines w:val="0"/>
              <w:spacing w:before="0" w:after="0"/>
              <w:jc w:val="center"/>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3/4=75</w:t>
            </w:r>
            <w:r w:rsidR="004B270C" w:rsidRPr="00F25A60">
              <w:rPr>
                <w:rFonts w:ascii="Times New Roman" w:hAnsi="Times New Roman" w:cs="Times New Roman"/>
                <w:color w:val="000000"/>
                <w:sz w:val="22"/>
                <w:szCs w:val="22"/>
                <w:lang w:val="cs-CZ"/>
              </w:rPr>
              <w:t> </w:t>
            </w:r>
            <w:r w:rsidRPr="00F25A60">
              <w:rPr>
                <w:rFonts w:ascii="Times New Roman" w:hAnsi="Times New Roman" w:cs="Times New Roman"/>
                <w:color w:val="000000"/>
                <w:sz w:val="22"/>
                <w:szCs w:val="22"/>
                <w:lang w:val="cs-CZ"/>
              </w:rPr>
              <w:t>%</w:t>
            </w:r>
          </w:p>
        </w:tc>
      </w:tr>
      <w:tr w:rsidR="00EA5993" w:rsidRPr="00F25A60" w14:paraId="4249D55E" w14:textId="77777777" w:rsidTr="00EB4FF7">
        <w:trPr>
          <w:cantSplit/>
        </w:trPr>
        <w:tc>
          <w:tcPr>
            <w:tcW w:w="9245" w:type="dxa"/>
            <w:gridSpan w:val="3"/>
            <w:tcBorders>
              <w:top w:val="single" w:sz="4" w:space="0" w:color="000000"/>
              <w:left w:val="single" w:sz="4" w:space="0" w:color="000000"/>
              <w:bottom w:val="single" w:sz="4" w:space="0" w:color="000000"/>
              <w:right w:val="single" w:sz="4" w:space="0" w:color="000000"/>
            </w:tcBorders>
          </w:tcPr>
          <w:p w14:paraId="3D1E7A47" w14:textId="77777777" w:rsidR="00EA5993" w:rsidRPr="00D567F2" w:rsidRDefault="00EA5993" w:rsidP="0048111F">
            <w:pPr>
              <w:pStyle w:val="Table"/>
              <w:keepNext w:val="0"/>
              <w:keepLines w:val="0"/>
              <w:snapToGrid w:val="0"/>
              <w:spacing w:before="0" w:after="0"/>
              <w:rPr>
                <w:rFonts w:ascii="Times New Roman" w:hAnsi="Times New Roman" w:cs="Times New Roman"/>
                <w:color w:val="000000"/>
                <w:lang w:val="cs-CZ"/>
                <w:rPrChange w:id="184" w:author="Author">
                  <w:rPr>
                    <w:rFonts w:ascii="Times New Roman" w:hAnsi="Times New Roman" w:cs="Times New Roman"/>
                    <w:color w:val="000000"/>
                    <w:sz w:val="22"/>
                    <w:szCs w:val="22"/>
                    <w:lang w:val="cs-CZ"/>
                  </w:rPr>
                </w:rPrChange>
              </w:rPr>
            </w:pPr>
            <w:r w:rsidRPr="00D567F2">
              <w:rPr>
                <w:rFonts w:ascii="Times New Roman" w:hAnsi="Times New Roman" w:cs="Times New Roman"/>
                <w:color w:val="000000"/>
                <w:lang w:val="cs-CZ"/>
                <w:rPrChange w:id="185" w:author="Author">
                  <w:rPr>
                    <w:rFonts w:ascii="Times New Roman" w:hAnsi="Times New Roman" w:cs="Times New Roman"/>
                    <w:color w:val="000000"/>
                    <w:sz w:val="22"/>
                    <w:szCs w:val="22"/>
                    <w:lang w:val="cs-CZ"/>
                  </w:rPr>
                </w:rPrChange>
              </w:rPr>
              <w:t>* p&lt;0,001, Fischerův test významnosti</w:t>
            </w:r>
          </w:p>
          <w:p w14:paraId="5545C4E6" w14:textId="77777777" w:rsidR="00EA5993" w:rsidRPr="00D567F2" w:rsidRDefault="00EA5993" w:rsidP="0048111F">
            <w:pPr>
              <w:pStyle w:val="Table"/>
              <w:keepNext w:val="0"/>
              <w:keepLines w:val="0"/>
              <w:spacing w:before="0" w:after="0"/>
              <w:rPr>
                <w:rFonts w:ascii="Times New Roman" w:hAnsi="Times New Roman" w:cs="Times New Roman"/>
                <w:b/>
                <w:bCs/>
                <w:color w:val="000000"/>
                <w:lang w:val="cs-CZ"/>
                <w:rPrChange w:id="186" w:author="Author">
                  <w:rPr>
                    <w:rFonts w:ascii="Times New Roman" w:hAnsi="Times New Roman" w:cs="Times New Roman"/>
                    <w:b/>
                    <w:bCs/>
                    <w:color w:val="000000"/>
                    <w:sz w:val="22"/>
                    <w:szCs w:val="22"/>
                    <w:lang w:val="cs-CZ"/>
                  </w:rPr>
                </w:rPrChange>
              </w:rPr>
            </w:pPr>
            <w:r w:rsidRPr="00D567F2">
              <w:rPr>
                <w:rFonts w:ascii="Times New Roman" w:hAnsi="Times New Roman" w:cs="Times New Roman"/>
                <w:color w:val="000000"/>
                <w:lang w:val="cs-CZ"/>
                <w:rPrChange w:id="187" w:author="Author">
                  <w:rPr>
                    <w:rFonts w:ascii="Times New Roman" w:hAnsi="Times New Roman" w:cs="Times New Roman"/>
                    <w:color w:val="000000"/>
                    <w:sz w:val="22"/>
                    <w:szCs w:val="22"/>
                    <w:lang w:val="cs-CZ"/>
                  </w:rPr>
                </w:rPrChange>
              </w:rPr>
              <w:t>** procenta molekulární odpovědi jsou založená na dostupných vzorcích</w:t>
            </w:r>
          </w:p>
          <w:p w14:paraId="709F8611" w14:textId="77777777" w:rsidR="00EA5993" w:rsidRPr="00D567F2" w:rsidRDefault="00EA5993" w:rsidP="0048111F">
            <w:pPr>
              <w:pStyle w:val="Table"/>
              <w:keepNext w:val="0"/>
              <w:keepLines w:val="0"/>
              <w:spacing w:before="0" w:after="0"/>
              <w:rPr>
                <w:rFonts w:ascii="Times New Roman" w:hAnsi="Times New Roman" w:cs="Times New Roman"/>
                <w:b/>
                <w:bCs/>
                <w:color w:val="000000"/>
                <w:lang w:val="cs-CZ"/>
                <w:rPrChange w:id="188" w:author="Author">
                  <w:rPr>
                    <w:rFonts w:ascii="Times New Roman" w:hAnsi="Times New Roman" w:cs="Times New Roman"/>
                    <w:b/>
                    <w:bCs/>
                    <w:color w:val="000000"/>
                    <w:sz w:val="22"/>
                    <w:szCs w:val="22"/>
                    <w:lang w:val="cs-CZ"/>
                  </w:rPr>
                </w:rPrChange>
              </w:rPr>
            </w:pPr>
            <w:r w:rsidRPr="00D567F2">
              <w:rPr>
                <w:rFonts w:ascii="Times New Roman" w:hAnsi="Times New Roman" w:cs="Times New Roman"/>
                <w:b/>
                <w:bCs/>
                <w:color w:val="000000"/>
                <w:lang w:val="cs-CZ"/>
                <w:rPrChange w:id="189" w:author="Author">
                  <w:rPr>
                    <w:rFonts w:ascii="Times New Roman" w:hAnsi="Times New Roman" w:cs="Times New Roman"/>
                    <w:b/>
                    <w:bCs/>
                    <w:color w:val="000000"/>
                    <w:sz w:val="22"/>
                    <w:szCs w:val="22"/>
                    <w:lang w:val="cs-CZ"/>
                  </w:rPr>
                </w:rPrChange>
              </w:rPr>
              <w:t xml:space="preserve">Kritéria hematologické odpovědi (všechny odpovědi byly potvrzeny po </w:t>
            </w:r>
            <w:r w:rsidRPr="00D567F2">
              <w:rPr>
                <w:rFonts w:ascii="Symbol" w:hAnsi="Symbol"/>
                <w:b/>
                <w:bCs/>
                <w:color w:val="000000"/>
                <w:lang w:val="cs-CZ"/>
                <w:rPrChange w:id="190" w:author="Author">
                  <w:rPr>
                    <w:rFonts w:ascii="Symbol" w:hAnsi="Symbol"/>
                    <w:b/>
                    <w:bCs/>
                    <w:color w:val="000000"/>
                    <w:sz w:val="22"/>
                    <w:szCs w:val="22"/>
                    <w:lang w:val="cs-CZ"/>
                  </w:rPr>
                </w:rPrChange>
              </w:rPr>
              <w:t></w:t>
            </w:r>
            <w:r w:rsidRPr="00D567F2">
              <w:rPr>
                <w:rFonts w:ascii="Times New Roman" w:hAnsi="Times New Roman" w:cs="Times New Roman"/>
                <w:b/>
                <w:bCs/>
                <w:color w:val="000000"/>
                <w:lang w:val="cs-CZ"/>
                <w:rPrChange w:id="191" w:author="Author">
                  <w:rPr>
                    <w:rFonts w:ascii="Times New Roman" w:hAnsi="Times New Roman" w:cs="Times New Roman"/>
                    <w:b/>
                    <w:bCs/>
                    <w:color w:val="000000"/>
                    <w:sz w:val="22"/>
                    <w:szCs w:val="22"/>
                    <w:lang w:val="cs-CZ"/>
                  </w:rPr>
                </w:rPrChange>
              </w:rPr>
              <w:t> 4 týdnech):</w:t>
            </w:r>
          </w:p>
          <w:p w14:paraId="32E72433" w14:textId="77777777" w:rsidR="00EA5993" w:rsidRPr="00D567F2" w:rsidRDefault="00D82A16" w:rsidP="0048111F">
            <w:pPr>
              <w:pStyle w:val="Table"/>
              <w:keepNext w:val="0"/>
              <w:keepLines w:val="0"/>
              <w:spacing w:before="0" w:after="0"/>
              <w:rPr>
                <w:rFonts w:ascii="Times New Roman" w:hAnsi="Times New Roman" w:cs="Times New Roman"/>
                <w:color w:val="000000"/>
                <w:lang w:val="cs-CZ"/>
                <w:rPrChange w:id="192" w:author="Author">
                  <w:rPr>
                    <w:rFonts w:ascii="Times New Roman" w:hAnsi="Times New Roman" w:cs="Times New Roman"/>
                    <w:color w:val="000000"/>
                    <w:sz w:val="22"/>
                    <w:szCs w:val="22"/>
                    <w:lang w:val="cs-CZ"/>
                  </w:rPr>
                </w:rPrChange>
              </w:rPr>
            </w:pPr>
            <w:r w:rsidRPr="00D567F2">
              <w:rPr>
                <w:rFonts w:ascii="Times New Roman" w:hAnsi="Times New Roman" w:cs="Times New Roman"/>
                <w:color w:val="000000"/>
                <w:lang w:val="cs-CZ"/>
                <w:rPrChange w:id="193" w:author="Author">
                  <w:rPr>
                    <w:rFonts w:ascii="Times New Roman" w:hAnsi="Times New Roman" w:cs="Times New Roman"/>
                    <w:color w:val="000000"/>
                    <w:sz w:val="22"/>
                    <w:szCs w:val="22"/>
                    <w:lang w:val="cs-CZ"/>
                  </w:rPr>
                </w:rPrChange>
              </w:rPr>
              <w:t>Leukocyty</w:t>
            </w:r>
            <w:r w:rsidR="00EA5993" w:rsidRPr="00D567F2">
              <w:rPr>
                <w:rFonts w:ascii="Times New Roman" w:hAnsi="Times New Roman" w:cs="Times New Roman"/>
                <w:color w:val="000000"/>
                <w:lang w:val="cs-CZ"/>
                <w:rPrChange w:id="194" w:author="Author">
                  <w:rPr>
                    <w:rFonts w:ascii="Times New Roman" w:hAnsi="Times New Roman" w:cs="Times New Roman"/>
                    <w:color w:val="000000"/>
                    <w:sz w:val="22"/>
                    <w:szCs w:val="22"/>
                    <w:lang w:val="cs-CZ"/>
                  </w:rPr>
                </w:rPrChange>
              </w:rPr>
              <w:t xml:space="preserve"> &lt; 10 x 10</w:t>
            </w:r>
            <w:r w:rsidR="00EA5993" w:rsidRPr="00D567F2">
              <w:rPr>
                <w:rFonts w:ascii="Times New Roman" w:hAnsi="Times New Roman" w:cs="Times New Roman"/>
                <w:color w:val="000000"/>
                <w:vertAlign w:val="superscript"/>
                <w:lang w:val="cs-CZ"/>
                <w:rPrChange w:id="195" w:author="Author">
                  <w:rPr>
                    <w:rFonts w:ascii="Times New Roman" w:hAnsi="Times New Roman" w:cs="Times New Roman"/>
                    <w:color w:val="000000"/>
                    <w:sz w:val="22"/>
                    <w:szCs w:val="22"/>
                    <w:vertAlign w:val="superscript"/>
                    <w:lang w:val="cs-CZ"/>
                  </w:rPr>
                </w:rPrChange>
              </w:rPr>
              <w:t>9</w:t>
            </w:r>
            <w:r w:rsidR="00EA5993" w:rsidRPr="00D567F2">
              <w:rPr>
                <w:rFonts w:ascii="Times New Roman" w:hAnsi="Times New Roman" w:cs="Times New Roman"/>
                <w:color w:val="000000"/>
                <w:lang w:val="cs-CZ"/>
                <w:rPrChange w:id="196" w:author="Author">
                  <w:rPr>
                    <w:rFonts w:ascii="Times New Roman" w:hAnsi="Times New Roman" w:cs="Times New Roman"/>
                    <w:color w:val="000000"/>
                    <w:sz w:val="22"/>
                    <w:szCs w:val="22"/>
                    <w:lang w:val="cs-CZ"/>
                  </w:rPr>
                </w:rPrChange>
              </w:rPr>
              <w:t xml:space="preserve">/l, </w:t>
            </w:r>
            <w:r w:rsidRPr="00D567F2">
              <w:rPr>
                <w:rFonts w:ascii="Times New Roman" w:hAnsi="Times New Roman" w:cs="Times New Roman"/>
                <w:color w:val="000000"/>
                <w:lang w:val="cs-CZ"/>
                <w:rPrChange w:id="197" w:author="Author">
                  <w:rPr>
                    <w:rFonts w:ascii="Times New Roman" w:hAnsi="Times New Roman" w:cs="Times New Roman"/>
                    <w:color w:val="000000"/>
                    <w:sz w:val="22"/>
                    <w:szCs w:val="22"/>
                    <w:lang w:val="cs-CZ"/>
                  </w:rPr>
                </w:rPrChange>
              </w:rPr>
              <w:t>trombocyty</w:t>
            </w:r>
            <w:r w:rsidR="00EA5993" w:rsidRPr="00D567F2">
              <w:rPr>
                <w:rFonts w:ascii="Times New Roman" w:hAnsi="Times New Roman" w:cs="Times New Roman"/>
                <w:color w:val="000000"/>
                <w:lang w:val="cs-CZ"/>
                <w:rPrChange w:id="198" w:author="Author">
                  <w:rPr>
                    <w:rFonts w:ascii="Times New Roman" w:hAnsi="Times New Roman" w:cs="Times New Roman"/>
                    <w:color w:val="000000"/>
                    <w:sz w:val="22"/>
                    <w:szCs w:val="22"/>
                    <w:lang w:val="cs-CZ"/>
                  </w:rPr>
                </w:rPrChange>
              </w:rPr>
              <w:t xml:space="preserve"> &lt; 450 x 10</w:t>
            </w:r>
            <w:r w:rsidR="00EA5993" w:rsidRPr="00D567F2">
              <w:rPr>
                <w:rFonts w:ascii="Times New Roman" w:hAnsi="Times New Roman" w:cs="Times New Roman"/>
                <w:color w:val="000000"/>
                <w:vertAlign w:val="superscript"/>
                <w:lang w:val="cs-CZ"/>
                <w:rPrChange w:id="199" w:author="Author">
                  <w:rPr>
                    <w:rFonts w:ascii="Times New Roman" w:hAnsi="Times New Roman" w:cs="Times New Roman"/>
                    <w:color w:val="000000"/>
                    <w:sz w:val="22"/>
                    <w:szCs w:val="22"/>
                    <w:vertAlign w:val="superscript"/>
                    <w:lang w:val="cs-CZ"/>
                  </w:rPr>
                </w:rPrChange>
              </w:rPr>
              <w:t>9</w:t>
            </w:r>
            <w:r w:rsidR="00EA5993" w:rsidRPr="00D567F2">
              <w:rPr>
                <w:rFonts w:ascii="Times New Roman" w:hAnsi="Times New Roman" w:cs="Times New Roman"/>
                <w:color w:val="000000"/>
                <w:lang w:val="cs-CZ"/>
                <w:rPrChange w:id="200" w:author="Author">
                  <w:rPr>
                    <w:rFonts w:ascii="Times New Roman" w:hAnsi="Times New Roman" w:cs="Times New Roman"/>
                    <w:color w:val="000000"/>
                    <w:sz w:val="22"/>
                    <w:szCs w:val="22"/>
                    <w:lang w:val="cs-CZ"/>
                  </w:rPr>
                </w:rPrChange>
              </w:rPr>
              <w:t>/l, myelocyty+metamyelocyty &lt; 5</w:t>
            </w:r>
            <w:r w:rsidR="004B270C" w:rsidRPr="00D567F2">
              <w:rPr>
                <w:rFonts w:ascii="Times New Roman" w:hAnsi="Times New Roman" w:cs="Times New Roman"/>
                <w:color w:val="000000"/>
                <w:lang w:val="cs-CZ"/>
                <w:rPrChange w:id="201" w:author="Author">
                  <w:rPr>
                    <w:rFonts w:ascii="Times New Roman" w:hAnsi="Times New Roman" w:cs="Times New Roman"/>
                    <w:color w:val="000000"/>
                    <w:sz w:val="22"/>
                    <w:szCs w:val="22"/>
                    <w:lang w:val="cs-CZ"/>
                  </w:rPr>
                </w:rPrChange>
              </w:rPr>
              <w:t> </w:t>
            </w:r>
            <w:r w:rsidR="00EA5993" w:rsidRPr="00D567F2">
              <w:rPr>
                <w:rFonts w:ascii="Times New Roman" w:hAnsi="Times New Roman" w:cs="Times New Roman"/>
                <w:color w:val="000000"/>
                <w:lang w:val="cs-CZ"/>
                <w:rPrChange w:id="202" w:author="Author">
                  <w:rPr>
                    <w:rFonts w:ascii="Times New Roman" w:hAnsi="Times New Roman" w:cs="Times New Roman"/>
                    <w:color w:val="000000"/>
                    <w:sz w:val="22"/>
                    <w:szCs w:val="22"/>
                    <w:lang w:val="cs-CZ"/>
                  </w:rPr>
                </w:rPrChange>
              </w:rPr>
              <w:t>% v krvi, žádné blasty a promyelocyty v krvi, basofily &lt; 20</w:t>
            </w:r>
            <w:r w:rsidR="004B270C" w:rsidRPr="00D567F2">
              <w:rPr>
                <w:rFonts w:ascii="Times New Roman" w:hAnsi="Times New Roman" w:cs="Times New Roman"/>
                <w:color w:val="000000"/>
                <w:lang w:val="cs-CZ"/>
                <w:rPrChange w:id="203" w:author="Author">
                  <w:rPr>
                    <w:rFonts w:ascii="Times New Roman" w:hAnsi="Times New Roman" w:cs="Times New Roman"/>
                    <w:color w:val="000000"/>
                    <w:sz w:val="22"/>
                    <w:szCs w:val="22"/>
                    <w:lang w:val="cs-CZ"/>
                  </w:rPr>
                </w:rPrChange>
              </w:rPr>
              <w:t> </w:t>
            </w:r>
            <w:r w:rsidR="00EA5993" w:rsidRPr="00D567F2">
              <w:rPr>
                <w:rFonts w:ascii="Times New Roman" w:hAnsi="Times New Roman" w:cs="Times New Roman"/>
                <w:color w:val="000000"/>
                <w:lang w:val="cs-CZ"/>
                <w:rPrChange w:id="204" w:author="Author">
                  <w:rPr>
                    <w:rFonts w:ascii="Times New Roman" w:hAnsi="Times New Roman" w:cs="Times New Roman"/>
                    <w:color w:val="000000"/>
                    <w:sz w:val="22"/>
                    <w:szCs w:val="22"/>
                    <w:lang w:val="cs-CZ"/>
                  </w:rPr>
                </w:rPrChange>
              </w:rPr>
              <w:t>%, žádné extramedulární postižení</w:t>
            </w:r>
          </w:p>
          <w:p w14:paraId="68649343" w14:textId="77777777" w:rsidR="00EA5993" w:rsidRPr="00D567F2" w:rsidRDefault="00EA5993" w:rsidP="0048111F">
            <w:pPr>
              <w:pStyle w:val="Table"/>
              <w:keepNext w:val="0"/>
              <w:keepLines w:val="0"/>
              <w:spacing w:before="0" w:after="0"/>
              <w:rPr>
                <w:rFonts w:ascii="Times New Roman" w:hAnsi="Times New Roman" w:cs="Times New Roman"/>
                <w:color w:val="000000"/>
                <w:lang w:val="cs-CZ"/>
                <w:rPrChange w:id="205" w:author="Author">
                  <w:rPr>
                    <w:rFonts w:ascii="Times New Roman" w:hAnsi="Times New Roman" w:cs="Times New Roman"/>
                    <w:color w:val="000000"/>
                    <w:sz w:val="22"/>
                    <w:szCs w:val="22"/>
                    <w:lang w:val="cs-CZ"/>
                  </w:rPr>
                </w:rPrChange>
              </w:rPr>
            </w:pPr>
            <w:r w:rsidRPr="00D567F2">
              <w:rPr>
                <w:rFonts w:ascii="Times New Roman" w:hAnsi="Times New Roman" w:cs="Times New Roman"/>
                <w:b/>
                <w:bCs/>
                <w:color w:val="000000"/>
                <w:lang w:val="cs-CZ"/>
                <w:rPrChange w:id="206" w:author="Author">
                  <w:rPr>
                    <w:rFonts w:ascii="Times New Roman" w:hAnsi="Times New Roman" w:cs="Times New Roman"/>
                    <w:b/>
                    <w:bCs/>
                    <w:color w:val="000000"/>
                    <w:sz w:val="22"/>
                    <w:szCs w:val="22"/>
                    <w:lang w:val="cs-CZ"/>
                  </w:rPr>
                </w:rPrChange>
              </w:rPr>
              <w:t xml:space="preserve">Kriteria cytogenetické odpovědi: </w:t>
            </w:r>
            <w:r w:rsidRPr="00D567F2">
              <w:rPr>
                <w:rFonts w:ascii="Times New Roman" w:hAnsi="Times New Roman" w:cs="Times New Roman"/>
                <w:color w:val="000000"/>
                <w:lang w:val="cs-CZ"/>
                <w:rPrChange w:id="207" w:author="Author">
                  <w:rPr>
                    <w:rFonts w:ascii="Times New Roman" w:hAnsi="Times New Roman" w:cs="Times New Roman"/>
                    <w:color w:val="000000"/>
                    <w:sz w:val="22"/>
                    <w:szCs w:val="22"/>
                    <w:lang w:val="cs-CZ"/>
                  </w:rPr>
                </w:rPrChange>
              </w:rPr>
              <w:t>kompletní (0</w:t>
            </w:r>
            <w:r w:rsidR="004B270C" w:rsidRPr="00D567F2">
              <w:rPr>
                <w:rFonts w:ascii="Times New Roman" w:hAnsi="Times New Roman" w:cs="Times New Roman"/>
                <w:color w:val="000000"/>
                <w:lang w:val="cs-CZ"/>
                <w:rPrChange w:id="208" w:author="Author">
                  <w:rPr>
                    <w:rFonts w:ascii="Times New Roman" w:hAnsi="Times New Roman" w:cs="Times New Roman"/>
                    <w:color w:val="000000"/>
                    <w:sz w:val="22"/>
                    <w:szCs w:val="22"/>
                    <w:lang w:val="cs-CZ"/>
                  </w:rPr>
                </w:rPrChange>
              </w:rPr>
              <w:t> </w:t>
            </w:r>
            <w:r w:rsidRPr="00D567F2">
              <w:rPr>
                <w:rFonts w:ascii="Times New Roman" w:hAnsi="Times New Roman" w:cs="Times New Roman"/>
                <w:color w:val="000000"/>
                <w:lang w:val="cs-CZ"/>
                <w:rPrChange w:id="209" w:author="Author">
                  <w:rPr>
                    <w:rFonts w:ascii="Times New Roman" w:hAnsi="Times New Roman" w:cs="Times New Roman"/>
                    <w:color w:val="000000"/>
                    <w:sz w:val="22"/>
                    <w:szCs w:val="22"/>
                    <w:lang w:val="cs-CZ"/>
                  </w:rPr>
                </w:rPrChange>
              </w:rPr>
              <w:t>% Ph+ metafáze), parciální (1–35</w:t>
            </w:r>
            <w:r w:rsidR="004B270C" w:rsidRPr="00D567F2">
              <w:rPr>
                <w:rFonts w:ascii="Times New Roman" w:hAnsi="Times New Roman" w:cs="Times New Roman"/>
                <w:color w:val="000000"/>
                <w:lang w:val="cs-CZ"/>
                <w:rPrChange w:id="210" w:author="Author">
                  <w:rPr>
                    <w:rFonts w:ascii="Times New Roman" w:hAnsi="Times New Roman" w:cs="Times New Roman"/>
                    <w:color w:val="000000"/>
                    <w:sz w:val="22"/>
                    <w:szCs w:val="22"/>
                    <w:lang w:val="cs-CZ"/>
                  </w:rPr>
                </w:rPrChange>
              </w:rPr>
              <w:t> </w:t>
            </w:r>
            <w:r w:rsidRPr="00D567F2">
              <w:rPr>
                <w:rFonts w:ascii="Times New Roman" w:hAnsi="Times New Roman" w:cs="Times New Roman"/>
                <w:color w:val="000000"/>
                <w:lang w:val="cs-CZ"/>
                <w:rPrChange w:id="211" w:author="Author">
                  <w:rPr>
                    <w:rFonts w:ascii="Times New Roman" w:hAnsi="Times New Roman" w:cs="Times New Roman"/>
                    <w:color w:val="000000"/>
                    <w:sz w:val="22"/>
                    <w:szCs w:val="22"/>
                    <w:lang w:val="cs-CZ"/>
                  </w:rPr>
                </w:rPrChange>
              </w:rPr>
              <w:t>%), malá (36–65</w:t>
            </w:r>
            <w:r w:rsidR="004B270C" w:rsidRPr="00D567F2">
              <w:rPr>
                <w:rFonts w:ascii="Times New Roman" w:hAnsi="Times New Roman" w:cs="Times New Roman"/>
                <w:color w:val="000000"/>
                <w:lang w:val="cs-CZ"/>
                <w:rPrChange w:id="212" w:author="Author">
                  <w:rPr>
                    <w:rFonts w:ascii="Times New Roman" w:hAnsi="Times New Roman" w:cs="Times New Roman"/>
                    <w:color w:val="000000"/>
                    <w:sz w:val="22"/>
                    <w:szCs w:val="22"/>
                    <w:lang w:val="cs-CZ"/>
                  </w:rPr>
                </w:rPrChange>
              </w:rPr>
              <w:t> </w:t>
            </w:r>
            <w:r w:rsidRPr="00D567F2">
              <w:rPr>
                <w:rFonts w:ascii="Times New Roman" w:hAnsi="Times New Roman" w:cs="Times New Roman"/>
                <w:color w:val="000000"/>
                <w:lang w:val="cs-CZ"/>
                <w:rPrChange w:id="213" w:author="Author">
                  <w:rPr>
                    <w:rFonts w:ascii="Times New Roman" w:hAnsi="Times New Roman" w:cs="Times New Roman"/>
                    <w:color w:val="000000"/>
                    <w:sz w:val="22"/>
                    <w:szCs w:val="22"/>
                    <w:lang w:val="cs-CZ"/>
                  </w:rPr>
                </w:rPrChange>
              </w:rPr>
              <w:t>%) nebo minimální (66–95</w:t>
            </w:r>
            <w:r w:rsidR="004B270C" w:rsidRPr="00D567F2">
              <w:rPr>
                <w:rFonts w:ascii="Times New Roman" w:hAnsi="Times New Roman" w:cs="Times New Roman"/>
                <w:color w:val="000000"/>
                <w:lang w:val="cs-CZ"/>
                <w:rPrChange w:id="214" w:author="Author">
                  <w:rPr>
                    <w:rFonts w:ascii="Times New Roman" w:hAnsi="Times New Roman" w:cs="Times New Roman"/>
                    <w:color w:val="000000"/>
                    <w:sz w:val="22"/>
                    <w:szCs w:val="22"/>
                    <w:lang w:val="cs-CZ"/>
                  </w:rPr>
                </w:rPrChange>
              </w:rPr>
              <w:t> </w:t>
            </w:r>
            <w:r w:rsidRPr="00D567F2">
              <w:rPr>
                <w:rFonts w:ascii="Times New Roman" w:hAnsi="Times New Roman" w:cs="Times New Roman"/>
                <w:color w:val="000000"/>
                <w:lang w:val="cs-CZ"/>
                <w:rPrChange w:id="215" w:author="Author">
                  <w:rPr>
                    <w:rFonts w:ascii="Times New Roman" w:hAnsi="Times New Roman" w:cs="Times New Roman"/>
                    <w:color w:val="000000"/>
                    <w:sz w:val="22"/>
                    <w:szCs w:val="22"/>
                    <w:lang w:val="cs-CZ"/>
                  </w:rPr>
                </w:rPrChange>
              </w:rPr>
              <w:t>%). Velká odpověď (0–35</w:t>
            </w:r>
            <w:r w:rsidR="004B270C" w:rsidRPr="00D567F2">
              <w:rPr>
                <w:rFonts w:ascii="Times New Roman" w:hAnsi="Times New Roman" w:cs="Times New Roman"/>
                <w:color w:val="000000"/>
                <w:lang w:val="cs-CZ"/>
                <w:rPrChange w:id="216" w:author="Author">
                  <w:rPr>
                    <w:rFonts w:ascii="Times New Roman" w:hAnsi="Times New Roman" w:cs="Times New Roman"/>
                    <w:color w:val="000000"/>
                    <w:sz w:val="22"/>
                    <w:szCs w:val="22"/>
                    <w:lang w:val="cs-CZ"/>
                  </w:rPr>
                </w:rPrChange>
              </w:rPr>
              <w:t> </w:t>
            </w:r>
            <w:r w:rsidRPr="00D567F2">
              <w:rPr>
                <w:rFonts w:ascii="Times New Roman" w:hAnsi="Times New Roman" w:cs="Times New Roman"/>
                <w:color w:val="000000"/>
                <w:lang w:val="cs-CZ"/>
                <w:rPrChange w:id="217" w:author="Author">
                  <w:rPr>
                    <w:rFonts w:ascii="Times New Roman" w:hAnsi="Times New Roman" w:cs="Times New Roman"/>
                    <w:color w:val="000000"/>
                    <w:sz w:val="22"/>
                    <w:szCs w:val="22"/>
                    <w:lang w:val="cs-CZ"/>
                  </w:rPr>
                </w:rPrChange>
              </w:rPr>
              <w:t>%) kombinuje obě odpovědi - kompletní a parciální.</w:t>
            </w:r>
          </w:p>
          <w:p w14:paraId="75727044" w14:textId="77777777" w:rsidR="00EA5993" w:rsidRPr="00F25A60" w:rsidRDefault="00EA5993" w:rsidP="0048111F">
            <w:pPr>
              <w:pStyle w:val="Table"/>
              <w:keepNext w:val="0"/>
              <w:keepLines w:val="0"/>
              <w:spacing w:before="0" w:after="0"/>
              <w:rPr>
                <w:rFonts w:ascii="Times New Roman" w:hAnsi="Times New Roman" w:cs="Times New Roman"/>
                <w:color w:val="000000"/>
                <w:sz w:val="22"/>
                <w:szCs w:val="22"/>
                <w:lang w:val="cs-CZ"/>
              </w:rPr>
            </w:pPr>
            <w:r w:rsidRPr="00D567F2">
              <w:rPr>
                <w:rFonts w:ascii="Times New Roman" w:hAnsi="Times New Roman" w:cs="Times New Roman"/>
                <w:b/>
                <w:bCs/>
                <w:color w:val="000000"/>
                <w:lang w:val="cs-CZ"/>
                <w:rPrChange w:id="218" w:author="Author">
                  <w:rPr>
                    <w:rFonts w:ascii="Times New Roman" w:hAnsi="Times New Roman" w:cs="Times New Roman"/>
                    <w:b/>
                    <w:bCs/>
                    <w:color w:val="000000"/>
                    <w:sz w:val="22"/>
                    <w:szCs w:val="22"/>
                    <w:lang w:val="cs-CZ"/>
                  </w:rPr>
                </w:rPrChange>
              </w:rPr>
              <w:t>Kritéria velké molekulární odpovědi</w:t>
            </w:r>
            <w:r w:rsidRPr="00D567F2">
              <w:rPr>
                <w:rFonts w:ascii="Times New Roman" w:hAnsi="Times New Roman" w:cs="Times New Roman"/>
                <w:color w:val="000000"/>
                <w:lang w:val="cs-CZ"/>
                <w:rPrChange w:id="219" w:author="Author">
                  <w:rPr>
                    <w:rFonts w:ascii="Times New Roman" w:hAnsi="Times New Roman" w:cs="Times New Roman"/>
                    <w:color w:val="000000"/>
                    <w:sz w:val="22"/>
                    <w:szCs w:val="22"/>
                    <w:lang w:val="cs-CZ"/>
                  </w:rPr>
                </w:rPrChange>
              </w:rPr>
              <w:t>: v periferní krvi ≥ 3-logaritmové snížení množství Bcr-Abl transkriptů (měřeno pomocí testu kvantitativní polymerázové řetězové reakce (</w:t>
            </w:r>
            <w:smartTag w:uri="urn:schemas-microsoft-com:office:smarttags" w:element="stockticker">
              <w:r w:rsidRPr="00D567F2">
                <w:rPr>
                  <w:rFonts w:ascii="Times New Roman" w:hAnsi="Times New Roman" w:cs="Times New Roman"/>
                  <w:color w:val="000000"/>
                  <w:lang w:val="cs-CZ"/>
                  <w:rPrChange w:id="220" w:author="Author">
                    <w:rPr>
                      <w:rFonts w:ascii="Times New Roman" w:hAnsi="Times New Roman" w:cs="Times New Roman"/>
                      <w:color w:val="000000"/>
                      <w:sz w:val="22"/>
                      <w:szCs w:val="22"/>
                      <w:lang w:val="cs-CZ"/>
                    </w:rPr>
                  </w:rPrChange>
                </w:rPr>
                <w:t>PCR</w:t>
              </w:r>
            </w:smartTag>
            <w:r w:rsidRPr="00D567F2">
              <w:rPr>
                <w:rFonts w:ascii="Times New Roman" w:hAnsi="Times New Roman" w:cs="Times New Roman"/>
                <w:color w:val="000000"/>
                <w:lang w:val="cs-CZ"/>
                <w:rPrChange w:id="221" w:author="Author">
                  <w:rPr>
                    <w:rFonts w:ascii="Times New Roman" w:hAnsi="Times New Roman" w:cs="Times New Roman"/>
                    <w:color w:val="000000"/>
                    <w:sz w:val="22"/>
                    <w:szCs w:val="22"/>
                    <w:lang w:val="cs-CZ"/>
                  </w:rPr>
                </w:rPrChange>
              </w:rPr>
              <w:t>) reverzní transkriptázy v reálném čase) proti standardizované výchozí hodnotě.</w:t>
            </w:r>
          </w:p>
        </w:tc>
      </w:tr>
    </w:tbl>
    <w:p w14:paraId="258B49F2" w14:textId="77777777" w:rsidR="00EA5993" w:rsidRPr="00F25A60" w:rsidRDefault="00EA5993" w:rsidP="0048111F">
      <w:pPr>
        <w:pStyle w:val="EndnoteText"/>
      </w:pPr>
    </w:p>
    <w:p w14:paraId="6BA097BC" w14:textId="77777777" w:rsidR="00EA5993" w:rsidRPr="00F25A60" w:rsidRDefault="00D82A16" w:rsidP="0048111F">
      <w:pPr>
        <w:pStyle w:val="EndnoteText"/>
        <w:rPr>
          <w:color w:val="000000"/>
        </w:rPr>
      </w:pPr>
      <w:r w:rsidRPr="00F25A60">
        <w:rPr>
          <w:color w:val="000000"/>
        </w:rPr>
        <w:t>Výskyt</w:t>
      </w:r>
      <w:r w:rsidR="00EA5993" w:rsidRPr="00F25A60">
        <w:rPr>
          <w:color w:val="000000"/>
        </w:rPr>
        <w:t xml:space="preserve"> kompletní hematologické odpovědi, velké cytogenetické odpovědi a kompletní cytogenetické odpovědi na první linii léčby byl stanoven použitím Kaplan-Meierova postupu, pro který byly nedosažené odpovědi vyřazeny v den posledního vyšetření. S použitím tohoto postupu se stanovená kumulativní míra odpovědi v první linii léčby Glivecem zlepšila od 12. měsíce léčby do 84. měsíce léčby následovně: </w:t>
      </w:r>
      <w:smartTag w:uri="urn:schemas-microsoft-com:office:smarttags" w:element="stockticker">
        <w:r w:rsidR="00EA5993" w:rsidRPr="00F25A60">
          <w:rPr>
            <w:color w:val="000000"/>
          </w:rPr>
          <w:t>CHR</w:t>
        </w:r>
      </w:smartTag>
      <w:r w:rsidR="00EA5993" w:rsidRPr="00F25A60">
        <w:rPr>
          <w:color w:val="000000"/>
        </w:rPr>
        <w:t xml:space="preserve"> z 96,4</w:t>
      </w:r>
      <w:r w:rsidRPr="00F25A60">
        <w:rPr>
          <w:color w:val="000000"/>
        </w:rPr>
        <w:t> </w:t>
      </w:r>
      <w:r w:rsidR="00EA5993" w:rsidRPr="00F25A60">
        <w:rPr>
          <w:color w:val="000000"/>
        </w:rPr>
        <w:t>% na 98,4</w:t>
      </w:r>
      <w:r w:rsidRPr="00F25A60">
        <w:rPr>
          <w:color w:val="000000"/>
        </w:rPr>
        <w:t xml:space="preserve"> </w:t>
      </w:r>
      <w:r w:rsidR="00EA5993" w:rsidRPr="00F25A60">
        <w:rPr>
          <w:color w:val="000000"/>
        </w:rPr>
        <w:t>% a CCyR z 69,5</w:t>
      </w:r>
      <w:r w:rsidRPr="00F25A60">
        <w:rPr>
          <w:color w:val="000000"/>
        </w:rPr>
        <w:t> </w:t>
      </w:r>
      <w:r w:rsidR="00EA5993" w:rsidRPr="00F25A60">
        <w:rPr>
          <w:color w:val="000000"/>
        </w:rPr>
        <w:t>% na 87,2</w:t>
      </w:r>
      <w:r w:rsidRPr="00F25A60">
        <w:rPr>
          <w:color w:val="000000"/>
        </w:rPr>
        <w:t> </w:t>
      </w:r>
      <w:r w:rsidR="00EA5993" w:rsidRPr="00F25A60">
        <w:rPr>
          <w:color w:val="000000"/>
        </w:rPr>
        <w:t>%.</w:t>
      </w:r>
    </w:p>
    <w:p w14:paraId="0AEA0ACD" w14:textId="77777777" w:rsidR="00EA5993" w:rsidRPr="00F25A60" w:rsidRDefault="00EA5993" w:rsidP="0048111F">
      <w:pPr>
        <w:pStyle w:val="EndnoteText"/>
        <w:rPr>
          <w:color w:val="000000"/>
        </w:rPr>
      </w:pPr>
    </w:p>
    <w:p w14:paraId="4FAD058E" w14:textId="77777777" w:rsidR="00EA5993" w:rsidRPr="00F25A60" w:rsidRDefault="00EA5993" w:rsidP="0048111F">
      <w:pPr>
        <w:pStyle w:val="EndnoteText"/>
        <w:rPr>
          <w:color w:val="000000"/>
        </w:rPr>
      </w:pPr>
      <w:r w:rsidRPr="00F25A60">
        <w:rPr>
          <w:color w:val="000000"/>
        </w:rPr>
        <w:t>Při 7letém sledování bylo v rameni s Glivecem 93 (16,8</w:t>
      </w:r>
      <w:r w:rsidR="00D82A16" w:rsidRPr="00F25A60">
        <w:rPr>
          <w:color w:val="000000"/>
        </w:rPr>
        <w:t> </w:t>
      </w:r>
      <w:r w:rsidRPr="00F25A60">
        <w:rPr>
          <w:color w:val="000000"/>
        </w:rPr>
        <w:t>%) příhod progrese: v 37 (6,7</w:t>
      </w:r>
      <w:r w:rsidR="00D82A16" w:rsidRPr="00F25A60">
        <w:rPr>
          <w:color w:val="000000"/>
        </w:rPr>
        <w:t> </w:t>
      </w:r>
      <w:r w:rsidRPr="00F25A60">
        <w:rPr>
          <w:color w:val="000000"/>
        </w:rPr>
        <w:t>%) případech se jednalo o progresi do akcelerované fáze/blastické krize, v 31 (5,6</w:t>
      </w:r>
      <w:r w:rsidR="00D82A16" w:rsidRPr="00F25A60">
        <w:rPr>
          <w:color w:val="000000"/>
        </w:rPr>
        <w:t xml:space="preserve"> </w:t>
      </w:r>
      <w:r w:rsidRPr="00F25A60">
        <w:rPr>
          <w:color w:val="000000"/>
        </w:rPr>
        <w:t>%) o ztrátu MCyR, v 15 (2,7</w:t>
      </w:r>
      <w:r w:rsidR="00D82A16" w:rsidRPr="00F25A60">
        <w:rPr>
          <w:color w:val="000000"/>
        </w:rPr>
        <w:t> </w:t>
      </w:r>
      <w:r w:rsidRPr="00F25A60">
        <w:rPr>
          <w:color w:val="000000"/>
        </w:rPr>
        <w:t xml:space="preserve">%) </w:t>
      </w:r>
      <w:r w:rsidRPr="00F25A60">
        <w:rPr>
          <w:color w:val="000000"/>
        </w:rPr>
        <w:lastRenderedPageBreak/>
        <w:t xml:space="preserve">o ztrátu </w:t>
      </w:r>
      <w:smartTag w:uri="urn:schemas-microsoft-com:office:smarttags" w:element="stockticker">
        <w:r w:rsidRPr="00F25A60">
          <w:rPr>
            <w:color w:val="000000"/>
          </w:rPr>
          <w:t>CHR</w:t>
        </w:r>
      </w:smartTag>
      <w:r w:rsidRPr="00F25A60">
        <w:rPr>
          <w:color w:val="000000"/>
        </w:rPr>
        <w:t xml:space="preserve"> nebo zvýšení WBC a v 10 (1,8</w:t>
      </w:r>
      <w:r w:rsidR="00D82A16" w:rsidRPr="00F25A60">
        <w:rPr>
          <w:color w:val="000000"/>
        </w:rPr>
        <w:t> </w:t>
      </w:r>
      <w:r w:rsidRPr="00F25A60">
        <w:rPr>
          <w:color w:val="000000"/>
        </w:rPr>
        <w:t>%) o úmrtí nesouvisejících s CML. Naproti tomu bylo v rameni s IFN</w:t>
      </w:r>
      <w:r w:rsidRPr="00F25A60">
        <w:rPr>
          <w:rFonts w:ascii="Arial" w:hAnsi="Arial" w:cs="Arial"/>
          <w:color w:val="000000"/>
        </w:rPr>
        <w:t>+</w:t>
      </w:r>
      <w:r w:rsidRPr="00F25A60">
        <w:rPr>
          <w:color w:val="000000"/>
        </w:rPr>
        <w:t>Ara-C 165 (29,8</w:t>
      </w:r>
      <w:r w:rsidR="00D82A16" w:rsidRPr="00F25A60">
        <w:rPr>
          <w:color w:val="000000"/>
        </w:rPr>
        <w:t> </w:t>
      </w:r>
      <w:r w:rsidRPr="00F25A60">
        <w:rPr>
          <w:color w:val="000000"/>
        </w:rPr>
        <w:t>%) příhod, z nichž 130 se vyskytlo během léčby IFN+Ara-C v první linii.</w:t>
      </w:r>
    </w:p>
    <w:p w14:paraId="3BBB036F" w14:textId="77777777" w:rsidR="00EA5993" w:rsidRPr="00F25A60" w:rsidRDefault="00EA5993" w:rsidP="0048111F">
      <w:pPr>
        <w:pStyle w:val="EndnoteText"/>
        <w:rPr>
          <w:color w:val="000000"/>
        </w:rPr>
      </w:pPr>
    </w:p>
    <w:p w14:paraId="107F93EA" w14:textId="77777777" w:rsidR="00EA5993" w:rsidRPr="00F25A60" w:rsidRDefault="00EA5993" w:rsidP="0048111F">
      <w:pPr>
        <w:pStyle w:val="EndnoteText"/>
        <w:rPr>
          <w:color w:val="000000"/>
        </w:rPr>
      </w:pPr>
      <w:r w:rsidRPr="00F25A60">
        <w:rPr>
          <w:color w:val="000000"/>
        </w:rPr>
        <w:t>Odhadovaný podíl pacientů bez progrese do akcelerované fáze nebo blastické krize v 84. měsíci byl významně vyšší v rameni s Glivecem ve srovnání s ramenem s IFN (92,5</w:t>
      </w:r>
      <w:r w:rsidR="002C3F5C" w:rsidRPr="00F25A60">
        <w:rPr>
          <w:color w:val="000000"/>
        </w:rPr>
        <w:t> </w:t>
      </w:r>
      <w:r w:rsidRPr="00F25A60">
        <w:rPr>
          <w:color w:val="000000"/>
        </w:rPr>
        <w:t>% proti 85,1</w:t>
      </w:r>
      <w:r w:rsidR="00D82A16" w:rsidRPr="00F25A60">
        <w:rPr>
          <w:color w:val="000000"/>
        </w:rPr>
        <w:t> </w:t>
      </w:r>
      <w:r w:rsidRPr="00F25A60">
        <w:rPr>
          <w:color w:val="000000"/>
        </w:rPr>
        <w:t>%, p&lt;0,001). Roční míra progrese do akcelerované fáze nebo blastické krize se v průběhu léčby snižovala a ve čtvrtém a pátém roce byla menší než 1</w:t>
      </w:r>
      <w:r w:rsidR="002C3F5C" w:rsidRPr="00F25A60">
        <w:rPr>
          <w:color w:val="000000"/>
        </w:rPr>
        <w:t> </w:t>
      </w:r>
      <w:r w:rsidRPr="00F25A60">
        <w:rPr>
          <w:color w:val="000000"/>
        </w:rPr>
        <w:t>% za rok. Odhadovaná míra přežití bez progrese v 84. měsíci byla 81,2</w:t>
      </w:r>
      <w:r w:rsidR="002C3F5C" w:rsidRPr="00F25A60">
        <w:rPr>
          <w:color w:val="000000"/>
        </w:rPr>
        <w:t> </w:t>
      </w:r>
      <w:r w:rsidRPr="00F25A60">
        <w:rPr>
          <w:color w:val="000000"/>
        </w:rPr>
        <w:t>% v rameni s Glivecem a 60,6</w:t>
      </w:r>
      <w:r w:rsidR="002C3F5C" w:rsidRPr="00F25A60">
        <w:rPr>
          <w:color w:val="000000"/>
        </w:rPr>
        <w:t> </w:t>
      </w:r>
      <w:r w:rsidRPr="00F25A60">
        <w:rPr>
          <w:color w:val="000000"/>
        </w:rPr>
        <w:t>% u kontrolní skupiny (p&lt;0,001). Roční míra progrese jakéhokoli typu se pro Glivec rovněž snižovala s časem.</w:t>
      </w:r>
    </w:p>
    <w:p w14:paraId="095A42A4" w14:textId="77777777" w:rsidR="00EA5993" w:rsidRPr="00F25A60" w:rsidRDefault="00EA5993" w:rsidP="0048111F">
      <w:pPr>
        <w:pStyle w:val="EndnoteText"/>
        <w:rPr>
          <w:color w:val="000000"/>
        </w:rPr>
      </w:pPr>
    </w:p>
    <w:p w14:paraId="66BB3DC1" w14:textId="62AD275C" w:rsidR="00EA5993" w:rsidRPr="00F25A60" w:rsidRDefault="00EA5993" w:rsidP="0048111F">
      <w:pPr>
        <w:pStyle w:val="EndnoteText"/>
        <w:rPr>
          <w:color w:val="000000"/>
        </w:rPr>
      </w:pPr>
      <w:r w:rsidRPr="00F25A60">
        <w:rPr>
          <w:color w:val="000000"/>
        </w:rPr>
        <w:t>Celkem ve skupině s Glivecem zemřelo 71 pacientů (12,8</w:t>
      </w:r>
      <w:r w:rsidR="002C3F5C" w:rsidRPr="00F25A60">
        <w:rPr>
          <w:color w:val="000000"/>
        </w:rPr>
        <w:t> </w:t>
      </w:r>
      <w:r w:rsidRPr="00F25A60">
        <w:rPr>
          <w:color w:val="000000"/>
        </w:rPr>
        <w:t>%) a 85 pacientů (15,4</w:t>
      </w:r>
      <w:r w:rsidR="00D82A16" w:rsidRPr="00F25A60">
        <w:rPr>
          <w:color w:val="000000"/>
        </w:rPr>
        <w:t> </w:t>
      </w:r>
      <w:r w:rsidRPr="00F25A60">
        <w:rPr>
          <w:color w:val="000000"/>
        </w:rPr>
        <w:t>%) ve skupině s</w:t>
      </w:r>
      <w:ins w:id="222" w:author="Author">
        <w:r w:rsidR="009274D5" w:rsidRPr="00F25A60">
          <w:rPr>
            <w:color w:val="000000"/>
          </w:rPr>
          <w:t> </w:t>
        </w:r>
      </w:ins>
      <w:del w:id="223" w:author="Author">
        <w:r w:rsidRPr="00F25A60" w:rsidDel="009274D5">
          <w:rPr>
            <w:color w:val="000000"/>
          </w:rPr>
          <w:delText xml:space="preserve"> </w:delText>
        </w:r>
      </w:del>
      <w:r w:rsidRPr="00F25A60">
        <w:rPr>
          <w:color w:val="000000"/>
        </w:rPr>
        <w:t>IFN+Ara-C. V 84. měsíci bylo celkové přežití ve skupině s Glivecem 86,4</w:t>
      </w:r>
      <w:r w:rsidR="002C3F5C" w:rsidRPr="00F25A60">
        <w:rPr>
          <w:color w:val="000000"/>
        </w:rPr>
        <w:t> </w:t>
      </w:r>
      <w:r w:rsidRPr="00F25A60">
        <w:rPr>
          <w:color w:val="000000"/>
        </w:rPr>
        <w:t>% (83, 90) oproti 83,3</w:t>
      </w:r>
      <w:r w:rsidR="002C3F5C" w:rsidRPr="00F25A60">
        <w:rPr>
          <w:color w:val="000000"/>
        </w:rPr>
        <w:t> </w:t>
      </w:r>
      <w:r w:rsidRPr="00F25A60">
        <w:rPr>
          <w:color w:val="000000"/>
        </w:rPr>
        <w:t xml:space="preserve">% (80, 87) ve skupině s IFN+Ara-C, (p=0,073, log-rank test). Cílový parametr „doba do výskytu příhody“ je výrazně ovlivněn vysokým podílem převedení z léčby IFN+Ara-C na léčbu Glivecem. Vliv léčby Glivecem na přežití v chronické fázi onemocnění nově diagnostikované CML byl dále zkoumán v retrospektivní analýze výše uvedených údajů o Glivecu s původními údaji z jiné studie fáze </w:t>
      </w:r>
      <w:smartTag w:uri="urn:schemas-microsoft-com:office:smarttags" w:element="stockticker">
        <w:r w:rsidRPr="00F25A60">
          <w:rPr>
            <w:color w:val="000000"/>
          </w:rPr>
          <w:t>III</w:t>
        </w:r>
      </w:smartTag>
      <w:r w:rsidRPr="00F25A60">
        <w:rPr>
          <w:color w:val="000000"/>
        </w:rPr>
        <w:t>, kde byl použit stejný léčebný režim IFN+Ara-C (n=325). V této retrospektivní analýze byly prokázány lepší výsledky celkového přežití (p&lt;0,001) při podávání Glivecu oproti IFN+Ara-C; během 42 měsíců zemřelo 47 (8,5</w:t>
      </w:r>
      <w:r w:rsidR="00D82A16" w:rsidRPr="00F25A60">
        <w:rPr>
          <w:color w:val="000000"/>
        </w:rPr>
        <w:t> </w:t>
      </w:r>
      <w:r w:rsidRPr="00F25A60">
        <w:rPr>
          <w:color w:val="000000"/>
        </w:rPr>
        <w:t>%) pacientů s Glivecem oproti 63 (19,4</w:t>
      </w:r>
      <w:r w:rsidR="002C3F5C" w:rsidRPr="00F25A60">
        <w:rPr>
          <w:color w:val="000000"/>
        </w:rPr>
        <w:t> </w:t>
      </w:r>
      <w:r w:rsidRPr="00F25A60">
        <w:rPr>
          <w:color w:val="000000"/>
        </w:rPr>
        <w:t>%) pacientům s IFN+Ara-C.</w:t>
      </w:r>
    </w:p>
    <w:p w14:paraId="383D0D73" w14:textId="77777777" w:rsidR="00EA5993" w:rsidRPr="00F25A60" w:rsidRDefault="00EA5993" w:rsidP="0048111F">
      <w:pPr>
        <w:pStyle w:val="EndnoteText"/>
        <w:rPr>
          <w:color w:val="000000"/>
        </w:rPr>
      </w:pPr>
    </w:p>
    <w:p w14:paraId="1939C3AE" w14:textId="77777777" w:rsidR="00EA5993" w:rsidRPr="00F25A60" w:rsidRDefault="00EA5993" w:rsidP="0048111F">
      <w:pPr>
        <w:spacing w:line="240" w:lineRule="auto"/>
      </w:pPr>
      <w:r w:rsidRPr="00F25A60">
        <w:t>U pacientů léčených Glivecem měl stupeň dosažené cytogenetické odpovědi a molekulární odpovědi jednoznačný vliv na dlouhodobé výsledky léčby. Zatímco 96</w:t>
      </w:r>
      <w:r w:rsidR="00F62619" w:rsidRPr="00F25A60">
        <w:t> </w:t>
      </w:r>
      <w:r w:rsidRPr="00F25A60">
        <w:t>% (93</w:t>
      </w:r>
      <w:r w:rsidR="00F62619" w:rsidRPr="00F25A60">
        <w:t> </w:t>
      </w:r>
      <w:r w:rsidRPr="00F25A60">
        <w:t>%) pacientů s CCyR (PCyR) ve 12. měsíci, bylo v 84. měsíci bez progrese do akcelerované fáze/blastické krize, bylo bez progrese do pokročilé CML v 84 měsících pouze 81</w:t>
      </w:r>
      <w:r w:rsidR="00F62619" w:rsidRPr="00F25A60">
        <w:t> </w:t>
      </w:r>
      <w:r w:rsidRPr="00F25A60">
        <w:t>% pacientů bez MCyR ve 12 měsících (p&lt;0,001 celkově, p=0,25 mezi CCyR a PCyR). U pacientů s nejméně 3-log redukcí Bcr-Abl transkriptů ve 12 měsících léčby, byla pravděpodobnost setrvání bez progrese do akcelerované fáze/blastické krize v 84 měsících 99</w:t>
      </w:r>
      <w:r w:rsidR="004B270C" w:rsidRPr="00F25A60">
        <w:t> </w:t>
      </w:r>
      <w:r w:rsidRPr="00F25A60">
        <w:t>%. Podobná zjištění byla shledána v analýze 18 měsíců léčby.</w:t>
      </w:r>
    </w:p>
    <w:p w14:paraId="5814A7F3" w14:textId="77777777" w:rsidR="00EA5993" w:rsidRPr="00F25A60" w:rsidRDefault="00EA5993" w:rsidP="0048111F">
      <w:pPr>
        <w:pStyle w:val="EndnoteText"/>
        <w:rPr>
          <w:color w:val="000000"/>
        </w:rPr>
      </w:pPr>
    </w:p>
    <w:p w14:paraId="2B7C08E5" w14:textId="77777777" w:rsidR="00EA5993" w:rsidRPr="00F25A60" w:rsidRDefault="00EA5993" w:rsidP="0048111F">
      <w:pPr>
        <w:pStyle w:val="EndnoteText"/>
        <w:rPr>
          <w:color w:val="000000"/>
        </w:rPr>
      </w:pPr>
      <w:r w:rsidRPr="00F25A60">
        <w:rPr>
          <w:color w:val="000000"/>
        </w:rPr>
        <w:t>V této studii bylo povolené zvýšení dávky ze 400 mg denně na 600 mg denně, a potom ze 600 mg denně na 800 mg denně. Po 42 měsících sledování došlo u 11 pacientů k potvrzené ztrátě jejich cytogenetické odpovědi (během 4 týdnů). Z těchto 11 pacientů byla u 4 zvýšena dávka až na 800 mg denně, dva z nich znovu dosáhli cytogenetické odpovědi (jeden částečné a jeden kompletní, ten později dosáhl také molekulární odpovědi). Zatímco u 7 pacientů, kterým nebyla zvýšena dávka, pouze jeden dosáhl kompletní cytogenetické odpovědi. Procento výskytu některých nežádoucích účinků bylo vyšší u 40 pacientů, kterým byla dávka zvýšena na 800 mg denně, ve srovnání s populací pacientů před zvýšením dávky (n=551). Častější nežádoucí účinky zahrnovaly gastrointestinální krvácení, konjunktivitidu a zvýšení transamináz a bilirubinu. Další nežádoucí účinky byly hlášeny s menší nebo se stejnou frekvencí.</w:t>
      </w:r>
    </w:p>
    <w:p w14:paraId="506DF715" w14:textId="77777777" w:rsidR="00EA5993" w:rsidRPr="00F25A60" w:rsidRDefault="00EA5993" w:rsidP="0048111F">
      <w:pPr>
        <w:pStyle w:val="EndnoteText"/>
        <w:rPr>
          <w:color w:val="000000"/>
        </w:rPr>
      </w:pPr>
    </w:p>
    <w:p w14:paraId="53F35EFC" w14:textId="65327493" w:rsidR="007903A3" w:rsidRPr="00F25A60" w:rsidRDefault="00EA5993" w:rsidP="0048111F">
      <w:pPr>
        <w:pStyle w:val="EndnoteText"/>
        <w:keepNext/>
        <w:tabs>
          <w:tab w:val="clear" w:pos="567"/>
        </w:tabs>
        <w:rPr>
          <w:i/>
          <w:iCs/>
          <w:color w:val="000000"/>
        </w:rPr>
      </w:pPr>
      <w:r w:rsidRPr="00F25A60">
        <w:rPr>
          <w:i/>
          <w:iCs/>
          <w:color w:val="000000"/>
          <w:u w:val="single"/>
        </w:rPr>
        <w:t>Chronická fáze, selhání léčby interferonem</w:t>
      </w:r>
    </w:p>
    <w:p w14:paraId="25ACBBD2" w14:textId="7DDE4B15" w:rsidR="00EA5993" w:rsidRPr="00F25A60" w:rsidRDefault="00EA5993" w:rsidP="0048111F">
      <w:pPr>
        <w:pStyle w:val="EndnoteText"/>
        <w:tabs>
          <w:tab w:val="clear" w:pos="567"/>
        </w:tabs>
        <w:rPr>
          <w:color w:val="000000"/>
        </w:rPr>
      </w:pPr>
      <w:r w:rsidRPr="00F25A60">
        <w:rPr>
          <w:color w:val="000000"/>
        </w:rPr>
        <w:t>532 dospělých pacientů bylo léčeno úvodní dávkou 400 mg. Pacienti byli rozděleni do tří hlavních kategorií: hematologické selhání (29</w:t>
      </w:r>
      <w:r w:rsidR="00F62619" w:rsidRPr="00F25A60">
        <w:rPr>
          <w:color w:val="000000"/>
        </w:rPr>
        <w:t> </w:t>
      </w:r>
      <w:r w:rsidRPr="00F25A60">
        <w:rPr>
          <w:color w:val="000000"/>
        </w:rPr>
        <w:t>%), cytogenetické selhání (35</w:t>
      </w:r>
      <w:r w:rsidR="00F62619" w:rsidRPr="00F25A60">
        <w:rPr>
          <w:color w:val="000000"/>
        </w:rPr>
        <w:t> </w:t>
      </w:r>
      <w:r w:rsidRPr="00F25A60">
        <w:rPr>
          <w:color w:val="000000"/>
        </w:rPr>
        <w:t>%), nebo intolerance interferonu (36</w:t>
      </w:r>
      <w:r w:rsidR="00F62619" w:rsidRPr="00F25A60">
        <w:rPr>
          <w:color w:val="000000"/>
        </w:rPr>
        <w:t> </w:t>
      </w:r>
      <w:r w:rsidRPr="00F25A60">
        <w:rPr>
          <w:color w:val="000000"/>
        </w:rPr>
        <w:t xml:space="preserve">%). Medián doby, po kterou pacienti užívali předchozí léčbu IFN v dávce </w:t>
      </w:r>
      <w:r w:rsidRPr="00F25A60">
        <w:rPr>
          <w:rFonts w:ascii="Symbol" w:hAnsi="Symbol"/>
          <w:color w:val="000000"/>
        </w:rPr>
        <w:t></w:t>
      </w:r>
      <w:r w:rsidRPr="00F25A60">
        <w:rPr>
          <w:color w:val="000000"/>
        </w:rPr>
        <w:t> 25 x 10</w:t>
      </w:r>
      <w:r w:rsidRPr="00F25A60">
        <w:rPr>
          <w:color w:val="000000"/>
          <w:vertAlign w:val="superscript"/>
        </w:rPr>
        <w:t>6</w:t>
      </w:r>
      <w:r w:rsidRPr="00F25A60">
        <w:rPr>
          <w:color w:val="000000"/>
        </w:rPr>
        <w:t xml:space="preserve"> IU/týden, byl 14 měsíců a všichni byli v pozdní chronické fázi, medián doby od diagnózy byl 32 měsíců. Základním parametrem účinnosti ve studii byla míra velké cytogenetické odpovědi (kompletní a parciální odpověď, 0 až 35</w:t>
      </w:r>
      <w:r w:rsidR="00F62619" w:rsidRPr="00F25A60">
        <w:rPr>
          <w:color w:val="000000"/>
        </w:rPr>
        <w:t> </w:t>
      </w:r>
      <w:r w:rsidRPr="00F25A60">
        <w:rPr>
          <w:color w:val="000000"/>
        </w:rPr>
        <w:t>% Ph+ metafází v kostní dřeni).</w:t>
      </w:r>
    </w:p>
    <w:p w14:paraId="6EAE1CEF" w14:textId="77777777" w:rsidR="00EA5993" w:rsidRPr="00F25A60" w:rsidRDefault="00EA5993" w:rsidP="0048111F">
      <w:pPr>
        <w:pStyle w:val="EndnoteText"/>
        <w:tabs>
          <w:tab w:val="clear" w:pos="567"/>
        </w:tabs>
        <w:rPr>
          <w:color w:val="000000"/>
        </w:rPr>
      </w:pPr>
    </w:p>
    <w:p w14:paraId="2898FF20" w14:textId="77777777" w:rsidR="00EA5993" w:rsidRPr="00F25A60" w:rsidRDefault="00EA5993" w:rsidP="0048111F">
      <w:pPr>
        <w:pStyle w:val="EndnoteText"/>
        <w:tabs>
          <w:tab w:val="clear" w:pos="567"/>
        </w:tabs>
        <w:rPr>
          <w:color w:val="000000"/>
        </w:rPr>
      </w:pPr>
      <w:r w:rsidRPr="00F25A60">
        <w:rPr>
          <w:color w:val="000000"/>
        </w:rPr>
        <w:t>V této studii dosáhlo 65</w:t>
      </w:r>
      <w:r w:rsidR="00D82A16" w:rsidRPr="00F25A60">
        <w:rPr>
          <w:color w:val="000000"/>
        </w:rPr>
        <w:t> </w:t>
      </w:r>
      <w:r w:rsidRPr="00F25A60">
        <w:rPr>
          <w:color w:val="000000"/>
        </w:rPr>
        <w:t>% pacientů velké cytogenetické odpovědi, která byla kompletní u 53</w:t>
      </w:r>
      <w:r w:rsidR="00F62619" w:rsidRPr="00F25A60">
        <w:rPr>
          <w:color w:val="000000"/>
        </w:rPr>
        <w:t> </w:t>
      </w:r>
      <w:r w:rsidRPr="00F25A60">
        <w:rPr>
          <w:color w:val="000000"/>
        </w:rPr>
        <w:t>% (potvrzeno 43</w:t>
      </w:r>
      <w:r w:rsidR="00D82A16" w:rsidRPr="00F25A60">
        <w:rPr>
          <w:color w:val="000000"/>
        </w:rPr>
        <w:t> </w:t>
      </w:r>
      <w:r w:rsidRPr="00F25A60">
        <w:rPr>
          <w:color w:val="000000"/>
        </w:rPr>
        <w:t>%) pacientů (</w:t>
      </w:r>
      <w:r w:rsidR="00D82A16" w:rsidRPr="00F25A60">
        <w:rPr>
          <w:color w:val="000000"/>
        </w:rPr>
        <w:t>t</w:t>
      </w:r>
      <w:r w:rsidRPr="00F25A60">
        <w:rPr>
          <w:color w:val="000000"/>
        </w:rPr>
        <w:t>abulka </w:t>
      </w:r>
      <w:r w:rsidR="00A2522A" w:rsidRPr="00F25A60">
        <w:rPr>
          <w:color w:val="000000"/>
        </w:rPr>
        <w:t>3</w:t>
      </w:r>
      <w:r w:rsidRPr="00F25A60">
        <w:rPr>
          <w:color w:val="000000"/>
        </w:rPr>
        <w:t>). Kompletní hematologické odpovědi bylo dosaženo u 95</w:t>
      </w:r>
      <w:r w:rsidR="00D82A16" w:rsidRPr="00F25A60">
        <w:rPr>
          <w:color w:val="000000"/>
        </w:rPr>
        <w:t> </w:t>
      </w:r>
      <w:r w:rsidRPr="00F25A60">
        <w:rPr>
          <w:color w:val="000000"/>
        </w:rPr>
        <w:t>% pacientů.</w:t>
      </w:r>
    </w:p>
    <w:p w14:paraId="108043AC" w14:textId="77777777" w:rsidR="00EA5993" w:rsidRPr="00F25A60" w:rsidRDefault="00EA5993" w:rsidP="0048111F">
      <w:pPr>
        <w:pStyle w:val="EndnoteText"/>
        <w:tabs>
          <w:tab w:val="clear" w:pos="567"/>
        </w:tabs>
        <w:rPr>
          <w:color w:val="000000"/>
        </w:rPr>
      </w:pPr>
    </w:p>
    <w:p w14:paraId="02E66CCE" w14:textId="5BAF0637" w:rsidR="007903A3" w:rsidRPr="00F25A60" w:rsidRDefault="00EA5993" w:rsidP="0048111F">
      <w:pPr>
        <w:pStyle w:val="EndnoteText"/>
        <w:keepNext/>
        <w:tabs>
          <w:tab w:val="clear" w:pos="567"/>
        </w:tabs>
        <w:rPr>
          <w:color w:val="000000"/>
        </w:rPr>
      </w:pPr>
      <w:r w:rsidRPr="00F25A60">
        <w:rPr>
          <w:i/>
          <w:iCs/>
          <w:color w:val="000000"/>
          <w:u w:val="single"/>
        </w:rPr>
        <w:t>Akcelerovaná fáze</w:t>
      </w:r>
    </w:p>
    <w:p w14:paraId="23B0D72E" w14:textId="088C214E" w:rsidR="00EA5993" w:rsidRPr="00F25A60" w:rsidRDefault="00EA5993" w:rsidP="0048111F">
      <w:pPr>
        <w:pStyle w:val="EndnoteText"/>
        <w:tabs>
          <w:tab w:val="clear" w:pos="567"/>
        </w:tabs>
        <w:rPr>
          <w:color w:val="000000"/>
        </w:rPr>
      </w:pPr>
      <w:r w:rsidRPr="00F25A60">
        <w:rPr>
          <w:color w:val="000000"/>
        </w:rPr>
        <w:t>Do studie bylo zařazeno 235 dospělých pacientů s akcelerovanou fází onemocnění. Léčba prvních 77 pacientů byla zahájena dávkou 400 mg, následně byl protokol doplněn a dovoloval podání vyšších dávek, zahajovací dávka pro zbývajících 158 pacientů byla 600 mg.</w:t>
      </w:r>
    </w:p>
    <w:p w14:paraId="523BD44E" w14:textId="77777777" w:rsidR="00EA5993" w:rsidRPr="00F25A60" w:rsidRDefault="00EA5993" w:rsidP="0048111F">
      <w:pPr>
        <w:pStyle w:val="EndnoteText"/>
        <w:tabs>
          <w:tab w:val="clear" w:pos="567"/>
        </w:tabs>
        <w:rPr>
          <w:color w:val="000000"/>
        </w:rPr>
      </w:pPr>
    </w:p>
    <w:p w14:paraId="5C4C90F2" w14:textId="77777777" w:rsidR="00EA5993" w:rsidRPr="00F25A60" w:rsidRDefault="00EA5993" w:rsidP="0048111F">
      <w:pPr>
        <w:pStyle w:val="EndnoteText"/>
        <w:tabs>
          <w:tab w:val="clear" w:pos="567"/>
        </w:tabs>
        <w:rPr>
          <w:color w:val="000000"/>
        </w:rPr>
      </w:pPr>
      <w:r w:rsidRPr="00F25A60">
        <w:rPr>
          <w:color w:val="000000"/>
        </w:rPr>
        <w:lastRenderedPageBreak/>
        <w:t xml:space="preserve">Základním parametrem účinnosti byl </w:t>
      </w:r>
      <w:r w:rsidR="00D82A16" w:rsidRPr="00F25A60">
        <w:rPr>
          <w:color w:val="000000"/>
        </w:rPr>
        <w:t xml:space="preserve">výskyt </w:t>
      </w:r>
      <w:r w:rsidRPr="00F25A60">
        <w:rPr>
          <w:color w:val="000000"/>
        </w:rPr>
        <w:t>hematologické odpovědi, udávan</w:t>
      </w:r>
      <w:r w:rsidR="00D82A16" w:rsidRPr="00F25A60">
        <w:rPr>
          <w:color w:val="000000"/>
        </w:rPr>
        <w:t>ý</w:t>
      </w:r>
      <w:r w:rsidRPr="00F25A60">
        <w:rPr>
          <w:color w:val="000000"/>
        </w:rPr>
        <w:t xml:space="preserve"> jako buď kompletní hematologická odpověď, žádný průkaz leukemie (tj. vymizení blastů z kostní dřeně a krve, ale bez úplné obnovy periferní krve jako při kompletní odpovědi), nebo návrat do chronické fáze CML. Potvrzené hematologické odpovědi bylo dosaženo u 71,5</w:t>
      </w:r>
      <w:r w:rsidR="00F62619" w:rsidRPr="00F25A60">
        <w:rPr>
          <w:color w:val="000000"/>
        </w:rPr>
        <w:t> </w:t>
      </w:r>
      <w:r w:rsidRPr="00F25A60">
        <w:rPr>
          <w:color w:val="000000"/>
        </w:rPr>
        <w:t>% pacientů (</w:t>
      </w:r>
      <w:r w:rsidR="00D82A16" w:rsidRPr="00F25A60">
        <w:rPr>
          <w:color w:val="000000"/>
        </w:rPr>
        <w:t>t</w:t>
      </w:r>
      <w:r w:rsidRPr="00F25A60">
        <w:rPr>
          <w:color w:val="000000"/>
        </w:rPr>
        <w:t>abulka </w:t>
      </w:r>
      <w:r w:rsidR="00A2522A" w:rsidRPr="00F25A60">
        <w:rPr>
          <w:color w:val="000000"/>
        </w:rPr>
        <w:t>3</w:t>
      </w:r>
      <w:r w:rsidRPr="00F25A60">
        <w:rPr>
          <w:color w:val="000000"/>
        </w:rPr>
        <w:t>). Důležité je, že 27,7</w:t>
      </w:r>
      <w:r w:rsidR="00F62619" w:rsidRPr="00F25A60">
        <w:rPr>
          <w:color w:val="000000"/>
        </w:rPr>
        <w:t> </w:t>
      </w:r>
      <w:r w:rsidRPr="00F25A60">
        <w:rPr>
          <w:color w:val="000000"/>
        </w:rPr>
        <w:t>% pacientů dosáhlo také hlavní cytogenetické odpovědi, která byla kompletní u 20,4</w:t>
      </w:r>
      <w:r w:rsidR="00F62619" w:rsidRPr="00F25A60">
        <w:rPr>
          <w:color w:val="000000"/>
        </w:rPr>
        <w:t> </w:t>
      </w:r>
      <w:r w:rsidRPr="00F25A60">
        <w:rPr>
          <w:color w:val="000000"/>
        </w:rPr>
        <w:t>% (potvrzena u 16</w:t>
      </w:r>
      <w:r w:rsidR="00D82A16" w:rsidRPr="00F25A60">
        <w:rPr>
          <w:color w:val="000000"/>
        </w:rPr>
        <w:t> </w:t>
      </w:r>
      <w:r w:rsidRPr="00F25A60">
        <w:rPr>
          <w:color w:val="000000"/>
        </w:rPr>
        <w:t>%) pacientů. U pacientů léčených dávkou 600 mg, byl aktuální odhad mediánu přežití bez progrese 22,9 měsíců a celkového přežití 42,5 měsíce.</w:t>
      </w:r>
    </w:p>
    <w:p w14:paraId="0061813D" w14:textId="77777777" w:rsidR="00EA5993" w:rsidRPr="00F25A60" w:rsidRDefault="00EA5993" w:rsidP="0048111F">
      <w:pPr>
        <w:pStyle w:val="EndnoteText"/>
        <w:tabs>
          <w:tab w:val="clear" w:pos="567"/>
        </w:tabs>
        <w:rPr>
          <w:color w:val="000000"/>
        </w:rPr>
      </w:pPr>
    </w:p>
    <w:p w14:paraId="4607A508" w14:textId="648E4B83" w:rsidR="007903A3" w:rsidRPr="00F25A60" w:rsidRDefault="00EA5993" w:rsidP="0048111F">
      <w:pPr>
        <w:pStyle w:val="EndnoteText"/>
        <w:keepNext/>
        <w:tabs>
          <w:tab w:val="clear" w:pos="567"/>
        </w:tabs>
        <w:rPr>
          <w:color w:val="000000"/>
        </w:rPr>
      </w:pPr>
      <w:r w:rsidRPr="00F25A60">
        <w:rPr>
          <w:i/>
          <w:iCs/>
          <w:color w:val="000000"/>
          <w:u w:val="single"/>
        </w:rPr>
        <w:t>Myeloidní blastická krize</w:t>
      </w:r>
    </w:p>
    <w:p w14:paraId="37A7B529" w14:textId="42760E19" w:rsidR="00EA5993" w:rsidRPr="00F25A60" w:rsidRDefault="00EA5993" w:rsidP="0048111F">
      <w:pPr>
        <w:pStyle w:val="EndnoteText"/>
        <w:tabs>
          <w:tab w:val="clear" w:pos="567"/>
        </w:tabs>
        <w:rPr>
          <w:color w:val="000000"/>
        </w:rPr>
      </w:pPr>
      <w:r w:rsidRPr="00F25A60">
        <w:rPr>
          <w:color w:val="000000"/>
        </w:rPr>
        <w:t>Do studie bylo zařazeno 260 pacientů s myeloidní blastickou krizí. 95 (37</w:t>
      </w:r>
      <w:r w:rsidR="00D82A16" w:rsidRPr="00F25A60">
        <w:rPr>
          <w:color w:val="000000"/>
        </w:rPr>
        <w:t> </w:t>
      </w:r>
      <w:r w:rsidRPr="00F25A60">
        <w:rPr>
          <w:color w:val="000000"/>
        </w:rPr>
        <w:t>%) pacientů mělo předchozí chemoterapii buď pro akcelerovanou fázi nebo blastickou krizi („předléčení pacienti</w:t>
      </w:r>
      <w:r w:rsidRPr="00F25A60">
        <w:rPr>
          <w:color w:val="000000"/>
          <w:spacing w:val="-2"/>
        </w:rPr>
        <w:t>“</w:t>
      </w:r>
      <w:r w:rsidRPr="00F25A60">
        <w:rPr>
          <w:color w:val="000000"/>
        </w:rPr>
        <w:t>), zatímco 165 (63</w:t>
      </w:r>
      <w:r w:rsidR="00D82A16" w:rsidRPr="00F25A60">
        <w:rPr>
          <w:color w:val="000000"/>
        </w:rPr>
        <w:t> </w:t>
      </w:r>
      <w:r w:rsidRPr="00F25A60">
        <w:rPr>
          <w:color w:val="000000"/>
        </w:rPr>
        <w:t>%) pacientů nebylo dosud léčeno („neléčení pacienti</w:t>
      </w:r>
      <w:r w:rsidRPr="00F25A60">
        <w:rPr>
          <w:color w:val="000000"/>
          <w:spacing w:val="-2"/>
        </w:rPr>
        <w:t>“</w:t>
      </w:r>
      <w:r w:rsidRPr="00F25A60">
        <w:rPr>
          <w:color w:val="000000"/>
        </w:rPr>
        <w:t>). Léčba prvních 37 pacientů byla zahájena dávkou 400 mg, následně byl protokol doplněn a dovoloval podání vyšších dávek, zahajovací dávka pro zbývajících 223 pacientů byla 600 mg.</w:t>
      </w:r>
    </w:p>
    <w:p w14:paraId="37DDC1FC" w14:textId="77777777" w:rsidR="00EA5993" w:rsidRPr="00F25A60" w:rsidRDefault="00EA5993" w:rsidP="0048111F">
      <w:pPr>
        <w:pStyle w:val="EndnoteText"/>
        <w:tabs>
          <w:tab w:val="clear" w:pos="567"/>
        </w:tabs>
        <w:rPr>
          <w:color w:val="000000"/>
        </w:rPr>
      </w:pPr>
    </w:p>
    <w:p w14:paraId="5167AB79" w14:textId="77777777" w:rsidR="00EA5993" w:rsidRPr="00F25A60" w:rsidRDefault="00EA5993" w:rsidP="0048111F">
      <w:pPr>
        <w:pStyle w:val="EndnoteText"/>
        <w:tabs>
          <w:tab w:val="clear" w:pos="567"/>
        </w:tabs>
        <w:rPr>
          <w:color w:val="000000"/>
        </w:rPr>
      </w:pPr>
      <w:r w:rsidRPr="00F25A60">
        <w:rPr>
          <w:color w:val="000000"/>
        </w:rPr>
        <w:t>Základním parametrem účinnosti, při použití stejných kritérií jako ve studii u akcelerované fáze, byla míra dosažení hematologické odpovědi, popisovaná buď jako kompletní hematologická odpověď, žádný průkaz leukemie, nebo návrat do chronické fáze CML. V této studii dosáhlo 31</w:t>
      </w:r>
      <w:r w:rsidR="00F62619" w:rsidRPr="00F25A60">
        <w:rPr>
          <w:color w:val="000000"/>
        </w:rPr>
        <w:t> </w:t>
      </w:r>
      <w:r w:rsidRPr="00F25A60">
        <w:rPr>
          <w:color w:val="000000"/>
        </w:rPr>
        <w:t>% pacientů hematologické odpovědi (36</w:t>
      </w:r>
      <w:r w:rsidR="00F62619" w:rsidRPr="00F25A60">
        <w:rPr>
          <w:color w:val="000000"/>
        </w:rPr>
        <w:t> </w:t>
      </w:r>
      <w:r w:rsidRPr="00F25A60">
        <w:rPr>
          <w:color w:val="000000"/>
        </w:rPr>
        <w:t>% u dříve neléčených pacientů a 22</w:t>
      </w:r>
      <w:r w:rsidR="00D82A16" w:rsidRPr="00F25A60">
        <w:rPr>
          <w:color w:val="000000"/>
        </w:rPr>
        <w:t> </w:t>
      </w:r>
      <w:r w:rsidRPr="00F25A60">
        <w:rPr>
          <w:color w:val="000000"/>
        </w:rPr>
        <w:t>% u dříve léčených pacientů). Míra dosažených odpovědi byla vyšší u pacientů léčených dávkou 600 mg (33</w:t>
      </w:r>
      <w:r w:rsidR="004B270C" w:rsidRPr="00F25A60">
        <w:rPr>
          <w:color w:val="000000"/>
        </w:rPr>
        <w:t> </w:t>
      </w:r>
      <w:r w:rsidRPr="00F25A60">
        <w:rPr>
          <w:color w:val="000000"/>
        </w:rPr>
        <w:t>%) ve srovnání s pacienty, kteří dostávali dávku 400 mg (16%, p=0,0220). Aktuální odhadovaný medián přežití dříve neléčených pacientů byl 7,7 měsíců a předléčených pacientů byl 4,7 měsíců.</w:t>
      </w:r>
    </w:p>
    <w:p w14:paraId="112A3360" w14:textId="77777777" w:rsidR="00EA5993" w:rsidRPr="00F25A60" w:rsidRDefault="00EA5993" w:rsidP="0048111F">
      <w:pPr>
        <w:pStyle w:val="EndnoteText"/>
        <w:tabs>
          <w:tab w:val="clear" w:pos="567"/>
        </w:tabs>
        <w:rPr>
          <w:color w:val="000000"/>
        </w:rPr>
      </w:pPr>
    </w:p>
    <w:p w14:paraId="2042094E" w14:textId="41F3D122" w:rsidR="007903A3" w:rsidRPr="00F25A60" w:rsidRDefault="00EA5993" w:rsidP="0048111F">
      <w:pPr>
        <w:pStyle w:val="BodyText"/>
        <w:keepNext/>
        <w:spacing w:line="240" w:lineRule="auto"/>
        <w:rPr>
          <w:b w:val="0"/>
          <w:i w:val="0"/>
          <w:color w:val="000000"/>
        </w:rPr>
      </w:pPr>
      <w:r w:rsidRPr="00F25A60">
        <w:rPr>
          <w:b w:val="0"/>
          <w:iCs w:val="0"/>
          <w:color w:val="000000"/>
          <w:u w:val="single"/>
        </w:rPr>
        <w:t>Lymfoidní blastická krize</w:t>
      </w:r>
    </w:p>
    <w:p w14:paraId="1B01AB5D" w14:textId="46720BF8" w:rsidR="00EA5993" w:rsidRPr="00F25A60" w:rsidRDefault="00EA5993" w:rsidP="0048111F">
      <w:pPr>
        <w:pStyle w:val="BodyText"/>
        <w:spacing w:line="240" w:lineRule="auto"/>
        <w:rPr>
          <w:b w:val="0"/>
          <w:i w:val="0"/>
          <w:color w:val="000000"/>
        </w:rPr>
      </w:pPr>
      <w:r w:rsidRPr="00F25A60">
        <w:rPr>
          <w:b w:val="0"/>
          <w:i w:val="0"/>
          <w:color w:val="000000"/>
        </w:rPr>
        <w:t xml:space="preserve">Do studie fáze I byl zařazen omezený počet pacientů (n=10). </w:t>
      </w:r>
      <w:r w:rsidR="00D82A16" w:rsidRPr="00F25A60">
        <w:rPr>
          <w:b w:val="0"/>
          <w:i w:val="0"/>
          <w:color w:val="000000"/>
        </w:rPr>
        <w:t>Výskyt</w:t>
      </w:r>
      <w:r w:rsidRPr="00F25A60">
        <w:rPr>
          <w:b w:val="0"/>
          <w:i w:val="0"/>
          <w:color w:val="000000"/>
        </w:rPr>
        <w:t xml:space="preserve"> dosažené hematologické odpovědi byl 70</w:t>
      </w:r>
      <w:r w:rsidR="00D82A16" w:rsidRPr="00F25A60">
        <w:rPr>
          <w:b w:val="0"/>
          <w:i w:val="0"/>
          <w:color w:val="000000"/>
        </w:rPr>
        <w:t> </w:t>
      </w:r>
      <w:r w:rsidRPr="00F25A60">
        <w:rPr>
          <w:b w:val="0"/>
          <w:i w:val="0"/>
          <w:color w:val="000000"/>
        </w:rPr>
        <w:t>% s trváním 2</w:t>
      </w:r>
      <w:r w:rsidRPr="00F25A60">
        <w:rPr>
          <w:b w:val="0"/>
          <w:bCs w:val="0"/>
          <w:i w:val="0"/>
          <w:iCs w:val="0"/>
          <w:color w:val="000000"/>
        </w:rPr>
        <w:t>–</w:t>
      </w:r>
      <w:r w:rsidRPr="00F25A60">
        <w:rPr>
          <w:b w:val="0"/>
          <w:i w:val="0"/>
          <w:color w:val="000000"/>
        </w:rPr>
        <w:t>3 měsíce.</w:t>
      </w:r>
    </w:p>
    <w:p w14:paraId="2A17DF2F" w14:textId="77777777" w:rsidR="00EA5993" w:rsidRPr="00F25A60" w:rsidRDefault="00EA5993" w:rsidP="0048111F">
      <w:pPr>
        <w:pStyle w:val="EndnoteText"/>
        <w:tabs>
          <w:tab w:val="clear" w:pos="567"/>
        </w:tabs>
        <w:rPr>
          <w:color w:val="000000"/>
        </w:rPr>
      </w:pPr>
    </w:p>
    <w:p w14:paraId="70D9E417" w14:textId="77777777" w:rsidR="00EA5993" w:rsidRPr="00F25A60" w:rsidRDefault="00EA5993" w:rsidP="0048111F">
      <w:pPr>
        <w:pStyle w:val="EndnoteText"/>
        <w:keepNext/>
        <w:tabs>
          <w:tab w:val="clear" w:pos="567"/>
          <w:tab w:val="left" w:pos="1134"/>
        </w:tabs>
        <w:rPr>
          <w:b/>
          <w:bCs/>
          <w:color w:val="000000"/>
        </w:rPr>
      </w:pPr>
      <w:r w:rsidRPr="00F25A60">
        <w:rPr>
          <w:b/>
          <w:bCs/>
          <w:color w:val="000000"/>
        </w:rPr>
        <w:lastRenderedPageBreak/>
        <w:t>Tabulka </w:t>
      </w:r>
      <w:r w:rsidR="00A2522A" w:rsidRPr="00F25A60">
        <w:rPr>
          <w:b/>
          <w:bCs/>
          <w:color w:val="000000"/>
        </w:rPr>
        <w:t>3</w:t>
      </w:r>
      <w:r w:rsidRPr="00F25A60">
        <w:rPr>
          <w:b/>
          <w:bCs/>
          <w:color w:val="000000"/>
        </w:rPr>
        <w:tab/>
        <w:t>Odpovědi ve studiích dospělých pacientů s CML</w:t>
      </w:r>
    </w:p>
    <w:p w14:paraId="72103446" w14:textId="77777777" w:rsidR="00EA5993" w:rsidRPr="00F25A60" w:rsidRDefault="00EA5993" w:rsidP="0048111F">
      <w:pPr>
        <w:pStyle w:val="EndnoteText"/>
        <w:keepNext/>
        <w:tabs>
          <w:tab w:val="clear" w:pos="567"/>
        </w:tabs>
        <w:rPr>
          <w:color w:val="000000"/>
        </w:rPr>
      </w:pPr>
    </w:p>
    <w:tbl>
      <w:tblPr>
        <w:tblW w:w="0" w:type="auto"/>
        <w:tblInd w:w="-20" w:type="dxa"/>
        <w:tblLayout w:type="fixed"/>
        <w:tblLook w:val="0000" w:firstRow="0" w:lastRow="0" w:firstColumn="0" w:lastColumn="0" w:noHBand="0" w:noVBand="0"/>
      </w:tblPr>
      <w:tblGrid>
        <w:gridCol w:w="3227"/>
        <w:gridCol w:w="1898"/>
        <w:gridCol w:w="1985"/>
        <w:gridCol w:w="1969"/>
      </w:tblGrid>
      <w:tr w:rsidR="00EA5993" w:rsidRPr="00F25A60" w14:paraId="54B549CE" w14:textId="77777777" w:rsidTr="00EB4FF7">
        <w:trPr>
          <w:cantSplit/>
        </w:trPr>
        <w:tc>
          <w:tcPr>
            <w:tcW w:w="3227" w:type="dxa"/>
            <w:tcBorders>
              <w:top w:val="single" w:sz="4" w:space="0" w:color="000000"/>
              <w:left w:val="single" w:sz="4" w:space="0" w:color="000000"/>
            </w:tcBorders>
          </w:tcPr>
          <w:p w14:paraId="72B24D40" w14:textId="77777777" w:rsidR="00EA5993" w:rsidRPr="00F25A60" w:rsidRDefault="00EA5993" w:rsidP="0048111F">
            <w:pPr>
              <w:pStyle w:val="EndnoteText"/>
              <w:keepNext/>
              <w:tabs>
                <w:tab w:val="clear" w:pos="567"/>
              </w:tabs>
              <w:snapToGrid w:val="0"/>
              <w:rPr>
                <w:color w:val="000000"/>
              </w:rPr>
            </w:pPr>
          </w:p>
        </w:tc>
        <w:tc>
          <w:tcPr>
            <w:tcW w:w="1898" w:type="dxa"/>
            <w:tcBorders>
              <w:top w:val="single" w:sz="4" w:space="0" w:color="000000"/>
              <w:left w:val="single" w:sz="4" w:space="0" w:color="000000"/>
            </w:tcBorders>
          </w:tcPr>
          <w:p w14:paraId="3D4A78C7" w14:textId="77777777" w:rsidR="00EA5993" w:rsidRPr="00F25A60" w:rsidRDefault="00EA5993" w:rsidP="0048111F">
            <w:pPr>
              <w:pStyle w:val="EndnoteText"/>
              <w:keepNext/>
              <w:tabs>
                <w:tab w:val="clear" w:pos="567"/>
              </w:tabs>
              <w:snapToGrid w:val="0"/>
              <w:jc w:val="center"/>
              <w:rPr>
                <w:color w:val="000000"/>
              </w:rPr>
            </w:pPr>
            <w:r w:rsidRPr="00F25A60">
              <w:rPr>
                <w:color w:val="000000"/>
              </w:rPr>
              <w:t>Studie 0110</w:t>
            </w:r>
          </w:p>
          <w:p w14:paraId="6D082CC0" w14:textId="77777777" w:rsidR="00EA5993" w:rsidRPr="00F25A60" w:rsidRDefault="00EA5993" w:rsidP="0048111F">
            <w:pPr>
              <w:pStyle w:val="EndnoteText"/>
              <w:keepNext/>
              <w:tabs>
                <w:tab w:val="clear" w:pos="567"/>
              </w:tabs>
              <w:jc w:val="center"/>
              <w:rPr>
                <w:color w:val="000000"/>
              </w:rPr>
            </w:pPr>
            <w:r w:rsidRPr="00F25A60">
              <w:rPr>
                <w:color w:val="000000"/>
              </w:rPr>
              <w:t>37měsíční data</w:t>
            </w:r>
          </w:p>
          <w:p w14:paraId="6DA9C65F" w14:textId="77777777" w:rsidR="00EA5993" w:rsidRPr="00F25A60" w:rsidRDefault="00EA5993" w:rsidP="0048111F">
            <w:pPr>
              <w:pStyle w:val="EndnoteText"/>
              <w:keepNext/>
              <w:tabs>
                <w:tab w:val="clear" w:pos="567"/>
              </w:tabs>
              <w:jc w:val="center"/>
              <w:rPr>
                <w:color w:val="000000"/>
              </w:rPr>
            </w:pPr>
            <w:r w:rsidRPr="00F25A60">
              <w:rPr>
                <w:color w:val="000000"/>
              </w:rPr>
              <w:t>Chronická fáze, IFN selhání</w:t>
            </w:r>
          </w:p>
          <w:p w14:paraId="252C17D6" w14:textId="77777777" w:rsidR="00EA5993" w:rsidRPr="00F25A60" w:rsidRDefault="00EA5993" w:rsidP="0048111F">
            <w:pPr>
              <w:pStyle w:val="EndnoteText"/>
              <w:keepNext/>
              <w:tabs>
                <w:tab w:val="clear" w:pos="567"/>
              </w:tabs>
              <w:jc w:val="center"/>
              <w:rPr>
                <w:color w:val="000000"/>
              </w:rPr>
            </w:pPr>
            <w:r w:rsidRPr="00F25A60">
              <w:rPr>
                <w:color w:val="000000"/>
              </w:rPr>
              <w:t>(n=532)</w:t>
            </w:r>
          </w:p>
        </w:tc>
        <w:tc>
          <w:tcPr>
            <w:tcW w:w="1985" w:type="dxa"/>
            <w:tcBorders>
              <w:top w:val="single" w:sz="4" w:space="0" w:color="000000"/>
              <w:left w:val="single" w:sz="4" w:space="0" w:color="000000"/>
            </w:tcBorders>
          </w:tcPr>
          <w:p w14:paraId="279B20D2" w14:textId="77777777" w:rsidR="00EA5993" w:rsidRPr="00F25A60" w:rsidRDefault="00EA5993" w:rsidP="0048111F">
            <w:pPr>
              <w:pStyle w:val="EndnoteText"/>
              <w:keepNext/>
              <w:tabs>
                <w:tab w:val="clear" w:pos="567"/>
              </w:tabs>
              <w:snapToGrid w:val="0"/>
              <w:jc w:val="center"/>
              <w:rPr>
                <w:color w:val="000000"/>
              </w:rPr>
            </w:pPr>
            <w:r w:rsidRPr="00F25A60">
              <w:rPr>
                <w:color w:val="000000"/>
              </w:rPr>
              <w:t>Studie 0109</w:t>
            </w:r>
          </w:p>
          <w:p w14:paraId="0546D4FC" w14:textId="77777777" w:rsidR="00EA5993" w:rsidRPr="00F25A60" w:rsidRDefault="00EA5993" w:rsidP="0048111F">
            <w:pPr>
              <w:pStyle w:val="EndnoteText"/>
              <w:keepNext/>
              <w:tabs>
                <w:tab w:val="clear" w:pos="567"/>
              </w:tabs>
              <w:jc w:val="center"/>
              <w:rPr>
                <w:color w:val="000000"/>
              </w:rPr>
            </w:pPr>
            <w:r w:rsidRPr="00F25A60">
              <w:rPr>
                <w:color w:val="000000"/>
              </w:rPr>
              <w:t>40,5měsíční data</w:t>
            </w:r>
          </w:p>
          <w:p w14:paraId="09657FF9" w14:textId="77777777" w:rsidR="00EA5993" w:rsidRPr="00F25A60" w:rsidRDefault="00EA5993" w:rsidP="0048111F">
            <w:pPr>
              <w:pStyle w:val="EndnoteText"/>
              <w:keepNext/>
              <w:tabs>
                <w:tab w:val="clear" w:pos="567"/>
              </w:tabs>
              <w:jc w:val="center"/>
              <w:rPr>
                <w:color w:val="000000"/>
              </w:rPr>
            </w:pPr>
            <w:r w:rsidRPr="00F25A60">
              <w:rPr>
                <w:color w:val="000000"/>
              </w:rPr>
              <w:t>Akcelerovaná fáze</w:t>
            </w:r>
          </w:p>
          <w:p w14:paraId="15EB1E52" w14:textId="77777777" w:rsidR="00EA5993" w:rsidRPr="00F25A60" w:rsidRDefault="00EA5993" w:rsidP="0048111F">
            <w:pPr>
              <w:pStyle w:val="EndnoteText"/>
              <w:keepNext/>
              <w:tabs>
                <w:tab w:val="clear" w:pos="567"/>
              </w:tabs>
              <w:jc w:val="center"/>
              <w:rPr>
                <w:color w:val="000000"/>
              </w:rPr>
            </w:pPr>
            <w:r w:rsidRPr="00F25A60">
              <w:rPr>
                <w:color w:val="000000"/>
              </w:rPr>
              <w:t>(n=235)</w:t>
            </w:r>
          </w:p>
        </w:tc>
        <w:tc>
          <w:tcPr>
            <w:tcW w:w="1969" w:type="dxa"/>
            <w:tcBorders>
              <w:top w:val="single" w:sz="4" w:space="0" w:color="000000"/>
              <w:left w:val="single" w:sz="4" w:space="0" w:color="000000"/>
              <w:right w:val="single" w:sz="4" w:space="0" w:color="000000"/>
            </w:tcBorders>
          </w:tcPr>
          <w:p w14:paraId="77F6DF5E" w14:textId="77777777" w:rsidR="00EA5993" w:rsidRPr="00F25A60" w:rsidRDefault="00EA5993" w:rsidP="0048111F">
            <w:pPr>
              <w:pStyle w:val="EndnoteText"/>
              <w:keepNext/>
              <w:tabs>
                <w:tab w:val="clear" w:pos="567"/>
              </w:tabs>
              <w:snapToGrid w:val="0"/>
              <w:jc w:val="center"/>
              <w:rPr>
                <w:color w:val="000000"/>
              </w:rPr>
            </w:pPr>
            <w:r w:rsidRPr="00F25A60">
              <w:rPr>
                <w:color w:val="000000"/>
              </w:rPr>
              <w:t>Studie 0102</w:t>
            </w:r>
          </w:p>
          <w:p w14:paraId="54E40019" w14:textId="77777777" w:rsidR="00EA5993" w:rsidRPr="00F25A60" w:rsidRDefault="00EA5993" w:rsidP="0048111F">
            <w:pPr>
              <w:pStyle w:val="EndnoteText"/>
              <w:keepNext/>
              <w:tabs>
                <w:tab w:val="clear" w:pos="567"/>
              </w:tabs>
              <w:jc w:val="center"/>
              <w:rPr>
                <w:color w:val="000000"/>
              </w:rPr>
            </w:pPr>
            <w:r w:rsidRPr="00F25A60">
              <w:rPr>
                <w:color w:val="000000"/>
              </w:rPr>
              <w:t>38měsíční data</w:t>
            </w:r>
          </w:p>
          <w:p w14:paraId="49E4AF19" w14:textId="77777777" w:rsidR="00EA5993" w:rsidRPr="00F25A60" w:rsidRDefault="00EA5993" w:rsidP="0048111F">
            <w:pPr>
              <w:pStyle w:val="EndnoteText"/>
              <w:keepNext/>
              <w:tabs>
                <w:tab w:val="clear" w:pos="567"/>
              </w:tabs>
              <w:jc w:val="center"/>
              <w:rPr>
                <w:color w:val="000000"/>
              </w:rPr>
            </w:pPr>
            <w:r w:rsidRPr="00F25A60">
              <w:rPr>
                <w:color w:val="000000"/>
              </w:rPr>
              <w:t>Myeloidní blastická krize</w:t>
            </w:r>
          </w:p>
          <w:p w14:paraId="651E4120" w14:textId="77777777" w:rsidR="00EA5993" w:rsidRPr="00F25A60" w:rsidRDefault="00EA5993" w:rsidP="0048111F">
            <w:pPr>
              <w:pStyle w:val="EndnoteText"/>
              <w:keepNext/>
              <w:tabs>
                <w:tab w:val="clear" w:pos="567"/>
              </w:tabs>
              <w:jc w:val="center"/>
              <w:rPr>
                <w:color w:val="000000"/>
              </w:rPr>
            </w:pPr>
            <w:r w:rsidRPr="00F25A60">
              <w:rPr>
                <w:color w:val="000000"/>
              </w:rPr>
              <w:t>(n=260)</w:t>
            </w:r>
          </w:p>
        </w:tc>
      </w:tr>
      <w:tr w:rsidR="00EA5993" w:rsidRPr="00F25A60" w14:paraId="38F033CC" w14:textId="77777777" w:rsidTr="00EB4FF7">
        <w:trPr>
          <w:cantSplit/>
        </w:trPr>
        <w:tc>
          <w:tcPr>
            <w:tcW w:w="3227" w:type="dxa"/>
            <w:tcBorders>
              <w:top w:val="single" w:sz="4" w:space="0" w:color="000000"/>
              <w:left w:val="single" w:sz="4" w:space="0" w:color="000000"/>
            </w:tcBorders>
          </w:tcPr>
          <w:p w14:paraId="49DD543A" w14:textId="77777777" w:rsidR="00EA5993" w:rsidRPr="00F25A60" w:rsidRDefault="00EA5993" w:rsidP="0048111F">
            <w:pPr>
              <w:pStyle w:val="EndnoteText"/>
              <w:keepNext/>
              <w:tabs>
                <w:tab w:val="clear" w:pos="567"/>
              </w:tabs>
              <w:snapToGrid w:val="0"/>
              <w:rPr>
                <w:color w:val="000000"/>
              </w:rPr>
            </w:pPr>
          </w:p>
        </w:tc>
        <w:tc>
          <w:tcPr>
            <w:tcW w:w="5852" w:type="dxa"/>
            <w:gridSpan w:val="3"/>
            <w:tcBorders>
              <w:top w:val="single" w:sz="4" w:space="0" w:color="000000"/>
              <w:left w:val="single" w:sz="4" w:space="0" w:color="000000"/>
              <w:right w:val="single" w:sz="4" w:space="0" w:color="000000"/>
            </w:tcBorders>
          </w:tcPr>
          <w:p w14:paraId="4AF52098" w14:textId="77777777" w:rsidR="00EA5993" w:rsidRPr="00F25A60" w:rsidRDefault="00EA5993" w:rsidP="0048111F">
            <w:pPr>
              <w:pStyle w:val="EndnoteText"/>
              <w:keepNext/>
              <w:tabs>
                <w:tab w:val="clear" w:pos="567"/>
              </w:tabs>
              <w:snapToGrid w:val="0"/>
              <w:jc w:val="center"/>
              <w:rPr>
                <w:color w:val="000000"/>
              </w:rPr>
            </w:pPr>
            <w:r w:rsidRPr="00F25A60">
              <w:rPr>
                <w:color w:val="000000"/>
              </w:rPr>
              <w:t>% pacientů (CI</w:t>
            </w:r>
            <w:r w:rsidRPr="00F25A60">
              <w:rPr>
                <w:color w:val="000000"/>
                <w:vertAlign w:val="subscript"/>
              </w:rPr>
              <w:t>95%</w:t>
            </w:r>
            <w:r w:rsidRPr="00F25A60">
              <w:rPr>
                <w:color w:val="000000"/>
              </w:rPr>
              <w:t>)</w:t>
            </w:r>
          </w:p>
        </w:tc>
      </w:tr>
      <w:tr w:rsidR="00EA5993" w:rsidRPr="00F25A60" w14:paraId="7C0CFCF3" w14:textId="77777777" w:rsidTr="00EB4FF7">
        <w:trPr>
          <w:cantSplit/>
        </w:trPr>
        <w:tc>
          <w:tcPr>
            <w:tcW w:w="3227" w:type="dxa"/>
            <w:tcBorders>
              <w:top w:val="single" w:sz="4" w:space="0" w:color="000000"/>
              <w:left w:val="single" w:sz="4" w:space="0" w:color="000000"/>
            </w:tcBorders>
          </w:tcPr>
          <w:p w14:paraId="71FFE502" w14:textId="77777777" w:rsidR="00EA5993" w:rsidRPr="00F25A60" w:rsidRDefault="00EA5993" w:rsidP="0048111F">
            <w:pPr>
              <w:pStyle w:val="EndnoteText"/>
              <w:keepNext/>
              <w:tabs>
                <w:tab w:val="clear" w:pos="567"/>
              </w:tabs>
              <w:snapToGrid w:val="0"/>
              <w:rPr>
                <w:color w:val="000000"/>
                <w:vertAlign w:val="superscript"/>
              </w:rPr>
            </w:pPr>
            <w:r w:rsidRPr="00F25A60">
              <w:rPr>
                <w:color w:val="000000"/>
              </w:rPr>
              <w:t>Hematologická odpověď</w:t>
            </w:r>
            <w:r w:rsidRPr="00F25A60">
              <w:rPr>
                <w:color w:val="000000"/>
                <w:vertAlign w:val="superscript"/>
              </w:rPr>
              <w:t>1</w:t>
            </w:r>
          </w:p>
        </w:tc>
        <w:tc>
          <w:tcPr>
            <w:tcW w:w="1898" w:type="dxa"/>
            <w:tcBorders>
              <w:top w:val="single" w:sz="4" w:space="0" w:color="000000"/>
              <w:left w:val="single" w:sz="4" w:space="0" w:color="000000"/>
            </w:tcBorders>
          </w:tcPr>
          <w:p w14:paraId="01017E02" w14:textId="77777777" w:rsidR="00EA5993" w:rsidRPr="00F25A60" w:rsidRDefault="00EA5993" w:rsidP="0048111F">
            <w:pPr>
              <w:pStyle w:val="EndnoteText"/>
              <w:keepNext/>
              <w:tabs>
                <w:tab w:val="clear" w:pos="567"/>
              </w:tabs>
              <w:snapToGrid w:val="0"/>
              <w:jc w:val="center"/>
              <w:rPr>
                <w:color w:val="000000"/>
              </w:rPr>
            </w:pPr>
            <w:r w:rsidRPr="00F25A60">
              <w:rPr>
                <w:color w:val="000000"/>
              </w:rPr>
              <w:t>95</w:t>
            </w:r>
            <w:r w:rsidR="004B270C" w:rsidRPr="00F25A60">
              <w:rPr>
                <w:color w:val="000000"/>
              </w:rPr>
              <w:t> </w:t>
            </w:r>
            <w:r w:rsidRPr="00F25A60">
              <w:rPr>
                <w:color w:val="000000"/>
              </w:rPr>
              <w:t>% (92,3–96,3)</w:t>
            </w:r>
          </w:p>
        </w:tc>
        <w:tc>
          <w:tcPr>
            <w:tcW w:w="1985" w:type="dxa"/>
            <w:tcBorders>
              <w:top w:val="single" w:sz="4" w:space="0" w:color="000000"/>
              <w:left w:val="single" w:sz="4" w:space="0" w:color="000000"/>
            </w:tcBorders>
          </w:tcPr>
          <w:p w14:paraId="314BC501" w14:textId="77777777" w:rsidR="00EA5993" w:rsidRPr="00F25A60" w:rsidRDefault="00EA5993" w:rsidP="0048111F">
            <w:pPr>
              <w:pStyle w:val="EndnoteText"/>
              <w:keepNext/>
              <w:tabs>
                <w:tab w:val="clear" w:pos="567"/>
              </w:tabs>
              <w:snapToGrid w:val="0"/>
              <w:jc w:val="center"/>
              <w:rPr>
                <w:color w:val="000000"/>
              </w:rPr>
            </w:pPr>
            <w:r w:rsidRPr="00F25A60">
              <w:rPr>
                <w:color w:val="000000"/>
              </w:rPr>
              <w:t>71</w:t>
            </w:r>
            <w:r w:rsidR="004B270C" w:rsidRPr="00F25A60">
              <w:rPr>
                <w:color w:val="000000"/>
              </w:rPr>
              <w:t> </w:t>
            </w:r>
            <w:r w:rsidRPr="00F25A60">
              <w:rPr>
                <w:color w:val="000000"/>
              </w:rPr>
              <w:t>% (65,3–77,2)</w:t>
            </w:r>
          </w:p>
        </w:tc>
        <w:tc>
          <w:tcPr>
            <w:tcW w:w="1969" w:type="dxa"/>
            <w:tcBorders>
              <w:top w:val="single" w:sz="4" w:space="0" w:color="000000"/>
              <w:left w:val="single" w:sz="4" w:space="0" w:color="000000"/>
              <w:right w:val="single" w:sz="4" w:space="0" w:color="000000"/>
            </w:tcBorders>
          </w:tcPr>
          <w:p w14:paraId="42D18CA2" w14:textId="77777777" w:rsidR="00EA5993" w:rsidRPr="00F25A60" w:rsidRDefault="00EA5993" w:rsidP="0048111F">
            <w:pPr>
              <w:pStyle w:val="EndnoteText"/>
              <w:keepNext/>
              <w:tabs>
                <w:tab w:val="clear" w:pos="567"/>
              </w:tabs>
              <w:snapToGrid w:val="0"/>
              <w:jc w:val="center"/>
              <w:rPr>
                <w:color w:val="000000"/>
              </w:rPr>
            </w:pPr>
            <w:r w:rsidRPr="00F25A60">
              <w:rPr>
                <w:color w:val="000000"/>
              </w:rPr>
              <w:t>31</w:t>
            </w:r>
            <w:r w:rsidR="004B270C" w:rsidRPr="00F25A60">
              <w:rPr>
                <w:color w:val="000000"/>
              </w:rPr>
              <w:t> </w:t>
            </w:r>
            <w:r w:rsidRPr="00F25A60">
              <w:rPr>
                <w:color w:val="000000"/>
              </w:rPr>
              <w:t>% (25,2–36,8)</w:t>
            </w:r>
          </w:p>
        </w:tc>
      </w:tr>
      <w:tr w:rsidR="00EA5993" w:rsidRPr="00F25A60" w14:paraId="70F836CC" w14:textId="77777777" w:rsidTr="00EB4FF7">
        <w:trPr>
          <w:cantSplit/>
        </w:trPr>
        <w:tc>
          <w:tcPr>
            <w:tcW w:w="3227" w:type="dxa"/>
            <w:tcBorders>
              <w:left w:val="single" w:sz="4" w:space="0" w:color="000000"/>
            </w:tcBorders>
          </w:tcPr>
          <w:p w14:paraId="1950F38F" w14:textId="77777777" w:rsidR="00EA5993" w:rsidRPr="00F25A60" w:rsidRDefault="00EA5993" w:rsidP="0048111F">
            <w:pPr>
              <w:pStyle w:val="EndnoteText"/>
              <w:keepNext/>
              <w:tabs>
                <w:tab w:val="clear" w:pos="567"/>
              </w:tabs>
              <w:snapToGrid w:val="0"/>
              <w:ind w:left="284"/>
              <w:rPr>
                <w:color w:val="000000"/>
              </w:rPr>
            </w:pPr>
            <w:r w:rsidRPr="00F25A60">
              <w:rPr>
                <w:color w:val="000000"/>
              </w:rPr>
              <w:t>Kompletní hematologická odpověď (</w:t>
            </w:r>
            <w:smartTag w:uri="urn:schemas-microsoft-com:office:smarttags" w:element="stockticker">
              <w:r w:rsidRPr="00F25A60">
                <w:rPr>
                  <w:color w:val="000000"/>
                </w:rPr>
                <w:t>CHR</w:t>
              </w:r>
            </w:smartTag>
            <w:r w:rsidRPr="00F25A60">
              <w:rPr>
                <w:color w:val="000000"/>
              </w:rPr>
              <w:t>)</w:t>
            </w:r>
          </w:p>
        </w:tc>
        <w:tc>
          <w:tcPr>
            <w:tcW w:w="1898" w:type="dxa"/>
            <w:tcBorders>
              <w:left w:val="single" w:sz="4" w:space="0" w:color="000000"/>
            </w:tcBorders>
          </w:tcPr>
          <w:p w14:paraId="519C8366" w14:textId="77777777" w:rsidR="00EA5993" w:rsidRPr="00F25A60" w:rsidRDefault="00EA5993" w:rsidP="0048111F">
            <w:pPr>
              <w:pStyle w:val="EndnoteText"/>
              <w:keepNext/>
              <w:tabs>
                <w:tab w:val="clear" w:pos="567"/>
              </w:tabs>
              <w:snapToGrid w:val="0"/>
              <w:jc w:val="center"/>
              <w:rPr>
                <w:color w:val="000000"/>
              </w:rPr>
            </w:pPr>
            <w:r w:rsidRPr="00F25A60">
              <w:rPr>
                <w:color w:val="000000"/>
              </w:rPr>
              <w:t>95</w:t>
            </w:r>
            <w:r w:rsidR="004B270C" w:rsidRPr="00F25A60">
              <w:rPr>
                <w:color w:val="000000"/>
              </w:rPr>
              <w:t> </w:t>
            </w:r>
            <w:r w:rsidRPr="00F25A60">
              <w:rPr>
                <w:color w:val="000000"/>
              </w:rPr>
              <w:t>%</w:t>
            </w:r>
          </w:p>
        </w:tc>
        <w:tc>
          <w:tcPr>
            <w:tcW w:w="1985" w:type="dxa"/>
            <w:tcBorders>
              <w:left w:val="single" w:sz="4" w:space="0" w:color="000000"/>
            </w:tcBorders>
          </w:tcPr>
          <w:p w14:paraId="7C69C0B5" w14:textId="77777777" w:rsidR="00EA5993" w:rsidRPr="00F25A60" w:rsidRDefault="00EA5993" w:rsidP="0048111F">
            <w:pPr>
              <w:pStyle w:val="EndnoteText"/>
              <w:keepNext/>
              <w:tabs>
                <w:tab w:val="clear" w:pos="567"/>
              </w:tabs>
              <w:snapToGrid w:val="0"/>
              <w:jc w:val="center"/>
              <w:rPr>
                <w:color w:val="000000"/>
              </w:rPr>
            </w:pPr>
            <w:r w:rsidRPr="00F25A60">
              <w:rPr>
                <w:color w:val="000000"/>
              </w:rPr>
              <w:t>42</w:t>
            </w:r>
            <w:r w:rsidR="004B270C" w:rsidRPr="00F25A60">
              <w:rPr>
                <w:color w:val="000000"/>
              </w:rPr>
              <w:t> </w:t>
            </w:r>
            <w:r w:rsidRPr="00F25A60">
              <w:rPr>
                <w:color w:val="000000"/>
              </w:rPr>
              <w:t>%</w:t>
            </w:r>
          </w:p>
        </w:tc>
        <w:tc>
          <w:tcPr>
            <w:tcW w:w="1969" w:type="dxa"/>
            <w:tcBorders>
              <w:left w:val="single" w:sz="4" w:space="0" w:color="000000"/>
              <w:right w:val="single" w:sz="4" w:space="0" w:color="000000"/>
            </w:tcBorders>
          </w:tcPr>
          <w:p w14:paraId="0012EC19" w14:textId="77777777" w:rsidR="00EA5993" w:rsidRPr="00F25A60" w:rsidRDefault="00EA5993" w:rsidP="0048111F">
            <w:pPr>
              <w:pStyle w:val="EndnoteText"/>
              <w:keepNext/>
              <w:tabs>
                <w:tab w:val="clear" w:pos="567"/>
              </w:tabs>
              <w:snapToGrid w:val="0"/>
              <w:jc w:val="center"/>
              <w:rPr>
                <w:color w:val="000000"/>
              </w:rPr>
            </w:pPr>
            <w:r w:rsidRPr="00F25A60">
              <w:rPr>
                <w:color w:val="000000"/>
              </w:rPr>
              <w:t>8</w:t>
            </w:r>
            <w:r w:rsidR="004B270C" w:rsidRPr="00F25A60">
              <w:rPr>
                <w:color w:val="000000"/>
              </w:rPr>
              <w:t> </w:t>
            </w:r>
            <w:r w:rsidRPr="00F25A60">
              <w:rPr>
                <w:color w:val="000000"/>
              </w:rPr>
              <w:t>%</w:t>
            </w:r>
          </w:p>
        </w:tc>
      </w:tr>
      <w:tr w:rsidR="00EA5993" w:rsidRPr="00F25A60" w14:paraId="1292E274" w14:textId="77777777" w:rsidTr="00EB4FF7">
        <w:trPr>
          <w:cantSplit/>
        </w:trPr>
        <w:tc>
          <w:tcPr>
            <w:tcW w:w="3227" w:type="dxa"/>
            <w:tcBorders>
              <w:left w:val="single" w:sz="4" w:space="0" w:color="000000"/>
            </w:tcBorders>
          </w:tcPr>
          <w:p w14:paraId="7D5B2765" w14:textId="77777777" w:rsidR="00EA5993" w:rsidRPr="00F25A60" w:rsidRDefault="00EA5993" w:rsidP="0048111F">
            <w:pPr>
              <w:pStyle w:val="EndnoteText"/>
              <w:keepNext/>
              <w:tabs>
                <w:tab w:val="clear" w:pos="567"/>
              </w:tabs>
              <w:snapToGrid w:val="0"/>
              <w:ind w:left="284"/>
              <w:rPr>
                <w:color w:val="000000"/>
              </w:rPr>
            </w:pPr>
            <w:r w:rsidRPr="00F25A60">
              <w:rPr>
                <w:color w:val="000000"/>
              </w:rPr>
              <w:t>Bez průkazu leukemie (NEL)</w:t>
            </w:r>
          </w:p>
        </w:tc>
        <w:tc>
          <w:tcPr>
            <w:tcW w:w="1898" w:type="dxa"/>
            <w:tcBorders>
              <w:left w:val="single" w:sz="4" w:space="0" w:color="000000"/>
            </w:tcBorders>
          </w:tcPr>
          <w:p w14:paraId="2D033BEA" w14:textId="77777777" w:rsidR="00EA5993" w:rsidRPr="00F25A60" w:rsidRDefault="00EA5993" w:rsidP="0048111F">
            <w:pPr>
              <w:pStyle w:val="EndnoteText"/>
              <w:keepNext/>
              <w:tabs>
                <w:tab w:val="clear" w:pos="567"/>
              </w:tabs>
              <w:snapToGrid w:val="0"/>
              <w:jc w:val="center"/>
              <w:rPr>
                <w:color w:val="000000"/>
              </w:rPr>
            </w:pPr>
            <w:r w:rsidRPr="00F25A60">
              <w:rPr>
                <w:color w:val="000000"/>
              </w:rPr>
              <w:t>Neaplikovatelné</w:t>
            </w:r>
          </w:p>
        </w:tc>
        <w:tc>
          <w:tcPr>
            <w:tcW w:w="1985" w:type="dxa"/>
            <w:tcBorders>
              <w:left w:val="single" w:sz="4" w:space="0" w:color="000000"/>
            </w:tcBorders>
          </w:tcPr>
          <w:p w14:paraId="701E3AF9" w14:textId="77777777" w:rsidR="00EA5993" w:rsidRPr="00F25A60" w:rsidRDefault="00EA5993" w:rsidP="0048111F">
            <w:pPr>
              <w:pStyle w:val="EndnoteText"/>
              <w:keepNext/>
              <w:tabs>
                <w:tab w:val="clear" w:pos="567"/>
              </w:tabs>
              <w:snapToGrid w:val="0"/>
              <w:jc w:val="center"/>
              <w:rPr>
                <w:color w:val="000000"/>
              </w:rPr>
            </w:pPr>
            <w:r w:rsidRPr="00F25A60">
              <w:rPr>
                <w:color w:val="000000"/>
              </w:rPr>
              <w:t>12</w:t>
            </w:r>
            <w:r w:rsidR="004B270C" w:rsidRPr="00F25A60">
              <w:rPr>
                <w:color w:val="000000"/>
              </w:rPr>
              <w:t> </w:t>
            </w:r>
            <w:r w:rsidRPr="00F25A60">
              <w:rPr>
                <w:color w:val="000000"/>
              </w:rPr>
              <w:t>%</w:t>
            </w:r>
          </w:p>
        </w:tc>
        <w:tc>
          <w:tcPr>
            <w:tcW w:w="1969" w:type="dxa"/>
            <w:tcBorders>
              <w:left w:val="single" w:sz="4" w:space="0" w:color="000000"/>
              <w:right w:val="single" w:sz="4" w:space="0" w:color="000000"/>
            </w:tcBorders>
          </w:tcPr>
          <w:p w14:paraId="52C960C9" w14:textId="77777777" w:rsidR="00EA5993" w:rsidRPr="00F25A60" w:rsidRDefault="00EA5993" w:rsidP="0048111F">
            <w:pPr>
              <w:pStyle w:val="EndnoteText"/>
              <w:keepNext/>
              <w:tabs>
                <w:tab w:val="clear" w:pos="567"/>
              </w:tabs>
              <w:snapToGrid w:val="0"/>
              <w:jc w:val="center"/>
              <w:rPr>
                <w:color w:val="000000"/>
              </w:rPr>
            </w:pPr>
            <w:r w:rsidRPr="00F25A60">
              <w:rPr>
                <w:color w:val="000000"/>
              </w:rPr>
              <w:t>5</w:t>
            </w:r>
            <w:r w:rsidR="004B270C" w:rsidRPr="00F25A60">
              <w:rPr>
                <w:color w:val="000000"/>
              </w:rPr>
              <w:t> </w:t>
            </w:r>
            <w:r w:rsidRPr="00F25A60">
              <w:rPr>
                <w:color w:val="000000"/>
              </w:rPr>
              <w:t>%</w:t>
            </w:r>
          </w:p>
        </w:tc>
      </w:tr>
      <w:tr w:rsidR="00EA5993" w:rsidRPr="00F25A60" w14:paraId="5B39BCB3" w14:textId="77777777" w:rsidTr="00EB4FF7">
        <w:trPr>
          <w:cantSplit/>
        </w:trPr>
        <w:tc>
          <w:tcPr>
            <w:tcW w:w="3227" w:type="dxa"/>
            <w:tcBorders>
              <w:left w:val="single" w:sz="4" w:space="0" w:color="000000"/>
            </w:tcBorders>
          </w:tcPr>
          <w:p w14:paraId="2806310B" w14:textId="77777777" w:rsidR="00EA5993" w:rsidRPr="00F25A60" w:rsidRDefault="00EA5993" w:rsidP="0048111F">
            <w:pPr>
              <w:pStyle w:val="EndnoteText"/>
              <w:keepNext/>
              <w:tabs>
                <w:tab w:val="clear" w:pos="567"/>
              </w:tabs>
              <w:snapToGrid w:val="0"/>
              <w:ind w:left="284"/>
              <w:rPr>
                <w:color w:val="000000"/>
              </w:rPr>
            </w:pPr>
            <w:r w:rsidRPr="00F25A60">
              <w:rPr>
                <w:color w:val="000000"/>
              </w:rPr>
              <w:t>Návrat do chronické fáze (</w:t>
            </w:r>
            <w:smartTag w:uri="urn:schemas-microsoft-com:office:smarttags" w:element="stockticker">
              <w:r w:rsidRPr="00F25A60">
                <w:rPr>
                  <w:color w:val="000000"/>
                </w:rPr>
                <w:t>RTC</w:t>
              </w:r>
            </w:smartTag>
            <w:r w:rsidRPr="00F25A60">
              <w:rPr>
                <w:color w:val="000000"/>
              </w:rPr>
              <w:t>)</w:t>
            </w:r>
          </w:p>
        </w:tc>
        <w:tc>
          <w:tcPr>
            <w:tcW w:w="1898" w:type="dxa"/>
            <w:tcBorders>
              <w:left w:val="single" w:sz="4" w:space="0" w:color="000000"/>
            </w:tcBorders>
          </w:tcPr>
          <w:p w14:paraId="10942F9E" w14:textId="77777777" w:rsidR="00EA5993" w:rsidRPr="00F25A60" w:rsidRDefault="00EA5993" w:rsidP="0048111F">
            <w:pPr>
              <w:pStyle w:val="EndnoteText"/>
              <w:keepNext/>
              <w:tabs>
                <w:tab w:val="clear" w:pos="567"/>
              </w:tabs>
              <w:snapToGrid w:val="0"/>
              <w:jc w:val="center"/>
              <w:rPr>
                <w:color w:val="000000"/>
              </w:rPr>
            </w:pPr>
            <w:r w:rsidRPr="00F25A60">
              <w:rPr>
                <w:color w:val="000000"/>
              </w:rPr>
              <w:t>Neaplikovatelné</w:t>
            </w:r>
          </w:p>
        </w:tc>
        <w:tc>
          <w:tcPr>
            <w:tcW w:w="1985" w:type="dxa"/>
            <w:tcBorders>
              <w:left w:val="single" w:sz="4" w:space="0" w:color="000000"/>
            </w:tcBorders>
          </w:tcPr>
          <w:p w14:paraId="1FF371DA" w14:textId="77777777" w:rsidR="00EA5993" w:rsidRPr="00F25A60" w:rsidRDefault="00EA5993" w:rsidP="0048111F">
            <w:pPr>
              <w:pStyle w:val="EndnoteText"/>
              <w:keepNext/>
              <w:tabs>
                <w:tab w:val="clear" w:pos="567"/>
              </w:tabs>
              <w:snapToGrid w:val="0"/>
              <w:jc w:val="center"/>
              <w:rPr>
                <w:color w:val="000000"/>
              </w:rPr>
            </w:pPr>
            <w:r w:rsidRPr="00F25A60">
              <w:rPr>
                <w:color w:val="000000"/>
              </w:rPr>
              <w:t>17</w:t>
            </w:r>
            <w:r w:rsidR="004B270C" w:rsidRPr="00F25A60">
              <w:rPr>
                <w:color w:val="000000"/>
              </w:rPr>
              <w:t> </w:t>
            </w:r>
            <w:r w:rsidRPr="00F25A60">
              <w:rPr>
                <w:color w:val="000000"/>
              </w:rPr>
              <w:t>%</w:t>
            </w:r>
          </w:p>
        </w:tc>
        <w:tc>
          <w:tcPr>
            <w:tcW w:w="1969" w:type="dxa"/>
            <w:tcBorders>
              <w:left w:val="single" w:sz="4" w:space="0" w:color="000000"/>
              <w:right w:val="single" w:sz="4" w:space="0" w:color="000000"/>
            </w:tcBorders>
          </w:tcPr>
          <w:p w14:paraId="59638D8A" w14:textId="77777777" w:rsidR="00EA5993" w:rsidRPr="00F25A60" w:rsidRDefault="00EA5993" w:rsidP="0048111F">
            <w:pPr>
              <w:pStyle w:val="EndnoteText"/>
              <w:keepNext/>
              <w:tabs>
                <w:tab w:val="clear" w:pos="567"/>
              </w:tabs>
              <w:snapToGrid w:val="0"/>
              <w:jc w:val="center"/>
              <w:rPr>
                <w:color w:val="000000"/>
              </w:rPr>
            </w:pPr>
            <w:r w:rsidRPr="00F25A60">
              <w:rPr>
                <w:color w:val="000000"/>
              </w:rPr>
              <w:t>18</w:t>
            </w:r>
            <w:r w:rsidR="004B270C" w:rsidRPr="00F25A60">
              <w:rPr>
                <w:color w:val="000000"/>
              </w:rPr>
              <w:t> </w:t>
            </w:r>
            <w:r w:rsidRPr="00F25A60">
              <w:rPr>
                <w:color w:val="000000"/>
              </w:rPr>
              <w:t>%</w:t>
            </w:r>
          </w:p>
        </w:tc>
      </w:tr>
      <w:tr w:rsidR="00EA5993" w:rsidRPr="00F25A60" w14:paraId="7F0391DB" w14:textId="77777777" w:rsidTr="00EB4FF7">
        <w:trPr>
          <w:cantSplit/>
        </w:trPr>
        <w:tc>
          <w:tcPr>
            <w:tcW w:w="3227" w:type="dxa"/>
            <w:tcBorders>
              <w:top w:val="single" w:sz="4" w:space="0" w:color="000000"/>
              <w:left w:val="single" w:sz="4" w:space="0" w:color="000000"/>
            </w:tcBorders>
          </w:tcPr>
          <w:p w14:paraId="51090980" w14:textId="77777777" w:rsidR="00EA5993" w:rsidRPr="00F25A60" w:rsidRDefault="00EA5993" w:rsidP="0048111F">
            <w:pPr>
              <w:pStyle w:val="EndnoteText"/>
              <w:keepNext/>
              <w:tabs>
                <w:tab w:val="clear" w:pos="567"/>
              </w:tabs>
              <w:snapToGrid w:val="0"/>
              <w:rPr>
                <w:color w:val="000000"/>
                <w:vertAlign w:val="superscript"/>
              </w:rPr>
            </w:pPr>
            <w:r w:rsidRPr="00F25A60">
              <w:rPr>
                <w:color w:val="000000"/>
              </w:rPr>
              <w:t>Velká cytogenetická odpověď</w:t>
            </w:r>
            <w:r w:rsidRPr="00F25A60">
              <w:rPr>
                <w:color w:val="000000"/>
                <w:vertAlign w:val="superscript"/>
              </w:rPr>
              <w:t>2</w:t>
            </w:r>
          </w:p>
        </w:tc>
        <w:tc>
          <w:tcPr>
            <w:tcW w:w="1898" w:type="dxa"/>
            <w:tcBorders>
              <w:top w:val="single" w:sz="4" w:space="0" w:color="000000"/>
              <w:left w:val="single" w:sz="4" w:space="0" w:color="000000"/>
            </w:tcBorders>
          </w:tcPr>
          <w:p w14:paraId="62BE519C" w14:textId="77777777" w:rsidR="00EA5993" w:rsidRPr="00F25A60" w:rsidRDefault="00EA5993" w:rsidP="0048111F">
            <w:pPr>
              <w:pStyle w:val="EndnoteText"/>
              <w:keepNext/>
              <w:tabs>
                <w:tab w:val="clear" w:pos="567"/>
              </w:tabs>
              <w:snapToGrid w:val="0"/>
              <w:jc w:val="center"/>
              <w:rPr>
                <w:color w:val="000000"/>
              </w:rPr>
            </w:pPr>
            <w:r w:rsidRPr="00F25A60">
              <w:rPr>
                <w:color w:val="000000"/>
              </w:rPr>
              <w:t>65</w:t>
            </w:r>
            <w:r w:rsidR="004B270C" w:rsidRPr="00F25A60">
              <w:rPr>
                <w:color w:val="000000"/>
              </w:rPr>
              <w:t> </w:t>
            </w:r>
            <w:r w:rsidRPr="00F25A60">
              <w:rPr>
                <w:color w:val="000000"/>
              </w:rPr>
              <w:t>% (61,2–69,5)</w:t>
            </w:r>
          </w:p>
        </w:tc>
        <w:tc>
          <w:tcPr>
            <w:tcW w:w="1985" w:type="dxa"/>
            <w:tcBorders>
              <w:top w:val="single" w:sz="4" w:space="0" w:color="000000"/>
              <w:left w:val="single" w:sz="4" w:space="0" w:color="000000"/>
            </w:tcBorders>
          </w:tcPr>
          <w:p w14:paraId="3A4DACE8" w14:textId="77777777" w:rsidR="00EA5993" w:rsidRPr="00F25A60" w:rsidRDefault="00EA5993" w:rsidP="0048111F">
            <w:pPr>
              <w:pStyle w:val="EndnoteText"/>
              <w:keepNext/>
              <w:tabs>
                <w:tab w:val="clear" w:pos="567"/>
              </w:tabs>
              <w:snapToGrid w:val="0"/>
              <w:jc w:val="center"/>
              <w:rPr>
                <w:color w:val="000000"/>
              </w:rPr>
            </w:pPr>
            <w:r w:rsidRPr="00F25A60">
              <w:rPr>
                <w:color w:val="000000"/>
              </w:rPr>
              <w:t>28</w:t>
            </w:r>
            <w:r w:rsidR="004B270C" w:rsidRPr="00F25A60">
              <w:rPr>
                <w:color w:val="000000"/>
              </w:rPr>
              <w:t> </w:t>
            </w:r>
            <w:r w:rsidRPr="00F25A60">
              <w:rPr>
                <w:color w:val="000000"/>
              </w:rPr>
              <w:t>% (22,0–33,9)</w:t>
            </w:r>
          </w:p>
        </w:tc>
        <w:tc>
          <w:tcPr>
            <w:tcW w:w="1969" w:type="dxa"/>
            <w:tcBorders>
              <w:top w:val="single" w:sz="4" w:space="0" w:color="000000"/>
              <w:left w:val="single" w:sz="4" w:space="0" w:color="000000"/>
              <w:right w:val="single" w:sz="4" w:space="0" w:color="000000"/>
            </w:tcBorders>
          </w:tcPr>
          <w:p w14:paraId="50EF14F3" w14:textId="77777777" w:rsidR="00EA5993" w:rsidRPr="00F25A60" w:rsidRDefault="00EA5993" w:rsidP="0048111F">
            <w:pPr>
              <w:pStyle w:val="EndnoteText"/>
              <w:keepNext/>
              <w:tabs>
                <w:tab w:val="clear" w:pos="567"/>
              </w:tabs>
              <w:snapToGrid w:val="0"/>
              <w:jc w:val="center"/>
              <w:rPr>
                <w:color w:val="000000"/>
              </w:rPr>
            </w:pPr>
            <w:r w:rsidRPr="00F25A60">
              <w:rPr>
                <w:color w:val="000000"/>
              </w:rPr>
              <w:t>15</w:t>
            </w:r>
            <w:r w:rsidR="004B270C" w:rsidRPr="00F25A60">
              <w:rPr>
                <w:color w:val="000000"/>
              </w:rPr>
              <w:t> </w:t>
            </w:r>
            <w:r w:rsidRPr="00F25A60">
              <w:rPr>
                <w:color w:val="000000"/>
              </w:rPr>
              <w:t>% (11,2–20,4)</w:t>
            </w:r>
          </w:p>
        </w:tc>
      </w:tr>
      <w:tr w:rsidR="00EA5993" w:rsidRPr="00F25A60" w14:paraId="71E8FA9D" w14:textId="77777777" w:rsidTr="00EB4FF7">
        <w:trPr>
          <w:cantSplit/>
        </w:trPr>
        <w:tc>
          <w:tcPr>
            <w:tcW w:w="3227" w:type="dxa"/>
            <w:tcBorders>
              <w:left w:val="single" w:sz="4" w:space="0" w:color="000000"/>
            </w:tcBorders>
          </w:tcPr>
          <w:p w14:paraId="46FF67C2" w14:textId="77777777" w:rsidR="00EA5993" w:rsidRPr="00F25A60" w:rsidRDefault="00EA5993" w:rsidP="0048111F">
            <w:pPr>
              <w:pStyle w:val="EndnoteText"/>
              <w:keepNext/>
              <w:tabs>
                <w:tab w:val="clear" w:pos="567"/>
              </w:tabs>
              <w:snapToGrid w:val="0"/>
              <w:ind w:left="284"/>
              <w:rPr>
                <w:color w:val="000000"/>
              </w:rPr>
            </w:pPr>
            <w:r w:rsidRPr="00F25A60">
              <w:rPr>
                <w:color w:val="000000"/>
              </w:rPr>
              <w:t>Kompletní</w:t>
            </w:r>
          </w:p>
        </w:tc>
        <w:tc>
          <w:tcPr>
            <w:tcW w:w="1898" w:type="dxa"/>
            <w:tcBorders>
              <w:left w:val="single" w:sz="4" w:space="0" w:color="000000"/>
            </w:tcBorders>
          </w:tcPr>
          <w:p w14:paraId="4F3C5837" w14:textId="77777777" w:rsidR="00EA5993" w:rsidRPr="00F25A60" w:rsidRDefault="00EA5993" w:rsidP="0048111F">
            <w:pPr>
              <w:pStyle w:val="EndnoteText"/>
              <w:keepNext/>
              <w:tabs>
                <w:tab w:val="clear" w:pos="567"/>
              </w:tabs>
              <w:snapToGrid w:val="0"/>
              <w:jc w:val="center"/>
              <w:rPr>
                <w:color w:val="000000"/>
              </w:rPr>
            </w:pPr>
            <w:r w:rsidRPr="00F25A60">
              <w:rPr>
                <w:color w:val="000000"/>
              </w:rPr>
              <w:t>53</w:t>
            </w:r>
            <w:r w:rsidR="004B270C" w:rsidRPr="00F25A60">
              <w:rPr>
                <w:color w:val="000000"/>
              </w:rPr>
              <w:t> </w:t>
            </w:r>
            <w:r w:rsidRPr="00F25A60">
              <w:rPr>
                <w:color w:val="000000"/>
              </w:rPr>
              <w:t>%</w:t>
            </w:r>
          </w:p>
        </w:tc>
        <w:tc>
          <w:tcPr>
            <w:tcW w:w="1985" w:type="dxa"/>
            <w:tcBorders>
              <w:left w:val="single" w:sz="4" w:space="0" w:color="000000"/>
            </w:tcBorders>
          </w:tcPr>
          <w:p w14:paraId="59110E8B" w14:textId="77777777" w:rsidR="00EA5993" w:rsidRPr="00F25A60" w:rsidRDefault="00EA5993" w:rsidP="0048111F">
            <w:pPr>
              <w:pStyle w:val="EndnoteText"/>
              <w:keepNext/>
              <w:tabs>
                <w:tab w:val="clear" w:pos="567"/>
              </w:tabs>
              <w:snapToGrid w:val="0"/>
              <w:jc w:val="center"/>
              <w:rPr>
                <w:color w:val="000000"/>
              </w:rPr>
            </w:pPr>
            <w:r w:rsidRPr="00F25A60">
              <w:rPr>
                <w:color w:val="000000"/>
              </w:rPr>
              <w:t>20</w:t>
            </w:r>
            <w:r w:rsidR="004B270C" w:rsidRPr="00F25A60">
              <w:rPr>
                <w:color w:val="000000"/>
              </w:rPr>
              <w:t> </w:t>
            </w:r>
            <w:r w:rsidRPr="00F25A60">
              <w:rPr>
                <w:color w:val="000000"/>
              </w:rPr>
              <w:t>%</w:t>
            </w:r>
          </w:p>
        </w:tc>
        <w:tc>
          <w:tcPr>
            <w:tcW w:w="1969" w:type="dxa"/>
            <w:tcBorders>
              <w:left w:val="single" w:sz="4" w:space="0" w:color="000000"/>
              <w:right w:val="single" w:sz="4" w:space="0" w:color="000000"/>
            </w:tcBorders>
          </w:tcPr>
          <w:p w14:paraId="7E67DF28" w14:textId="77777777" w:rsidR="00EA5993" w:rsidRPr="00F25A60" w:rsidRDefault="00EA5993" w:rsidP="0048111F">
            <w:pPr>
              <w:pStyle w:val="EndnoteText"/>
              <w:keepNext/>
              <w:tabs>
                <w:tab w:val="clear" w:pos="567"/>
              </w:tabs>
              <w:snapToGrid w:val="0"/>
              <w:jc w:val="center"/>
              <w:rPr>
                <w:color w:val="000000"/>
              </w:rPr>
            </w:pPr>
            <w:r w:rsidRPr="00F25A60">
              <w:rPr>
                <w:color w:val="000000"/>
              </w:rPr>
              <w:t>7</w:t>
            </w:r>
            <w:r w:rsidR="004B270C" w:rsidRPr="00F25A60">
              <w:rPr>
                <w:color w:val="000000"/>
              </w:rPr>
              <w:t> </w:t>
            </w:r>
            <w:r w:rsidRPr="00F25A60">
              <w:rPr>
                <w:color w:val="000000"/>
              </w:rPr>
              <w:t>%</w:t>
            </w:r>
          </w:p>
        </w:tc>
      </w:tr>
      <w:tr w:rsidR="00EA5993" w:rsidRPr="00F25A60" w14:paraId="7E7A1C24" w14:textId="77777777" w:rsidTr="00EB4FF7">
        <w:trPr>
          <w:cantSplit/>
        </w:trPr>
        <w:tc>
          <w:tcPr>
            <w:tcW w:w="3227" w:type="dxa"/>
            <w:tcBorders>
              <w:left w:val="single" w:sz="4" w:space="0" w:color="000000"/>
            </w:tcBorders>
          </w:tcPr>
          <w:p w14:paraId="11E34742" w14:textId="77777777" w:rsidR="00EA5993" w:rsidRPr="00F25A60" w:rsidRDefault="00EA5993" w:rsidP="0048111F">
            <w:pPr>
              <w:pStyle w:val="Zkladntextodsazen21"/>
              <w:keepNext/>
              <w:tabs>
                <w:tab w:val="left" w:pos="851"/>
                <w:tab w:val="left" w:pos="1135"/>
                <w:tab w:val="left" w:pos="1419"/>
              </w:tabs>
              <w:snapToGrid w:val="0"/>
              <w:spacing w:line="240" w:lineRule="auto"/>
              <w:ind w:left="284" w:firstLine="0"/>
              <w:rPr>
                <w:b w:val="0"/>
                <w:color w:val="000000"/>
              </w:rPr>
            </w:pPr>
            <w:r w:rsidRPr="00F25A60">
              <w:rPr>
                <w:b w:val="0"/>
                <w:color w:val="000000"/>
              </w:rPr>
              <w:t>(Potvrzeno</w:t>
            </w:r>
            <w:r w:rsidRPr="00F25A60">
              <w:rPr>
                <w:b w:val="0"/>
                <w:color w:val="000000"/>
                <w:vertAlign w:val="superscript"/>
              </w:rPr>
              <w:t>3</w:t>
            </w:r>
            <w:r w:rsidRPr="00F25A60">
              <w:rPr>
                <w:b w:val="0"/>
                <w:color w:val="000000"/>
              </w:rPr>
              <w:t>) [95% CI]</w:t>
            </w:r>
          </w:p>
        </w:tc>
        <w:tc>
          <w:tcPr>
            <w:tcW w:w="1898" w:type="dxa"/>
            <w:tcBorders>
              <w:left w:val="single" w:sz="4" w:space="0" w:color="000000"/>
            </w:tcBorders>
          </w:tcPr>
          <w:p w14:paraId="573169F2" w14:textId="77777777" w:rsidR="00EA5993" w:rsidRPr="00F25A60" w:rsidRDefault="00EA5993" w:rsidP="0048111F">
            <w:pPr>
              <w:pStyle w:val="Zkladntextodsazen21"/>
              <w:keepNext/>
              <w:snapToGrid w:val="0"/>
              <w:spacing w:line="240" w:lineRule="auto"/>
              <w:ind w:right="-53"/>
              <w:jc w:val="center"/>
              <w:rPr>
                <w:b w:val="0"/>
                <w:color w:val="000000"/>
              </w:rPr>
            </w:pPr>
            <w:r w:rsidRPr="00F25A60">
              <w:rPr>
                <w:b w:val="0"/>
                <w:color w:val="000000"/>
              </w:rPr>
              <w:t>(43</w:t>
            </w:r>
            <w:r w:rsidR="004B270C" w:rsidRPr="00F25A60">
              <w:rPr>
                <w:b w:val="0"/>
                <w:color w:val="000000"/>
              </w:rPr>
              <w:t> </w:t>
            </w:r>
            <w:r w:rsidRPr="00F25A60">
              <w:rPr>
                <w:b w:val="0"/>
                <w:color w:val="000000"/>
              </w:rPr>
              <w:t>%) [38,6–47,2]</w:t>
            </w:r>
          </w:p>
        </w:tc>
        <w:tc>
          <w:tcPr>
            <w:tcW w:w="1985" w:type="dxa"/>
            <w:tcBorders>
              <w:left w:val="single" w:sz="4" w:space="0" w:color="000000"/>
            </w:tcBorders>
          </w:tcPr>
          <w:p w14:paraId="1DBA40E2" w14:textId="77777777" w:rsidR="00EA5993" w:rsidRPr="00F25A60" w:rsidRDefault="00EA5993" w:rsidP="0048111F">
            <w:pPr>
              <w:pStyle w:val="Zkladntextodsazen21"/>
              <w:keepNext/>
              <w:snapToGrid w:val="0"/>
              <w:spacing w:line="240" w:lineRule="auto"/>
              <w:jc w:val="center"/>
              <w:rPr>
                <w:b w:val="0"/>
                <w:color w:val="000000"/>
              </w:rPr>
            </w:pPr>
            <w:r w:rsidRPr="00F25A60">
              <w:rPr>
                <w:b w:val="0"/>
                <w:color w:val="000000"/>
              </w:rPr>
              <w:t>(16</w:t>
            </w:r>
            <w:r w:rsidR="004B270C" w:rsidRPr="00F25A60">
              <w:rPr>
                <w:b w:val="0"/>
                <w:color w:val="000000"/>
              </w:rPr>
              <w:t> </w:t>
            </w:r>
            <w:r w:rsidRPr="00F25A60">
              <w:rPr>
                <w:b w:val="0"/>
                <w:color w:val="000000"/>
              </w:rPr>
              <w:t>%) [11,3–21,0]</w:t>
            </w:r>
          </w:p>
        </w:tc>
        <w:tc>
          <w:tcPr>
            <w:tcW w:w="1969" w:type="dxa"/>
            <w:tcBorders>
              <w:left w:val="single" w:sz="4" w:space="0" w:color="000000"/>
              <w:right w:val="single" w:sz="4" w:space="0" w:color="000000"/>
            </w:tcBorders>
          </w:tcPr>
          <w:p w14:paraId="0D57DB06" w14:textId="77777777" w:rsidR="00EA5993" w:rsidRPr="00F25A60" w:rsidRDefault="00EA5993" w:rsidP="0048111F">
            <w:pPr>
              <w:pStyle w:val="Zkladntextodsazen21"/>
              <w:keepNext/>
              <w:snapToGrid w:val="0"/>
              <w:spacing w:line="240" w:lineRule="auto"/>
              <w:jc w:val="center"/>
              <w:rPr>
                <w:b w:val="0"/>
                <w:color w:val="000000"/>
              </w:rPr>
            </w:pPr>
            <w:r w:rsidRPr="00F25A60">
              <w:rPr>
                <w:b w:val="0"/>
                <w:color w:val="000000"/>
              </w:rPr>
              <w:t>(2</w:t>
            </w:r>
            <w:r w:rsidR="004B270C" w:rsidRPr="00F25A60">
              <w:rPr>
                <w:b w:val="0"/>
                <w:color w:val="000000"/>
              </w:rPr>
              <w:t> </w:t>
            </w:r>
            <w:r w:rsidRPr="00F25A60">
              <w:rPr>
                <w:b w:val="0"/>
                <w:color w:val="000000"/>
              </w:rPr>
              <w:t>%) [0,6–4,4]</w:t>
            </w:r>
          </w:p>
        </w:tc>
      </w:tr>
      <w:tr w:rsidR="00EA5993" w:rsidRPr="00F25A60" w14:paraId="3D15AEFA" w14:textId="77777777" w:rsidTr="00EB4FF7">
        <w:trPr>
          <w:cantSplit/>
        </w:trPr>
        <w:tc>
          <w:tcPr>
            <w:tcW w:w="3227" w:type="dxa"/>
            <w:tcBorders>
              <w:left w:val="single" w:sz="4" w:space="0" w:color="000000"/>
            </w:tcBorders>
          </w:tcPr>
          <w:p w14:paraId="2D967C4D" w14:textId="77777777" w:rsidR="00EA5993" w:rsidRPr="00F25A60" w:rsidRDefault="00EA5993" w:rsidP="0048111F">
            <w:pPr>
              <w:pStyle w:val="EndnoteText"/>
              <w:keepNext/>
              <w:tabs>
                <w:tab w:val="clear" w:pos="567"/>
              </w:tabs>
              <w:snapToGrid w:val="0"/>
              <w:ind w:left="284"/>
              <w:rPr>
                <w:color w:val="000000"/>
              </w:rPr>
            </w:pPr>
            <w:r w:rsidRPr="00F25A60">
              <w:rPr>
                <w:color w:val="000000"/>
              </w:rPr>
              <w:t>Parciální</w:t>
            </w:r>
          </w:p>
        </w:tc>
        <w:tc>
          <w:tcPr>
            <w:tcW w:w="1898" w:type="dxa"/>
            <w:tcBorders>
              <w:left w:val="single" w:sz="4" w:space="0" w:color="000000"/>
            </w:tcBorders>
          </w:tcPr>
          <w:p w14:paraId="012B6D1E" w14:textId="77777777" w:rsidR="00EA5993" w:rsidRPr="00F25A60" w:rsidRDefault="00EA5993" w:rsidP="0048111F">
            <w:pPr>
              <w:pStyle w:val="EndnoteText"/>
              <w:keepNext/>
              <w:tabs>
                <w:tab w:val="clear" w:pos="567"/>
              </w:tabs>
              <w:snapToGrid w:val="0"/>
              <w:jc w:val="center"/>
              <w:rPr>
                <w:color w:val="000000"/>
              </w:rPr>
            </w:pPr>
            <w:r w:rsidRPr="00F25A60">
              <w:rPr>
                <w:color w:val="000000"/>
              </w:rPr>
              <w:t>12</w:t>
            </w:r>
            <w:r w:rsidR="004B270C" w:rsidRPr="00F25A60">
              <w:rPr>
                <w:color w:val="000000"/>
              </w:rPr>
              <w:t> </w:t>
            </w:r>
            <w:r w:rsidRPr="00F25A60">
              <w:rPr>
                <w:color w:val="000000"/>
              </w:rPr>
              <w:t>%</w:t>
            </w:r>
          </w:p>
        </w:tc>
        <w:tc>
          <w:tcPr>
            <w:tcW w:w="1985" w:type="dxa"/>
            <w:tcBorders>
              <w:left w:val="single" w:sz="4" w:space="0" w:color="000000"/>
            </w:tcBorders>
          </w:tcPr>
          <w:p w14:paraId="7A05D4E3" w14:textId="77777777" w:rsidR="00EA5993" w:rsidRPr="00F25A60" w:rsidRDefault="00EA5993" w:rsidP="0048111F">
            <w:pPr>
              <w:pStyle w:val="EndnoteText"/>
              <w:keepNext/>
              <w:tabs>
                <w:tab w:val="clear" w:pos="567"/>
              </w:tabs>
              <w:snapToGrid w:val="0"/>
              <w:jc w:val="center"/>
              <w:rPr>
                <w:color w:val="000000"/>
              </w:rPr>
            </w:pPr>
            <w:r w:rsidRPr="00F25A60">
              <w:rPr>
                <w:color w:val="000000"/>
              </w:rPr>
              <w:t>7</w:t>
            </w:r>
            <w:r w:rsidR="004B270C" w:rsidRPr="00F25A60">
              <w:rPr>
                <w:color w:val="000000"/>
              </w:rPr>
              <w:t> </w:t>
            </w:r>
            <w:r w:rsidRPr="00F25A60">
              <w:rPr>
                <w:color w:val="000000"/>
              </w:rPr>
              <w:t>%</w:t>
            </w:r>
          </w:p>
        </w:tc>
        <w:tc>
          <w:tcPr>
            <w:tcW w:w="1969" w:type="dxa"/>
            <w:tcBorders>
              <w:left w:val="single" w:sz="4" w:space="0" w:color="000000"/>
              <w:right w:val="single" w:sz="4" w:space="0" w:color="000000"/>
            </w:tcBorders>
          </w:tcPr>
          <w:p w14:paraId="4CC50320" w14:textId="77777777" w:rsidR="00EA5993" w:rsidRPr="00F25A60" w:rsidRDefault="00EA5993" w:rsidP="0048111F">
            <w:pPr>
              <w:pStyle w:val="EndnoteText"/>
              <w:keepNext/>
              <w:tabs>
                <w:tab w:val="clear" w:pos="567"/>
              </w:tabs>
              <w:snapToGrid w:val="0"/>
              <w:jc w:val="center"/>
              <w:rPr>
                <w:color w:val="000000"/>
              </w:rPr>
            </w:pPr>
            <w:r w:rsidRPr="00F25A60">
              <w:rPr>
                <w:color w:val="000000"/>
              </w:rPr>
              <w:t>8</w:t>
            </w:r>
            <w:r w:rsidR="004B270C" w:rsidRPr="00F25A60">
              <w:rPr>
                <w:color w:val="000000"/>
              </w:rPr>
              <w:t> </w:t>
            </w:r>
            <w:r w:rsidRPr="00F25A60">
              <w:rPr>
                <w:color w:val="000000"/>
              </w:rPr>
              <w:t>%</w:t>
            </w:r>
          </w:p>
        </w:tc>
      </w:tr>
      <w:tr w:rsidR="00EA5993" w:rsidRPr="00F25A60" w14:paraId="24733D36" w14:textId="77777777" w:rsidTr="00EB4FF7">
        <w:trPr>
          <w:cantSplit/>
        </w:trPr>
        <w:tc>
          <w:tcPr>
            <w:tcW w:w="9079" w:type="dxa"/>
            <w:gridSpan w:val="4"/>
            <w:tcBorders>
              <w:top w:val="single" w:sz="4" w:space="0" w:color="000000"/>
              <w:left w:val="single" w:sz="4" w:space="0" w:color="000000"/>
              <w:bottom w:val="single" w:sz="4" w:space="0" w:color="000000"/>
              <w:right w:val="single" w:sz="4" w:space="0" w:color="000000"/>
            </w:tcBorders>
          </w:tcPr>
          <w:p w14:paraId="03E68A2F" w14:textId="77777777" w:rsidR="00EA5993" w:rsidRPr="00D567F2" w:rsidRDefault="00EA5993" w:rsidP="0048111F">
            <w:pPr>
              <w:pStyle w:val="Table"/>
              <w:keepNext w:val="0"/>
              <w:keepLines w:val="0"/>
              <w:snapToGrid w:val="0"/>
              <w:spacing w:before="0" w:after="0"/>
              <w:rPr>
                <w:rFonts w:ascii="Times New Roman" w:hAnsi="Times New Roman" w:cs="Times New Roman"/>
                <w:b/>
                <w:bCs/>
                <w:color w:val="000000"/>
                <w:lang w:val="cs-CZ"/>
                <w:rPrChange w:id="224" w:author="Author">
                  <w:rPr>
                    <w:rFonts w:ascii="Times New Roman" w:hAnsi="Times New Roman" w:cs="Times New Roman"/>
                    <w:b/>
                    <w:bCs/>
                    <w:color w:val="000000"/>
                    <w:sz w:val="22"/>
                    <w:szCs w:val="22"/>
                    <w:lang w:val="cs-CZ"/>
                  </w:rPr>
                </w:rPrChange>
              </w:rPr>
            </w:pPr>
            <w:r w:rsidRPr="00D567F2">
              <w:rPr>
                <w:rFonts w:ascii="Times New Roman" w:hAnsi="Times New Roman" w:cs="Times New Roman"/>
                <w:b/>
                <w:bCs/>
                <w:color w:val="000000"/>
                <w:vertAlign w:val="superscript"/>
                <w:lang w:val="cs-CZ"/>
                <w:rPrChange w:id="225" w:author="Author">
                  <w:rPr>
                    <w:rFonts w:ascii="Times New Roman" w:hAnsi="Times New Roman" w:cs="Times New Roman"/>
                    <w:b/>
                    <w:bCs/>
                    <w:color w:val="000000"/>
                    <w:sz w:val="22"/>
                    <w:szCs w:val="22"/>
                    <w:vertAlign w:val="superscript"/>
                    <w:lang w:val="cs-CZ"/>
                  </w:rPr>
                </w:rPrChange>
              </w:rPr>
              <w:t xml:space="preserve">1 </w:t>
            </w:r>
            <w:r w:rsidRPr="00D567F2">
              <w:rPr>
                <w:rFonts w:ascii="Times New Roman" w:hAnsi="Times New Roman" w:cs="Times New Roman"/>
                <w:b/>
                <w:bCs/>
                <w:color w:val="000000"/>
                <w:lang w:val="cs-CZ"/>
                <w:rPrChange w:id="226" w:author="Author">
                  <w:rPr>
                    <w:rFonts w:ascii="Times New Roman" w:hAnsi="Times New Roman" w:cs="Times New Roman"/>
                    <w:b/>
                    <w:bCs/>
                    <w:color w:val="000000"/>
                    <w:sz w:val="22"/>
                    <w:szCs w:val="22"/>
                    <w:lang w:val="cs-CZ"/>
                  </w:rPr>
                </w:rPrChange>
              </w:rPr>
              <w:t xml:space="preserve">Kritéria hematologické odpovědi (všechny odpovědi byly potvrzeny za </w:t>
            </w:r>
            <w:r w:rsidRPr="00D567F2">
              <w:rPr>
                <w:rFonts w:ascii="Symbol" w:hAnsi="Symbol"/>
                <w:b/>
                <w:bCs/>
                <w:color w:val="000000"/>
                <w:lang w:val="cs-CZ"/>
                <w:rPrChange w:id="227" w:author="Author">
                  <w:rPr>
                    <w:rFonts w:ascii="Symbol" w:hAnsi="Symbol"/>
                    <w:b/>
                    <w:bCs/>
                    <w:color w:val="000000"/>
                    <w:sz w:val="22"/>
                    <w:szCs w:val="22"/>
                    <w:lang w:val="cs-CZ"/>
                  </w:rPr>
                </w:rPrChange>
              </w:rPr>
              <w:t></w:t>
            </w:r>
            <w:r w:rsidRPr="00D567F2">
              <w:rPr>
                <w:rFonts w:ascii="Times New Roman" w:hAnsi="Times New Roman" w:cs="Times New Roman"/>
                <w:b/>
                <w:bCs/>
                <w:color w:val="000000"/>
                <w:lang w:val="cs-CZ"/>
                <w:rPrChange w:id="228" w:author="Author">
                  <w:rPr>
                    <w:rFonts w:ascii="Times New Roman" w:hAnsi="Times New Roman" w:cs="Times New Roman"/>
                    <w:b/>
                    <w:bCs/>
                    <w:color w:val="000000"/>
                    <w:sz w:val="22"/>
                    <w:szCs w:val="22"/>
                    <w:lang w:val="cs-CZ"/>
                  </w:rPr>
                </w:rPrChange>
              </w:rPr>
              <w:t> 4 týdny):</w:t>
            </w:r>
          </w:p>
          <w:p w14:paraId="3E4FECFD" w14:textId="77777777" w:rsidR="00EA5993" w:rsidRPr="00D567F2" w:rsidRDefault="00EA5993" w:rsidP="0048111F">
            <w:pPr>
              <w:pStyle w:val="Table"/>
              <w:keepNext w:val="0"/>
              <w:keepLines w:val="0"/>
              <w:tabs>
                <w:tab w:val="clear" w:pos="284"/>
                <w:tab w:val="clear" w:pos="567"/>
                <w:tab w:val="left" w:pos="2268"/>
              </w:tabs>
              <w:spacing w:before="0" w:after="0"/>
              <w:ind w:left="567" w:hanging="567"/>
              <w:rPr>
                <w:rFonts w:ascii="Times New Roman" w:hAnsi="Times New Roman" w:cs="Times New Roman"/>
                <w:color w:val="000000"/>
                <w:lang w:val="cs-CZ"/>
                <w:rPrChange w:id="229" w:author="Author">
                  <w:rPr>
                    <w:rFonts w:ascii="Times New Roman" w:hAnsi="Times New Roman" w:cs="Times New Roman"/>
                    <w:color w:val="000000"/>
                    <w:sz w:val="22"/>
                    <w:szCs w:val="22"/>
                    <w:lang w:val="cs-CZ"/>
                  </w:rPr>
                </w:rPrChange>
              </w:rPr>
            </w:pPr>
            <w:smartTag w:uri="urn:schemas-microsoft-com:office:smarttags" w:element="stockticker">
              <w:r w:rsidRPr="00D567F2">
                <w:rPr>
                  <w:rFonts w:ascii="Times New Roman" w:hAnsi="Times New Roman" w:cs="Times New Roman"/>
                  <w:color w:val="000000"/>
                  <w:lang w:val="cs-CZ"/>
                  <w:rPrChange w:id="230" w:author="Author">
                    <w:rPr>
                      <w:rFonts w:ascii="Times New Roman" w:hAnsi="Times New Roman" w:cs="Times New Roman"/>
                      <w:color w:val="000000"/>
                      <w:sz w:val="22"/>
                      <w:szCs w:val="22"/>
                      <w:lang w:val="cs-CZ"/>
                    </w:rPr>
                  </w:rPrChange>
                </w:rPr>
                <w:t>CHR</w:t>
              </w:r>
            </w:smartTag>
            <w:r w:rsidRPr="00D567F2">
              <w:rPr>
                <w:rFonts w:ascii="Times New Roman" w:hAnsi="Times New Roman" w:cs="Times New Roman"/>
                <w:color w:val="000000"/>
                <w:lang w:val="cs-CZ"/>
                <w:rPrChange w:id="231" w:author="Author">
                  <w:rPr>
                    <w:rFonts w:ascii="Times New Roman" w:hAnsi="Times New Roman" w:cs="Times New Roman"/>
                    <w:color w:val="000000"/>
                    <w:sz w:val="22"/>
                    <w:szCs w:val="22"/>
                    <w:lang w:val="cs-CZ"/>
                  </w:rPr>
                </w:rPrChange>
              </w:rPr>
              <w:tab/>
              <w:t xml:space="preserve">Studie 0110 [Počet </w:t>
            </w:r>
            <w:r w:rsidR="001844B9" w:rsidRPr="00D567F2">
              <w:rPr>
                <w:rFonts w:ascii="Times New Roman" w:hAnsi="Times New Roman" w:cs="Times New Roman"/>
                <w:color w:val="000000"/>
                <w:lang w:val="cs-CZ"/>
                <w:rPrChange w:id="232" w:author="Author">
                  <w:rPr>
                    <w:rFonts w:ascii="Times New Roman" w:hAnsi="Times New Roman" w:cs="Times New Roman"/>
                    <w:color w:val="000000"/>
                    <w:sz w:val="22"/>
                    <w:szCs w:val="22"/>
                    <w:lang w:val="cs-CZ"/>
                  </w:rPr>
                </w:rPrChange>
              </w:rPr>
              <w:t>leukocytů</w:t>
            </w:r>
            <w:r w:rsidRPr="00D567F2">
              <w:rPr>
                <w:rFonts w:ascii="Times New Roman" w:hAnsi="Times New Roman" w:cs="Times New Roman"/>
                <w:color w:val="000000"/>
                <w:lang w:val="cs-CZ"/>
                <w:rPrChange w:id="233" w:author="Author">
                  <w:rPr>
                    <w:rFonts w:ascii="Times New Roman" w:hAnsi="Times New Roman" w:cs="Times New Roman"/>
                    <w:color w:val="000000"/>
                    <w:sz w:val="22"/>
                    <w:szCs w:val="22"/>
                    <w:lang w:val="cs-CZ"/>
                  </w:rPr>
                </w:rPrChange>
              </w:rPr>
              <w:t xml:space="preserve"> &lt; 10 x 10</w:t>
            </w:r>
            <w:r w:rsidRPr="00D567F2">
              <w:rPr>
                <w:rFonts w:ascii="Times New Roman" w:hAnsi="Times New Roman" w:cs="Times New Roman"/>
                <w:color w:val="000000"/>
                <w:vertAlign w:val="superscript"/>
                <w:lang w:val="cs-CZ"/>
                <w:rPrChange w:id="234" w:author="Author">
                  <w:rPr>
                    <w:rFonts w:ascii="Times New Roman" w:hAnsi="Times New Roman" w:cs="Times New Roman"/>
                    <w:color w:val="000000"/>
                    <w:sz w:val="22"/>
                    <w:szCs w:val="22"/>
                    <w:vertAlign w:val="superscript"/>
                    <w:lang w:val="cs-CZ"/>
                  </w:rPr>
                </w:rPrChange>
              </w:rPr>
              <w:t>9</w:t>
            </w:r>
            <w:r w:rsidRPr="00D567F2">
              <w:rPr>
                <w:rFonts w:ascii="Times New Roman" w:hAnsi="Times New Roman" w:cs="Times New Roman"/>
                <w:color w:val="000000"/>
                <w:lang w:val="cs-CZ"/>
                <w:rPrChange w:id="235" w:author="Author">
                  <w:rPr>
                    <w:rFonts w:ascii="Times New Roman" w:hAnsi="Times New Roman" w:cs="Times New Roman"/>
                    <w:color w:val="000000"/>
                    <w:sz w:val="22"/>
                    <w:szCs w:val="22"/>
                    <w:lang w:val="cs-CZ"/>
                  </w:rPr>
                </w:rPrChange>
              </w:rPr>
              <w:t xml:space="preserve">/l, </w:t>
            </w:r>
            <w:r w:rsidR="001844B9" w:rsidRPr="00D567F2">
              <w:rPr>
                <w:rFonts w:ascii="Times New Roman" w:hAnsi="Times New Roman" w:cs="Times New Roman"/>
                <w:color w:val="000000"/>
                <w:lang w:val="cs-CZ"/>
                <w:rPrChange w:id="236" w:author="Author">
                  <w:rPr>
                    <w:rFonts w:ascii="Times New Roman" w:hAnsi="Times New Roman" w:cs="Times New Roman"/>
                    <w:color w:val="000000"/>
                    <w:sz w:val="22"/>
                    <w:szCs w:val="22"/>
                    <w:lang w:val="cs-CZ"/>
                  </w:rPr>
                </w:rPrChange>
              </w:rPr>
              <w:t>trombocyty</w:t>
            </w:r>
            <w:r w:rsidRPr="00D567F2">
              <w:rPr>
                <w:rFonts w:ascii="Times New Roman" w:hAnsi="Times New Roman" w:cs="Times New Roman"/>
                <w:color w:val="000000"/>
                <w:lang w:val="cs-CZ"/>
                <w:rPrChange w:id="237" w:author="Author">
                  <w:rPr>
                    <w:rFonts w:ascii="Times New Roman" w:hAnsi="Times New Roman" w:cs="Times New Roman"/>
                    <w:color w:val="000000"/>
                    <w:sz w:val="22"/>
                    <w:szCs w:val="22"/>
                    <w:lang w:val="cs-CZ"/>
                  </w:rPr>
                </w:rPrChange>
              </w:rPr>
              <w:t xml:space="preserve"> &lt; 450 x 10</w:t>
            </w:r>
            <w:r w:rsidRPr="00D567F2">
              <w:rPr>
                <w:rFonts w:ascii="Times New Roman" w:hAnsi="Times New Roman" w:cs="Times New Roman"/>
                <w:color w:val="000000"/>
                <w:vertAlign w:val="superscript"/>
                <w:lang w:val="cs-CZ"/>
                <w:rPrChange w:id="238" w:author="Author">
                  <w:rPr>
                    <w:rFonts w:ascii="Times New Roman" w:hAnsi="Times New Roman" w:cs="Times New Roman"/>
                    <w:color w:val="000000"/>
                    <w:sz w:val="22"/>
                    <w:szCs w:val="22"/>
                    <w:vertAlign w:val="superscript"/>
                    <w:lang w:val="cs-CZ"/>
                  </w:rPr>
                </w:rPrChange>
              </w:rPr>
              <w:t>9</w:t>
            </w:r>
            <w:r w:rsidRPr="00D567F2">
              <w:rPr>
                <w:rFonts w:ascii="Times New Roman" w:hAnsi="Times New Roman" w:cs="Times New Roman"/>
                <w:color w:val="000000"/>
                <w:lang w:val="cs-CZ"/>
                <w:rPrChange w:id="239" w:author="Author">
                  <w:rPr>
                    <w:rFonts w:ascii="Times New Roman" w:hAnsi="Times New Roman" w:cs="Times New Roman"/>
                    <w:color w:val="000000"/>
                    <w:sz w:val="22"/>
                    <w:szCs w:val="22"/>
                    <w:lang w:val="cs-CZ"/>
                  </w:rPr>
                </w:rPrChange>
              </w:rPr>
              <w:t>/l, myelocyty+metamyelocyty &lt; 5</w:t>
            </w:r>
            <w:r w:rsidR="004B270C" w:rsidRPr="00D567F2">
              <w:rPr>
                <w:rFonts w:ascii="Times New Roman" w:hAnsi="Times New Roman" w:cs="Times New Roman"/>
                <w:color w:val="000000"/>
                <w:lang w:val="cs-CZ"/>
                <w:rPrChange w:id="240" w:author="Author">
                  <w:rPr>
                    <w:rFonts w:ascii="Times New Roman" w:hAnsi="Times New Roman" w:cs="Times New Roman"/>
                    <w:color w:val="000000"/>
                    <w:sz w:val="22"/>
                    <w:szCs w:val="22"/>
                    <w:lang w:val="cs-CZ"/>
                  </w:rPr>
                </w:rPrChange>
              </w:rPr>
              <w:t> </w:t>
            </w:r>
            <w:r w:rsidRPr="00D567F2">
              <w:rPr>
                <w:rFonts w:ascii="Times New Roman" w:hAnsi="Times New Roman" w:cs="Times New Roman"/>
                <w:color w:val="000000"/>
                <w:lang w:val="cs-CZ"/>
                <w:rPrChange w:id="241" w:author="Author">
                  <w:rPr>
                    <w:rFonts w:ascii="Times New Roman" w:hAnsi="Times New Roman" w:cs="Times New Roman"/>
                    <w:color w:val="000000"/>
                    <w:sz w:val="22"/>
                    <w:szCs w:val="22"/>
                    <w:lang w:val="cs-CZ"/>
                  </w:rPr>
                </w:rPrChange>
              </w:rPr>
              <w:t>% v krvi, žádné blasty ani promyelocyty v krvi, basofily &lt; 20</w:t>
            </w:r>
            <w:r w:rsidR="004B270C" w:rsidRPr="00D567F2">
              <w:rPr>
                <w:rFonts w:ascii="Times New Roman" w:hAnsi="Times New Roman" w:cs="Times New Roman"/>
                <w:color w:val="000000"/>
                <w:lang w:val="cs-CZ"/>
                <w:rPrChange w:id="242" w:author="Author">
                  <w:rPr>
                    <w:rFonts w:ascii="Times New Roman" w:hAnsi="Times New Roman" w:cs="Times New Roman"/>
                    <w:color w:val="000000"/>
                    <w:sz w:val="22"/>
                    <w:szCs w:val="22"/>
                    <w:lang w:val="cs-CZ"/>
                  </w:rPr>
                </w:rPrChange>
              </w:rPr>
              <w:t> </w:t>
            </w:r>
            <w:r w:rsidRPr="00D567F2">
              <w:rPr>
                <w:rFonts w:ascii="Times New Roman" w:hAnsi="Times New Roman" w:cs="Times New Roman"/>
                <w:color w:val="000000"/>
                <w:lang w:val="cs-CZ"/>
                <w:rPrChange w:id="243" w:author="Author">
                  <w:rPr>
                    <w:rFonts w:ascii="Times New Roman" w:hAnsi="Times New Roman" w:cs="Times New Roman"/>
                    <w:color w:val="000000"/>
                    <w:sz w:val="22"/>
                    <w:szCs w:val="22"/>
                    <w:lang w:val="cs-CZ"/>
                  </w:rPr>
                </w:rPrChange>
              </w:rPr>
              <w:t xml:space="preserve">%, žádné extramedulární postižení] a ve studiích </w:t>
            </w:r>
            <w:smartTag w:uri="urn:schemas-microsoft-com:office:smarttags" w:element="metricconverter">
              <w:smartTagPr>
                <w:attr w:name="ProductID" w:val="0102 a"/>
              </w:smartTagPr>
              <w:r w:rsidRPr="00D567F2">
                <w:rPr>
                  <w:rFonts w:ascii="Times New Roman" w:hAnsi="Times New Roman" w:cs="Times New Roman"/>
                  <w:color w:val="000000"/>
                  <w:lang w:val="cs-CZ"/>
                  <w:rPrChange w:id="244" w:author="Author">
                    <w:rPr>
                      <w:rFonts w:ascii="Times New Roman" w:hAnsi="Times New Roman" w:cs="Times New Roman"/>
                      <w:color w:val="000000"/>
                      <w:sz w:val="22"/>
                      <w:szCs w:val="22"/>
                      <w:lang w:val="cs-CZ"/>
                    </w:rPr>
                  </w:rPrChange>
                </w:rPr>
                <w:t>0102 a</w:t>
              </w:r>
            </w:smartTag>
            <w:r w:rsidRPr="00D567F2">
              <w:rPr>
                <w:rFonts w:ascii="Times New Roman" w:hAnsi="Times New Roman" w:cs="Times New Roman"/>
                <w:color w:val="000000"/>
                <w:lang w:val="cs-CZ"/>
                <w:rPrChange w:id="245" w:author="Author">
                  <w:rPr>
                    <w:rFonts w:ascii="Times New Roman" w:hAnsi="Times New Roman" w:cs="Times New Roman"/>
                    <w:color w:val="000000"/>
                    <w:sz w:val="22"/>
                    <w:szCs w:val="22"/>
                    <w:lang w:val="cs-CZ"/>
                  </w:rPr>
                </w:rPrChange>
              </w:rPr>
              <w:t xml:space="preserve"> 0109 [ANC </w:t>
            </w:r>
            <w:r w:rsidRPr="00D567F2">
              <w:rPr>
                <w:rFonts w:ascii="Symbol" w:hAnsi="Symbol"/>
                <w:color w:val="000000"/>
                <w:lang w:val="cs-CZ"/>
                <w:rPrChange w:id="246" w:author="Author">
                  <w:rPr>
                    <w:rFonts w:ascii="Symbol" w:hAnsi="Symbol"/>
                    <w:color w:val="000000"/>
                    <w:sz w:val="22"/>
                    <w:szCs w:val="22"/>
                    <w:lang w:val="cs-CZ"/>
                  </w:rPr>
                </w:rPrChange>
              </w:rPr>
              <w:t></w:t>
            </w:r>
            <w:r w:rsidRPr="00D567F2">
              <w:rPr>
                <w:rFonts w:ascii="Times New Roman" w:hAnsi="Times New Roman" w:cs="Times New Roman"/>
                <w:color w:val="000000"/>
                <w:lang w:val="cs-CZ"/>
                <w:rPrChange w:id="247" w:author="Author">
                  <w:rPr>
                    <w:rFonts w:ascii="Times New Roman" w:hAnsi="Times New Roman" w:cs="Times New Roman"/>
                    <w:color w:val="000000"/>
                    <w:sz w:val="22"/>
                    <w:szCs w:val="22"/>
                    <w:lang w:val="cs-CZ"/>
                  </w:rPr>
                </w:rPrChange>
              </w:rPr>
              <w:t> 1,5 x 10</w:t>
            </w:r>
            <w:r w:rsidRPr="00D567F2">
              <w:rPr>
                <w:rFonts w:ascii="Times New Roman" w:hAnsi="Times New Roman" w:cs="Times New Roman"/>
                <w:color w:val="000000"/>
                <w:vertAlign w:val="superscript"/>
                <w:lang w:val="cs-CZ"/>
                <w:rPrChange w:id="248" w:author="Author">
                  <w:rPr>
                    <w:rFonts w:ascii="Times New Roman" w:hAnsi="Times New Roman" w:cs="Times New Roman"/>
                    <w:color w:val="000000"/>
                    <w:sz w:val="22"/>
                    <w:szCs w:val="22"/>
                    <w:vertAlign w:val="superscript"/>
                    <w:lang w:val="cs-CZ"/>
                  </w:rPr>
                </w:rPrChange>
              </w:rPr>
              <w:t>9</w:t>
            </w:r>
            <w:r w:rsidRPr="00D567F2">
              <w:rPr>
                <w:rFonts w:ascii="Times New Roman" w:hAnsi="Times New Roman" w:cs="Times New Roman"/>
                <w:color w:val="000000"/>
                <w:lang w:val="cs-CZ"/>
                <w:rPrChange w:id="249" w:author="Author">
                  <w:rPr>
                    <w:rFonts w:ascii="Times New Roman" w:hAnsi="Times New Roman" w:cs="Times New Roman"/>
                    <w:color w:val="000000"/>
                    <w:sz w:val="22"/>
                    <w:szCs w:val="22"/>
                    <w:lang w:val="cs-CZ"/>
                  </w:rPr>
                </w:rPrChange>
              </w:rPr>
              <w:t xml:space="preserve">/l, </w:t>
            </w:r>
            <w:r w:rsidR="001844B9" w:rsidRPr="00D567F2">
              <w:rPr>
                <w:rFonts w:ascii="Times New Roman" w:hAnsi="Times New Roman" w:cs="Times New Roman"/>
                <w:color w:val="000000"/>
                <w:lang w:val="cs-CZ"/>
                <w:rPrChange w:id="250" w:author="Author">
                  <w:rPr>
                    <w:rFonts w:ascii="Times New Roman" w:hAnsi="Times New Roman" w:cs="Times New Roman"/>
                    <w:color w:val="000000"/>
                    <w:sz w:val="22"/>
                    <w:szCs w:val="22"/>
                    <w:lang w:val="cs-CZ"/>
                  </w:rPr>
                </w:rPrChange>
              </w:rPr>
              <w:t>trombocyty</w:t>
            </w:r>
            <w:r w:rsidRPr="00D567F2">
              <w:rPr>
                <w:rFonts w:ascii="Times New Roman" w:hAnsi="Times New Roman" w:cs="Times New Roman"/>
                <w:color w:val="000000"/>
                <w:lang w:val="cs-CZ"/>
                <w:rPrChange w:id="251" w:author="Author">
                  <w:rPr>
                    <w:rFonts w:ascii="Times New Roman" w:hAnsi="Times New Roman" w:cs="Times New Roman"/>
                    <w:color w:val="000000"/>
                    <w:sz w:val="22"/>
                    <w:szCs w:val="22"/>
                    <w:lang w:val="cs-CZ"/>
                  </w:rPr>
                </w:rPrChange>
              </w:rPr>
              <w:t xml:space="preserve"> </w:t>
            </w:r>
            <w:r w:rsidRPr="00D567F2">
              <w:rPr>
                <w:rFonts w:ascii="Symbol" w:hAnsi="Symbol"/>
                <w:color w:val="000000"/>
                <w:lang w:val="cs-CZ"/>
                <w:rPrChange w:id="252" w:author="Author">
                  <w:rPr>
                    <w:rFonts w:ascii="Symbol" w:hAnsi="Symbol"/>
                    <w:color w:val="000000"/>
                    <w:sz w:val="22"/>
                    <w:szCs w:val="22"/>
                    <w:lang w:val="cs-CZ"/>
                  </w:rPr>
                </w:rPrChange>
              </w:rPr>
              <w:t></w:t>
            </w:r>
            <w:r w:rsidRPr="00D567F2">
              <w:rPr>
                <w:rFonts w:ascii="Times New Roman" w:hAnsi="Times New Roman" w:cs="Times New Roman"/>
                <w:color w:val="000000"/>
                <w:lang w:val="cs-CZ"/>
                <w:rPrChange w:id="253" w:author="Author">
                  <w:rPr>
                    <w:rFonts w:ascii="Times New Roman" w:hAnsi="Times New Roman" w:cs="Times New Roman"/>
                    <w:color w:val="000000"/>
                    <w:sz w:val="22"/>
                    <w:szCs w:val="22"/>
                    <w:lang w:val="cs-CZ"/>
                  </w:rPr>
                </w:rPrChange>
              </w:rPr>
              <w:t> 100 x 10</w:t>
            </w:r>
            <w:r w:rsidRPr="00D567F2">
              <w:rPr>
                <w:rFonts w:ascii="Times New Roman" w:hAnsi="Times New Roman" w:cs="Times New Roman"/>
                <w:color w:val="000000"/>
                <w:vertAlign w:val="superscript"/>
                <w:lang w:val="cs-CZ"/>
                <w:rPrChange w:id="254" w:author="Author">
                  <w:rPr>
                    <w:rFonts w:ascii="Times New Roman" w:hAnsi="Times New Roman" w:cs="Times New Roman"/>
                    <w:color w:val="000000"/>
                    <w:sz w:val="22"/>
                    <w:szCs w:val="22"/>
                    <w:vertAlign w:val="superscript"/>
                    <w:lang w:val="cs-CZ"/>
                  </w:rPr>
                </w:rPrChange>
              </w:rPr>
              <w:t>9</w:t>
            </w:r>
            <w:r w:rsidRPr="00D567F2">
              <w:rPr>
                <w:rFonts w:ascii="Times New Roman" w:hAnsi="Times New Roman" w:cs="Times New Roman"/>
                <w:color w:val="000000"/>
                <w:lang w:val="cs-CZ"/>
                <w:rPrChange w:id="255" w:author="Author">
                  <w:rPr>
                    <w:rFonts w:ascii="Times New Roman" w:hAnsi="Times New Roman" w:cs="Times New Roman"/>
                    <w:color w:val="000000"/>
                    <w:sz w:val="22"/>
                    <w:szCs w:val="22"/>
                    <w:lang w:val="cs-CZ"/>
                  </w:rPr>
                </w:rPrChange>
              </w:rPr>
              <w:t>/l, žádné blasty v krvi, BM blasty &lt; 5</w:t>
            </w:r>
            <w:r w:rsidR="004B270C" w:rsidRPr="00D567F2">
              <w:rPr>
                <w:rFonts w:ascii="Times New Roman" w:hAnsi="Times New Roman" w:cs="Times New Roman"/>
                <w:color w:val="000000"/>
                <w:lang w:val="cs-CZ"/>
                <w:rPrChange w:id="256" w:author="Author">
                  <w:rPr>
                    <w:rFonts w:ascii="Times New Roman" w:hAnsi="Times New Roman" w:cs="Times New Roman"/>
                    <w:color w:val="000000"/>
                    <w:sz w:val="22"/>
                    <w:szCs w:val="22"/>
                    <w:lang w:val="cs-CZ"/>
                  </w:rPr>
                </w:rPrChange>
              </w:rPr>
              <w:t> </w:t>
            </w:r>
            <w:r w:rsidRPr="00D567F2">
              <w:rPr>
                <w:rFonts w:ascii="Times New Roman" w:hAnsi="Times New Roman" w:cs="Times New Roman"/>
                <w:color w:val="000000"/>
                <w:lang w:val="cs-CZ"/>
                <w:rPrChange w:id="257" w:author="Author">
                  <w:rPr>
                    <w:rFonts w:ascii="Times New Roman" w:hAnsi="Times New Roman" w:cs="Times New Roman"/>
                    <w:color w:val="000000"/>
                    <w:sz w:val="22"/>
                    <w:szCs w:val="22"/>
                    <w:lang w:val="cs-CZ"/>
                  </w:rPr>
                </w:rPrChange>
              </w:rPr>
              <w:t>% a žádné extramedulární postižení]</w:t>
            </w:r>
          </w:p>
          <w:p w14:paraId="1B437D6E" w14:textId="77777777" w:rsidR="00EA5993" w:rsidRPr="00D567F2" w:rsidRDefault="00EA5993" w:rsidP="0048111F">
            <w:pPr>
              <w:pStyle w:val="Table"/>
              <w:keepNext w:val="0"/>
              <w:keepLines w:val="0"/>
              <w:spacing w:before="0" w:after="0"/>
              <w:ind w:left="567" w:hanging="567"/>
              <w:rPr>
                <w:rFonts w:ascii="Times New Roman" w:hAnsi="Times New Roman" w:cs="Times New Roman"/>
                <w:color w:val="000000"/>
                <w:lang w:val="cs-CZ"/>
                <w:rPrChange w:id="258" w:author="Author">
                  <w:rPr>
                    <w:rFonts w:ascii="Times New Roman" w:hAnsi="Times New Roman" w:cs="Times New Roman"/>
                    <w:color w:val="000000"/>
                    <w:sz w:val="22"/>
                    <w:szCs w:val="22"/>
                    <w:lang w:val="cs-CZ"/>
                  </w:rPr>
                </w:rPrChange>
              </w:rPr>
            </w:pPr>
            <w:r w:rsidRPr="00D567F2">
              <w:rPr>
                <w:rFonts w:ascii="Times New Roman" w:hAnsi="Times New Roman" w:cs="Times New Roman"/>
                <w:color w:val="000000"/>
                <w:lang w:val="cs-CZ"/>
                <w:rPrChange w:id="259" w:author="Author">
                  <w:rPr>
                    <w:rFonts w:ascii="Times New Roman" w:hAnsi="Times New Roman" w:cs="Times New Roman"/>
                    <w:color w:val="000000"/>
                    <w:sz w:val="22"/>
                    <w:szCs w:val="22"/>
                    <w:lang w:val="cs-CZ"/>
                  </w:rPr>
                </w:rPrChange>
              </w:rPr>
              <w:t>NEL</w:t>
            </w:r>
            <w:r w:rsidRPr="00D567F2">
              <w:rPr>
                <w:rFonts w:ascii="Times New Roman" w:hAnsi="Times New Roman" w:cs="Times New Roman"/>
                <w:color w:val="000000"/>
                <w:lang w:val="cs-CZ"/>
                <w:rPrChange w:id="260" w:author="Author">
                  <w:rPr>
                    <w:rFonts w:ascii="Times New Roman" w:hAnsi="Times New Roman" w:cs="Times New Roman"/>
                    <w:color w:val="000000"/>
                    <w:sz w:val="22"/>
                    <w:szCs w:val="22"/>
                    <w:lang w:val="cs-CZ"/>
                  </w:rPr>
                </w:rPrChange>
              </w:rPr>
              <w:tab/>
              <w:t xml:space="preserve">stejná kritéria jako pro </w:t>
            </w:r>
            <w:smartTag w:uri="urn:schemas-microsoft-com:office:smarttags" w:element="stockticker">
              <w:r w:rsidRPr="00D567F2">
                <w:rPr>
                  <w:rFonts w:ascii="Times New Roman" w:hAnsi="Times New Roman" w:cs="Times New Roman"/>
                  <w:color w:val="000000"/>
                  <w:lang w:val="cs-CZ"/>
                  <w:rPrChange w:id="261" w:author="Author">
                    <w:rPr>
                      <w:rFonts w:ascii="Times New Roman" w:hAnsi="Times New Roman" w:cs="Times New Roman"/>
                      <w:color w:val="000000"/>
                      <w:sz w:val="22"/>
                      <w:szCs w:val="22"/>
                      <w:lang w:val="cs-CZ"/>
                    </w:rPr>
                  </w:rPrChange>
                </w:rPr>
                <w:t>CHR</w:t>
              </w:r>
            </w:smartTag>
            <w:r w:rsidRPr="00D567F2">
              <w:rPr>
                <w:rFonts w:ascii="Times New Roman" w:hAnsi="Times New Roman" w:cs="Times New Roman"/>
                <w:color w:val="000000"/>
                <w:lang w:val="cs-CZ"/>
                <w:rPrChange w:id="262" w:author="Author">
                  <w:rPr>
                    <w:rFonts w:ascii="Times New Roman" w:hAnsi="Times New Roman" w:cs="Times New Roman"/>
                    <w:color w:val="000000"/>
                    <w:sz w:val="22"/>
                    <w:szCs w:val="22"/>
                    <w:lang w:val="cs-CZ"/>
                  </w:rPr>
                </w:rPrChange>
              </w:rPr>
              <w:t xml:space="preserve"> ale ANC </w:t>
            </w:r>
            <w:r w:rsidRPr="00D567F2">
              <w:rPr>
                <w:rFonts w:ascii="Symbol" w:hAnsi="Symbol"/>
                <w:color w:val="000000"/>
                <w:lang w:val="cs-CZ"/>
                <w:rPrChange w:id="263" w:author="Author">
                  <w:rPr>
                    <w:rFonts w:ascii="Symbol" w:hAnsi="Symbol"/>
                    <w:color w:val="000000"/>
                    <w:sz w:val="22"/>
                    <w:szCs w:val="22"/>
                    <w:lang w:val="cs-CZ"/>
                  </w:rPr>
                </w:rPrChange>
              </w:rPr>
              <w:t></w:t>
            </w:r>
            <w:r w:rsidRPr="00D567F2">
              <w:rPr>
                <w:rFonts w:ascii="Times New Roman" w:hAnsi="Times New Roman" w:cs="Times New Roman"/>
                <w:color w:val="000000"/>
                <w:lang w:val="cs-CZ"/>
                <w:rPrChange w:id="264" w:author="Author">
                  <w:rPr>
                    <w:rFonts w:ascii="Times New Roman" w:hAnsi="Times New Roman" w:cs="Times New Roman"/>
                    <w:color w:val="000000"/>
                    <w:sz w:val="22"/>
                    <w:szCs w:val="22"/>
                    <w:lang w:val="cs-CZ"/>
                  </w:rPr>
                </w:rPrChange>
              </w:rPr>
              <w:t> 1 x 10</w:t>
            </w:r>
            <w:r w:rsidRPr="00D567F2">
              <w:rPr>
                <w:rFonts w:ascii="Times New Roman" w:hAnsi="Times New Roman" w:cs="Times New Roman"/>
                <w:color w:val="000000"/>
                <w:vertAlign w:val="superscript"/>
                <w:lang w:val="cs-CZ"/>
                <w:rPrChange w:id="265" w:author="Author">
                  <w:rPr>
                    <w:rFonts w:ascii="Times New Roman" w:hAnsi="Times New Roman" w:cs="Times New Roman"/>
                    <w:color w:val="000000"/>
                    <w:sz w:val="22"/>
                    <w:szCs w:val="22"/>
                    <w:vertAlign w:val="superscript"/>
                    <w:lang w:val="cs-CZ"/>
                  </w:rPr>
                </w:rPrChange>
              </w:rPr>
              <w:t>9</w:t>
            </w:r>
            <w:r w:rsidRPr="00D567F2">
              <w:rPr>
                <w:rFonts w:ascii="Times New Roman" w:hAnsi="Times New Roman" w:cs="Times New Roman"/>
                <w:color w:val="000000"/>
                <w:lang w:val="cs-CZ"/>
                <w:rPrChange w:id="266" w:author="Author">
                  <w:rPr>
                    <w:rFonts w:ascii="Times New Roman" w:hAnsi="Times New Roman" w:cs="Times New Roman"/>
                    <w:color w:val="000000"/>
                    <w:sz w:val="22"/>
                    <w:szCs w:val="22"/>
                    <w:lang w:val="cs-CZ"/>
                  </w:rPr>
                </w:rPrChange>
              </w:rPr>
              <w:t xml:space="preserve">/l a </w:t>
            </w:r>
            <w:r w:rsidR="001844B9" w:rsidRPr="00D567F2">
              <w:rPr>
                <w:rFonts w:ascii="Times New Roman" w:hAnsi="Times New Roman" w:cs="Times New Roman"/>
                <w:color w:val="000000"/>
                <w:lang w:val="cs-CZ"/>
                <w:rPrChange w:id="267" w:author="Author">
                  <w:rPr>
                    <w:rFonts w:ascii="Times New Roman" w:hAnsi="Times New Roman" w:cs="Times New Roman"/>
                    <w:color w:val="000000"/>
                    <w:sz w:val="22"/>
                    <w:szCs w:val="22"/>
                    <w:lang w:val="cs-CZ"/>
                  </w:rPr>
                </w:rPrChange>
              </w:rPr>
              <w:t xml:space="preserve">trombocyty </w:t>
            </w:r>
            <w:r w:rsidRPr="00D567F2">
              <w:rPr>
                <w:rFonts w:ascii="Symbol" w:hAnsi="Symbol"/>
                <w:color w:val="000000"/>
                <w:lang w:val="cs-CZ"/>
                <w:rPrChange w:id="268" w:author="Author">
                  <w:rPr>
                    <w:rFonts w:ascii="Symbol" w:hAnsi="Symbol"/>
                    <w:color w:val="000000"/>
                    <w:sz w:val="22"/>
                    <w:szCs w:val="22"/>
                    <w:lang w:val="cs-CZ"/>
                  </w:rPr>
                </w:rPrChange>
              </w:rPr>
              <w:t></w:t>
            </w:r>
            <w:r w:rsidRPr="00D567F2">
              <w:rPr>
                <w:rFonts w:ascii="Times New Roman" w:hAnsi="Times New Roman" w:cs="Times New Roman"/>
                <w:color w:val="000000"/>
                <w:lang w:val="cs-CZ"/>
                <w:rPrChange w:id="269" w:author="Author">
                  <w:rPr>
                    <w:rFonts w:ascii="Times New Roman" w:hAnsi="Times New Roman" w:cs="Times New Roman"/>
                    <w:color w:val="000000"/>
                    <w:sz w:val="22"/>
                    <w:szCs w:val="22"/>
                    <w:lang w:val="cs-CZ"/>
                  </w:rPr>
                </w:rPrChange>
              </w:rPr>
              <w:t> 20 x 10</w:t>
            </w:r>
            <w:r w:rsidRPr="00D567F2">
              <w:rPr>
                <w:rFonts w:ascii="Times New Roman" w:hAnsi="Times New Roman" w:cs="Times New Roman"/>
                <w:color w:val="000000"/>
                <w:vertAlign w:val="superscript"/>
                <w:lang w:val="cs-CZ"/>
                <w:rPrChange w:id="270" w:author="Author">
                  <w:rPr>
                    <w:rFonts w:ascii="Times New Roman" w:hAnsi="Times New Roman" w:cs="Times New Roman"/>
                    <w:color w:val="000000"/>
                    <w:sz w:val="22"/>
                    <w:szCs w:val="22"/>
                    <w:vertAlign w:val="superscript"/>
                    <w:lang w:val="cs-CZ"/>
                  </w:rPr>
                </w:rPrChange>
              </w:rPr>
              <w:t>9</w:t>
            </w:r>
            <w:r w:rsidRPr="00D567F2">
              <w:rPr>
                <w:rFonts w:ascii="Times New Roman" w:hAnsi="Times New Roman" w:cs="Times New Roman"/>
                <w:color w:val="000000"/>
                <w:lang w:val="cs-CZ"/>
                <w:rPrChange w:id="271" w:author="Author">
                  <w:rPr>
                    <w:rFonts w:ascii="Times New Roman" w:hAnsi="Times New Roman" w:cs="Times New Roman"/>
                    <w:color w:val="000000"/>
                    <w:sz w:val="22"/>
                    <w:szCs w:val="22"/>
                    <w:lang w:val="cs-CZ"/>
                  </w:rPr>
                </w:rPrChange>
              </w:rPr>
              <w:t>/l (</w:t>
            </w:r>
            <w:smartTag w:uri="urn:schemas-microsoft-com:office:smarttags" w:element="metricconverter">
              <w:smartTagPr>
                <w:attr w:name="ProductID" w:val="0102 a"/>
              </w:smartTagPr>
              <w:r w:rsidRPr="00D567F2">
                <w:rPr>
                  <w:rFonts w:ascii="Times New Roman" w:hAnsi="Times New Roman" w:cs="Times New Roman"/>
                  <w:color w:val="000000"/>
                  <w:lang w:val="cs-CZ"/>
                  <w:rPrChange w:id="272" w:author="Author">
                    <w:rPr>
                      <w:rFonts w:ascii="Times New Roman" w:hAnsi="Times New Roman" w:cs="Times New Roman"/>
                      <w:color w:val="000000"/>
                      <w:sz w:val="22"/>
                      <w:szCs w:val="22"/>
                      <w:lang w:val="cs-CZ"/>
                    </w:rPr>
                  </w:rPrChange>
                </w:rPr>
                <w:t>0102 a</w:t>
              </w:r>
            </w:smartTag>
            <w:r w:rsidRPr="00D567F2">
              <w:rPr>
                <w:rFonts w:ascii="Times New Roman" w:hAnsi="Times New Roman" w:cs="Times New Roman"/>
                <w:color w:val="000000"/>
                <w:lang w:val="cs-CZ"/>
                <w:rPrChange w:id="273" w:author="Author">
                  <w:rPr>
                    <w:rFonts w:ascii="Times New Roman" w:hAnsi="Times New Roman" w:cs="Times New Roman"/>
                    <w:color w:val="000000"/>
                    <w:sz w:val="22"/>
                    <w:szCs w:val="22"/>
                    <w:lang w:val="cs-CZ"/>
                  </w:rPr>
                </w:rPrChange>
              </w:rPr>
              <w:t xml:space="preserve"> 0109 pouze)</w:t>
            </w:r>
          </w:p>
          <w:p w14:paraId="072F9E6F" w14:textId="77777777" w:rsidR="00EA5993" w:rsidRPr="00D567F2" w:rsidRDefault="00EA5993" w:rsidP="0048111F">
            <w:pPr>
              <w:pStyle w:val="Table"/>
              <w:keepNext w:val="0"/>
              <w:keepLines w:val="0"/>
              <w:tabs>
                <w:tab w:val="clear" w:pos="284"/>
                <w:tab w:val="clear" w:pos="567"/>
                <w:tab w:val="left" w:pos="2268"/>
              </w:tabs>
              <w:spacing w:before="0" w:after="0"/>
              <w:ind w:left="567" w:hanging="567"/>
              <w:rPr>
                <w:rFonts w:ascii="Times New Roman" w:hAnsi="Times New Roman" w:cs="Times New Roman"/>
                <w:color w:val="000000"/>
                <w:lang w:val="cs-CZ"/>
                <w:rPrChange w:id="274" w:author="Author">
                  <w:rPr>
                    <w:rFonts w:ascii="Times New Roman" w:hAnsi="Times New Roman" w:cs="Times New Roman"/>
                    <w:color w:val="000000"/>
                    <w:sz w:val="22"/>
                    <w:szCs w:val="22"/>
                    <w:lang w:val="cs-CZ"/>
                  </w:rPr>
                </w:rPrChange>
              </w:rPr>
            </w:pPr>
            <w:smartTag w:uri="urn:schemas-microsoft-com:office:smarttags" w:element="stockticker">
              <w:r w:rsidRPr="00D567F2">
                <w:rPr>
                  <w:rFonts w:ascii="Times New Roman" w:hAnsi="Times New Roman" w:cs="Times New Roman"/>
                  <w:color w:val="000000"/>
                  <w:lang w:val="cs-CZ"/>
                  <w:rPrChange w:id="275" w:author="Author">
                    <w:rPr>
                      <w:rFonts w:ascii="Times New Roman" w:hAnsi="Times New Roman" w:cs="Times New Roman"/>
                      <w:color w:val="000000"/>
                      <w:sz w:val="22"/>
                      <w:szCs w:val="22"/>
                      <w:lang w:val="cs-CZ"/>
                    </w:rPr>
                  </w:rPrChange>
                </w:rPr>
                <w:t>RTC</w:t>
              </w:r>
            </w:smartTag>
            <w:r w:rsidRPr="00D567F2">
              <w:rPr>
                <w:rFonts w:ascii="Times New Roman" w:hAnsi="Times New Roman" w:cs="Times New Roman"/>
                <w:color w:val="000000"/>
                <w:lang w:val="cs-CZ"/>
                <w:rPrChange w:id="276" w:author="Author">
                  <w:rPr>
                    <w:rFonts w:ascii="Times New Roman" w:hAnsi="Times New Roman" w:cs="Times New Roman"/>
                    <w:color w:val="000000"/>
                    <w:sz w:val="22"/>
                    <w:szCs w:val="22"/>
                    <w:lang w:val="cs-CZ"/>
                  </w:rPr>
                </w:rPrChange>
              </w:rPr>
              <w:tab/>
              <w:t>&lt; 15</w:t>
            </w:r>
            <w:r w:rsidR="004B270C" w:rsidRPr="00D567F2">
              <w:rPr>
                <w:rFonts w:ascii="Times New Roman" w:hAnsi="Times New Roman" w:cs="Times New Roman"/>
                <w:color w:val="000000"/>
                <w:lang w:val="cs-CZ"/>
                <w:rPrChange w:id="277" w:author="Author">
                  <w:rPr>
                    <w:rFonts w:ascii="Times New Roman" w:hAnsi="Times New Roman" w:cs="Times New Roman"/>
                    <w:color w:val="000000"/>
                    <w:sz w:val="22"/>
                    <w:szCs w:val="22"/>
                    <w:lang w:val="cs-CZ"/>
                  </w:rPr>
                </w:rPrChange>
              </w:rPr>
              <w:t> </w:t>
            </w:r>
            <w:r w:rsidRPr="00D567F2">
              <w:rPr>
                <w:rFonts w:ascii="Times New Roman" w:hAnsi="Times New Roman" w:cs="Times New Roman"/>
                <w:color w:val="000000"/>
                <w:lang w:val="cs-CZ"/>
                <w:rPrChange w:id="278" w:author="Author">
                  <w:rPr>
                    <w:rFonts w:ascii="Times New Roman" w:hAnsi="Times New Roman" w:cs="Times New Roman"/>
                    <w:color w:val="000000"/>
                    <w:sz w:val="22"/>
                    <w:szCs w:val="22"/>
                    <w:lang w:val="cs-CZ"/>
                  </w:rPr>
                </w:rPrChange>
              </w:rPr>
              <w:t>% blastů v BM a PB, &lt; 30</w:t>
            </w:r>
            <w:r w:rsidR="004B270C" w:rsidRPr="00D567F2">
              <w:rPr>
                <w:rFonts w:ascii="Times New Roman" w:hAnsi="Times New Roman" w:cs="Times New Roman"/>
                <w:color w:val="000000"/>
                <w:lang w:val="cs-CZ"/>
                <w:rPrChange w:id="279" w:author="Author">
                  <w:rPr>
                    <w:rFonts w:ascii="Times New Roman" w:hAnsi="Times New Roman" w:cs="Times New Roman"/>
                    <w:color w:val="000000"/>
                    <w:sz w:val="22"/>
                    <w:szCs w:val="22"/>
                    <w:lang w:val="cs-CZ"/>
                  </w:rPr>
                </w:rPrChange>
              </w:rPr>
              <w:t> </w:t>
            </w:r>
            <w:r w:rsidRPr="00D567F2">
              <w:rPr>
                <w:rFonts w:ascii="Times New Roman" w:hAnsi="Times New Roman" w:cs="Times New Roman"/>
                <w:color w:val="000000"/>
                <w:lang w:val="cs-CZ"/>
                <w:rPrChange w:id="280" w:author="Author">
                  <w:rPr>
                    <w:rFonts w:ascii="Times New Roman" w:hAnsi="Times New Roman" w:cs="Times New Roman"/>
                    <w:color w:val="000000"/>
                    <w:sz w:val="22"/>
                    <w:szCs w:val="22"/>
                    <w:lang w:val="cs-CZ"/>
                  </w:rPr>
                </w:rPrChange>
              </w:rPr>
              <w:t>% blastů+promyelocytů v BM a PB, &lt; 20</w:t>
            </w:r>
            <w:r w:rsidR="004B270C" w:rsidRPr="00D567F2">
              <w:rPr>
                <w:rFonts w:ascii="Times New Roman" w:hAnsi="Times New Roman" w:cs="Times New Roman"/>
                <w:color w:val="000000"/>
                <w:lang w:val="cs-CZ"/>
                <w:rPrChange w:id="281" w:author="Author">
                  <w:rPr>
                    <w:rFonts w:ascii="Times New Roman" w:hAnsi="Times New Roman" w:cs="Times New Roman"/>
                    <w:color w:val="000000"/>
                    <w:sz w:val="22"/>
                    <w:szCs w:val="22"/>
                    <w:lang w:val="cs-CZ"/>
                  </w:rPr>
                </w:rPrChange>
              </w:rPr>
              <w:t> </w:t>
            </w:r>
            <w:r w:rsidRPr="00D567F2">
              <w:rPr>
                <w:rFonts w:ascii="Times New Roman" w:hAnsi="Times New Roman" w:cs="Times New Roman"/>
                <w:color w:val="000000"/>
                <w:lang w:val="cs-CZ"/>
                <w:rPrChange w:id="282" w:author="Author">
                  <w:rPr>
                    <w:rFonts w:ascii="Times New Roman" w:hAnsi="Times New Roman" w:cs="Times New Roman"/>
                    <w:color w:val="000000"/>
                    <w:sz w:val="22"/>
                    <w:szCs w:val="22"/>
                    <w:lang w:val="cs-CZ"/>
                  </w:rPr>
                </w:rPrChange>
              </w:rPr>
              <w:t xml:space="preserve">% basofilů v PB, žádné jiné extramedulární postižení než ve slezině a játrech (pouze pro </w:t>
            </w:r>
            <w:smartTag w:uri="urn:schemas-microsoft-com:office:smarttags" w:element="metricconverter">
              <w:smartTagPr>
                <w:attr w:name="ProductID" w:val="0102 a"/>
              </w:smartTagPr>
              <w:r w:rsidRPr="00D567F2">
                <w:rPr>
                  <w:rFonts w:ascii="Times New Roman" w:hAnsi="Times New Roman" w:cs="Times New Roman"/>
                  <w:color w:val="000000"/>
                  <w:lang w:val="cs-CZ"/>
                  <w:rPrChange w:id="283" w:author="Author">
                    <w:rPr>
                      <w:rFonts w:ascii="Times New Roman" w:hAnsi="Times New Roman" w:cs="Times New Roman"/>
                      <w:color w:val="000000"/>
                      <w:sz w:val="22"/>
                      <w:szCs w:val="22"/>
                      <w:lang w:val="cs-CZ"/>
                    </w:rPr>
                  </w:rPrChange>
                </w:rPr>
                <w:t>0102 a</w:t>
              </w:r>
            </w:smartTag>
            <w:r w:rsidRPr="00D567F2">
              <w:rPr>
                <w:rFonts w:ascii="Times New Roman" w:hAnsi="Times New Roman" w:cs="Times New Roman"/>
                <w:color w:val="000000"/>
                <w:lang w:val="cs-CZ"/>
                <w:rPrChange w:id="284" w:author="Author">
                  <w:rPr>
                    <w:rFonts w:ascii="Times New Roman" w:hAnsi="Times New Roman" w:cs="Times New Roman"/>
                    <w:color w:val="000000"/>
                    <w:sz w:val="22"/>
                    <w:szCs w:val="22"/>
                    <w:lang w:val="cs-CZ"/>
                  </w:rPr>
                </w:rPrChange>
              </w:rPr>
              <w:t xml:space="preserve"> 0109).</w:t>
            </w:r>
          </w:p>
          <w:p w14:paraId="48DDC803" w14:textId="77777777" w:rsidR="00EA5993" w:rsidRPr="00D567F2" w:rsidRDefault="00EA5993" w:rsidP="0048111F">
            <w:pPr>
              <w:pStyle w:val="Table"/>
              <w:keepNext w:val="0"/>
              <w:keepLines w:val="0"/>
              <w:tabs>
                <w:tab w:val="clear" w:pos="284"/>
                <w:tab w:val="clear" w:pos="567"/>
                <w:tab w:val="left" w:pos="2268"/>
              </w:tabs>
              <w:spacing w:before="0" w:after="0"/>
              <w:ind w:left="567" w:hanging="567"/>
              <w:rPr>
                <w:rFonts w:ascii="Times New Roman" w:hAnsi="Times New Roman" w:cs="Times New Roman"/>
                <w:color w:val="000000"/>
                <w:lang w:val="cs-CZ"/>
                <w:rPrChange w:id="285" w:author="Author">
                  <w:rPr>
                    <w:rFonts w:ascii="Times New Roman" w:hAnsi="Times New Roman" w:cs="Times New Roman"/>
                    <w:color w:val="000000"/>
                    <w:sz w:val="22"/>
                    <w:szCs w:val="22"/>
                    <w:lang w:val="cs-CZ"/>
                  </w:rPr>
                </w:rPrChange>
              </w:rPr>
            </w:pPr>
            <w:r w:rsidRPr="00D567F2">
              <w:rPr>
                <w:rFonts w:ascii="Times New Roman" w:hAnsi="Times New Roman" w:cs="Times New Roman"/>
                <w:color w:val="000000"/>
                <w:lang w:val="cs-CZ"/>
                <w:rPrChange w:id="286" w:author="Author">
                  <w:rPr>
                    <w:rFonts w:ascii="Times New Roman" w:hAnsi="Times New Roman" w:cs="Times New Roman"/>
                    <w:color w:val="000000"/>
                    <w:sz w:val="22"/>
                    <w:szCs w:val="22"/>
                    <w:lang w:val="cs-CZ"/>
                  </w:rPr>
                </w:rPrChange>
              </w:rPr>
              <w:t xml:space="preserve">BM = </w:t>
            </w:r>
            <w:r w:rsidR="001844B9" w:rsidRPr="00D567F2">
              <w:rPr>
                <w:rFonts w:ascii="Times New Roman" w:hAnsi="Times New Roman" w:cs="Times New Roman"/>
                <w:color w:val="000000"/>
                <w:lang w:val="cs-CZ"/>
                <w:rPrChange w:id="287" w:author="Author">
                  <w:rPr>
                    <w:rFonts w:ascii="Times New Roman" w:hAnsi="Times New Roman" w:cs="Times New Roman"/>
                    <w:color w:val="000000"/>
                    <w:sz w:val="22"/>
                    <w:szCs w:val="22"/>
                    <w:lang w:val="cs-CZ"/>
                  </w:rPr>
                </w:rPrChange>
              </w:rPr>
              <w:t>k</w:t>
            </w:r>
            <w:r w:rsidRPr="00D567F2">
              <w:rPr>
                <w:rFonts w:ascii="Times New Roman" w:hAnsi="Times New Roman" w:cs="Times New Roman"/>
                <w:color w:val="000000"/>
                <w:lang w:val="cs-CZ"/>
                <w:rPrChange w:id="288" w:author="Author">
                  <w:rPr>
                    <w:rFonts w:ascii="Times New Roman" w:hAnsi="Times New Roman" w:cs="Times New Roman"/>
                    <w:color w:val="000000"/>
                    <w:sz w:val="22"/>
                    <w:szCs w:val="22"/>
                    <w:lang w:val="cs-CZ"/>
                  </w:rPr>
                </w:rPrChange>
              </w:rPr>
              <w:t>ostní dřeň, PB = periferní krev</w:t>
            </w:r>
          </w:p>
          <w:p w14:paraId="7F4F0410" w14:textId="77777777" w:rsidR="00EA5993" w:rsidRPr="00D567F2" w:rsidRDefault="00EA5993" w:rsidP="0048111F">
            <w:pPr>
              <w:pStyle w:val="Table"/>
              <w:keepNext w:val="0"/>
              <w:keepLines w:val="0"/>
              <w:spacing w:before="0" w:after="0"/>
              <w:rPr>
                <w:rFonts w:ascii="Times New Roman" w:hAnsi="Times New Roman" w:cs="Times New Roman"/>
                <w:b/>
                <w:bCs/>
                <w:color w:val="000000"/>
                <w:lang w:val="cs-CZ"/>
                <w:rPrChange w:id="289" w:author="Author">
                  <w:rPr>
                    <w:rFonts w:ascii="Times New Roman" w:hAnsi="Times New Roman" w:cs="Times New Roman"/>
                    <w:b/>
                    <w:bCs/>
                    <w:color w:val="000000"/>
                    <w:sz w:val="22"/>
                    <w:szCs w:val="22"/>
                    <w:lang w:val="cs-CZ"/>
                  </w:rPr>
                </w:rPrChange>
              </w:rPr>
            </w:pPr>
            <w:r w:rsidRPr="00D567F2">
              <w:rPr>
                <w:rFonts w:ascii="Times New Roman" w:hAnsi="Times New Roman" w:cs="Times New Roman"/>
                <w:b/>
                <w:bCs/>
                <w:color w:val="000000"/>
                <w:vertAlign w:val="superscript"/>
                <w:lang w:val="cs-CZ"/>
                <w:rPrChange w:id="290" w:author="Author">
                  <w:rPr>
                    <w:rFonts w:ascii="Times New Roman" w:hAnsi="Times New Roman" w:cs="Times New Roman"/>
                    <w:b/>
                    <w:bCs/>
                    <w:color w:val="000000"/>
                    <w:sz w:val="22"/>
                    <w:szCs w:val="22"/>
                    <w:vertAlign w:val="superscript"/>
                    <w:lang w:val="cs-CZ"/>
                  </w:rPr>
                </w:rPrChange>
              </w:rPr>
              <w:t xml:space="preserve">2 </w:t>
            </w:r>
            <w:r w:rsidRPr="00D567F2">
              <w:rPr>
                <w:rFonts w:ascii="Times New Roman" w:hAnsi="Times New Roman" w:cs="Times New Roman"/>
                <w:b/>
                <w:bCs/>
                <w:color w:val="000000"/>
                <w:lang w:val="cs-CZ"/>
                <w:rPrChange w:id="291" w:author="Author">
                  <w:rPr>
                    <w:rFonts w:ascii="Times New Roman" w:hAnsi="Times New Roman" w:cs="Times New Roman"/>
                    <w:b/>
                    <w:bCs/>
                    <w:color w:val="000000"/>
                    <w:sz w:val="22"/>
                    <w:szCs w:val="22"/>
                    <w:lang w:val="cs-CZ"/>
                  </w:rPr>
                </w:rPrChange>
              </w:rPr>
              <w:t>Kritéria cytogenetické odpovědi:</w:t>
            </w:r>
          </w:p>
          <w:p w14:paraId="155BC603" w14:textId="77777777" w:rsidR="00EA5993" w:rsidRPr="00D567F2" w:rsidRDefault="00EA5993" w:rsidP="0048111F">
            <w:pPr>
              <w:pStyle w:val="EndnoteText"/>
              <w:tabs>
                <w:tab w:val="clear" w:pos="567"/>
              </w:tabs>
              <w:rPr>
                <w:color w:val="000000"/>
                <w:sz w:val="20"/>
                <w:szCs w:val="20"/>
                <w:rPrChange w:id="292" w:author="Author">
                  <w:rPr>
                    <w:color w:val="000000"/>
                  </w:rPr>
                </w:rPrChange>
              </w:rPr>
            </w:pPr>
            <w:r w:rsidRPr="00D567F2">
              <w:rPr>
                <w:color w:val="000000"/>
                <w:sz w:val="20"/>
                <w:szCs w:val="20"/>
                <w:rPrChange w:id="293" w:author="Author">
                  <w:rPr>
                    <w:color w:val="000000"/>
                  </w:rPr>
                </w:rPrChange>
              </w:rPr>
              <w:t>Velká odpověď se skládá jak z kompletní tak i parciální odpovědi: kompletní (0% Ph+ metafáze), parciální (1–35</w:t>
            </w:r>
            <w:r w:rsidR="004B270C" w:rsidRPr="00D567F2">
              <w:rPr>
                <w:color w:val="000000"/>
                <w:sz w:val="20"/>
                <w:szCs w:val="20"/>
                <w:rPrChange w:id="294" w:author="Author">
                  <w:rPr>
                    <w:color w:val="000000"/>
                  </w:rPr>
                </w:rPrChange>
              </w:rPr>
              <w:t> </w:t>
            </w:r>
            <w:r w:rsidRPr="00D567F2">
              <w:rPr>
                <w:color w:val="000000"/>
                <w:sz w:val="20"/>
                <w:szCs w:val="20"/>
                <w:rPrChange w:id="295" w:author="Author">
                  <w:rPr>
                    <w:color w:val="000000"/>
                  </w:rPr>
                </w:rPrChange>
              </w:rPr>
              <w:t>%)</w:t>
            </w:r>
          </w:p>
          <w:p w14:paraId="7CC81FA7" w14:textId="77777777" w:rsidR="00EA5993" w:rsidRPr="00F25A60" w:rsidRDefault="00EA5993" w:rsidP="0048111F">
            <w:pPr>
              <w:pStyle w:val="EndnoteText"/>
              <w:tabs>
                <w:tab w:val="clear" w:pos="567"/>
              </w:tabs>
              <w:rPr>
                <w:color w:val="000000"/>
              </w:rPr>
            </w:pPr>
            <w:r w:rsidRPr="00D567F2">
              <w:rPr>
                <w:color w:val="000000"/>
                <w:sz w:val="20"/>
                <w:szCs w:val="20"/>
                <w:vertAlign w:val="superscript"/>
                <w:rPrChange w:id="296" w:author="Author">
                  <w:rPr>
                    <w:color w:val="000000"/>
                    <w:vertAlign w:val="superscript"/>
                  </w:rPr>
                </w:rPrChange>
              </w:rPr>
              <w:t>3</w:t>
            </w:r>
            <w:r w:rsidRPr="00D567F2">
              <w:rPr>
                <w:color w:val="000000"/>
                <w:sz w:val="20"/>
                <w:szCs w:val="20"/>
                <w:rPrChange w:id="297" w:author="Author">
                  <w:rPr>
                    <w:color w:val="000000"/>
                  </w:rPr>
                </w:rPrChange>
              </w:rPr>
              <w:t xml:space="preserve"> Kompletní cytogenetická odpověď potvrzena druhým cytogenetickým hodnocením kostní dřeně provedeným nejméně jeden měsíc po počátečním vyšetření kostní dřeně.</w:t>
            </w:r>
          </w:p>
        </w:tc>
      </w:tr>
    </w:tbl>
    <w:p w14:paraId="73FFF7B0" w14:textId="77777777" w:rsidR="00EA5993" w:rsidRPr="00F25A60" w:rsidRDefault="00EA5993" w:rsidP="0048111F">
      <w:pPr>
        <w:pStyle w:val="EndnoteText"/>
        <w:tabs>
          <w:tab w:val="clear" w:pos="567"/>
        </w:tabs>
      </w:pPr>
    </w:p>
    <w:p w14:paraId="24F9A133" w14:textId="4192BD30" w:rsidR="007903A3" w:rsidRPr="00F25A60" w:rsidRDefault="00EA5993" w:rsidP="0048111F">
      <w:pPr>
        <w:pStyle w:val="EndnoteText"/>
        <w:keepNext/>
        <w:rPr>
          <w:color w:val="000000"/>
        </w:rPr>
      </w:pPr>
      <w:r w:rsidRPr="00F25A60">
        <w:rPr>
          <w:i/>
          <w:iCs/>
          <w:color w:val="000000"/>
          <w:u w:val="single"/>
        </w:rPr>
        <w:t>Pediatri</w:t>
      </w:r>
      <w:r w:rsidR="007903A3" w:rsidRPr="00F25A60">
        <w:rPr>
          <w:i/>
          <w:iCs/>
          <w:color w:val="000000"/>
          <w:u w:val="single"/>
        </w:rPr>
        <w:t>cká</w:t>
      </w:r>
      <w:r w:rsidRPr="00F25A60">
        <w:rPr>
          <w:i/>
          <w:iCs/>
          <w:color w:val="000000"/>
          <w:u w:val="single"/>
        </w:rPr>
        <w:t xml:space="preserve"> </w:t>
      </w:r>
      <w:r w:rsidR="007903A3" w:rsidRPr="00F25A60">
        <w:rPr>
          <w:i/>
          <w:iCs/>
          <w:color w:val="000000"/>
          <w:u w:val="single"/>
        </w:rPr>
        <w:t>populace</w:t>
      </w:r>
    </w:p>
    <w:p w14:paraId="3DCE082F" w14:textId="4577EE31" w:rsidR="00EA5993" w:rsidRPr="00F25A60" w:rsidRDefault="00EA5993" w:rsidP="0048111F">
      <w:pPr>
        <w:pStyle w:val="EndnoteText"/>
        <w:rPr>
          <w:color w:val="000000"/>
        </w:rPr>
      </w:pPr>
      <w:r w:rsidRPr="00F25A60">
        <w:rPr>
          <w:color w:val="000000"/>
        </w:rPr>
        <w:t>Do studie fáze I zvyšování dávky bylo zahrnuto celkem 26 </w:t>
      </w:r>
      <w:r w:rsidR="006327B9" w:rsidRPr="00F25A60">
        <w:rPr>
          <w:color w:val="000000"/>
        </w:rPr>
        <w:t xml:space="preserve">pediatrických </w:t>
      </w:r>
      <w:r w:rsidRPr="00F25A60">
        <w:rPr>
          <w:color w:val="000000"/>
        </w:rPr>
        <w:t>pacientů ve věku &lt; 18 let buď s chronickou fází CML (n=11) nebo CML v blastické krizi nebo Ph+ akutními leukemiemi (n=15). Byla to populace silně předléčených pacientů, protože 46</w:t>
      </w:r>
      <w:r w:rsidR="004B270C" w:rsidRPr="00F25A60">
        <w:rPr>
          <w:color w:val="000000"/>
        </w:rPr>
        <w:t> </w:t>
      </w:r>
      <w:r w:rsidRPr="00F25A60">
        <w:rPr>
          <w:color w:val="000000"/>
        </w:rPr>
        <w:t>% bylo dříve léčeno BMT a 73</w:t>
      </w:r>
      <w:r w:rsidR="00FC57C0" w:rsidRPr="00F25A60">
        <w:rPr>
          <w:color w:val="000000"/>
        </w:rPr>
        <w:t> </w:t>
      </w:r>
      <w:r w:rsidRPr="00F25A60">
        <w:rPr>
          <w:color w:val="000000"/>
        </w:rPr>
        <w:t>% dostávalo předchozí mnohočetnou chemoterapii. Pacienti byli léčeni dávkami Glivecu 260 mg/m</w:t>
      </w:r>
      <w:r w:rsidRPr="00F25A60">
        <w:rPr>
          <w:color w:val="000000"/>
          <w:vertAlign w:val="superscript"/>
        </w:rPr>
        <w:t>2</w:t>
      </w:r>
      <w:r w:rsidRPr="00F25A60">
        <w:rPr>
          <w:color w:val="000000"/>
        </w:rPr>
        <w:t>/den (n=5), 340 mg/m</w:t>
      </w:r>
      <w:r w:rsidRPr="00F25A60">
        <w:rPr>
          <w:color w:val="000000"/>
          <w:vertAlign w:val="superscript"/>
        </w:rPr>
        <w:t>2</w:t>
      </w:r>
      <w:r w:rsidRPr="00F25A60">
        <w:rPr>
          <w:color w:val="000000"/>
        </w:rPr>
        <w:t>/den (n=9), 440 mg/m</w:t>
      </w:r>
      <w:r w:rsidRPr="00F25A60">
        <w:rPr>
          <w:color w:val="000000"/>
          <w:vertAlign w:val="superscript"/>
        </w:rPr>
        <w:t>2</w:t>
      </w:r>
      <w:r w:rsidRPr="00F25A60">
        <w:rPr>
          <w:color w:val="000000"/>
        </w:rPr>
        <w:t>/den (n=7) a 570 mg/m</w:t>
      </w:r>
      <w:r w:rsidRPr="00F25A60">
        <w:rPr>
          <w:color w:val="000000"/>
          <w:vertAlign w:val="superscript"/>
        </w:rPr>
        <w:t>2</w:t>
      </w:r>
      <w:r w:rsidRPr="00F25A60">
        <w:rPr>
          <w:color w:val="000000"/>
        </w:rPr>
        <w:t>/den (n=5). Z 9 pacientů s chronickou fází CML a dostupnými cytogenetickými údaji, dosáhli 4 (44</w:t>
      </w:r>
      <w:r w:rsidR="004B270C" w:rsidRPr="00F25A60">
        <w:rPr>
          <w:color w:val="000000"/>
        </w:rPr>
        <w:t> </w:t>
      </w:r>
      <w:r w:rsidRPr="00F25A60">
        <w:rPr>
          <w:color w:val="000000"/>
        </w:rPr>
        <w:t>%) kompletní a 3 (33</w:t>
      </w:r>
      <w:r w:rsidR="004B270C" w:rsidRPr="00F25A60">
        <w:rPr>
          <w:color w:val="000000"/>
        </w:rPr>
        <w:t> </w:t>
      </w:r>
      <w:r w:rsidRPr="00F25A60">
        <w:rPr>
          <w:color w:val="000000"/>
        </w:rPr>
        <w:t xml:space="preserve">%) parciální cytogenetické odpovědi, </w:t>
      </w:r>
      <w:r w:rsidR="006327B9" w:rsidRPr="00F25A60">
        <w:rPr>
          <w:color w:val="000000"/>
        </w:rPr>
        <w:t xml:space="preserve">výskyt </w:t>
      </w:r>
      <w:r w:rsidRPr="00F25A60">
        <w:rPr>
          <w:color w:val="000000"/>
        </w:rPr>
        <w:t>MCyR 77</w:t>
      </w:r>
      <w:r w:rsidR="00FC57C0" w:rsidRPr="00F25A60">
        <w:rPr>
          <w:color w:val="000000"/>
        </w:rPr>
        <w:t> </w:t>
      </w:r>
      <w:r w:rsidRPr="00F25A60">
        <w:rPr>
          <w:color w:val="000000"/>
        </w:rPr>
        <w:t>%.</w:t>
      </w:r>
    </w:p>
    <w:p w14:paraId="241CC69F" w14:textId="77777777" w:rsidR="00EA5993" w:rsidRPr="00F25A60" w:rsidRDefault="00EA5993" w:rsidP="0048111F">
      <w:pPr>
        <w:pStyle w:val="EndnoteText"/>
        <w:rPr>
          <w:color w:val="000000"/>
        </w:rPr>
      </w:pPr>
    </w:p>
    <w:p w14:paraId="7EFC898A" w14:textId="77777777" w:rsidR="00EA5993" w:rsidRPr="00F25A60" w:rsidRDefault="00EA5993" w:rsidP="0048111F">
      <w:pPr>
        <w:pStyle w:val="EndnoteText"/>
        <w:rPr>
          <w:color w:val="000000"/>
        </w:rPr>
      </w:pPr>
      <w:r w:rsidRPr="00F25A60">
        <w:rPr>
          <w:color w:val="000000"/>
        </w:rPr>
        <w:t>Do otevřené, multicentrické, jednoramenné studie fáze II bylo zařazeno celkem 51 pediatrických pacientů s nově diagnostikovanou neléčenou CML v chronické fázi. Pacienti byli léčeni Glivecem 340 mg/m</w:t>
      </w:r>
      <w:r w:rsidRPr="00F25A60">
        <w:rPr>
          <w:color w:val="000000"/>
          <w:vertAlign w:val="superscript"/>
        </w:rPr>
        <w:t>2</w:t>
      </w:r>
      <w:r w:rsidRPr="00F25A60">
        <w:rPr>
          <w:color w:val="000000"/>
        </w:rPr>
        <w:t xml:space="preserve">/den bez přerušení při absenci dávku limitující toxicity. Léčba Glivecem vyvolala rychlou odpověď u nově diagnostikovaných dětských pacientů s CML s </w:t>
      </w:r>
      <w:smartTag w:uri="urn:schemas-microsoft-com:office:smarttags" w:element="stockticker">
        <w:r w:rsidRPr="00F25A60">
          <w:rPr>
            <w:color w:val="000000"/>
          </w:rPr>
          <w:t>CHR</w:t>
        </w:r>
      </w:smartTag>
      <w:r w:rsidRPr="00F25A60">
        <w:rPr>
          <w:color w:val="000000"/>
        </w:rPr>
        <w:t xml:space="preserve"> 78</w:t>
      </w:r>
      <w:r w:rsidR="004B270C" w:rsidRPr="00F25A60">
        <w:rPr>
          <w:color w:val="000000"/>
        </w:rPr>
        <w:t> </w:t>
      </w:r>
      <w:r w:rsidRPr="00F25A60">
        <w:rPr>
          <w:color w:val="000000"/>
        </w:rPr>
        <w:t xml:space="preserve">% po 8 týdnech léčby. Vysoká </w:t>
      </w:r>
      <w:r w:rsidR="006327B9" w:rsidRPr="00F25A60">
        <w:rPr>
          <w:color w:val="000000"/>
        </w:rPr>
        <w:t>výskyt</w:t>
      </w:r>
      <w:r w:rsidRPr="00F25A60">
        <w:rPr>
          <w:color w:val="000000"/>
        </w:rPr>
        <w:t xml:space="preserve"> </w:t>
      </w:r>
      <w:smartTag w:uri="urn:schemas-microsoft-com:office:smarttags" w:element="stockticker">
        <w:r w:rsidRPr="00F25A60">
          <w:rPr>
            <w:color w:val="000000"/>
          </w:rPr>
          <w:t>CHR</w:t>
        </w:r>
      </w:smartTag>
      <w:r w:rsidRPr="00F25A60">
        <w:rPr>
          <w:color w:val="000000"/>
        </w:rPr>
        <w:t xml:space="preserve"> byl doprovázen rozvojem kompletní cytogenetické odpovědi (CCyR) u 65</w:t>
      </w:r>
      <w:r w:rsidR="004B270C" w:rsidRPr="00F25A60">
        <w:rPr>
          <w:color w:val="000000"/>
        </w:rPr>
        <w:t> </w:t>
      </w:r>
      <w:r w:rsidRPr="00F25A60">
        <w:rPr>
          <w:color w:val="000000"/>
        </w:rPr>
        <w:t>%, což je srovnatelné s výsledky pozorovanými u dospělých pacientů. Dodatečně parciální cytogenetická odpověď (PCyR) byla pozorována u 16</w:t>
      </w:r>
      <w:r w:rsidR="004B270C" w:rsidRPr="00F25A60">
        <w:rPr>
          <w:color w:val="000000"/>
        </w:rPr>
        <w:t> </w:t>
      </w:r>
      <w:r w:rsidRPr="00F25A60">
        <w:rPr>
          <w:color w:val="000000"/>
        </w:rPr>
        <w:t>%, McyR 81</w:t>
      </w:r>
      <w:r w:rsidR="004B270C" w:rsidRPr="00F25A60">
        <w:rPr>
          <w:color w:val="000000"/>
        </w:rPr>
        <w:t> </w:t>
      </w:r>
      <w:r w:rsidRPr="00F25A60">
        <w:rPr>
          <w:color w:val="000000"/>
        </w:rPr>
        <w:t xml:space="preserve">%. U většiny pacientů, kteří dosáhli kompletní cytogenetické odpovědi (CCyR), se CCyR vyvinula mezi </w:t>
      </w:r>
      <w:smartTag w:uri="urn:schemas-microsoft-com:office:smarttags" w:element="metricconverter">
        <w:smartTagPr>
          <w:attr w:name="ProductID" w:val="3. a"/>
        </w:smartTagPr>
        <w:r w:rsidRPr="00F25A60">
          <w:rPr>
            <w:color w:val="000000"/>
          </w:rPr>
          <w:t>3. a</w:t>
        </w:r>
      </w:smartTag>
      <w:r w:rsidRPr="00F25A60">
        <w:rPr>
          <w:color w:val="000000"/>
        </w:rPr>
        <w:t xml:space="preserve"> 10. měsícem léčby s mediánem času do dosažení odpovědi 5,6 měsíců podle Kaplan-Meierova odhadu.</w:t>
      </w:r>
    </w:p>
    <w:p w14:paraId="393573C9" w14:textId="77777777" w:rsidR="00EA5993" w:rsidRPr="00F25A60" w:rsidRDefault="00EA5993" w:rsidP="0048111F">
      <w:pPr>
        <w:pStyle w:val="EndnoteText"/>
        <w:rPr>
          <w:color w:val="000000"/>
          <w:u w:val="single"/>
        </w:rPr>
      </w:pPr>
    </w:p>
    <w:p w14:paraId="52A7BB36" w14:textId="3CA1AE15" w:rsidR="00EA5993" w:rsidRPr="00F25A60" w:rsidRDefault="00EA5993" w:rsidP="0048111F">
      <w:pPr>
        <w:pStyle w:val="EndnoteText"/>
        <w:rPr>
          <w:color w:val="000000"/>
        </w:rPr>
      </w:pPr>
      <w:r w:rsidRPr="00F25A60">
        <w:rPr>
          <w:color w:val="000000"/>
        </w:rPr>
        <w:t>Evropská agentura pro léčivé přípravky rozhodla o zproštění povinnosti předložit výsledky studií s</w:t>
      </w:r>
      <w:r w:rsidR="00DF45EE" w:rsidRPr="00F25A60">
        <w:rPr>
          <w:color w:val="000000"/>
        </w:rPr>
        <w:t xml:space="preserve"> přípravkem </w:t>
      </w:r>
      <w:r w:rsidRPr="00F25A60">
        <w:rPr>
          <w:color w:val="000000"/>
        </w:rPr>
        <w:t>Glivec u všech podskupin pediatrické populace s Philadelphia chromozom pozitivní (translokace bcr-abl) chronickou myeloidní leukemií (informace o použití u </w:t>
      </w:r>
      <w:ins w:id="298" w:author="Author">
        <w:r w:rsidR="00276A11">
          <w:rPr>
            <w:color w:val="000000"/>
          </w:rPr>
          <w:t>pediatrické populace</w:t>
        </w:r>
      </w:ins>
      <w:del w:id="299" w:author="Author">
        <w:r w:rsidRPr="00F25A60" w:rsidDel="00276A11">
          <w:rPr>
            <w:color w:val="000000"/>
          </w:rPr>
          <w:delText>dětí</w:delText>
        </w:r>
      </w:del>
      <w:r w:rsidRPr="00F25A60">
        <w:rPr>
          <w:color w:val="000000"/>
        </w:rPr>
        <w:t xml:space="preserve"> viz bod</w:t>
      </w:r>
      <w:r w:rsidR="00C822D7">
        <w:rPr>
          <w:color w:val="000000"/>
        </w:rPr>
        <w:t> </w:t>
      </w:r>
      <w:r w:rsidRPr="00F25A60">
        <w:rPr>
          <w:color w:val="000000"/>
        </w:rPr>
        <w:t>4.2).</w:t>
      </w:r>
    </w:p>
    <w:p w14:paraId="07C5F49E" w14:textId="77777777" w:rsidR="00EA5993" w:rsidRPr="00F25A60" w:rsidRDefault="00EA5993" w:rsidP="0048111F">
      <w:pPr>
        <w:pStyle w:val="EndnoteText"/>
        <w:rPr>
          <w:color w:val="000000"/>
          <w:u w:val="single"/>
        </w:rPr>
      </w:pPr>
    </w:p>
    <w:p w14:paraId="5045F763" w14:textId="2B211714" w:rsidR="00EA5993" w:rsidRPr="00F25A60" w:rsidRDefault="00EA5993" w:rsidP="0048111F">
      <w:pPr>
        <w:pStyle w:val="EndnoteText"/>
        <w:keepNext/>
        <w:rPr>
          <w:color w:val="000000"/>
          <w:u w:val="single"/>
        </w:rPr>
      </w:pPr>
      <w:r w:rsidRPr="00F25A60">
        <w:rPr>
          <w:color w:val="000000"/>
          <w:u w:val="single"/>
        </w:rPr>
        <w:t xml:space="preserve">Klinické studie u Ph+ </w:t>
      </w:r>
      <w:smartTag w:uri="urn:schemas-microsoft-com:office:smarttags" w:element="stockticker">
        <w:r w:rsidRPr="00F25A60">
          <w:rPr>
            <w:color w:val="000000"/>
            <w:u w:val="single"/>
          </w:rPr>
          <w:t>ALL</w:t>
        </w:r>
      </w:smartTag>
    </w:p>
    <w:p w14:paraId="2F7F2160" w14:textId="77777777" w:rsidR="00DF45EE" w:rsidRPr="00F25A60" w:rsidRDefault="00DF45EE" w:rsidP="0048111F">
      <w:pPr>
        <w:pStyle w:val="EndnoteText"/>
        <w:keepNext/>
        <w:rPr>
          <w:color w:val="000000"/>
        </w:rPr>
      </w:pPr>
    </w:p>
    <w:p w14:paraId="35A07361" w14:textId="419F0E62" w:rsidR="00DF45EE" w:rsidRPr="00F25A60" w:rsidRDefault="00EA5993" w:rsidP="0048111F">
      <w:pPr>
        <w:pStyle w:val="Text"/>
        <w:keepNext/>
        <w:spacing w:before="0"/>
        <w:jc w:val="left"/>
        <w:rPr>
          <w:color w:val="000000"/>
          <w:sz w:val="22"/>
          <w:szCs w:val="22"/>
          <w:lang w:val="cs-CZ"/>
        </w:rPr>
      </w:pPr>
      <w:r w:rsidRPr="00F25A60">
        <w:rPr>
          <w:i/>
          <w:iCs/>
          <w:color w:val="000000"/>
          <w:sz w:val="22"/>
          <w:szCs w:val="22"/>
          <w:u w:val="single"/>
          <w:lang w:val="cs-CZ"/>
        </w:rPr>
        <w:t xml:space="preserve">Nově diagnostikovaná Ph+ </w:t>
      </w:r>
      <w:smartTag w:uri="urn:schemas-microsoft-com:office:smarttags" w:element="stockticker">
        <w:r w:rsidRPr="00F25A60">
          <w:rPr>
            <w:i/>
            <w:iCs/>
            <w:color w:val="000000"/>
            <w:sz w:val="22"/>
            <w:szCs w:val="22"/>
            <w:u w:val="single"/>
            <w:lang w:val="cs-CZ"/>
          </w:rPr>
          <w:t>ALL</w:t>
        </w:r>
      </w:smartTag>
    </w:p>
    <w:p w14:paraId="27306E54" w14:textId="08F2FF4E" w:rsidR="00EA5993" w:rsidRPr="00F25A60" w:rsidRDefault="00EA5993" w:rsidP="0048111F">
      <w:pPr>
        <w:pStyle w:val="Text"/>
        <w:spacing w:before="0"/>
        <w:jc w:val="left"/>
        <w:rPr>
          <w:color w:val="000000"/>
          <w:sz w:val="22"/>
          <w:szCs w:val="22"/>
          <w:lang w:val="cs-CZ"/>
        </w:rPr>
      </w:pPr>
      <w:r w:rsidRPr="00F25A60">
        <w:rPr>
          <w:color w:val="000000"/>
          <w:sz w:val="22"/>
          <w:szCs w:val="22"/>
          <w:lang w:val="cs-CZ"/>
        </w:rPr>
        <w:t xml:space="preserve">V kontrolované studii (ADE10), ve které byl porovnáván imatinib s indukční chemoterapií u 55 nově diagnostikovaných pacientů ve věku 55 let a starších, imatinib podávaný jako monoterapie navodil významně vyšší </w:t>
      </w:r>
      <w:r w:rsidR="006327B9" w:rsidRPr="00F25A60">
        <w:rPr>
          <w:color w:val="000000"/>
          <w:sz w:val="22"/>
          <w:szCs w:val="22"/>
          <w:lang w:val="cs-CZ"/>
        </w:rPr>
        <w:t xml:space="preserve">výskyt </w:t>
      </w:r>
      <w:r w:rsidRPr="00F25A60">
        <w:rPr>
          <w:color w:val="000000"/>
          <w:sz w:val="22"/>
          <w:szCs w:val="22"/>
          <w:lang w:val="cs-CZ"/>
        </w:rPr>
        <w:t>kompletních hematologických odpovědí než chemoterapie (96,3</w:t>
      </w:r>
      <w:r w:rsidR="00FC57C0" w:rsidRPr="00F25A60">
        <w:rPr>
          <w:color w:val="000000"/>
          <w:sz w:val="22"/>
          <w:szCs w:val="22"/>
          <w:lang w:val="cs-CZ"/>
        </w:rPr>
        <w:t> </w:t>
      </w:r>
      <w:r w:rsidRPr="00F25A60">
        <w:rPr>
          <w:color w:val="000000"/>
          <w:sz w:val="22"/>
          <w:szCs w:val="22"/>
          <w:lang w:val="cs-CZ"/>
        </w:rPr>
        <w:t>% vs. 50</w:t>
      </w:r>
      <w:r w:rsidR="00FC57C0" w:rsidRPr="00F25A60">
        <w:rPr>
          <w:color w:val="000000"/>
          <w:sz w:val="22"/>
          <w:szCs w:val="22"/>
          <w:lang w:val="cs-CZ"/>
        </w:rPr>
        <w:t> </w:t>
      </w:r>
      <w:r w:rsidRPr="00F25A60">
        <w:rPr>
          <w:color w:val="000000"/>
          <w:sz w:val="22"/>
          <w:szCs w:val="22"/>
          <w:lang w:val="cs-CZ"/>
        </w:rPr>
        <w:t>%; p=0,0001). Podání imatinibu jako záchranné terapie pacientům, kteří neodpovídali na chemoterapii nebo jejichž odpověď na chemoterapii byla nedostatečná, vedlo u</w:t>
      </w:r>
      <w:r w:rsidRPr="00F25A60">
        <w:rPr>
          <w:color w:val="000000"/>
          <w:lang w:val="cs-CZ"/>
        </w:rPr>
        <w:t> </w:t>
      </w:r>
      <w:r w:rsidRPr="00F25A60">
        <w:rPr>
          <w:color w:val="000000"/>
          <w:sz w:val="22"/>
          <w:szCs w:val="22"/>
          <w:lang w:val="cs-CZ"/>
        </w:rPr>
        <w:t>9 pacientů (81,8</w:t>
      </w:r>
      <w:r w:rsidR="00FC57C0" w:rsidRPr="00F25A60">
        <w:rPr>
          <w:color w:val="000000"/>
          <w:sz w:val="22"/>
          <w:szCs w:val="22"/>
          <w:lang w:val="cs-CZ"/>
        </w:rPr>
        <w:t> </w:t>
      </w:r>
      <w:r w:rsidRPr="00F25A60">
        <w:rPr>
          <w:color w:val="000000"/>
          <w:sz w:val="22"/>
          <w:szCs w:val="22"/>
          <w:lang w:val="cs-CZ"/>
        </w:rPr>
        <w:t>%) z celkového počtu 11 pacientů k dosažení kompletní hematologické odpovědi. Tento klinický účinek byl po 2 týdnech léčby spojen s vyšší redukcí bcr-abl transkriptů u pacientů léčených imatinibem než v</w:t>
      </w:r>
      <w:ins w:id="300" w:author="Author">
        <w:r w:rsidR="009274D5" w:rsidRPr="00F25A60">
          <w:rPr>
            <w:color w:val="000000"/>
          </w:rPr>
          <w:t> </w:t>
        </w:r>
      </w:ins>
      <w:del w:id="301" w:author="Author">
        <w:r w:rsidRPr="00F25A60" w:rsidDel="009274D5">
          <w:rPr>
            <w:color w:val="000000"/>
            <w:sz w:val="22"/>
            <w:szCs w:val="22"/>
            <w:lang w:val="cs-CZ"/>
          </w:rPr>
          <w:delText xml:space="preserve"> </w:delText>
        </w:r>
      </w:del>
      <w:r w:rsidRPr="00F25A60">
        <w:rPr>
          <w:color w:val="000000"/>
          <w:sz w:val="22"/>
          <w:szCs w:val="22"/>
          <w:lang w:val="cs-CZ"/>
        </w:rPr>
        <w:t xml:space="preserve">rameni s chemoterapií (p=0,02). Po fázi indukce všichni pacienti dostávali imatinib a konsolidační chemoterapii (viz </w:t>
      </w:r>
      <w:r w:rsidR="006327B9" w:rsidRPr="00F25A60">
        <w:rPr>
          <w:color w:val="000000"/>
          <w:sz w:val="22"/>
          <w:szCs w:val="22"/>
          <w:lang w:val="cs-CZ"/>
        </w:rPr>
        <w:t>t</w:t>
      </w:r>
      <w:r w:rsidRPr="00F25A60">
        <w:rPr>
          <w:color w:val="000000"/>
          <w:sz w:val="22"/>
          <w:szCs w:val="22"/>
          <w:lang w:val="cs-CZ"/>
        </w:rPr>
        <w:t>abulka </w:t>
      </w:r>
      <w:r w:rsidR="00A2522A" w:rsidRPr="00F25A60">
        <w:rPr>
          <w:color w:val="000000"/>
          <w:sz w:val="22"/>
          <w:szCs w:val="22"/>
          <w:lang w:val="cs-CZ"/>
        </w:rPr>
        <w:t>4</w:t>
      </w:r>
      <w:r w:rsidRPr="00F25A60">
        <w:rPr>
          <w:color w:val="000000"/>
          <w:sz w:val="22"/>
          <w:szCs w:val="22"/>
          <w:lang w:val="cs-CZ"/>
        </w:rPr>
        <w:t>) a po 8 týdnech byly hladiny bcr-abl transkriptů stejné v obou ramenech. Jak se očekávalo na základě designu studie</w:t>
      </w:r>
      <w:r w:rsidRPr="00F25A60">
        <w:rPr>
          <w:rFonts w:eastAsia="MS Mincho"/>
          <w:color w:val="000000"/>
          <w:sz w:val="22"/>
          <w:szCs w:val="22"/>
          <w:lang w:val="cs-CZ"/>
        </w:rPr>
        <w:t>, nebyl pozorován žádný rozdíl v době trvání remise, v</w:t>
      </w:r>
      <w:ins w:id="302" w:author="Author">
        <w:r w:rsidR="009274D5" w:rsidRPr="00F25A60">
          <w:rPr>
            <w:color w:val="000000"/>
          </w:rPr>
          <w:t> </w:t>
        </w:r>
      </w:ins>
      <w:del w:id="303" w:author="Author">
        <w:r w:rsidRPr="00F25A60" w:rsidDel="009274D5">
          <w:rPr>
            <w:rFonts w:eastAsia="MS Mincho"/>
            <w:color w:val="000000"/>
            <w:sz w:val="22"/>
            <w:szCs w:val="22"/>
            <w:lang w:val="cs-CZ"/>
          </w:rPr>
          <w:delText xml:space="preserve"> </w:delText>
        </w:r>
      </w:del>
      <w:r w:rsidRPr="00F25A60">
        <w:rPr>
          <w:rFonts w:eastAsia="MS Mincho"/>
          <w:color w:val="000000"/>
          <w:sz w:val="22"/>
          <w:szCs w:val="22"/>
          <w:lang w:val="cs-CZ"/>
        </w:rPr>
        <w:t>přežití bez známek onemocnění nebo celkovém přežití, ačkoliv pacienti s kompletní molekulární odpovědí a trvajícím minimálním reziduálním onemocněním měli lepší výsledek, pokud šlo o dobu trvání remise (p=0,01) a přežití bez známek onemocnění (p=0,02)</w:t>
      </w:r>
      <w:r w:rsidRPr="00F25A60">
        <w:rPr>
          <w:color w:val="000000"/>
          <w:sz w:val="22"/>
          <w:szCs w:val="22"/>
          <w:lang w:val="cs-CZ"/>
        </w:rPr>
        <w:t>.</w:t>
      </w:r>
    </w:p>
    <w:p w14:paraId="08054C6F" w14:textId="77777777" w:rsidR="00EA5993" w:rsidRPr="00F25A60" w:rsidRDefault="00EA5993" w:rsidP="0048111F">
      <w:pPr>
        <w:pStyle w:val="Text"/>
        <w:spacing w:before="0"/>
        <w:jc w:val="left"/>
        <w:rPr>
          <w:color w:val="000000"/>
          <w:sz w:val="22"/>
          <w:szCs w:val="22"/>
          <w:lang w:val="cs-CZ"/>
        </w:rPr>
      </w:pPr>
    </w:p>
    <w:p w14:paraId="4E51EF7A" w14:textId="77777777" w:rsidR="00EA5993" w:rsidRPr="00F25A60" w:rsidRDefault="00EA5993" w:rsidP="0048111F">
      <w:pPr>
        <w:pStyle w:val="EndnoteText"/>
        <w:rPr>
          <w:color w:val="000000"/>
        </w:rPr>
      </w:pPr>
      <w:r w:rsidRPr="00F25A60">
        <w:rPr>
          <w:color w:val="000000"/>
        </w:rPr>
        <w:t xml:space="preserve">Výsledky pozorované ve skupině 211 nově diagnostikovaných pacientů s Ph+ </w:t>
      </w:r>
      <w:smartTag w:uri="urn:schemas-microsoft-com:office:smarttags" w:element="stockticker">
        <w:r w:rsidRPr="00F25A60">
          <w:rPr>
            <w:color w:val="000000"/>
          </w:rPr>
          <w:t>ALL</w:t>
        </w:r>
      </w:smartTag>
      <w:r w:rsidRPr="00F25A60">
        <w:rPr>
          <w:color w:val="000000"/>
        </w:rPr>
        <w:t xml:space="preserve"> ve čtyřech nekontrolovaných klinických studiích (AAU02, ADE04, AJP01 a AUS01) jsou shodné s výsledky popsanými výše. Podávání imatinibu v kombinaci s indukční chemoterapií (viz </w:t>
      </w:r>
      <w:r w:rsidR="006327B9" w:rsidRPr="00F25A60">
        <w:rPr>
          <w:color w:val="000000"/>
        </w:rPr>
        <w:t>t</w:t>
      </w:r>
      <w:r w:rsidRPr="00F25A60">
        <w:rPr>
          <w:color w:val="000000"/>
        </w:rPr>
        <w:t>abulka </w:t>
      </w:r>
      <w:r w:rsidR="00A2522A" w:rsidRPr="00F25A60">
        <w:rPr>
          <w:color w:val="000000"/>
        </w:rPr>
        <w:t>4</w:t>
      </w:r>
      <w:r w:rsidRPr="00F25A60">
        <w:rPr>
          <w:color w:val="000000"/>
        </w:rPr>
        <w:t>) vedlo k dosažení kompletní hematologické odpovědi u 93</w:t>
      </w:r>
      <w:r w:rsidR="006327B9" w:rsidRPr="00F25A60">
        <w:rPr>
          <w:color w:val="000000"/>
        </w:rPr>
        <w:t> </w:t>
      </w:r>
      <w:r w:rsidRPr="00F25A60">
        <w:rPr>
          <w:color w:val="000000"/>
        </w:rPr>
        <w:t>% (147 ze 158 hodnotitelných pacientů) a k dosažení velké cytogenetické odpovědi u 90</w:t>
      </w:r>
      <w:r w:rsidR="00FC57C0" w:rsidRPr="00F25A60">
        <w:rPr>
          <w:color w:val="000000"/>
        </w:rPr>
        <w:t> </w:t>
      </w:r>
      <w:r w:rsidRPr="00F25A60">
        <w:rPr>
          <w:color w:val="000000"/>
        </w:rPr>
        <w:t xml:space="preserve">% (19 z 21 hodnotitelných pacientů). </w:t>
      </w:r>
      <w:r w:rsidR="006327B9" w:rsidRPr="00F25A60">
        <w:rPr>
          <w:color w:val="000000"/>
        </w:rPr>
        <w:t>Výskyt</w:t>
      </w:r>
      <w:r w:rsidRPr="00F25A60">
        <w:rPr>
          <w:color w:val="000000"/>
        </w:rPr>
        <w:t xml:space="preserve"> kompletní molekulární odpovědi byl 48</w:t>
      </w:r>
      <w:r w:rsidR="00F62619" w:rsidRPr="00F25A60">
        <w:rPr>
          <w:color w:val="000000"/>
        </w:rPr>
        <w:t> </w:t>
      </w:r>
      <w:r w:rsidRPr="00F25A60">
        <w:rPr>
          <w:color w:val="000000"/>
        </w:rPr>
        <w:t>% (49 z</w:t>
      </w:r>
      <w:r w:rsidR="006327B9" w:rsidRPr="00F25A60">
        <w:rPr>
          <w:color w:val="000000"/>
        </w:rPr>
        <w:t>e</w:t>
      </w:r>
      <w:r w:rsidRPr="00F25A60">
        <w:rPr>
          <w:color w:val="000000"/>
        </w:rPr>
        <w:t xml:space="preserve"> 102 hodnotitelných pacientů). Ve dvou studiích (AJP01 a AUS01) přežití bez známek onemocnění (</w:t>
      </w:r>
      <w:smartTag w:uri="urn:schemas-microsoft-com:office:smarttags" w:element="stockticker">
        <w:r w:rsidRPr="00F25A60">
          <w:rPr>
            <w:color w:val="000000"/>
          </w:rPr>
          <w:t>DFS</w:t>
        </w:r>
      </w:smartTag>
      <w:r w:rsidRPr="00F25A60">
        <w:rPr>
          <w:color w:val="000000"/>
        </w:rPr>
        <w:t>) a celkové přežití (OS) konstantně převyšovaly 1 rok a tyto výsledky byly lepší oproti historickým kontrolám. (</w:t>
      </w:r>
      <w:smartTag w:uri="urn:schemas-microsoft-com:office:smarttags" w:element="stockticker">
        <w:r w:rsidRPr="00F25A60">
          <w:rPr>
            <w:color w:val="000000"/>
          </w:rPr>
          <w:t>DFS</w:t>
        </w:r>
      </w:smartTag>
      <w:r w:rsidRPr="00F25A60">
        <w:rPr>
          <w:color w:val="000000"/>
        </w:rPr>
        <w:t xml:space="preserve"> p&lt;0,001; OS p&lt;0,0</w:t>
      </w:r>
      <w:r w:rsidR="006327B9" w:rsidRPr="00F25A60">
        <w:rPr>
          <w:color w:val="000000"/>
        </w:rPr>
        <w:t>00</w:t>
      </w:r>
      <w:r w:rsidRPr="00F25A60">
        <w:rPr>
          <w:color w:val="000000"/>
        </w:rPr>
        <w:t>1).</w:t>
      </w:r>
    </w:p>
    <w:p w14:paraId="385CFB28" w14:textId="77777777" w:rsidR="00EA5993" w:rsidRPr="00F25A60" w:rsidRDefault="00EA5993" w:rsidP="0048111F">
      <w:pPr>
        <w:pStyle w:val="EndnoteText"/>
        <w:rPr>
          <w:color w:val="000000"/>
        </w:rPr>
      </w:pPr>
    </w:p>
    <w:p w14:paraId="621BED38" w14:textId="77777777" w:rsidR="00EA5993" w:rsidRPr="00F25A60" w:rsidRDefault="00EA5993" w:rsidP="0048111F">
      <w:pPr>
        <w:pStyle w:val="EndnoteText"/>
        <w:keepNext/>
        <w:tabs>
          <w:tab w:val="clear" w:pos="567"/>
          <w:tab w:val="left" w:pos="1134"/>
        </w:tabs>
        <w:rPr>
          <w:b/>
          <w:bCs/>
          <w:color w:val="000000"/>
        </w:rPr>
      </w:pPr>
      <w:r w:rsidRPr="00F25A60">
        <w:rPr>
          <w:b/>
          <w:bCs/>
          <w:color w:val="000000"/>
        </w:rPr>
        <w:t>Tabulka </w:t>
      </w:r>
      <w:r w:rsidR="00A2522A" w:rsidRPr="00F25A60">
        <w:rPr>
          <w:b/>
          <w:bCs/>
          <w:color w:val="000000"/>
        </w:rPr>
        <w:t>4</w:t>
      </w:r>
      <w:r w:rsidRPr="00F25A60">
        <w:rPr>
          <w:b/>
          <w:bCs/>
          <w:color w:val="000000"/>
        </w:rPr>
        <w:tab/>
        <w:t xml:space="preserve">Chemoterapeutický režim </w:t>
      </w:r>
      <w:r w:rsidR="006327B9" w:rsidRPr="00F25A60">
        <w:rPr>
          <w:b/>
          <w:bCs/>
          <w:color w:val="000000"/>
        </w:rPr>
        <w:t>po</w:t>
      </w:r>
      <w:r w:rsidRPr="00F25A60">
        <w:rPr>
          <w:b/>
          <w:bCs/>
          <w:color w:val="000000"/>
        </w:rPr>
        <w:t>užívaný v kombinaci s imatinibem</w:t>
      </w:r>
    </w:p>
    <w:p w14:paraId="64686651" w14:textId="77777777" w:rsidR="00EA5993" w:rsidRPr="00F25A60" w:rsidRDefault="00EA5993" w:rsidP="0048111F">
      <w:pPr>
        <w:pStyle w:val="EndnoteText"/>
        <w:keepNext/>
        <w:rPr>
          <w:color w:val="000000"/>
        </w:rPr>
      </w:pPr>
    </w:p>
    <w:tbl>
      <w:tblPr>
        <w:tblW w:w="0" w:type="auto"/>
        <w:tblInd w:w="228" w:type="dxa"/>
        <w:tblLayout w:type="fixed"/>
        <w:tblLook w:val="0000" w:firstRow="0" w:lastRow="0" w:firstColumn="0" w:lastColumn="0" w:noHBand="0" w:noVBand="0"/>
      </w:tblPr>
      <w:tblGrid>
        <w:gridCol w:w="2148"/>
        <w:gridCol w:w="2652"/>
        <w:gridCol w:w="1080"/>
        <w:gridCol w:w="1380"/>
        <w:gridCol w:w="1620"/>
      </w:tblGrid>
      <w:tr w:rsidR="00EA5993" w:rsidRPr="00F25A60" w14:paraId="7A47F079" w14:textId="77777777" w:rsidTr="00EB4FF7">
        <w:trPr>
          <w:cantSplit/>
        </w:trPr>
        <w:tc>
          <w:tcPr>
            <w:tcW w:w="2148" w:type="dxa"/>
            <w:tcBorders>
              <w:top w:val="single" w:sz="4" w:space="0" w:color="000000"/>
              <w:bottom w:val="single" w:sz="4" w:space="0" w:color="000000"/>
            </w:tcBorders>
          </w:tcPr>
          <w:p w14:paraId="142A1DA0" w14:textId="77777777" w:rsidR="00EA5993" w:rsidRPr="00F25A60" w:rsidRDefault="00EA5993" w:rsidP="0048111F">
            <w:pPr>
              <w:pStyle w:val="Table"/>
              <w:keepLines w:val="0"/>
              <w:snapToGrid w:val="0"/>
              <w:spacing w:before="0" w:after="0"/>
              <w:rPr>
                <w:rFonts w:ascii="Times New Roman" w:hAnsi="Times New Roman" w:cs="Times New Roman"/>
                <w:b/>
                <w:bCs/>
                <w:color w:val="000000"/>
                <w:sz w:val="22"/>
                <w:szCs w:val="22"/>
                <w:lang w:val="cs-CZ"/>
              </w:rPr>
            </w:pPr>
            <w:r w:rsidRPr="00F25A60">
              <w:rPr>
                <w:rFonts w:ascii="Times New Roman" w:hAnsi="Times New Roman" w:cs="Times New Roman"/>
                <w:b/>
                <w:bCs/>
                <w:color w:val="000000"/>
                <w:sz w:val="22"/>
                <w:szCs w:val="22"/>
                <w:lang w:val="cs-CZ"/>
              </w:rPr>
              <w:t>Studie ADE10</w:t>
            </w:r>
          </w:p>
        </w:tc>
        <w:tc>
          <w:tcPr>
            <w:tcW w:w="6732" w:type="dxa"/>
            <w:gridSpan w:val="4"/>
            <w:tcBorders>
              <w:top w:val="single" w:sz="4" w:space="0" w:color="000000"/>
              <w:bottom w:val="single" w:sz="4" w:space="0" w:color="000000"/>
            </w:tcBorders>
          </w:tcPr>
          <w:p w14:paraId="2EBF41B1"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r>
      <w:tr w:rsidR="00EA5993" w:rsidRPr="00F25A60" w14:paraId="5A29E459" w14:textId="77777777" w:rsidTr="00EB4FF7">
        <w:trPr>
          <w:cantSplit/>
        </w:trPr>
        <w:tc>
          <w:tcPr>
            <w:tcW w:w="2148" w:type="dxa"/>
            <w:tcBorders>
              <w:top w:val="single" w:sz="4" w:space="0" w:color="000000"/>
              <w:bottom w:val="single" w:sz="4" w:space="0" w:color="000000"/>
            </w:tcBorders>
          </w:tcPr>
          <w:p w14:paraId="34E1559B"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Prefáze</w:t>
            </w:r>
          </w:p>
        </w:tc>
        <w:tc>
          <w:tcPr>
            <w:tcW w:w="6732" w:type="dxa"/>
            <w:gridSpan w:val="4"/>
            <w:tcBorders>
              <w:top w:val="single" w:sz="4" w:space="0" w:color="000000"/>
              <w:bottom w:val="single" w:sz="4" w:space="0" w:color="000000"/>
            </w:tcBorders>
          </w:tcPr>
          <w:p w14:paraId="439DFAB1"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DEX 10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perorálně, den 1-5;</w:t>
            </w:r>
          </w:p>
          <w:p w14:paraId="1EA73AE9"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CP 200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i.v., den 3, 4, 5;</w:t>
            </w:r>
          </w:p>
          <w:p w14:paraId="108BB19F"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smartTag w:uri="urn:schemas-microsoft-com:office:smarttags" w:element="stockticker">
              <w:r w:rsidRPr="00F25A60">
                <w:rPr>
                  <w:rFonts w:ascii="Times New Roman" w:hAnsi="Times New Roman" w:cs="Times New Roman"/>
                  <w:color w:val="000000"/>
                  <w:sz w:val="22"/>
                  <w:szCs w:val="22"/>
                  <w:lang w:val="cs-CZ"/>
                </w:rPr>
                <w:t>MTX</w:t>
              </w:r>
            </w:smartTag>
            <w:r w:rsidRPr="00F25A60">
              <w:rPr>
                <w:rFonts w:ascii="Times New Roman" w:hAnsi="Times New Roman" w:cs="Times New Roman"/>
                <w:color w:val="000000"/>
                <w:sz w:val="22"/>
                <w:szCs w:val="22"/>
                <w:lang w:val="cs-CZ"/>
              </w:rPr>
              <w:t xml:space="preserve"> 12 mg intratekálně, den 1</w:t>
            </w:r>
          </w:p>
        </w:tc>
      </w:tr>
      <w:tr w:rsidR="00EA5993" w:rsidRPr="00F25A60" w14:paraId="1587B189" w14:textId="77777777" w:rsidTr="00EB4FF7">
        <w:trPr>
          <w:cantSplit/>
        </w:trPr>
        <w:tc>
          <w:tcPr>
            <w:tcW w:w="2148" w:type="dxa"/>
            <w:tcBorders>
              <w:top w:val="single" w:sz="4" w:space="0" w:color="000000"/>
              <w:bottom w:val="single" w:sz="4" w:space="0" w:color="000000"/>
            </w:tcBorders>
          </w:tcPr>
          <w:p w14:paraId="1429FE08"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Indukce remise</w:t>
            </w:r>
          </w:p>
        </w:tc>
        <w:tc>
          <w:tcPr>
            <w:tcW w:w="6732" w:type="dxa"/>
            <w:gridSpan w:val="4"/>
            <w:tcBorders>
              <w:top w:val="single" w:sz="4" w:space="0" w:color="000000"/>
              <w:bottom w:val="single" w:sz="4" w:space="0" w:color="000000"/>
            </w:tcBorders>
          </w:tcPr>
          <w:p w14:paraId="2A032843"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DEX 10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perorálně, den 6-7, 13-16;</w:t>
            </w:r>
          </w:p>
          <w:p w14:paraId="562C6463"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smartTag w:uri="urn:schemas-microsoft-com:office:smarttags" w:element="stockticker">
              <w:r w:rsidRPr="00F25A60">
                <w:rPr>
                  <w:rFonts w:ascii="Times New Roman" w:hAnsi="Times New Roman" w:cs="Times New Roman"/>
                  <w:color w:val="000000"/>
                  <w:sz w:val="22"/>
                  <w:szCs w:val="22"/>
                  <w:lang w:val="cs-CZ"/>
                </w:rPr>
                <w:t>VCR</w:t>
              </w:r>
            </w:smartTag>
            <w:r w:rsidRPr="00F25A60">
              <w:rPr>
                <w:rFonts w:ascii="Times New Roman" w:hAnsi="Times New Roman" w:cs="Times New Roman"/>
                <w:color w:val="000000"/>
                <w:sz w:val="22"/>
                <w:szCs w:val="22"/>
                <w:lang w:val="cs-CZ"/>
              </w:rPr>
              <w:t xml:space="preserve"> 1 mg i.v., den 7, 14;</w:t>
            </w:r>
          </w:p>
          <w:p w14:paraId="0013FFD6"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smartTag w:uri="urn:schemas-microsoft-com:office:smarttags" w:element="stockticker">
              <w:r w:rsidRPr="00F25A60">
                <w:rPr>
                  <w:rFonts w:ascii="Times New Roman" w:hAnsi="Times New Roman" w:cs="Times New Roman"/>
                  <w:color w:val="000000"/>
                  <w:sz w:val="22"/>
                  <w:szCs w:val="22"/>
                  <w:lang w:val="cs-CZ"/>
                </w:rPr>
                <w:t>IDA</w:t>
              </w:r>
            </w:smartTag>
            <w:r w:rsidRPr="00F25A60">
              <w:rPr>
                <w:rFonts w:ascii="Times New Roman" w:hAnsi="Times New Roman" w:cs="Times New Roman"/>
                <w:color w:val="000000"/>
                <w:sz w:val="22"/>
                <w:szCs w:val="22"/>
                <w:lang w:val="cs-CZ"/>
              </w:rPr>
              <w:t xml:space="preserve"> 8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i.v. (0,5 h), den 7, 8, 14, 15;</w:t>
            </w:r>
          </w:p>
          <w:p w14:paraId="1A4A6E5D"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CP 500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i.v.(1 h) den 1;</w:t>
            </w:r>
          </w:p>
          <w:p w14:paraId="3478B36A"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Ara-C 60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i.v., den 22-25, 29-32</w:t>
            </w:r>
          </w:p>
        </w:tc>
      </w:tr>
      <w:tr w:rsidR="00EA5993" w:rsidRPr="00F25A60" w14:paraId="3AB08154" w14:textId="77777777" w:rsidTr="00EB4FF7">
        <w:trPr>
          <w:cantSplit/>
        </w:trPr>
        <w:tc>
          <w:tcPr>
            <w:tcW w:w="2148" w:type="dxa"/>
            <w:tcBorders>
              <w:top w:val="single" w:sz="4" w:space="0" w:color="000000"/>
              <w:bottom w:val="single" w:sz="4" w:space="0" w:color="000000"/>
            </w:tcBorders>
          </w:tcPr>
          <w:p w14:paraId="11B295BC"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 xml:space="preserve">Konsolidační terapie I, </w:t>
            </w:r>
            <w:smartTag w:uri="urn:schemas-microsoft-com:office:smarttags" w:element="stockticker">
              <w:r w:rsidRPr="00F25A60">
                <w:rPr>
                  <w:rFonts w:ascii="Times New Roman" w:hAnsi="Times New Roman" w:cs="Times New Roman"/>
                  <w:color w:val="000000"/>
                  <w:sz w:val="22"/>
                  <w:szCs w:val="22"/>
                  <w:lang w:val="cs-CZ"/>
                </w:rPr>
                <w:t>III</w:t>
              </w:r>
            </w:smartTag>
            <w:r w:rsidRPr="00F25A60">
              <w:rPr>
                <w:rFonts w:ascii="Times New Roman" w:hAnsi="Times New Roman" w:cs="Times New Roman"/>
                <w:color w:val="000000"/>
                <w:sz w:val="22"/>
                <w:szCs w:val="22"/>
                <w:lang w:val="cs-CZ"/>
              </w:rPr>
              <w:t>, V</w:t>
            </w:r>
          </w:p>
        </w:tc>
        <w:tc>
          <w:tcPr>
            <w:tcW w:w="6732" w:type="dxa"/>
            <w:gridSpan w:val="4"/>
            <w:tcBorders>
              <w:top w:val="single" w:sz="4" w:space="0" w:color="000000"/>
              <w:bottom w:val="single" w:sz="4" w:space="0" w:color="000000"/>
            </w:tcBorders>
          </w:tcPr>
          <w:p w14:paraId="0B271349"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smartTag w:uri="urn:schemas-microsoft-com:office:smarttags" w:element="stockticker">
              <w:r w:rsidRPr="00F25A60">
                <w:rPr>
                  <w:rFonts w:ascii="Times New Roman" w:hAnsi="Times New Roman" w:cs="Times New Roman"/>
                  <w:color w:val="000000"/>
                  <w:sz w:val="22"/>
                  <w:szCs w:val="22"/>
                  <w:lang w:val="cs-CZ"/>
                </w:rPr>
                <w:t>MTX</w:t>
              </w:r>
            </w:smartTag>
            <w:r w:rsidRPr="00F25A60">
              <w:rPr>
                <w:rFonts w:ascii="Times New Roman" w:hAnsi="Times New Roman" w:cs="Times New Roman"/>
                <w:color w:val="000000"/>
                <w:sz w:val="22"/>
                <w:szCs w:val="22"/>
                <w:lang w:val="cs-CZ"/>
              </w:rPr>
              <w:t xml:space="preserve"> 500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i.v. (24 h), den 1, 15;</w:t>
            </w:r>
          </w:p>
          <w:p w14:paraId="751B7DA8"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6-MP 25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perorálně, den 1-20</w:t>
            </w:r>
          </w:p>
        </w:tc>
      </w:tr>
      <w:tr w:rsidR="00EA5993" w:rsidRPr="00F25A60" w14:paraId="632661BB" w14:textId="77777777" w:rsidTr="00EB4FF7">
        <w:trPr>
          <w:cantSplit/>
        </w:trPr>
        <w:tc>
          <w:tcPr>
            <w:tcW w:w="2148" w:type="dxa"/>
            <w:tcBorders>
              <w:top w:val="single" w:sz="4" w:space="0" w:color="000000"/>
              <w:bottom w:val="single" w:sz="4" w:space="0" w:color="000000"/>
            </w:tcBorders>
          </w:tcPr>
          <w:p w14:paraId="205E518E" w14:textId="77777777" w:rsidR="00EA5993" w:rsidRPr="00F25A60" w:rsidRDefault="00EA5993" w:rsidP="0048111F">
            <w:pPr>
              <w:pStyle w:val="Table"/>
              <w:keepNext w:val="0"/>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Konsolidační terapie II, IV</w:t>
            </w:r>
          </w:p>
        </w:tc>
        <w:tc>
          <w:tcPr>
            <w:tcW w:w="6732" w:type="dxa"/>
            <w:gridSpan w:val="4"/>
            <w:tcBorders>
              <w:top w:val="single" w:sz="4" w:space="0" w:color="000000"/>
              <w:bottom w:val="single" w:sz="4" w:space="0" w:color="000000"/>
            </w:tcBorders>
          </w:tcPr>
          <w:p w14:paraId="5D6B667D" w14:textId="77777777" w:rsidR="00EA5993" w:rsidRPr="00F25A60" w:rsidRDefault="00EA5993" w:rsidP="0048111F">
            <w:pPr>
              <w:pStyle w:val="Table"/>
              <w:keepNext w:val="0"/>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Ara-C 75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i.v. (1 h), den 1-5;</w:t>
            </w:r>
          </w:p>
          <w:p w14:paraId="7C47A232" w14:textId="77777777" w:rsidR="00EA5993" w:rsidRPr="00F25A60" w:rsidRDefault="00EA5993" w:rsidP="0048111F">
            <w:pPr>
              <w:pStyle w:val="Table"/>
              <w:keepNext w:val="0"/>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VM26 60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i.v. (1 h), den 1-5</w:t>
            </w:r>
          </w:p>
        </w:tc>
      </w:tr>
      <w:tr w:rsidR="00EA5993" w:rsidRPr="00F25A60" w14:paraId="6C55DCBB" w14:textId="77777777" w:rsidTr="00EB4FF7">
        <w:trPr>
          <w:cantSplit/>
        </w:trPr>
        <w:tc>
          <w:tcPr>
            <w:tcW w:w="2148" w:type="dxa"/>
            <w:tcBorders>
              <w:top w:val="single" w:sz="4" w:space="0" w:color="000000"/>
              <w:bottom w:val="single" w:sz="4" w:space="0" w:color="000000"/>
            </w:tcBorders>
          </w:tcPr>
          <w:p w14:paraId="52802FA7" w14:textId="77777777" w:rsidR="00EA5993" w:rsidRPr="00F25A60" w:rsidRDefault="00EA5993" w:rsidP="0048111F">
            <w:pPr>
              <w:pStyle w:val="Table"/>
              <w:keepLines w:val="0"/>
              <w:snapToGrid w:val="0"/>
              <w:spacing w:before="0" w:after="0"/>
              <w:rPr>
                <w:rFonts w:ascii="Times New Roman" w:hAnsi="Times New Roman" w:cs="Times New Roman"/>
                <w:b/>
                <w:bCs/>
                <w:color w:val="000000"/>
                <w:sz w:val="22"/>
                <w:szCs w:val="22"/>
                <w:lang w:val="cs-CZ"/>
              </w:rPr>
            </w:pPr>
            <w:r w:rsidRPr="00F25A60">
              <w:rPr>
                <w:rFonts w:ascii="Times New Roman" w:hAnsi="Times New Roman" w:cs="Times New Roman"/>
                <w:b/>
                <w:bCs/>
                <w:color w:val="000000"/>
                <w:sz w:val="22"/>
                <w:szCs w:val="22"/>
                <w:lang w:val="cs-CZ"/>
              </w:rPr>
              <w:t>Studie AAU02</w:t>
            </w:r>
          </w:p>
        </w:tc>
        <w:tc>
          <w:tcPr>
            <w:tcW w:w="2652" w:type="dxa"/>
            <w:tcBorders>
              <w:top w:val="single" w:sz="4" w:space="0" w:color="000000"/>
              <w:bottom w:val="single" w:sz="4" w:space="0" w:color="000000"/>
            </w:tcBorders>
          </w:tcPr>
          <w:p w14:paraId="1AB10904"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c>
          <w:tcPr>
            <w:tcW w:w="1080" w:type="dxa"/>
            <w:tcBorders>
              <w:top w:val="single" w:sz="4" w:space="0" w:color="000000"/>
              <w:bottom w:val="single" w:sz="4" w:space="0" w:color="000000"/>
            </w:tcBorders>
          </w:tcPr>
          <w:p w14:paraId="14B38EC9"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c>
          <w:tcPr>
            <w:tcW w:w="1380" w:type="dxa"/>
            <w:tcBorders>
              <w:top w:val="single" w:sz="4" w:space="0" w:color="000000"/>
              <w:bottom w:val="single" w:sz="4" w:space="0" w:color="000000"/>
            </w:tcBorders>
          </w:tcPr>
          <w:p w14:paraId="47796E90"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c>
          <w:tcPr>
            <w:tcW w:w="1620" w:type="dxa"/>
            <w:tcBorders>
              <w:top w:val="single" w:sz="4" w:space="0" w:color="000000"/>
              <w:bottom w:val="single" w:sz="4" w:space="0" w:color="000000"/>
            </w:tcBorders>
          </w:tcPr>
          <w:p w14:paraId="18937756"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r>
      <w:tr w:rsidR="00EA5993" w:rsidRPr="00F25A60" w14:paraId="6A03D8E0" w14:textId="77777777" w:rsidTr="00EB4FF7">
        <w:trPr>
          <w:cantSplit/>
        </w:trPr>
        <w:tc>
          <w:tcPr>
            <w:tcW w:w="2148" w:type="dxa"/>
            <w:tcBorders>
              <w:top w:val="single" w:sz="4" w:space="0" w:color="000000"/>
              <w:bottom w:val="single" w:sz="4" w:space="0" w:color="000000"/>
            </w:tcBorders>
          </w:tcPr>
          <w:p w14:paraId="3501DE81"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Indukční terapie (</w:t>
            </w:r>
            <w:r w:rsidRPr="00F25A60">
              <w:rPr>
                <w:rFonts w:ascii="Times New Roman" w:hAnsi="Times New Roman" w:cs="Times New Roman"/>
                <w:i/>
                <w:iCs/>
                <w:color w:val="000000"/>
                <w:sz w:val="22"/>
                <w:szCs w:val="22"/>
                <w:lang w:val="cs-CZ"/>
              </w:rPr>
              <w:t>de novo</w:t>
            </w:r>
            <w:r w:rsidRPr="00F25A60">
              <w:rPr>
                <w:rFonts w:ascii="Times New Roman" w:hAnsi="Times New Roman" w:cs="Times New Roman"/>
                <w:color w:val="000000"/>
                <w:sz w:val="22"/>
                <w:szCs w:val="22"/>
                <w:lang w:val="cs-CZ"/>
              </w:rPr>
              <w:t xml:space="preserve"> Ph+ </w:t>
            </w:r>
            <w:smartTag w:uri="urn:schemas-microsoft-com:office:smarttags" w:element="stockticker">
              <w:r w:rsidRPr="00F25A60">
                <w:rPr>
                  <w:rFonts w:ascii="Times New Roman" w:hAnsi="Times New Roman" w:cs="Times New Roman"/>
                  <w:color w:val="000000"/>
                  <w:sz w:val="22"/>
                  <w:szCs w:val="22"/>
                  <w:lang w:val="cs-CZ"/>
                </w:rPr>
                <w:t>ALL</w:t>
              </w:r>
            </w:smartTag>
            <w:r w:rsidRPr="00F25A60">
              <w:rPr>
                <w:rFonts w:ascii="Times New Roman" w:hAnsi="Times New Roman" w:cs="Times New Roman"/>
                <w:color w:val="000000"/>
                <w:sz w:val="22"/>
                <w:szCs w:val="22"/>
                <w:lang w:val="cs-CZ"/>
              </w:rPr>
              <w:t>)</w:t>
            </w:r>
          </w:p>
        </w:tc>
        <w:tc>
          <w:tcPr>
            <w:tcW w:w="6732" w:type="dxa"/>
            <w:gridSpan w:val="4"/>
            <w:tcBorders>
              <w:top w:val="single" w:sz="4" w:space="0" w:color="000000"/>
              <w:bottom w:val="single" w:sz="4" w:space="0" w:color="000000"/>
            </w:tcBorders>
          </w:tcPr>
          <w:p w14:paraId="23C1DC59" w14:textId="77777777" w:rsidR="00EA5993" w:rsidRPr="00F25A60" w:rsidRDefault="006327B9"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d</w:t>
            </w:r>
            <w:r w:rsidR="00EA5993" w:rsidRPr="00F25A60">
              <w:rPr>
                <w:rFonts w:ascii="Times New Roman" w:hAnsi="Times New Roman" w:cs="Times New Roman"/>
                <w:color w:val="000000"/>
                <w:sz w:val="22"/>
                <w:szCs w:val="22"/>
                <w:lang w:val="cs-CZ"/>
              </w:rPr>
              <w:t>aunorubicin 30 mg/m</w:t>
            </w:r>
            <w:r w:rsidR="00EA5993" w:rsidRPr="00F25A60">
              <w:rPr>
                <w:rFonts w:ascii="Times New Roman" w:hAnsi="Times New Roman" w:cs="Times New Roman"/>
                <w:color w:val="000000"/>
                <w:sz w:val="22"/>
                <w:szCs w:val="22"/>
                <w:vertAlign w:val="superscript"/>
                <w:lang w:val="cs-CZ"/>
              </w:rPr>
              <w:t>2</w:t>
            </w:r>
            <w:r w:rsidR="00EA5993" w:rsidRPr="00F25A60">
              <w:rPr>
                <w:rFonts w:ascii="Times New Roman" w:hAnsi="Times New Roman" w:cs="Times New Roman"/>
                <w:color w:val="000000"/>
                <w:sz w:val="22"/>
                <w:szCs w:val="22"/>
                <w:lang w:val="cs-CZ"/>
              </w:rPr>
              <w:t xml:space="preserve"> i.v., den 1-3, 15-16;</w:t>
            </w:r>
          </w:p>
          <w:p w14:paraId="5F2F01DF"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smartTag w:uri="urn:schemas-microsoft-com:office:smarttags" w:element="stockticker">
              <w:r w:rsidRPr="00F25A60">
                <w:rPr>
                  <w:rFonts w:ascii="Times New Roman" w:hAnsi="Times New Roman" w:cs="Times New Roman"/>
                  <w:color w:val="000000"/>
                  <w:sz w:val="22"/>
                  <w:szCs w:val="22"/>
                  <w:lang w:val="cs-CZ"/>
                </w:rPr>
                <w:t>VCR</w:t>
              </w:r>
            </w:smartTag>
            <w:r w:rsidRPr="00F25A60">
              <w:rPr>
                <w:rFonts w:ascii="Times New Roman" w:hAnsi="Times New Roman" w:cs="Times New Roman"/>
                <w:color w:val="000000"/>
                <w:sz w:val="22"/>
                <w:szCs w:val="22"/>
                <w:lang w:val="cs-CZ"/>
              </w:rPr>
              <w:t xml:space="preserve"> 2 mg celková dávka i.v., den 1, 8, 15, 22;</w:t>
            </w:r>
          </w:p>
          <w:p w14:paraId="2967A30D"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CP 750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i.v., den 1, 8;</w:t>
            </w:r>
          </w:p>
          <w:p w14:paraId="07E6F7CD" w14:textId="77777777" w:rsidR="00EA5993" w:rsidRPr="00F25A60" w:rsidRDefault="006327B9"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p</w:t>
            </w:r>
            <w:r w:rsidR="00EA5993" w:rsidRPr="00F25A60">
              <w:rPr>
                <w:rFonts w:ascii="Times New Roman" w:hAnsi="Times New Roman" w:cs="Times New Roman"/>
                <w:color w:val="000000"/>
                <w:sz w:val="22"/>
                <w:szCs w:val="22"/>
                <w:lang w:val="cs-CZ"/>
              </w:rPr>
              <w:t>rednison 60 mg/m</w:t>
            </w:r>
            <w:r w:rsidR="00EA5993" w:rsidRPr="00F25A60">
              <w:rPr>
                <w:rFonts w:ascii="Times New Roman" w:hAnsi="Times New Roman" w:cs="Times New Roman"/>
                <w:color w:val="000000"/>
                <w:sz w:val="22"/>
                <w:szCs w:val="22"/>
                <w:vertAlign w:val="superscript"/>
                <w:lang w:val="cs-CZ"/>
              </w:rPr>
              <w:t>2</w:t>
            </w:r>
            <w:r w:rsidR="00EA5993" w:rsidRPr="00F25A60">
              <w:rPr>
                <w:rFonts w:ascii="Times New Roman" w:hAnsi="Times New Roman" w:cs="Times New Roman"/>
                <w:color w:val="000000"/>
                <w:sz w:val="22"/>
                <w:szCs w:val="22"/>
                <w:lang w:val="cs-CZ"/>
              </w:rPr>
              <w:t xml:space="preserve"> perorálně, den 1-7, 15-21;</w:t>
            </w:r>
          </w:p>
          <w:p w14:paraId="42BD314A"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smartTag w:uri="urn:schemas-microsoft-com:office:smarttags" w:element="stockticker">
              <w:r w:rsidRPr="00F25A60">
                <w:rPr>
                  <w:rFonts w:ascii="Times New Roman" w:hAnsi="Times New Roman" w:cs="Times New Roman"/>
                  <w:color w:val="000000"/>
                  <w:sz w:val="22"/>
                  <w:szCs w:val="22"/>
                  <w:lang w:val="cs-CZ"/>
                </w:rPr>
                <w:t>IDA</w:t>
              </w:r>
            </w:smartTag>
            <w:r w:rsidRPr="00F25A60">
              <w:rPr>
                <w:rFonts w:ascii="Times New Roman" w:hAnsi="Times New Roman" w:cs="Times New Roman"/>
                <w:color w:val="000000"/>
                <w:sz w:val="22"/>
                <w:szCs w:val="22"/>
                <w:lang w:val="cs-CZ"/>
              </w:rPr>
              <w:t xml:space="preserve"> 9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perorálně, den 1-28;</w:t>
            </w:r>
          </w:p>
          <w:p w14:paraId="6F18B81A"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smartTag w:uri="urn:schemas-microsoft-com:office:smarttags" w:element="stockticker">
              <w:r w:rsidRPr="00F25A60">
                <w:rPr>
                  <w:rFonts w:ascii="Times New Roman" w:hAnsi="Times New Roman" w:cs="Times New Roman"/>
                  <w:color w:val="000000"/>
                  <w:sz w:val="22"/>
                  <w:szCs w:val="22"/>
                  <w:lang w:val="cs-CZ"/>
                </w:rPr>
                <w:t>MTX</w:t>
              </w:r>
            </w:smartTag>
            <w:r w:rsidRPr="00F25A60">
              <w:rPr>
                <w:rFonts w:ascii="Times New Roman" w:hAnsi="Times New Roman" w:cs="Times New Roman"/>
                <w:color w:val="000000"/>
                <w:sz w:val="22"/>
                <w:szCs w:val="22"/>
                <w:lang w:val="cs-CZ"/>
              </w:rPr>
              <w:t xml:space="preserve"> 15 mg intratekálně, den 1, 8, 15, 22;</w:t>
            </w:r>
          </w:p>
          <w:p w14:paraId="225B9D95"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Ara-C 40 mg intratekálně, den 1, 8, 15, 22;</w:t>
            </w:r>
          </w:p>
          <w:p w14:paraId="2FB91267" w14:textId="77777777" w:rsidR="00EA5993" w:rsidRPr="00F25A60" w:rsidRDefault="006327B9"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m</w:t>
            </w:r>
            <w:r w:rsidR="00EA5993" w:rsidRPr="00F25A60">
              <w:rPr>
                <w:rFonts w:ascii="Times New Roman" w:hAnsi="Times New Roman" w:cs="Times New Roman"/>
                <w:color w:val="000000"/>
                <w:sz w:val="22"/>
                <w:szCs w:val="22"/>
                <w:lang w:val="cs-CZ"/>
              </w:rPr>
              <w:t>ethylprednisolon 40 mg intratekálně, den 1, 8, 15, 22</w:t>
            </w:r>
          </w:p>
        </w:tc>
      </w:tr>
      <w:tr w:rsidR="00EA5993" w:rsidRPr="00F25A60" w14:paraId="0A369547" w14:textId="77777777" w:rsidTr="00EB4FF7">
        <w:trPr>
          <w:cantSplit/>
        </w:trPr>
        <w:tc>
          <w:tcPr>
            <w:tcW w:w="2148" w:type="dxa"/>
            <w:tcBorders>
              <w:top w:val="single" w:sz="4" w:space="0" w:color="000000"/>
              <w:bottom w:val="single" w:sz="4" w:space="0" w:color="000000"/>
            </w:tcBorders>
          </w:tcPr>
          <w:p w14:paraId="30A3F2F3" w14:textId="77777777" w:rsidR="00EA5993" w:rsidRPr="00F25A60" w:rsidRDefault="00EA5993" w:rsidP="0048111F">
            <w:pPr>
              <w:pStyle w:val="Table"/>
              <w:keepNext w:val="0"/>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Konsolidace (</w:t>
            </w:r>
            <w:r w:rsidRPr="00F25A60">
              <w:rPr>
                <w:rFonts w:ascii="Times New Roman" w:hAnsi="Times New Roman" w:cs="Times New Roman"/>
                <w:i/>
                <w:iCs/>
                <w:color w:val="000000"/>
                <w:sz w:val="22"/>
                <w:szCs w:val="22"/>
                <w:lang w:val="cs-CZ"/>
              </w:rPr>
              <w:t>de novo</w:t>
            </w:r>
            <w:r w:rsidRPr="00F25A60">
              <w:rPr>
                <w:rFonts w:ascii="Times New Roman" w:hAnsi="Times New Roman" w:cs="Times New Roman"/>
                <w:color w:val="000000"/>
                <w:sz w:val="22"/>
                <w:szCs w:val="22"/>
                <w:lang w:val="cs-CZ"/>
              </w:rPr>
              <w:t xml:space="preserve"> Ph+ </w:t>
            </w:r>
            <w:smartTag w:uri="urn:schemas-microsoft-com:office:smarttags" w:element="stockticker">
              <w:r w:rsidRPr="00F25A60">
                <w:rPr>
                  <w:rFonts w:ascii="Times New Roman" w:hAnsi="Times New Roman" w:cs="Times New Roman"/>
                  <w:color w:val="000000"/>
                  <w:sz w:val="22"/>
                  <w:szCs w:val="22"/>
                  <w:lang w:val="cs-CZ"/>
                </w:rPr>
                <w:t>ALL</w:t>
              </w:r>
            </w:smartTag>
            <w:r w:rsidRPr="00F25A60">
              <w:rPr>
                <w:rFonts w:ascii="Times New Roman" w:hAnsi="Times New Roman" w:cs="Times New Roman"/>
                <w:color w:val="000000"/>
                <w:sz w:val="22"/>
                <w:szCs w:val="22"/>
                <w:lang w:val="cs-CZ"/>
              </w:rPr>
              <w:t>)</w:t>
            </w:r>
          </w:p>
        </w:tc>
        <w:tc>
          <w:tcPr>
            <w:tcW w:w="6732" w:type="dxa"/>
            <w:gridSpan w:val="4"/>
            <w:tcBorders>
              <w:top w:val="single" w:sz="4" w:space="0" w:color="000000"/>
              <w:bottom w:val="single" w:sz="4" w:space="0" w:color="000000"/>
            </w:tcBorders>
          </w:tcPr>
          <w:p w14:paraId="1CAC2B7F" w14:textId="77777777" w:rsidR="00EA5993" w:rsidRPr="00F25A60" w:rsidRDefault="00EA5993" w:rsidP="0048111F">
            <w:pPr>
              <w:pStyle w:val="Table"/>
              <w:keepNext w:val="0"/>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Ara-C 1 000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/12 h i.v.(3 h), den 1-4;</w:t>
            </w:r>
          </w:p>
          <w:p w14:paraId="140D6B1A" w14:textId="77777777" w:rsidR="00EA5993" w:rsidRPr="00F25A60" w:rsidRDefault="006327B9" w:rsidP="0048111F">
            <w:pPr>
              <w:pStyle w:val="Table"/>
              <w:keepNext w:val="0"/>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m</w:t>
            </w:r>
            <w:r w:rsidR="00EA5993" w:rsidRPr="00F25A60">
              <w:rPr>
                <w:rFonts w:ascii="Times New Roman" w:hAnsi="Times New Roman" w:cs="Times New Roman"/>
                <w:color w:val="000000"/>
                <w:sz w:val="22"/>
                <w:szCs w:val="22"/>
                <w:lang w:val="cs-CZ"/>
              </w:rPr>
              <w:t>itoxantron 10 mg/m</w:t>
            </w:r>
            <w:r w:rsidR="00EA5993" w:rsidRPr="00F25A60">
              <w:rPr>
                <w:rFonts w:ascii="Times New Roman" w:hAnsi="Times New Roman" w:cs="Times New Roman"/>
                <w:color w:val="000000"/>
                <w:sz w:val="22"/>
                <w:szCs w:val="22"/>
                <w:vertAlign w:val="superscript"/>
                <w:lang w:val="cs-CZ"/>
              </w:rPr>
              <w:t>2</w:t>
            </w:r>
            <w:r w:rsidR="00EA5993" w:rsidRPr="00F25A60">
              <w:rPr>
                <w:rFonts w:ascii="Times New Roman" w:hAnsi="Times New Roman" w:cs="Times New Roman"/>
                <w:color w:val="000000"/>
                <w:sz w:val="22"/>
                <w:szCs w:val="22"/>
                <w:lang w:val="cs-CZ"/>
              </w:rPr>
              <w:t xml:space="preserve"> i.v. den 3-5;</w:t>
            </w:r>
          </w:p>
          <w:p w14:paraId="61D26E41" w14:textId="77777777" w:rsidR="00EA5993" w:rsidRPr="00F25A60" w:rsidRDefault="00EA5993" w:rsidP="0048111F">
            <w:pPr>
              <w:pStyle w:val="Table"/>
              <w:keepNext w:val="0"/>
              <w:keepLines w:val="0"/>
              <w:snapToGrid w:val="0"/>
              <w:spacing w:before="0" w:after="0"/>
              <w:rPr>
                <w:rFonts w:ascii="Times New Roman" w:hAnsi="Times New Roman" w:cs="Times New Roman"/>
                <w:color w:val="000000"/>
                <w:sz w:val="22"/>
                <w:szCs w:val="22"/>
                <w:lang w:val="cs-CZ"/>
              </w:rPr>
            </w:pPr>
            <w:smartTag w:uri="urn:schemas-microsoft-com:office:smarttags" w:element="stockticker">
              <w:r w:rsidRPr="00F25A60">
                <w:rPr>
                  <w:rFonts w:ascii="Times New Roman" w:hAnsi="Times New Roman" w:cs="Times New Roman"/>
                  <w:color w:val="000000"/>
                  <w:sz w:val="22"/>
                  <w:szCs w:val="22"/>
                  <w:lang w:val="cs-CZ"/>
                </w:rPr>
                <w:t>MTX</w:t>
              </w:r>
            </w:smartTag>
            <w:r w:rsidRPr="00F25A60">
              <w:rPr>
                <w:rFonts w:ascii="Times New Roman" w:hAnsi="Times New Roman" w:cs="Times New Roman"/>
                <w:color w:val="000000"/>
                <w:sz w:val="22"/>
                <w:szCs w:val="22"/>
                <w:lang w:val="cs-CZ"/>
              </w:rPr>
              <w:t xml:space="preserve"> 15 mg intratekálně, den 1;</w:t>
            </w:r>
          </w:p>
          <w:p w14:paraId="60DC9B16" w14:textId="77777777" w:rsidR="00EA5993" w:rsidRPr="00F25A60" w:rsidRDefault="006327B9" w:rsidP="0048111F">
            <w:pPr>
              <w:pStyle w:val="Table"/>
              <w:keepNext w:val="0"/>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m</w:t>
            </w:r>
            <w:r w:rsidR="00EA5993" w:rsidRPr="00F25A60">
              <w:rPr>
                <w:rFonts w:ascii="Times New Roman" w:hAnsi="Times New Roman" w:cs="Times New Roman"/>
                <w:color w:val="000000"/>
                <w:sz w:val="22"/>
                <w:szCs w:val="22"/>
                <w:lang w:val="cs-CZ"/>
              </w:rPr>
              <w:t>ethylprednisolon 40 mg intratekálně, den 1</w:t>
            </w:r>
          </w:p>
        </w:tc>
      </w:tr>
      <w:tr w:rsidR="00EA5993" w:rsidRPr="00F25A60" w14:paraId="1EDC889E" w14:textId="77777777" w:rsidTr="00EB4FF7">
        <w:trPr>
          <w:cantSplit/>
        </w:trPr>
        <w:tc>
          <w:tcPr>
            <w:tcW w:w="4800" w:type="dxa"/>
            <w:gridSpan w:val="2"/>
            <w:tcBorders>
              <w:top w:val="single" w:sz="4" w:space="0" w:color="000000"/>
              <w:bottom w:val="single" w:sz="4" w:space="0" w:color="000000"/>
            </w:tcBorders>
          </w:tcPr>
          <w:p w14:paraId="6B09890D" w14:textId="77777777" w:rsidR="00EA5993" w:rsidRPr="00F25A60" w:rsidRDefault="00EA5993" w:rsidP="0048111F">
            <w:pPr>
              <w:pStyle w:val="Table"/>
              <w:keepLines w:val="0"/>
              <w:snapToGrid w:val="0"/>
              <w:spacing w:before="0" w:after="0"/>
              <w:rPr>
                <w:rFonts w:ascii="Times New Roman" w:hAnsi="Times New Roman" w:cs="Times New Roman"/>
                <w:b/>
                <w:bCs/>
                <w:color w:val="000000"/>
                <w:sz w:val="22"/>
                <w:szCs w:val="22"/>
                <w:lang w:val="cs-CZ"/>
              </w:rPr>
            </w:pPr>
            <w:r w:rsidRPr="00F25A60">
              <w:rPr>
                <w:rFonts w:ascii="Times New Roman" w:hAnsi="Times New Roman" w:cs="Times New Roman"/>
                <w:b/>
                <w:bCs/>
                <w:color w:val="000000"/>
                <w:sz w:val="22"/>
                <w:szCs w:val="22"/>
                <w:lang w:val="cs-CZ"/>
              </w:rPr>
              <w:lastRenderedPageBreak/>
              <w:t>Studie ADE04</w:t>
            </w:r>
          </w:p>
        </w:tc>
        <w:tc>
          <w:tcPr>
            <w:tcW w:w="1080" w:type="dxa"/>
            <w:tcBorders>
              <w:top w:val="single" w:sz="4" w:space="0" w:color="000000"/>
              <w:bottom w:val="single" w:sz="4" w:space="0" w:color="000000"/>
            </w:tcBorders>
          </w:tcPr>
          <w:p w14:paraId="67DBA3C4"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c>
          <w:tcPr>
            <w:tcW w:w="1380" w:type="dxa"/>
            <w:tcBorders>
              <w:top w:val="single" w:sz="4" w:space="0" w:color="000000"/>
              <w:bottom w:val="single" w:sz="4" w:space="0" w:color="000000"/>
            </w:tcBorders>
          </w:tcPr>
          <w:p w14:paraId="702693B5"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c>
          <w:tcPr>
            <w:tcW w:w="1620" w:type="dxa"/>
            <w:tcBorders>
              <w:top w:val="single" w:sz="4" w:space="0" w:color="000000"/>
              <w:bottom w:val="single" w:sz="4" w:space="0" w:color="000000"/>
            </w:tcBorders>
          </w:tcPr>
          <w:p w14:paraId="12FD6A1D"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r>
      <w:tr w:rsidR="00EA5993" w:rsidRPr="00F25A60" w14:paraId="541CD085" w14:textId="77777777" w:rsidTr="00EB4FF7">
        <w:trPr>
          <w:cantSplit/>
        </w:trPr>
        <w:tc>
          <w:tcPr>
            <w:tcW w:w="2148" w:type="dxa"/>
            <w:tcBorders>
              <w:top w:val="single" w:sz="4" w:space="0" w:color="000000"/>
              <w:bottom w:val="single" w:sz="4" w:space="0" w:color="000000"/>
            </w:tcBorders>
          </w:tcPr>
          <w:p w14:paraId="0D71E414"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Prefáze</w:t>
            </w:r>
          </w:p>
        </w:tc>
        <w:tc>
          <w:tcPr>
            <w:tcW w:w="6732" w:type="dxa"/>
            <w:gridSpan w:val="4"/>
            <w:tcBorders>
              <w:top w:val="single" w:sz="4" w:space="0" w:color="000000"/>
              <w:bottom w:val="single" w:sz="4" w:space="0" w:color="000000"/>
            </w:tcBorders>
          </w:tcPr>
          <w:p w14:paraId="65477C19"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DEX 10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perorálně, den 1-5;</w:t>
            </w:r>
          </w:p>
          <w:p w14:paraId="0270CB10"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CP 200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i.v., den 3-5;</w:t>
            </w:r>
          </w:p>
          <w:p w14:paraId="3C2AE194"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smartTag w:uri="urn:schemas-microsoft-com:office:smarttags" w:element="stockticker">
              <w:r w:rsidRPr="00F25A60">
                <w:rPr>
                  <w:rFonts w:ascii="Times New Roman" w:hAnsi="Times New Roman" w:cs="Times New Roman"/>
                  <w:color w:val="000000"/>
                  <w:sz w:val="22"/>
                  <w:szCs w:val="22"/>
                  <w:lang w:val="cs-CZ"/>
                </w:rPr>
                <w:t>MTX</w:t>
              </w:r>
            </w:smartTag>
            <w:r w:rsidRPr="00F25A60">
              <w:rPr>
                <w:rFonts w:ascii="Times New Roman" w:hAnsi="Times New Roman" w:cs="Times New Roman"/>
                <w:color w:val="000000"/>
                <w:sz w:val="22"/>
                <w:szCs w:val="22"/>
                <w:lang w:val="cs-CZ"/>
              </w:rPr>
              <w:t xml:space="preserve"> 15 mg intratekálně, den 1</w:t>
            </w:r>
          </w:p>
        </w:tc>
      </w:tr>
      <w:tr w:rsidR="00EA5993" w:rsidRPr="00F25A60" w14:paraId="31660ACC" w14:textId="77777777" w:rsidTr="00EB4FF7">
        <w:trPr>
          <w:cantSplit/>
        </w:trPr>
        <w:tc>
          <w:tcPr>
            <w:tcW w:w="2148" w:type="dxa"/>
            <w:tcBorders>
              <w:top w:val="single" w:sz="4" w:space="0" w:color="000000"/>
              <w:bottom w:val="single" w:sz="4" w:space="0" w:color="000000"/>
            </w:tcBorders>
          </w:tcPr>
          <w:p w14:paraId="7078626B"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Indukční terapie I</w:t>
            </w:r>
          </w:p>
        </w:tc>
        <w:tc>
          <w:tcPr>
            <w:tcW w:w="6732" w:type="dxa"/>
            <w:gridSpan w:val="4"/>
            <w:tcBorders>
              <w:top w:val="single" w:sz="4" w:space="0" w:color="000000"/>
              <w:bottom w:val="single" w:sz="4" w:space="0" w:color="000000"/>
            </w:tcBorders>
          </w:tcPr>
          <w:p w14:paraId="5564967C"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DEX 10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perorálně, den 1-5;</w:t>
            </w:r>
          </w:p>
          <w:p w14:paraId="0EEDF761"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smartTag w:uri="urn:schemas-microsoft-com:office:smarttags" w:element="stockticker">
              <w:r w:rsidRPr="00F25A60">
                <w:rPr>
                  <w:rFonts w:ascii="Times New Roman" w:hAnsi="Times New Roman" w:cs="Times New Roman"/>
                  <w:color w:val="000000"/>
                  <w:sz w:val="22"/>
                  <w:szCs w:val="22"/>
                  <w:lang w:val="cs-CZ"/>
                </w:rPr>
                <w:t>VCR</w:t>
              </w:r>
            </w:smartTag>
            <w:r w:rsidRPr="00F25A60">
              <w:rPr>
                <w:rFonts w:ascii="Times New Roman" w:hAnsi="Times New Roman" w:cs="Times New Roman"/>
                <w:color w:val="000000"/>
                <w:sz w:val="22"/>
                <w:szCs w:val="22"/>
                <w:lang w:val="cs-CZ"/>
              </w:rPr>
              <w:t xml:space="preserve"> 2 mg i.v., den 6, 13, 20;</w:t>
            </w:r>
          </w:p>
          <w:p w14:paraId="5A380008" w14:textId="77777777" w:rsidR="00EA5993" w:rsidRPr="00F25A60" w:rsidRDefault="006327B9"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d</w:t>
            </w:r>
            <w:r w:rsidR="00EA5993" w:rsidRPr="00F25A60">
              <w:rPr>
                <w:rFonts w:ascii="Times New Roman" w:hAnsi="Times New Roman" w:cs="Times New Roman"/>
                <w:color w:val="000000"/>
                <w:sz w:val="22"/>
                <w:szCs w:val="22"/>
                <w:lang w:val="cs-CZ"/>
              </w:rPr>
              <w:t>aunorubicin 45 mg/m</w:t>
            </w:r>
            <w:r w:rsidR="00EA5993" w:rsidRPr="00F25A60">
              <w:rPr>
                <w:rFonts w:ascii="Times New Roman" w:hAnsi="Times New Roman" w:cs="Times New Roman"/>
                <w:color w:val="000000"/>
                <w:sz w:val="22"/>
                <w:szCs w:val="22"/>
                <w:vertAlign w:val="superscript"/>
                <w:lang w:val="cs-CZ"/>
              </w:rPr>
              <w:t>2</w:t>
            </w:r>
            <w:r w:rsidR="00EA5993" w:rsidRPr="00F25A60">
              <w:rPr>
                <w:rFonts w:ascii="Times New Roman" w:hAnsi="Times New Roman" w:cs="Times New Roman"/>
                <w:color w:val="000000"/>
                <w:sz w:val="22"/>
                <w:szCs w:val="22"/>
                <w:lang w:val="cs-CZ"/>
              </w:rPr>
              <w:t xml:space="preserve"> i.v., den 6-7, 13-14</w:t>
            </w:r>
          </w:p>
        </w:tc>
      </w:tr>
      <w:tr w:rsidR="00EA5993" w:rsidRPr="00F25A60" w14:paraId="58A145C3" w14:textId="77777777" w:rsidTr="00EB4FF7">
        <w:trPr>
          <w:cantSplit/>
        </w:trPr>
        <w:tc>
          <w:tcPr>
            <w:tcW w:w="2148" w:type="dxa"/>
            <w:tcBorders>
              <w:top w:val="single" w:sz="4" w:space="0" w:color="000000"/>
              <w:bottom w:val="single" w:sz="4" w:space="0" w:color="000000"/>
            </w:tcBorders>
          </w:tcPr>
          <w:p w14:paraId="32B9106C"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Indukční terapie II</w:t>
            </w:r>
          </w:p>
        </w:tc>
        <w:tc>
          <w:tcPr>
            <w:tcW w:w="6732" w:type="dxa"/>
            <w:gridSpan w:val="4"/>
            <w:tcBorders>
              <w:top w:val="single" w:sz="4" w:space="0" w:color="000000"/>
              <w:bottom w:val="single" w:sz="4" w:space="0" w:color="000000"/>
            </w:tcBorders>
          </w:tcPr>
          <w:p w14:paraId="00B7D0B0"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CP 1 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i.v. (1 h), den 26, 46;</w:t>
            </w:r>
          </w:p>
          <w:p w14:paraId="26CD8E0F"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Ara-C 75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i.v. (1 h), den 28-31, 35-38, 42-45;</w:t>
            </w:r>
          </w:p>
          <w:p w14:paraId="36CFB00A"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6-MP 60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perorálně, den 26-46</w:t>
            </w:r>
          </w:p>
        </w:tc>
      </w:tr>
      <w:tr w:rsidR="00EA5993" w:rsidRPr="00F25A60" w14:paraId="066C3BF8" w14:textId="77777777" w:rsidTr="00890A0F">
        <w:trPr>
          <w:cantSplit/>
        </w:trPr>
        <w:tc>
          <w:tcPr>
            <w:tcW w:w="2148" w:type="dxa"/>
            <w:tcBorders>
              <w:bottom w:val="single" w:sz="4" w:space="0" w:color="auto"/>
            </w:tcBorders>
          </w:tcPr>
          <w:p w14:paraId="3DFE2EFE" w14:textId="77777777" w:rsidR="00EA5993" w:rsidRPr="00F25A60" w:rsidRDefault="00EA5993" w:rsidP="0048111F">
            <w:pPr>
              <w:pStyle w:val="Table"/>
              <w:keepNext w:val="0"/>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Konsolidační terapie</w:t>
            </w:r>
          </w:p>
        </w:tc>
        <w:tc>
          <w:tcPr>
            <w:tcW w:w="6732" w:type="dxa"/>
            <w:gridSpan w:val="4"/>
            <w:tcBorders>
              <w:bottom w:val="single" w:sz="4" w:space="0" w:color="auto"/>
            </w:tcBorders>
          </w:tcPr>
          <w:p w14:paraId="5B5DA85A" w14:textId="77777777" w:rsidR="00EA5993" w:rsidRPr="00F25A60" w:rsidRDefault="00EA5993" w:rsidP="0048111F">
            <w:pPr>
              <w:pStyle w:val="Table"/>
              <w:keepNext w:val="0"/>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DEX 10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perorálně, den 1-5; vindesin 3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i.v., den 1;</w:t>
            </w:r>
          </w:p>
          <w:p w14:paraId="33107BFB" w14:textId="77777777" w:rsidR="00EA5993" w:rsidRPr="00F25A60" w:rsidRDefault="00EA5993" w:rsidP="0048111F">
            <w:pPr>
              <w:pStyle w:val="Table"/>
              <w:keepNext w:val="0"/>
              <w:keepLines w:val="0"/>
              <w:snapToGrid w:val="0"/>
              <w:spacing w:before="0" w:after="0"/>
              <w:rPr>
                <w:rFonts w:ascii="Times New Roman" w:hAnsi="Times New Roman" w:cs="Times New Roman"/>
                <w:color w:val="000000"/>
                <w:sz w:val="22"/>
                <w:szCs w:val="22"/>
                <w:lang w:val="cs-CZ"/>
              </w:rPr>
            </w:pPr>
            <w:smartTag w:uri="urn:schemas-microsoft-com:office:smarttags" w:element="stockticker">
              <w:r w:rsidRPr="00F25A60">
                <w:rPr>
                  <w:rFonts w:ascii="Times New Roman" w:hAnsi="Times New Roman" w:cs="Times New Roman"/>
                  <w:color w:val="000000"/>
                  <w:sz w:val="22"/>
                  <w:szCs w:val="22"/>
                  <w:lang w:val="cs-CZ"/>
                </w:rPr>
                <w:t>MTX</w:t>
              </w:r>
            </w:smartTag>
            <w:r w:rsidRPr="00F25A60">
              <w:rPr>
                <w:rFonts w:ascii="Times New Roman" w:hAnsi="Times New Roman" w:cs="Times New Roman"/>
                <w:color w:val="000000"/>
                <w:sz w:val="22"/>
                <w:szCs w:val="22"/>
                <w:lang w:val="cs-CZ"/>
              </w:rPr>
              <w:t xml:space="preserve"> 1,5 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i.v. (24 h), den 1;</w:t>
            </w:r>
          </w:p>
          <w:p w14:paraId="1A712C9E" w14:textId="77777777" w:rsidR="00EA5993" w:rsidRPr="00F25A60" w:rsidRDefault="006327B9" w:rsidP="0048111F">
            <w:pPr>
              <w:pStyle w:val="Table"/>
              <w:keepNext w:val="0"/>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e</w:t>
            </w:r>
            <w:r w:rsidR="00EA5993" w:rsidRPr="00F25A60">
              <w:rPr>
                <w:rFonts w:ascii="Times New Roman" w:hAnsi="Times New Roman" w:cs="Times New Roman"/>
                <w:color w:val="000000"/>
                <w:sz w:val="22"/>
                <w:szCs w:val="22"/>
                <w:lang w:val="cs-CZ"/>
              </w:rPr>
              <w:t>toposid 250 mg/m</w:t>
            </w:r>
            <w:r w:rsidR="00EA5993" w:rsidRPr="00F25A60">
              <w:rPr>
                <w:rFonts w:ascii="Times New Roman" w:hAnsi="Times New Roman" w:cs="Times New Roman"/>
                <w:color w:val="000000"/>
                <w:sz w:val="22"/>
                <w:szCs w:val="22"/>
                <w:vertAlign w:val="superscript"/>
                <w:lang w:val="cs-CZ"/>
              </w:rPr>
              <w:t>2</w:t>
            </w:r>
            <w:r w:rsidR="00EA5993" w:rsidRPr="00F25A60">
              <w:rPr>
                <w:rFonts w:ascii="Times New Roman" w:hAnsi="Times New Roman" w:cs="Times New Roman"/>
                <w:color w:val="000000"/>
                <w:sz w:val="22"/>
                <w:szCs w:val="22"/>
                <w:lang w:val="cs-CZ"/>
              </w:rPr>
              <w:t xml:space="preserve"> i.v. (1 h) den 4-5;</w:t>
            </w:r>
          </w:p>
          <w:p w14:paraId="02C97A7A" w14:textId="77777777" w:rsidR="00EA5993" w:rsidRPr="00F25A60" w:rsidRDefault="00EA5993" w:rsidP="0048111F">
            <w:pPr>
              <w:pStyle w:val="Table"/>
              <w:keepNext w:val="0"/>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Ara-C 2x 2 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i.v. (3 h, q 12 h), den 5</w:t>
            </w:r>
          </w:p>
        </w:tc>
      </w:tr>
      <w:tr w:rsidR="00EA5993" w:rsidRPr="00F25A60" w14:paraId="6139FE46" w14:textId="77777777" w:rsidTr="00890A0F">
        <w:trPr>
          <w:cantSplit/>
        </w:trPr>
        <w:tc>
          <w:tcPr>
            <w:tcW w:w="2148" w:type="dxa"/>
            <w:tcBorders>
              <w:top w:val="single" w:sz="4" w:space="0" w:color="auto"/>
              <w:bottom w:val="single" w:sz="4" w:space="0" w:color="auto"/>
            </w:tcBorders>
          </w:tcPr>
          <w:p w14:paraId="01453B91" w14:textId="77777777" w:rsidR="00EA5993" w:rsidRPr="00F25A60" w:rsidRDefault="00EA5993" w:rsidP="0048111F">
            <w:pPr>
              <w:pStyle w:val="Table"/>
              <w:keepLines w:val="0"/>
              <w:snapToGrid w:val="0"/>
              <w:spacing w:before="0" w:after="0"/>
              <w:rPr>
                <w:rFonts w:ascii="Times New Roman" w:hAnsi="Times New Roman" w:cs="Times New Roman"/>
                <w:b/>
                <w:bCs/>
                <w:color w:val="000000"/>
                <w:sz w:val="22"/>
                <w:szCs w:val="22"/>
                <w:lang w:val="cs-CZ"/>
              </w:rPr>
            </w:pPr>
            <w:r w:rsidRPr="00F25A60">
              <w:rPr>
                <w:rFonts w:ascii="Times New Roman" w:hAnsi="Times New Roman" w:cs="Times New Roman"/>
                <w:b/>
                <w:bCs/>
                <w:color w:val="000000"/>
                <w:sz w:val="22"/>
                <w:szCs w:val="22"/>
                <w:lang w:val="cs-CZ"/>
              </w:rPr>
              <w:t>Studie AJP01</w:t>
            </w:r>
          </w:p>
        </w:tc>
        <w:tc>
          <w:tcPr>
            <w:tcW w:w="2652" w:type="dxa"/>
            <w:tcBorders>
              <w:top w:val="single" w:sz="4" w:space="0" w:color="auto"/>
              <w:bottom w:val="single" w:sz="4" w:space="0" w:color="auto"/>
            </w:tcBorders>
          </w:tcPr>
          <w:p w14:paraId="580AE30F"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c>
          <w:tcPr>
            <w:tcW w:w="1080" w:type="dxa"/>
            <w:tcBorders>
              <w:top w:val="single" w:sz="4" w:space="0" w:color="auto"/>
              <w:bottom w:val="single" w:sz="4" w:space="0" w:color="auto"/>
            </w:tcBorders>
          </w:tcPr>
          <w:p w14:paraId="34B5ACA4"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c>
          <w:tcPr>
            <w:tcW w:w="1380" w:type="dxa"/>
            <w:tcBorders>
              <w:top w:val="single" w:sz="4" w:space="0" w:color="auto"/>
              <w:bottom w:val="single" w:sz="4" w:space="0" w:color="auto"/>
            </w:tcBorders>
          </w:tcPr>
          <w:p w14:paraId="38ACE718"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c>
          <w:tcPr>
            <w:tcW w:w="1620" w:type="dxa"/>
            <w:tcBorders>
              <w:top w:val="single" w:sz="4" w:space="0" w:color="auto"/>
              <w:bottom w:val="single" w:sz="4" w:space="0" w:color="auto"/>
            </w:tcBorders>
          </w:tcPr>
          <w:p w14:paraId="5C2A638D"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r>
      <w:tr w:rsidR="00EA5993" w:rsidRPr="00F25A60" w14:paraId="1FAF04FD" w14:textId="77777777" w:rsidTr="00890A0F">
        <w:trPr>
          <w:cantSplit/>
        </w:trPr>
        <w:tc>
          <w:tcPr>
            <w:tcW w:w="2148" w:type="dxa"/>
            <w:tcBorders>
              <w:top w:val="single" w:sz="4" w:space="0" w:color="auto"/>
              <w:bottom w:val="single" w:sz="4" w:space="0" w:color="000000"/>
            </w:tcBorders>
          </w:tcPr>
          <w:p w14:paraId="08DCAC68" w14:textId="77777777" w:rsidR="00EA5993" w:rsidRPr="00F25A60" w:rsidRDefault="00EA5993" w:rsidP="0048111F">
            <w:pPr>
              <w:pStyle w:val="Table"/>
              <w:keepLines w:val="0"/>
              <w:snapToGrid w:val="0"/>
              <w:spacing w:before="0" w:after="0"/>
              <w:jc w:val="both"/>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Indukční terapie</w:t>
            </w:r>
          </w:p>
        </w:tc>
        <w:tc>
          <w:tcPr>
            <w:tcW w:w="6732" w:type="dxa"/>
            <w:gridSpan w:val="4"/>
            <w:tcBorders>
              <w:top w:val="single" w:sz="4" w:space="0" w:color="auto"/>
              <w:bottom w:val="single" w:sz="4" w:space="0" w:color="000000"/>
            </w:tcBorders>
          </w:tcPr>
          <w:p w14:paraId="14CED79E"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CP 1,2 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i.v. (3 h), den 1;</w:t>
            </w:r>
          </w:p>
          <w:p w14:paraId="5E3286F6" w14:textId="77777777" w:rsidR="00EA5993" w:rsidRPr="00F25A60" w:rsidRDefault="006327B9"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d</w:t>
            </w:r>
            <w:r w:rsidR="00EA5993" w:rsidRPr="00F25A60">
              <w:rPr>
                <w:rFonts w:ascii="Times New Roman" w:hAnsi="Times New Roman" w:cs="Times New Roman"/>
                <w:color w:val="000000"/>
                <w:sz w:val="22"/>
                <w:szCs w:val="22"/>
                <w:lang w:val="cs-CZ"/>
              </w:rPr>
              <w:t>aunorubicin 60 mg/m</w:t>
            </w:r>
            <w:r w:rsidR="00EA5993" w:rsidRPr="00F25A60">
              <w:rPr>
                <w:rFonts w:ascii="Times New Roman" w:hAnsi="Times New Roman" w:cs="Times New Roman"/>
                <w:color w:val="000000"/>
                <w:sz w:val="22"/>
                <w:szCs w:val="22"/>
                <w:vertAlign w:val="superscript"/>
                <w:lang w:val="cs-CZ"/>
              </w:rPr>
              <w:t>2</w:t>
            </w:r>
            <w:r w:rsidR="00EA5993" w:rsidRPr="00F25A60">
              <w:rPr>
                <w:rFonts w:ascii="Times New Roman" w:hAnsi="Times New Roman" w:cs="Times New Roman"/>
                <w:color w:val="000000"/>
                <w:sz w:val="22"/>
                <w:szCs w:val="22"/>
                <w:lang w:val="cs-CZ"/>
              </w:rPr>
              <w:t xml:space="preserve"> i.v. (1 h), den 1-3;</w:t>
            </w:r>
          </w:p>
          <w:p w14:paraId="53707EE8" w14:textId="77777777" w:rsidR="00EA5993" w:rsidRPr="00F25A60" w:rsidRDefault="006327B9"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v</w:t>
            </w:r>
            <w:r w:rsidR="00EA5993" w:rsidRPr="00F25A60">
              <w:rPr>
                <w:rFonts w:ascii="Times New Roman" w:hAnsi="Times New Roman" w:cs="Times New Roman"/>
                <w:color w:val="000000"/>
                <w:sz w:val="22"/>
                <w:szCs w:val="22"/>
                <w:lang w:val="cs-CZ"/>
              </w:rPr>
              <w:t>inkristin 1,3 mg/m</w:t>
            </w:r>
            <w:r w:rsidR="00EA5993" w:rsidRPr="00F25A60">
              <w:rPr>
                <w:rFonts w:ascii="Times New Roman" w:hAnsi="Times New Roman" w:cs="Times New Roman"/>
                <w:color w:val="000000"/>
                <w:sz w:val="22"/>
                <w:szCs w:val="22"/>
                <w:vertAlign w:val="superscript"/>
                <w:lang w:val="cs-CZ"/>
              </w:rPr>
              <w:t>2</w:t>
            </w:r>
            <w:r w:rsidR="00EA5993" w:rsidRPr="00F25A60">
              <w:rPr>
                <w:rFonts w:ascii="Times New Roman" w:hAnsi="Times New Roman" w:cs="Times New Roman"/>
                <w:color w:val="000000"/>
                <w:sz w:val="22"/>
                <w:szCs w:val="22"/>
                <w:lang w:val="cs-CZ"/>
              </w:rPr>
              <w:t xml:space="preserve"> i.v., den 1, 8, 15, 21;</w:t>
            </w:r>
          </w:p>
          <w:p w14:paraId="1DC16792" w14:textId="77777777" w:rsidR="00EA5993" w:rsidRPr="00F25A60" w:rsidRDefault="006327B9"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p</w:t>
            </w:r>
            <w:r w:rsidR="00EA5993" w:rsidRPr="00F25A60">
              <w:rPr>
                <w:rFonts w:ascii="Times New Roman" w:hAnsi="Times New Roman" w:cs="Times New Roman"/>
                <w:color w:val="000000"/>
                <w:sz w:val="22"/>
                <w:szCs w:val="22"/>
                <w:lang w:val="cs-CZ"/>
              </w:rPr>
              <w:t>rednisolon 60 mg/m</w:t>
            </w:r>
            <w:r w:rsidR="00EA5993" w:rsidRPr="00F25A60">
              <w:rPr>
                <w:rFonts w:ascii="Times New Roman" w:hAnsi="Times New Roman" w:cs="Times New Roman"/>
                <w:color w:val="000000"/>
                <w:sz w:val="22"/>
                <w:szCs w:val="22"/>
                <w:vertAlign w:val="superscript"/>
                <w:lang w:val="cs-CZ"/>
              </w:rPr>
              <w:t>2</w:t>
            </w:r>
            <w:r w:rsidR="00EA5993" w:rsidRPr="00F25A60">
              <w:rPr>
                <w:rFonts w:ascii="Times New Roman" w:hAnsi="Times New Roman" w:cs="Times New Roman"/>
                <w:color w:val="000000"/>
                <w:sz w:val="22"/>
                <w:szCs w:val="22"/>
                <w:lang w:val="cs-CZ"/>
              </w:rPr>
              <w:t>/den perorálně</w:t>
            </w:r>
          </w:p>
        </w:tc>
      </w:tr>
      <w:tr w:rsidR="00EA5993" w:rsidRPr="00F25A60" w14:paraId="66C637FA" w14:textId="77777777" w:rsidTr="00EB4FF7">
        <w:trPr>
          <w:cantSplit/>
        </w:trPr>
        <w:tc>
          <w:tcPr>
            <w:tcW w:w="2148" w:type="dxa"/>
            <w:tcBorders>
              <w:top w:val="single" w:sz="4" w:space="0" w:color="000000"/>
              <w:bottom w:val="single" w:sz="4" w:space="0" w:color="000000"/>
            </w:tcBorders>
          </w:tcPr>
          <w:p w14:paraId="185F1330" w14:textId="77777777" w:rsidR="00EA5993" w:rsidRPr="00F25A60" w:rsidRDefault="00EA5993" w:rsidP="0048111F">
            <w:pPr>
              <w:pStyle w:val="Table"/>
              <w:keepLines w:val="0"/>
              <w:tabs>
                <w:tab w:val="left" w:pos="0"/>
              </w:tabs>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Konsolidační terapie</w:t>
            </w:r>
          </w:p>
        </w:tc>
        <w:tc>
          <w:tcPr>
            <w:tcW w:w="6732" w:type="dxa"/>
            <w:gridSpan w:val="4"/>
            <w:tcBorders>
              <w:top w:val="single" w:sz="4" w:space="0" w:color="000000"/>
              <w:bottom w:val="single" w:sz="4" w:space="0" w:color="000000"/>
            </w:tcBorders>
          </w:tcPr>
          <w:p w14:paraId="126FD189"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 xml:space="preserve">Alternativní chemoterapeutický postup: vysoká dávka chemoterapie s </w:t>
            </w:r>
            <w:smartTag w:uri="urn:schemas-microsoft-com:office:smarttags" w:element="stockticker">
              <w:r w:rsidRPr="00F25A60">
                <w:rPr>
                  <w:rFonts w:ascii="Times New Roman" w:hAnsi="Times New Roman" w:cs="Times New Roman"/>
                  <w:color w:val="000000"/>
                  <w:sz w:val="22"/>
                  <w:szCs w:val="22"/>
                  <w:lang w:val="cs-CZ"/>
                </w:rPr>
                <w:t>MTX</w:t>
              </w:r>
            </w:smartTag>
            <w:r w:rsidRPr="00F25A60">
              <w:rPr>
                <w:rFonts w:ascii="Times New Roman" w:hAnsi="Times New Roman" w:cs="Times New Roman"/>
                <w:color w:val="000000"/>
                <w:sz w:val="22"/>
                <w:szCs w:val="22"/>
                <w:lang w:val="cs-CZ"/>
              </w:rPr>
              <w:t xml:space="preserve"> 1 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i.v. (24 h), den 1, a Ara-C 2 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i.v. (q 12 h), den 2-3, po 4 cyklech</w:t>
            </w:r>
          </w:p>
        </w:tc>
      </w:tr>
      <w:tr w:rsidR="00EA5993" w:rsidRPr="00F25A60" w14:paraId="419D2E9F" w14:textId="77777777" w:rsidTr="00EB4FF7">
        <w:trPr>
          <w:cantSplit/>
        </w:trPr>
        <w:tc>
          <w:tcPr>
            <w:tcW w:w="2148" w:type="dxa"/>
            <w:tcBorders>
              <w:top w:val="single" w:sz="4" w:space="0" w:color="000000"/>
              <w:bottom w:val="single" w:sz="4" w:space="0" w:color="000000"/>
            </w:tcBorders>
          </w:tcPr>
          <w:p w14:paraId="5D5E6F66" w14:textId="77777777" w:rsidR="00EA5993" w:rsidRPr="00F25A60" w:rsidRDefault="00EA5993" w:rsidP="0048111F">
            <w:pPr>
              <w:pStyle w:val="Table"/>
              <w:keepNext w:val="0"/>
              <w:keepLines w:val="0"/>
              <w:tabs>
                <w:tab w:val="left" w:pos="0"/>
              </w:tabs>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Udržovací terapie</w:t>
            </w:r>
          </w:p>
        </w:tc>
        <w:tc>
          <w:tcPr>
            <w:tcW w:w="6732" w:type="dxa"/>
            <w:gridSpan w:val="4"/>
            <w:tcBorders>
              <w:top w:val="single" w:sz="4" w:space="0" w:color="000000"/>
              <w:bottom w:val="single" w:sz="4" w:space="0" w:color="000000"/>
            </w:tcBorders>
          </w:tcPr>
          <w:p w14:paraId="0AE48662" w14:textId="77777777" w:rsidR="00EA5993" w:rsidRPr="00F25A60" w:rsidRDefault="00EA5993" w:rsidP="0048111F">
            <w:pPr>
              <w:pStyle w:val="Table"/>
              <w:keepNext w:val="0"/>
              <w:keepLines w:val="0"/>
              <w:snapToGrid w:val="0"/>
              <w:spacing w:before="0" w:after="0"/>
              <w:rPr>
                <w:rFonts w:ascii="Times New Roman" w:hAnsi="Times New Roman" w:cs="Times New Roman"/>
                <w:color w:val="000000"/>
                <w:sz w:val="22"/>
                <w:szCs w:val="22"/>
                <w:lang w:val="cs-CZ"/>
              </w:rPr>
            </w:pPr>
            <w:smartTag w:uri="urn:schemas-microsoft-com:office:smarttags" w:element="stockticker">
              <w:r w:rsidRPr="00F25A60">
                <w:rPr>
                  <w:rFonts w:ascii="Times New Roman" w:hAnsi="Times New Roman" w:cs="Times New Roman"/>
                  <w:color w:val="000000"/>
                  <w:sz w:val="22"/>
                  <w:szCs w:val="22"/>
                  <w:lang w:val="cs-CZ"/>
                </w:rPr>
                <w:t>VCR</w:t>
              </w:r>
            </w:smartTag>
            <w:r w:rsidRPr="00F25A60">
              <w:rPr>
                <w:rFonts w:ascii="Times New Roman" w:hAnsi="Times New Roman" w:cs="Times New Roman"/>
                <w:color w:val="000000"/>
                <w:sz w:val="22"/>
                <w:szCs w:val="22"/>
                <w:lang w:val="cs-CZ"/>
              </w:rPr>
              <w:t xml:space="preserve"> 1,3 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i.v., den 1;</w:t>
            </w:r>
          </w:p>
          <w:p w14:paraId="7C040769" w14:textId="77777777" w:rsidR="00EA5993" w:rsidRPr="00F25A60" w:rsidRDefault="006327B9" w:rsidP="0048111F">
            <w:pPr>
              <w:pStyle w:val="Table"/>
              <w:keepNext w:val="0"/>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p</w:t>
            </w:r>
            <w:r w:rsidR="00EA5993" w:rsidRPr="00F25A60">
              <w:rPr>
                <w:rFonts w:ascii="Times New Roman" w:hAnsi="Times New Roman" w:cs="Times New Roman"/>
                <w:color w:val="000000"/>
                <w:sz w:val="22"/>
                <w:szCs w:val="22"/>
                <w:lang w:val="cs-CZ"/>
              </w:rPr>
              <w:t>rednisolon 60 mg/m</w:t>
            </w:r>
            <w:r w:rsidR="00EA5993" w:rsidRPr="00F25A60">
              <w:rPr>
                <w:rFonts w:ascii="Times New Roman" w:hAnsi="Times New Roman" w:cs="Times New Roman"/>
                <w:color w:val="000000"/>
                <w:sz w:val="22"/>
                <w:szCs w:val="22"/>
                <w:vertAlign w:val="superscript"/>
                <w:lang w:val="cs-CZ"/>
              </w:rPr>
              <w:t>2</w:t>
            </w:r>
            <w:r w:rsidR="00EA5993" w:rsidRPr="00F25A60">
              <w:rPr>
                <w:rFonts w:ascii="Times New Roman" w:hAnsi="Times New Roman" w:cs="Times New Roman"/>
                <w:color w:val="000000"/>
                <w:sz w:val="22"/>
                <w:szCs w:val="22"/>
                <w:lang w:val="cs-CZ"/>
              </w:rPr>
              <w:t xml:space="preserve"> perorálně, den 1-5</w:t>
            </w:r>
          </w:p>
        </w:tc>
      </w:tr>
      <w:tr w:rsidR="00EA5993" w:rsidRPr="00F25A60" w14:paraId="66A8F6A4" w14:textId="77777777" w:rsidTr="00EB4FF7">
        <w:trPr>
          <w:cantSplit/>
        </w:trPr>
        <w:tc>
          <w:tcPr>
            <w:tcW w:w="4800" w:type="dxa"/>
            <w:gridSpan w:val="2"/>
            <w:tcBorders>
              <w:top w:val="single" w:sz="4" w:space="0" w:color="000000"/>
              <w:bottom w:val="single" w:sz="4" w:space="0" w:color="000000"/>
            </w:tcBorders>
          </w:tcPr>
          <w:p w14:paraId="46125DC2" w14:textId="77777777" w:rsidR="00EA5993" w:rsidRPr="00F25A60" w:rsidRDefault="00EA5993" w:rsidP="0048111F">
            <w:pPr>
              <w:pStyle w:val="Table"/>
              <w:keepLines w:val="0"/>
              <w:snapToGrid w:val="0"/>
              <w:spacing w:before="0" w:after="0"/>
              <w:rPr>
                <w:rFonts w:ascii="Times New Roman" w:hAnsi="Times New Roman" w:cs="Times New Roman"/>
                <w:b/>
                <w:bCs/>
                <w:color w:val="000000"/>
                <w:sz w:val="22"/>
                <w:szCs w:val="22"/>
                <w:lang w:val="cs-CZ"/>
              </w:rPr>
            </w:pPr>
            <w:r w:rsidRPr="00F25A60">
              <w:rPr>
                <w:rFonts w:ascii="Times New Roman" w:hAnsi="Times New Roman" w:cs="Times New Roman"/>
                <w:b/>
                <w:bCs/>
                <w:color w:val="000000"/>
                <w:sz w:val="22"/>
                <w:szCs w:val="22"/>
                <w:lang w:val="cs-CZ"/>
              </w:rPr>
              <w:t>Studie AUS01</w:t>
            </w:r>
          </w:p>
        </w:tc>
        <w:tc>
          <w:tcPr>
            <w:tcW w:w="1080" w:type="dxa"/>
            <w:tcBorders>
              <w:top w:val="single" w:sz="4" w:space="0" w:color="000000"/>
              <w:bottom w:val="single" w:sz="4" w:space="0" w:color="000000"/>
            </w:tcBorders>
          </w:tcPr>
          <w:p w14:paraId="49A3A6B4"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c>
          <w:tcPr>
            <w:tcW w:w="1380" w:type="dxa"/>
            <w:tcBorders>
              <w:top w:val="single" w:sz="4" w:space="0" w:color="000000"/>
              <w:bottom w:val="single" w:sz="4" w:space="0" w:color="000000"/>
            </w:tcBorders>
          </w:tcPr>
          <w:p w14:paraId="263F2F51"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c>
          <w:tcPr>
            <w:tcW w:w="1620" w:type="dxa"/>
            <w:tcBorders>
              <w:top w:val="single" w:sz="4" w:space="0" w:color="000000"/>
              <w:bottom w:val="single" w:sz="4" w:space="0" w:color="000000"/>
            </w:tcBorders>
          </w:tcPr>
          <w:p w14:paraId="61070DCA"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p>
        </w:tc>
      </w:tr>
      <w:tr w:rsidR="00EA5993" w:rsidRPr="00F25A60" w14:paraId="4816EE9D" w14:textId="77777777" w:rsidTr="00EB4FF7">
        <w:trPr>
          <w:cantSplit/>
        </w:trPr>
        <w:tc>
          <w:tcPr>
            <w:tcW w:w="2148" w:type="dxa"/>
            <w:tcBorders>
              <w:top w:val="single" w:sz="4" w:space="0" w:color="000000"/>
              <w:bottom w:val="single" w:sz="4" w:space="0" w:color="000000"/>
            </w:tcBorders>
          </w:tcPr>
          <w:p w14:paraId="7B0ADFDF"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Indukční-konsolidační terapie</w:t>
            </w:r>
          </w:p>
        </w:tc>
        <w:tc>
          <w:tcPr>
            <w:tcW w:w="6732" w:type="dxa"/>
            <w:gridSpan w:val="4"/>
            <w:tcBorders>
              <w:top w:val="single" w:sz="4" w:space="0" w:color="000000"/>
              <w:bottom w:val="single" w:sz="4" w:space="0" w:color="000000"/>
            </w:tcBorders>
          </w:tcPr>
          <w:p w14:paraId="6B3B563C"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Hyper-CVAD režim: CP 300 mg/m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i.v. (3 h, q 12 h), den 1-3;</w:t>
            </w:r>
          </w:p>
          <w:p w14:paraId="5E682F1C" w14:textId="77777777" w:rsidR="00EA5993" w:rsidRPr="00F25A60" w:rsidRDefault="006327B9"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v</w:t>
            </w:r>
            <w:r w:rsidR="00EA5993" w:rsidRPr="00F25A60">
              <w:rPr>
                <w:rFonts w:ascii="Times New Roman" w:hAnsi="Times New Roman" w:cs="Times New Roman"/>
                <w:color w:val="000000"/>
                <w:sz w:val="22"/>
                <w:szCs w:val="22"/>
                <w:lang w:val="cs-CZ"/>
              </w:rPr>
              <w:t>inkristin 2 mg i.v., den 4, 11;</w:t>
            </w:r>
          </w:p>
          <w:p w14:paraId="5DE433FD" w14:textId="77777777" w:rsidR="00EA5993" w:rsidRPr="00F25A60" w:rsidRDefault="006327B9"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d</w:t>
            </w:r>
            <w:r w:rsidR="00EA5993" w:rsidRPr="00F25A60">
              <w:rPr>
                <w:rFonts w:ascii="Times New Roman" w:hAnsi="Times New Roman" w:cs="Times New Roman"/>
                <w:color w:val="000000"/>
                <w:sz w:val="22"/>
                <w:szCs w:val="22"/>
                <w:lang w:val="cs-CZ"/>
              </w:rPr>
              <w:t>oxorubicin 50 mg/m</w:t>
            </w:r>
            <w:r w:rsidR="00EA5993" w:rsidRPr="00F25A60">
              <w:rPr>
                <w:rFonts w:ascii="Times New Roman" w:hAnsi="Times New Roman" w:cs="Times New Roman"/>
                <w:color w:val="000000"/>
                <w:sz w:val="22"/>
                <w:szCs w:val="22"/>
                <w:vertAlign w:val="superscript"/>
                <w:lang w:val="cs-CZ"/>
              </w:rPr>
              <w:t>2</w:t>
            </w:r>
            <w:r w:rsidR="00EA5993" w:rsidRPr="00F25A60">
              <w:rPr>
                <w:rFonts w:ascii="Times New Roman" w:hAnsi="Times New Roman" w:cs="Times New Roman"/>
                <w:color w:val="000000"/>
                <w:sz w:val="22"/>
                <w:szCs w:val="22"/>
                <w:lang w:val="cs-CZ"/>
              </w:rPr>
              <w:t xml:space="preserve"> i.v. (24 h), den 4;</w:t>
            </w:r>
          </w:p>
          <w:p w14:paraId="16AB638E"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DEX 40 mg/den po dnech 1-</w:t>
            </w:r>
            <w:smartTag w:uri="urn:schemas-microsoft-com:office:smarttags" w:element="metricconverter">
              <w:smartTagPr>
                <w:attr w:name="ProductID" w:val="4 a"/>
              </w:smartTagPr>
              <w:r w:rsidRPr="00F25A60">
                <w:rPr>
                  <w:rFonts w:ascii="Times New Roman" w:hAnsi="Times New Roman" w:cs="Times New Roman"/>
                  <w:color w:val="000000"/>
                  <w:sz w:val="22"/>
                  <w:szCs w:val="22"/>
                  <w:lang w:val="cs-CZ"/>
                </w:rPr>
                <w:t>4 a</w:t>
              </w:r>
            </w:smartTag>
            <w:r w:rsidRPr="00F25A60">
              <w:rPr>
                <w:rFonts w:ascii="Times New Roman" w:hAnsi="Times New Roman" w:cs="Times New Roman"/>
                <w:color w:val="000000"/>
                <w:sz w:val="22"/>
                <w:szCs w:val="22"/>
                <w:lang w:val="cs-CZ"/>
              </w:rPr>
              <w:t xml:space="preserve"> 11-14, střídavě s </w:t>
            </w:r>
            <w:smartTag w:uri="urn:schemas-microsoft-com:office:smarttags" w:element="stockticker">
              <w:r w:rsidRPr="00F25A60">
                <w:rPr>
                  <w:rFonts w:ascii="Times New Roman" w:hAnsi="Times New Roman" w:cs="Times New Roman"/>
                  <w:color w:val="000000"/>
                  <w:sz w:val="22"/>
                  <w:szCs w:val="22"/>
                  <w:lang w:val="cs-CZ"/>
                </w:rPr>
                <w:t>MTX</w:t>
              </w:r>
            </w:smartTag>
            <w:r w:rsidRPr="00F25A60">
              <w:rPr>
                <w:rFonts w:ascii="Times New Roman" w:hAnsi="Times New Roman" w:cs="Times New Roman"/>
                <w:color w:val="000000"/>
                <w:sz w:val="22"/>
                <w:szCs w:val="22"/>
                <w:lang w:val="cs-CZ"/>
              </w:rPr>
              <w:t xml:space="preserve"> 1 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i.v. (24 h), den 1, Ara-C 1 g/m</w:t>
            </w:r>
            <w:r w:rsidRPr="00F25A60">
              <w:rPr>
                <w:rFonts w:ascii="Times New Roman" w:hAnsi="Times New Roman" w:cs="Times New Roman"/>
                <w:color w:val="000000"/>
                <w:sz w:val="22"/>
                <w:szCs w:val="22"/>
                <w:vertAlign w:val="superscript"/>
                <w:lang w:val="cs-CZ"/>
              </w:rPr>
              <w:t>2</w:t>
            </w:r>
            <w:r w:rsidRPr="00F25A60">
              <w:rPr>
                <w:rFonts w:ascii="Times New Roman" w:hAnsi="Times New Roman" w:cs="Times New Roman"/>
                <w:color w:val="000000"/>
                <w:sz w:val="22"/>
                <w:szCs w:val="22"/>
                <w:lang w:val="cs-CZ"/>
              </w:rPr>
              <w:t xml:space="preserve"> i.v. (2 h, q 12 h), den 2-3 (celkově 8 léčebných </w:t>
            </w:r>
            <w:r w:rsidR="006327B9" w:rsidRPr="00F25A60">
              <w:rPr>
                <w:rFonts w:ascii="Times New Roman" w:hAnsi="Times New Roman" w:cs="Times New Roman"/>
                <w:color w:val="000000"/>
                <w:sz w:val="22"/>
                <w:szCs w:val="22"/>
                <w:lang w:val="cs-CZ"/>
              </w:rPr>
              <w:t>cyklů</w:t>
            </w:r>
            <w:r w:rsidRPr="00F25A60">
              <w:rPr>
                <w:rFonts w:ascii="Times New Roman" w:hAnsi="Times New Roman" w:cs="Times New Roman"/>
                <w:color w:val="000000"/>
                <w:sz w:val="22"/>
                <w:szCs w:val="22"/>
                <w:lang w:val="cs-CZ"/>
              </w:rPr>
              <w:t>)</w:t>
            </w:r>
          </w:p>
        </w:tc>
      </w:tr>
      <w:tr w:rsidR="00EA5993" w:rsidRPr="00F25A60" w14:paraId="4F8DAAF0" w14:textId="77777777" w:rsidTr="00EB4FF7">
        <w:trPr>
          <w:cantSplit/>
        </w:trPr>
        <w:tc>
          <w:tcPr>
            <w:tcW w:w="2148" w:type="dxa"/>
            <w:tcBorders>
              <w:top w:val="single" w:sz="4" w:space="0" w:color="000000"/>
              <w:bottom w:val="single" w:sz="4" w:space="0" w:color="000000"/>
            </w:tcBorders>
          </w:tcPr>
          <w:p w14:paraId="32CCE76F"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Udržovací terapie</w:t>
            </w:r>
          </w:p>
        </w:tc>
        <w:tc>
          <w:tcPr>
            <w:tcW w:w="6732" w:type="dxa"/>
            <w:gridSpan w:val="4"/>
            <w:tcBorders>
              <w:top w:val="single" w:sz="4" w:space="0" w:color="000000"/>
              <w:bottom w:val="single" w:sz="4" w:space="0" w:color="000000"/>
            </w:tcBorders>
          </w:tcPr>
          <w:p w14:paraId="79D76476"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smartTag w:uri="urn:schemas-microsoft-com:office:smarttags" w:element="stockticker">
              <w:r w:rsidRPr="00F25A60">
                <w:rPr>
                  <w:rFonts w:ascii="Times New Roman" w:hAnsi="Times New Roman" w:cs="Times New Roman"/>
                  <w:color w:val="000000"/>
                  <w:sz w:val="22"/>
                  <w:szCs w:val="22"/>
                  <w:lang w:val="cs-CZ"/>
                </w:rPr>
                <w:t>VCR</w:t>
              </w:r>
            </w:smartTag>
            <w:r w:rsidRPr="00F25A60">
              <w:rPr>
                <w:rFonts w:ascii="Times New Roman" w:hAnsi="Times New Roman" w:cs="Times New Roman"/>
                <w:color w:val="000000"/>
                <w:sz w:val="22"/>
                <w:szCs w:val="22"/>
                <w:lang w:val="cs-CZ"/>
              </w:rPr>
              <w:t xml:space="preserve"> 2 mg i.v. měsíčně po dobu 13 měsíců;</w:t>
            </w:r>
          </w:p>
          <w:p w14:paraId="57360C96" w14:textId="77777777" w:rsidR="00EA5993" w:rsidRPr="00F25A60" w:rsidRDefault="006327B9"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p</w:t>
            </w:r>
            <w:r w:rsidR="00EA5993" w:rsidRPr="00F25A60">
              <w:rPr>
                <w:rFonts w:ascii="Times New Roman" w:hAnsi="Times New Roman" w:cs="Times New Roman"/>
                <w:color w:val="000000"/>
                <w:sz w:val="22"/>
                <w:szCs w:val="22"/>
                <w:lang w:val="cs-CZ"/>
              </w:rPr>
              <w:t>rednisolon 200 mg perorálně, 5 dnů za měsíc po dobu 13 měsíců</w:t>
            </w:r>
          </w:p>
        </w:tc>
      </w:tr>
      <w:tr w:rsidR="00EA5993" w:rsidRPr="00F25A60" w14:paraId="1BDFF87D" w14:textId="77777777" w:rsidTr="00EB4FF7">
        <w:trPr>
          <w:cantSplit/>
        </w:trPr>
        <w:tc>
          <w:tcPr>
            <w:tcW w:w="8880" w:type="dxa"/>
            <w:gridSpan w:val="5"/>
            <w:tcBorders>
              <w:top w:val="single" w:sz="4" w:space="0" w:color="000000"/>
              <w:bottom w:val="single" w:sz="4" w:space="0" w:color="000000"/>
            </w:tcBorders>
          </w:tcPr>
          <w:p w14:paraId="08E387DE" w14:textId="77777777" w:rsidR="00EA5993" w:rsidRPr="00F25A60" w:rsidRDefault="00EA5993" w:rsidP="0048111F">
            <w:pPr>
              <w:pStyle w:val="Table"/>
              <w:keepLines w:val="0"/>
              <w:snapToGrid w:val="0"/>
              <w:spacing w:before="0" w:after="0"/>
              <w:rPr>
                <w:rFonts w:ascii="Times New Roman" w:hAnsi="Times New Roman" w:cs="Times New Roman"/>
                <w:color w:val="000000"/>
                <w:sz w:val="22"/>
                <w:szCs w:val="22"/>
                <w:lang w:val="cs-CZ"/>
              </w:rPr>
            </w:pPr>
            <w:r w:rsidRPr="00F25A60">
              <w:rPr>
                <w:rFonts w:ascii="Times New Roman" w:hAnsi="Times New Roman" w:cs="Times New Roman"/>
                <w:color w:val="000000"/>
                <w:sz w:val="22"/>
                <w:szCs w:val="22"/>
                <w:lang w:val="cs-CZ"/>
              </w:rPr>
              <w:t xml:space="preserve">Všechny léčebné režimy zahrnují podávání kortikosteroidů </w:t>
            </w:r>
            <w:r w:rsidR="006327B9" w:rsidRPr="00F25A60">
              <w:rPr>
                <w:rFonts w:ascii="Times New Roman" w:hAnsi="Times New Roman" w:cs="Times New Roman"/>
                <w:color w:val="000000"/>
                <w:sz w:val="22"/>
                <w:szCs w:val="22"/>
                <w:lang w:val="cs-CZ"/>
              </w:rPr>
              <w:t>k</w:t>
            </w:r>
            <w:r w:rsidRPr="00F25A60">
              <w:rPr>
                <w:rFonts w:ascii="Times New Roman" w:hAnsi="Times New Roman" w:cs="Times New Roman"/>
                <w:color w:val="000000"/>
                <w:sz w:val="22"/>
                <w:szCs w:val="22"/>
                <w:lang w:val="cs-CZ"/>
              </w:rPr>
              <w:t xml:space="preserve">profylaxi postižení </w:t>
            </w:r>
            <w:smartTag w:uri="urn:schemas-microsoft-com:office:smarttags" w:element="stockticker">
              <w:r w:rsidRPr="00F25A60">
                <w:rPr>
                  <w:rFonts w:ascii="Times New Roman" w:hAnsi="Times New Roman" w:cs="Times New Roman"/>
                  <w:color w:val="000000"/>
                  <w:sz w:val="22"/>
                  <w:szCs w:val="22"/>
                  <w:lang w:val="cs-CZ"/>
                </w:rPr>
                <w:t>CNS</w:t>
              </w:r>
            </w:smartTag>
            <w:r w:rsidRPr="00F25A60">
              <w:rPr>
                <w:rFonts w:ascii="Times New Roman" w:hAnsi="Times New Roman" w:cs="Times New Roman"/>
                <w:color w:val="000000"/>
                <w:sz w:val="22"/>
                <w:szCs w:val="22"/>
                <w:lang w:val="cs-CZ"/>
              </w:rPr>
              <w:t>.</w:t>
            </w:r>
          </w:p>
        </w:tc>
      </w:tr>
      <w:tr w:rsidR="00EA5993" w:rsidRPr="00F25A60" w14:paraId="64D6E486" w14:textId="77777777" w:rsidTr="00EB4FF7">
        <w:trPr>
          <w:cantSplit/>
        </w:trPr>
        <w:tc>
          <w:tcPr>
            <w:tcW w:w="8880" w:type="dxa"/>
            <w:gridSpan w:val="5"/>
            <w:tcBorders>
              <w:top w:val="single" w:sz="4" w:space="0" w:color="000000"/>
              <w:bottom w:val="single" w:sz="4" w:space="0" w:color="000000"/>
            </w:tcBorders>
          </w:tcPr>
          <w:p w14:paraId="7A4C86A8" w14:textId="77777777" w:rsidR="00EA5993" w:rsidRPr="00F25A60" w:rsidRDefault="00EA5993" w:rsidP="0048111F">
            <w:pPr>
              <w:pStyle w:val="Table"/>
              <w:keepNext w:val="0"/>
              <w:keepLines w:val="0"/>
              <w:snapToGrid w:val="0"/>
              <w:spacing w:before="0" w:after="0"/>
              <w:rPr>
                <w:rFonts w:ascii="Times New Roman" w:hAnsi="Times New Roman" w:cs="Times New Roman"/>
                <w:color w:val="000000"/>
                <w:sz w:val="22"/>
                <w:szCs w:val="22"/>
                <w:lang w:val="cs-CZ"/>
              </w:rPr>
            </w:pPr>
            <w:r w:rsidRPr="00D567F2">
              <w:rPr>
                <w:rFonts w:ascii="Times New Roman" w:hAnsi="Times New Roman" w:cs="Times New Roman"/>
                <w:color w:val="000000"/>
                <w:lang w:val="cs-CZ"/>
                <w:rPrChange w:id="304" w:author="Author">
                  <w:rPr>
                    <w:rFonts w:ascii="Times New Roman" w:hAnsi="Times New Roman" w:cs="Times New Roman"/>
                    <w:color w:val="000000"/>
                    <w:sz w:val="22"/>
                    <w:szCs w:val="22"/>
                    <w:lang w:val="cs-CZ"/>
                  </w:rPr>
                </w:rPrChange>
              </w:rPr>
              <w:t>Ara-C: cytosin arabinosid; CP: cy</w:t>
            </w:r>
            <w:r w:rsidR="006327B9" w:rsidRPr="00D567F2">
              <w:rPr>
                <w:rFonts w:ascii="Times New Roman" w:hAnsi="Times New Roman" w:cs="Times New Roman"/>
                <w:color w:val="000000"/>
                <w:lang w:val="cs-CZ"/>
                <w:rPrChange w:id="305" w:author="Author">
                  <w:rPr>
                    <w:rFonts w:ascii="Times New Roman" w:hAnsi="Times New Roman" w:cs="Times New Roman"/>
                    <w:color w:val="000000"/>
                    <w:sz w:val="22"/>
                    <w:szCs w:val="22"/>
                    <w:lang w:val="cs-CZ"/>
                  </w:rPr>
                </w:rPrChange>
              </w:rPr>
              <w:t>k</w:t>
            </w:r>
            <w:r w:rsidRPr="00D567F2">
              <w:rPr>
                <w:rFonts w:ascii="Times New Roman" w:hAnsi="Times New Roman" w:cs="Times New Roman"/>
                <w:color w:val="000000"/>
                <w:lang w:val="cs-CZ"/>
                <w:rPrChange w:id="306" w:author="Author">
                  <w:rPr>
                    <w:rFonts w:ascii="Times New Roman" w:hAnsi="Times New Roman" w:cs="Times New Roman"/>
                    <w:color w:val="000000"/>
                    <w:sz w:val="22"/>
                    <w:szCs w:val="22"/>
                    <w:lang w:val="cs-CZ"/>
                  </w:rPr>
                </w:rPrChange>
              </w:rPr>
              <w:t xml:space="preserve">lofosfamid; DEX: dexamethason; </w:t>
            </w:r>
            <w:smartTag w:uri="urn:schemas-microsoft-com:office:smarttags" w:element="stockticker">
              <w:r w:rsidRPr="00D567F2">
                <w:rPr>
                  <w:rFonts w:ascii="Times New Roman" w:hAnsi="Times New Roman" w:cs="Times New Roman"/>
                  <w:color w:val="000000"/>
                  <w:lang w:val="cs-CZ"/>
                  <w:rPrChange w:id="307" w:author="Author">
                    <w:rPr>
                      <w:rFonts w:ascii="Times New Roman" w:hAnsi="Times New Roman" w:cs="Times New Roman"/>
                      <w:color w:val="000000"/>
                      <w:sz w:val="22"/>
                      <w:szCs w:val="22"/>
                      <w:lang w:val="cs-CZ"/>
                    </w:rPr>
                  </w:rPrChange>
                </w:rPr>
                <w:t>MTX</w:t>
              </w:r>
            </w:smartTag>
            <w:r w:rsidRPr="00D567F2">
              <w:rPr>
                <w:rFonts w:ascii="Times New Roman" w:hAnsi="Times New Roman" w:cs="Times New Roman"/>
                <w:color w:val="000000"/>
                <w:lang w:val="cs-CZ"/>
                <w:rPrChange w:id="308" w:author="Author">
                  <w:rPr>
                    <w:rFonts w:ascii="Times New Roman" w:hAnsi="Times New Roman" w:cs="Times New Roman"/>
                    <w:color w:val="000000"/>
                    <w:sz w:val="22"/>
                    <w:szCs w:val="22"/>
                    <w:lang w:val="cs-CZ"/>
                  </w:rPr>
                </w:rPrChange>
              </w:rPr>
              <w:t xml:space="preserve">: methotrexát; 6-MP: 6-merkaptopurin; VM26: teniposid; </w:t>
            </w:r>
            <w:smartTag w:uri="urn:schemas-microsoft-com:office:smarttags" w:element="stockticker">
              <w:r w:rsidRPr="00D567F2">
                <w:rPr>
                  <w:rFonts w:ascii="Times New Roman" w:hAnsi="Times New Roman" w:cs="Times New Roman"/>
                  <w:color w:val="000000"/>
                  <w:lang w:val="cs-CZ"/>
                  <w:rPrChange w:id="309" w:author="Author">
                    <w:rPr>
                      <w:rFonts w:ascii="Times New Roman" w:hAnsi="Times New Roman" w:cs="Times New Roman"/>
                      <w:color w:val="000000"/>
                      <w:sz w:val="22"/>
                      <w:szCs w:val="22"/>
                      <w:lang w:val="cs-CZ"/>
                    </w:rPr>
                  </w:rPrChange>
                </w:rPr>
                <w:t>VCR</w:t>
              </w:r>
            </w:smartTag>
            <w:r w:rsidRPr="00D567F2">
              <w:rPr>
                <w:rFonts w:ascii="Times New Roman" w:hAnsi="Times New Roman" w:cs="Times New Roman"/>
                <w:color w:val="000000"/>
                <w:lang w:val="cs-CZ"/>
                <w:rPrChange w:id="310" w:author="Author">
                  <w:rPr>
                    <w:rFonts w:ascii="Times New Roman" w:hAnsi="Times New Roman" w:cs="Times New Roman"/>
                    <w:color w:val="000000"/>
                    <w:sz w:val="22"/>
                    <w:szCs w:val="22"/>
                    <w:lang w:val="cs-CZ"/>
                  </w:rPr>
                </w:rPrChange>
              </w:rPr>
              <w:t xml:space="preserve">: vinkristin; </w:t>
            </w:r>
            <w:smartTag w:uri="urn:schemas-microsoft-com:office:smarttags" w:element="stockticker">
              <w:r w:rsidRPr="00D567F2">
                <w:rPr>
                  <w:rFonts w:ascii="Times New Roman" w:hAnsi="Times New Roman" w:cs="Times New Roman"/>
                  <w:color w:val="000000"/>
                  <w:lang w:val="cs-CZ"/>
                  <w:rPrChange w:id="311" w:author="Author">
                    <w:rPr>
                      <w:rFonts w:ascii="Times New Roman" w:hAnsi="Times New Roman" w:cs="Times New Roman"/>
                      <w:color w:val="000000"/>
                      <w:sz w:val="22"/>
                      <w:szCs w:val="22"/>
                      <w:lang w:val="cs-CZ"/>
                    </w:rPr>
                  </w:rPrChange>
                </w:rPr>
                <w:t>IDA</w:t>
              </w:r>
            </w:smartTag>
            <w:r w:rsidRPr="00D567F2">
              <w:rPr>
                <w:rFonts w:ascii="Times New Roman" w:hAnsi="Times New Roman" w:cs="Times New Roman"/>
                <w:color w:val="000000"/>
                <w:lang w:val="cs-CZ"/>
                <w:rPrChange w:id="312" w:author="Author">
                  <w:rPr>
                    <w:rFonts w:ascii="Times New Roman" w:hAnsi="Times New Roman" w:cs="Times New Roman"/>
                    <w:color w:val="000000"/>
                    <w:sz w:val="22"/>
                    <w:szCs w:val="22"/>
                    <w:lang w:val="cs-CZ"/>
                  </w:rPr>
                </w:rPrChange>
              </w:rPr>
              <w:t>: idarubicin; i.v.: intravenózně</w:t>
            </w:r>
          </w:p>
        </w:tc>
      </w:tr>
    </w:tbl>
    <w:p w14:paraId="2309CE82" w14:textId="77777777" w:rsidR="00EA5993" w:rsidRPr="00F25A60" w:rsidRDefault="00EA5993" w:rsidP="0048111F">
      <w:pPr>
        <w:pStyle w:val="EndnoteText"/>
        <w:rPr>
          <w:color w:val="000000"/>
        </w:rPr>
      </w:pPr>
    </w:p>
    <w:p w14:paraId="3B0690EF" w14:textId="3EC3B547" w:rsidR="00DF45EE" w:rsidRPr="00F25A60" w:rsidRDefault="00EA5993" w:rsidP="0048111F">
      <w:pPr>
        <w:pStyle w:val="EndnoteText"/>
        <w:keepNext/>
      </w:pPr>
      <w:r w:rsidRPr="00F25A60">
        <w:rPr>
          <w:i/>
          <w:color w:val="000000"/>
        </w:rPr>
        <w:t>Pediatri</w:t>
      </w:r>
      <w:r w:rsidR="00DF45EE" w:rsidRPr="00F25A60">
        <w:rPr>
          <w:i/>
          <w:color w:val="000000"/>
        </w:rPr>
        <w:t>cká</w:t>
      </w:r>
      <w:r w:rsidRPr="00F25A60">
        <w:rPr>
          <w:i/>
          <w:color w:val="000000"/>
        </w:rPr>
        <w:t xml:space="preserve"> </w:t>
      </w:r>
      <w:r w:rsidR="00DF45EE" w:rsidRPr="00F25A60">
        <w:rPr>
          <w:i/>
          <w:color w:val="000000"/>
        </w:rPr>
        <w:t>populace</w:t>
      </w:r>
    </w:p>
    <w:p w14:paraId="4A44254C" w14:textId="437D5A86" w:rsidR="00EA5993" w:rsidRPr="00F25A60" w:rsidRDefault="00EA5993" w:rsidP="0048111F">
      <w:pPr>
        <w:pStyle w:val="EndnoteText"/>
        <w:rPr>
          <w:color w:val="000000"/>
        </w:rPr>
      </w:pPr>
      <w:r w:rsidRPr="00F25A60">
        <w:t>Do</w:t>
      </w:r>
      <w:r w:rsidRPr="00F25A60">
        <w:rPr>
          <w:color w:val="000000"/>
        </w:rPr>
        <w:t xml:space="preserve"> otevřené, multicentrické, nerandomizované studie I2301 fáze III se sekvenčními kohortami bylo zařazeno celkem 93 pediatrických, dospívajících a mladých dospělých pacientů (od 1 do 22 let věku) s Ph+ ALL, kteří byli léčeni Glivecem (340 mg/m</w:t>
      </w:r>
      <w:r w:rsidRPr="00F25A60">
        <w:rPr>
          <w:color w:val="000000"/>
          <w:vertAlign w:val="superscript"/>
        </w:rPr>
        <w:t>2</w:t>
      </w:r>
      <w:r w:rsidRPr="00F25A60">
        <w:rPr>
          <w:color w:val="000000"/>
        </w:rPr>
        <w:t>/den) v kombinaci s intenzivní chemoterapií po indukční terapii. Glivec byl podáván intermitentně v kohortách 1</w:t>
      </w:r>
      <w:r w:rsidRPr="00F25A60">
        <w:rPr>
          <w:color w:val="000000"/>
        </w:rPr>
        <w:noBreakHyphen/>
        <w:t xml:space="preserve">5 s prodlužujícím se trváním a časnějším zahájením léčby Glivecem; kohorta 1 používala nejnižší intenzitu a kohorta 5 používala nejvyšší intenzitu Glivecu (nejdelší trvání ve dnech s kontinuálním dávkováním Glivecu již během prvních léčebných cyklů chemoterapie). Kontinuální denní časná expozice Glivecem v průběhu léčby v kombinaci s chemoterapií u pacientů v kohortě 5 (n=50) zlepšila 4leté přežití bez </w:t>
      </w:r>
      <w:r w:rsidR="006327B9" w:rsidRPr="00F25A60">
        <w:rPr>
          <w:color w:val="000000"/>
        </w:rPr>
        <w:t>příhody</w:t>
      </w:r>
      <w:r w:rsidR="00435A80" w:rsidRPr="00F25A60">
        <w:rPr>
          <w:color w:val="000000"/>
        </w:rPr>
        <w:t xml:space="preserve"> </w:t>
      </w:r>
      <w:r w:rsidRPr="00F25A60">
        <w:rPr>
          <w:color w:val="000000"/>
        </w:rPr>
        <w:t>(EFS) v porovnání s historickými kontrolami (n=120), které používaly standardní chemoterapii bez Glivecu (69,6 % oproti 31,6 %). Odhadované 4leté celkové přežití v pacientské kohortě 5 bylo 83,6 % v porovnání s 44,8% u historické kontroly. 20 pacientům z 50 (40 %) v kohortě 5 byla provedena transplantace hematopoetických kmenových buněk.</w:t>
      </w:r>
    </w:p>
    <w:p w14:paraId="3357A6CF" w14:textId="77777777" w:rsidR="00EA5993" w:rsidRPr="00F25A60" w:rsidRDefault="00EA5993" w:rsidP="0048111F">
      <w:pPr>
        <w:pStyle w:val="EndnoteText"/>
        <w:rPr>
          <w:color w:val="000000"/>
        </w:rPr>
      </w:pPr>
    </w:p>
    <w:p w14:paraId="44A710A4" w14:textId="77777777" w:rsidR="00EA5993" w:rsidRPr="00F25A60" w:rsidRDefault="00EA5993" w:rsidP="0048111F">
      <w:pPr>
        <w:pStyle w:val="EndnoteText"/>
        <w:keepNext/>
        <w:tabs>
          <w:tab w:val="clear" w:pos="567"/>
        </w:tabs>
        <w:ind w:left="1134" w:hanging="1134"/>
        <w:rPr>
          <w:b/>
          <w:color w:val="000000"/>
        </w:rPr>
      </w:pPr>
      <w:r w:rsidRPr="00F25A60">
        <w:rPr>
          <w:b/>
          <w:color w:val="000000"/>
        </w:rPr>
        <w:lastRenderedPageBreak/>
        <w:t>Tabulka </w:t>
      </w:r>
      <w:r w:rsidR="00A2522A" w:rsidRPr="00F25A60">
        <w:rPr>
          <w:b/>
          <w:color w:val="000000"/>
        </w:rPr>
        <w:t>5</w:t>
      </w:r>
      <w:r w:rsidRPr="00F25A60">
        <w:rPr>
          <w:b/>
          <w:color w:val="000000"/>
        </w:rPr>
        <w:tab/>
        <w:t>Chemoterapeutické režimy používané ve studii I2301 v kombinaci s imatinibem</w:t>
      </w:r>
    </w:p>
    <w:p w14:paraId="58363B51" w14:textId="77777777" w:rsidR="00EA5993" w:rsidRPr="00F25A60" w:rsidRDefault="00EA5993" w:rsidP="0048111F">
      <w:pPr>
        <w:pStyle w:val="EndnoteText"/>
        <w:keepNext/>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313"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316"/>
        <w:gridCol w:w="6700"/>
        <w:gridCol w:w="43"/>
        <w:tblGridChange w:id="314">
          <w:tblGrid>
            <w:gridCol w:w="2316"/>
            <w:gridCol w:w="7"/>
            <w:gridCol w:w="6693"/>
            <w:gridCol w:w="43"/>
          </w:tblGrid>
        </w:tblGridChange>
      </w:tblGrid>
      <w:tr w:rsidR="00EA5993" w:rsidRPr="00F25A60" w14:paraId="0FE07CB0" w14:textId="77777777" w:rsidTr="00D567F2">
        <w:trPr>
          <w:cantSplit/>
          <w:trPrChange w:id="315" w:author="Author">
            <w:trPr>
              <w:cantSplit/>
            </w:trPr>
          </w:trPrChange>
        </w:trPr>
        <w:tc>
          <w:tcPr>
            <w:tcW w:w="2323" w:type="dxa"/>
            <w:tcPrChange w:id="316" w:author="Author">
              <w:tcPr>
                <w:tcW w:w="2358" w:type="dxa"/>
                <w:gridSpan w:val="2"/>
              </w:tcPr>
            </w:tcPrChange>
          </w:tcPr>
          <w:p w14:paraId="338E872A" w14:textId="77777777" w:rsidR="00EA5993" w:rsidRPr="00F25A60" w:rsidRDefault="00EA5993" w:rsidP="0048111F">
            <w:pPr>
              <w:pStyle w:val="EndnoteText"/>
              <w:keepNext/>
              <w:rPr>
                <w:color w:val="000000"/>
              </w:rPr>
            </w:pPr>
            <w:r w:rsidRPr="00F25A60">
              <w:rPr>
                <w:color w:val="000000"/>
              </w:rPr>
              <w:t xml:space="preserve">Konsolidační </w:t>
            </w:r>
            <w:r w:rsidR="004165E7" w:rsidRPr="00F25A60">
              <w:rPr>
                <w:color w:val="000000"/>
              </w:rPr>
              <w:t>blok </w:t>
            </w:r>
            <w:r w:rsidRPr="00F25A60">
              <w:rPr>
                <w:color w:val="000000"/>
              </w:rPr>
              <w:t>1</w:t>
            </w:r>
          </w:p>
          <w:p w14:paraId="7DE42FF2" w14:textId="77777777" w:rsidR="00EA5993" w:rsidRPr="00F25A60" w:rsidRDefault="00EA5993" w:rsidP="0048111F">
            <w:pPr>
              <w:pStyle w:val="EndnoteText"/>
              <w:keepNext/>
              <w:rPr>
                <w:color w:val="000000"/>
              </w:rPr>
            </w:pPr>
            <w:r w:rsidRPr="00F25A60">
              <w:rPr>
                <w:color w:val="000000"/>
              </w:rPr>
              <w:t>(3 týdny)</w:t>
            </w:r>
          </w:p>
        </w:tc>
        <w:tc>
          <w:tcPr>
            <w:tcW w:w="6736" w:type="dxa"/>
            <w:gridSpan w:val="2"/>
            <w:tcPrChange w:id="317" w:author="Author">
              <w:tcPr>
                <w:tcW w:w="6929" w:type="dxa"/>
                <w:gridSpan w:val="2"/>
              </w:tcPr>
            </w:tcPrChange>
          </w:tcPr>
          <w:p w14:paraId="36104103" w14:textId="77777777" w:rsidR="00EA5993" w:rsidRPr="00F25A60" w:rsidRDefault="00EA5993" w:rsidP="0048111F">
            <w:pPr>
              <w:pStyle w:val="EndnoteText"/>
              <w:keepNext/>
              <w:rPr>
                <w:color w:val="000000"/>
              </w:rPr>
            </w:pPr>
            <w:r w:rsidRPr="00F25A60">
              <w:rPr>
                <w:color w:val="000000"/>
              </w:rPr>
              <w:t>VP-16 (100 mg/m</w:t>
            </w:r>
            <w:r w:rsidRPr="00F25A60">
              <w:rPr>
                <w:color w:val="000000"/>
                <w:vertAlign w:val="superscript"/>
              </w:rPr>
              <w:t>2</w:t>
            </w:r>
            <w:r w:rsidRPr="00F25A60">
              <w:rPr>
                <w:color w:val="000000"/>
              </w:rPr>
              <w:t xml:space="preserve">/den, </w:t>
            </w:r>
            <w:r w:rsidR="004165E7" w:rsidRPr="00F25A60">
              <w:rPr>
                <w:color w:val="000000"/>
              </w:rPr>
              <w:t>i.v.</w:t>
            </w:r>
            <w:r w:rsidRPr="00F25A60">
              <w:rPr>
                <w:color w:val="000000"/>
              </w:rPr>
              <w:t>): dny 1</w:t>
            </w:r>
            <w:r w:rsidRPr="00F25A60">
              <w:rPr>
                <w:color w:val="000000"/>
              </w:rPr>
              <w:noBreakHyphen/>
              <w:t>5</w:t>
            </w:r>
          </w:p>
          <w:p w14:paraId="289AF1B9" w14:textId="77777777" w:rsidR="00EA5993" w:rsidRPr="00F25A60" w:rsidRDefault="004165E7" w:rsidP="0048111F">
            <w:pPr>
              <w:pStyle w:val="EndnoteText"/>
              <w:keepNext/>
              <w:rPr>
                <w:color w:val="000000"/>
              </w:rPr>
            </w:pPr>
            <w:r w:rsidRPr="00F25A60">
              <w:rPr>
                <w:color w:val="000000"/>
              </w:rPr>
              <w:t>i</w:t>
            </w:r>
            <w:r w:rsidR="00EA5993" w:rsidRPr="00F25A60">
              <w:rPr>
                <w:color w:val="000000"/>
              </w:rPr>
              <w:t>fosfamid (1,8 g/m</w:t>
            </w:r>
            <w:r w:rsidR="00EA5993" w:rsidRPr="00F25A60">
              <w:rPr>
                <w:color w:val="000000"/>
                <w:vertAlign w:val="superscript"/>
              </w:rPr>
              <w:t>2</w:t>
            </w:r>
            <w:r w:rsidR="00EA5993" w:rsidRPr="00F25A60">
              <w:rPr>
                <w:color w:val="000000"/>
              </w:rPr>
              <w:t xml:space="preserve">/den, </w:t>
            </w:r>
            <w:r w:rsidRPr="00F25A60">
              <w:rPr>
                <w:color w:val="000000"/>
              </w:rPr>
              <w:t>i.v.</w:t>
            </w:r>
            <w:r w:rsidR="00EA5993" w:rsidRPr="00F25A60">
              <w:rPr>
                <w:color w:val="000000"/>
              </w:rPr>
              <w:t>): dny 1</w:t>
            </w:r>
            <w:r w:rsidR="00EA5993" w:rsidRPr="00F25A60">
              <w:rPr>
                <w:color w:val="000000"/>
              </w:rPr>
              <w:noBreakHyphen/>
              <w:t>5</w:t>
            </w:r>
          </w:p>
          <w:p w14:paraId="5B3813AE" w14:textId="77777777" w:rsidR="00EA5993" w:rsidRPr="00F25A60" w:rsidRDefault="00EA5993" w:rsidP="0048111F">
            <w:pPr>
              <w:pStyle w:val="EndnoteText"/>
              <w:keepNext/>
              <w:rPr>
                <w:color w:val="000000"/>
              </w:rPr>
            </w:pPr>
            <w:r w:rsidRPr="00F25A60">
              <w:rPr>
                <w:color w:val="000000"/>
              </w:rPr>
              <w:t>MESNA (360 mg/m</w:t>
            </w:r>
            <w:r w:rsidRPr="00F25A60">
              <w:rPr>
                <w:color w:val="000000"/>
                <w:vertAlign w:val="superscript"/>
              </w:rPr>
              <w:t>2</w:t>
            </w:r>
            <w:r w:rsidRPr="00F25A60">
              <w:rPr>
                <w:color w:val="000000"/>
              </w:rPr>
              <w:t>/dávka q3h, x 8 dáv</w:t>
            </w:r>
            <w:r w:rsidR="004165E7" w:rsidRPr="00F25A60">
              <w:rPr>
                <w:color w:val="000000"/>
              </w:rPr>
              <w:t>ek</w:t>
            </w:r>
            <w:r w:rsidRPr="00F25A60">
              <w:rPr>
                <w:color w:val="000000"/>
              </w:rPr>
              <w:t xml:space="preserve">/den, </w:t>
            </w:r>
            <w:r w:rsidR="004165E7" w:rsidRPr="00F25A60">
              <w:rPr>
                <w:color w:val="000000"/>
              </w:rPr>
              <w:t>i.v.</w:t>
            </w:r>
            <w:r w:rsidRPr="00F25A60">
              <w:rPr>
                <w:color w:val="000000"/>
              </w:rPr>
              <w:t>): dny 1</w:t>
            </w:r>
            <w:r w:rsidRPr="00F25A60">
              <w:rPr>
                <w:color w:val="000000"/>
              </w:rPr>
              <w:noBreakHyphen/>
              <w:t>5</w:t>
            </w:r>
          </w:p>
          <w:p w14:paraId="1157F360" w14:textId="272A0788" w:rsidR="00EA5993" w:rsidRPr="00F25A60" w:rsidRDefault="00EA5993" w:rsidP="0048111F">
            <w:pPr>
              <w:pStyle w:val="EndnoteText"/>
              <w:keepNext/>
              <w:rPr>
                <w:color w:val="000000"/>
              </w:rPr>
            </w:pPr>
            <w:r w:rsidRPr="00F25A60">
              <w:rPr>
                <w:color w:val="000000"/>
              </w:rPr>
              <w:t xml:space="preserve">G-CSF (5 μg/kg, </w:t>
            </w:r>
            <w:r w:rsidR="004165E7" w:rsidRPr="00F25A60">
              <w:rPr>
                <w:color w:val="000000"/>
              </w:rPr>
              <w:t>s.c.</w:t>
            </w:r>
            <w:r w:rsidRPr="00F25A60">
              <w:rPr>
                <w:color w:val="000000"/>
              </w:rPr>
              <w:t>): dny 6</w:t>
            </w:r>
            <w:r w:rsidRPr="00F25A60">
              <w:rPr>
                <w:color w:val="000000"/>
              </w:rPr>
              <w:noBreakHyphen/>
              <w:t>15 nebo do ANC &gt; 1</w:t>
            </w:r>
            <w:ins w:id="318" w:author="Author">
              <w:r w:rsidR="00DA27E8" w:rsidRPr="00F25A60">
                <w:rPr>
                  <w:color w:val="000000"/>
                </w:rPr>
                <w:t> </w:t>
              </w:r>
            </w:ins>
            <w:r w:rsidRPr="00F25A60">
              <w:rPr>
                <w:color w:val="000000"/>
              </w:rPr>
              <w:t>500 po dosažení nejnižší hodnoty</w:t>
            </w:r>
          </w:p>
          <w:p w14:paraId="76205255" w14:textId="77777777" w:rsidR="00EA5993" w:rsidRPr="00F25A60" w:rsidRDefault="004165E7" w:rsidP="0048111F">
            <w:pPr>
              <w:pStyle w:val="EndnoteText"/>
              <w:keepNext/>
              <w:rPr>
                <w:color w:val="000000"/>
              </w:rPr>
            </w:pPr>
            <w:r w:rsidRPr="00F25A60">
              <w:rPr>
                <w:color w:val="000000"/>
              </w:rPr>
              <w:t xml:space="preserve">i.t. </w:t>
            </w:r>
            <w:r w:rsidR="00EA5993" w:rsidRPr="00F25A60">
              <w:rPr>
                <w:color w:val="000000"/>
              </w:rPr>
              <w:t>léčba methotrexátem (přizpůsobená věku): POUZE den 1</w:t>
            </w:r>
          </w:p>
          <w:p w14:paraId="51038A61" w14:textId="77777777" w:rsidR="00EA5993" w:rsidRPr="00F25A60" w:rsidRDefault="00EA5993" w:rsidP="0048111F">
            <w:pPr>
              <w:pStyle w:val="EndnoteText"/>
              <w:keepNext/>
              <w:rPr>
                <w:color w:val="000000"/>
              </w:rPr>
            </w:pPr>
            <w:r w:rsidRPr="00F25A60">
              <w:rPr>
                <w:color w:val="000000"/>
              </w:rPr>
              <w:t xml:space="preserve">Trojnásobná </w:t>
            </w:r>
            <w:r w:rsidR="004165E7" w:rsidRPr="00F25A60">
              <w:rPr>
                <w:color w:val="000000"/>
              </w:rPr>
              <w:t xml:space="preserve">i.t. </w:t>
            </w:r>
            <w:r w:rsidRPr="00F25A60">
              <w:rPr>
                <w:color w:val="000000"/>
              </w:rPr>
              <w:t>léčba (přizpůsobená věku): den 8, 15</w:t>
            </w:r>
          </w:p>
        </w:tc>
      </w:tr>
      <w:tr w:rsidR="00EA5993" w:rsidRPr="00F25A60" w14:paraId="61D6CCA5" w14:textId="77777777" w:rsidTr="00D567F2">
        <w:trPr>
          <w:cantSplit/>
          <w:trPrChange w:id="319" w:author="Author">
            <w:trPr>
              <w:cantSplit/>
            </w:trPr>
          </w:trPrChange>
        </w:trPr>
        <w:tc>
          <w:tcPr>
            <w:tcW w:w="2323" w:type="dxa"/>
            <w:tcPrChange w:id="320" w:author="Author">
              <w:tcPr>
                <w:tcW w:w="2358" w:type="dxa"/>
                <w:gridSpan w:val="2"/>
              </w:tcPr>
            </w:tcPrChange>
          </w:tcPr>
          <w:p w14:paraId="321C306C" w14:textId="77777777" w:rsidR="00EA5993" w:rsidRPr="00F25A60" w:rsidRDefault="00EA5993" w:rsidP="0048111F">
            <w:pPr>
              <w:pStyle w:val="EndnoteText"/>
              <w:rPr>
                <w:color w:val="000000"/>
              </w:rPr>
            </w:pPr>
            <w:r w:rsidRPr="00F25A60">
              <w:rPr>
                <w:color w:val="000000"/>
              </w:rPr>
              <w:t xml:space="preserve">Konsolidační </w:t>
            </w:r>
            <w:r w:rsidR="004165E7" w:rsidRPr="00F25A60">
              <w:rPr>
                <w:color w:val="000000"/>
              </w:rPr>
              <w:t>blok</w:t>
            </w:r>
            <w:r w:rsidRPr="00F25A60">
              <w:rPr>
                <w:color w:val="000000"/>
              </w:rPr>
              <w:t> 2</w:t>
            </w:r>
          </w:p>
          <w:p w14:paraId="7E7A79D2" w14:textId="77777777" w:rsidR="00EA5993" w:rsidRPr="00F25A60" w:rsidRDefault="00EA5993" w:rsidP="0048111F">
            <w:pPr>
              <w:pStyle w:val="EndnoteText"/>
              <w:rPr>
                <w:color w:val="000000"/>
              </w:rPr>
            </w:pPr>
            <w:r w:rsidRPr="00F25A60">
              <w:rPr>
                <w:color w:val="000000"/>
              </w:rPr>
              <w:t>(3 týdny)</w:t>
            </w:r>
          </w:p>
        </w:tc>
        <w:tc>
          <w:tcPr>
            <w:tcW w:w="6736" w:type="dxa"/>
            <w:gridSpan w:val="2"/>
            <w:tcPrChange w:id="321" w:author="Author">
              <w:tcPr>
                <w:tcW w:w="6929" w:type="dxa"/>
                <w:gridSpan w:val="2"/>
              </w:tcPr>
            </w:tcPrChange>
          </w:tcPr>
          <w:p w14:paraId="3BA05E48" w14:textId="77777777" w:rsidR="00EA5993" w:rsidRPr="00F25A60" w:rsidRDefault="003212CF" w:rsidP="0048111F">
            <w:pPr>
              <w:pStyle w:val="EndnoteText"/>
              <w:rPr>
                <w:color w:val="000000"/>
              </w:rPr>
            </w:pPr>
            <w:r w:rsidRPr="00F25A60">
              <w:rPr>
                <w:color w:val="000000"/>
              </w:rPr>
              <w:t>m</w:t>
            </w:r>
            <w:r w:rsidR="00EA5993" w:rsidRPr="00F25A60">
              <w:rPr>
                <w:color w:val="000000"/>
              </w:rPr>
              <w:t>ethotrexát (5 g/m</w:t>
            </w:r>
            <w:r w:rsidR="00EA5993" w:rsidRPr="00F25A60">
              <w:rPr>
                <w:color w:val="000000"/>
                <w:vertAlign w:val="superscript"/>
              </w:rPr>
              <w:t xml:space="preserve">2 </w:t>
            </w:r>
            <w:r w:rsidR="00EA5993" w:rsidRPr="00F25A60">
              <w:rPr>
                <w:color w:val="000000"/>
              </w:rPr>
              <w:t xml:space="preserve">v průběhu 24 hodin, </w:t>
            </w:r>
            <w:r w:rsidRPr="00F25A60">
              <w:rPr>
                <w:color w:val="000000"/>
              </w:rPr>
              <w:t>i.v.</w:t>
            </w:r>
            <w:r w:rsidR="00EA5993" w:rsidRPr="00F25A60">
              <w:rPr>
                <w:color w:val="000000"/>
              </w:rPr>
              <w:t>): den 1</w:t>
            </w:r>
          </w:p>
          <w:p w14:paraId="124DC6B4" w14:textId="77777777" w:rsidR="00EA5993" w:rsidRPr="00F25A60" w:rsidRDefault="003212CF" w:rsidP="0048111F">
            <w:pPr>
              <w:pStyle w:val="EndnoteText"/>
              <w:rPr>
                <w:color w:val="000000"/>
              </w:rPr>
            </w:pPr>
            <w:r w:rsidRPr="00F25A60">
              <w:rPr>
                <w:color w:val="000000"/>
              </w:rPr>
              <w:t>l</w:t>
            </w:r>
            <w:r w:rsidR="00EA5993" w:rsidRPr="00F25A60">
              <w:rPr>
                <w:color w:val="000000"/>
              </w:rPr>
              <w:t>eukovorin (75 mg/m</w:t>
            </w:r>
            <w:r w:rsidR="00EA5993" w:rsidRPr="00F25A60">
              <w:rPr>
                <w:color w:val="000000"/>
                <w:vertAlign w:val="superscript"/>
              </w:rPr>
              <w:t>2</w:t>
            </w:r>
            <w:r w:rsidR="00EA5993" w:rsidRPr="00F25A60">
              <w:rPr>
                <w:color w:val="000000"/>
              </w:rPr>
              <w:t xml:space="preserve"> ve 36. hodině, </w:t>
            </w:r>
            <w:r w:rsidRPr="00F25A60">
              <w:rPr>
                <w:color w:val="000000"/>
              </w:rPr>
              <w:t>i.v.</w:t>
            </w:r>
            <w:r w:rsidR="00EA5993" w:rsidRPr="00F25A60">
              <w:rPr>
                <w:color w:val="000000"/>
              </w:rPr>
              <w:t>; 15 mg/m</w:t>
            </w:r>
            <w:r w:rsidR="00EA5993" w:rsidRPr="00F25A60">
              <w:rPr>
                <w:color w:val="000000"/>
                <w:vertAlign w:val="superscript"/>
              </w:rPr>
              <w:t>2</w:t>
            </w:r>
            <w:r w:rsidR="00EA5993" w:rsidRPr="00F25A60">
              <w:rPr>
                <w:color w:val="000000"/>
              </w:rPr>
              <w:t xml:space="preserve"> </w:t>
            </w:r>
            <w:r w:rsidRPr="00F25A60">
              <w:rPr>
                <w:color w:val="000000"/>
              </w:rPr>
              <w:t xml:space="preserve">i.v. </w:t>
            </w:r>
            <w:r w:rsidR="00EA5993" w:rsidRPr="00F25A60">
              <w:rPr>
                <w:color w:val="000000"/>
              </w:rPr>
              <w:t xml:space="preserve">nebo </w:t>
            </w:r>
            <w:r w:rsidRPr="00F25A60">
              <w:rPr>
                <w:color w:val="000000"/>
              </w:rPr>
              <w:t xml:space="preserve">p.o. </w:t>
            </w:r>
            <w:r w:rsidR="00EA5993" w:rsidRPr="00F25A60">
              <w:rPr>
                <w:color w:val="000000"/>
              </w:rPr>
              <w:t>q6h x 6 dávek)iii: dny 2 a 3</w:t>
            </w:r>
          </w:p>
          <w:p w14:paraId="4CCC9300" w14:textId="77777777" w:rsidR="00EA5993" w:rsidRPr="00F25A60" w:rsidRDefault="00EA5993" w:rsidP="0048111F">
            <w:pPr>
              <w:pStyle w:val="EndnoteText"/>
              <w:rPr>
                <w:color w:val="000000"/>
              </w:rPr>
            </w:pPr>
            <w:r w:rsidRPr="00F25A60">
              <w:rPr>
                <w:color w:val="000000"/>
              </w:rPr>
              <w:t xml:space="preserve">Trojnásobná </w:t>
            </w:r>
            <w:r w:rsidR="003212CF" w:rsidRPr="00F25A60">
              <w:rPr>
                <w:color w:val="000000"/>
              </w:rPr>
              <w:t xml:space="preserve">i.t. </w:t>
            </w:r>
            <w:r w:rsidRPr="00F25A60">
              <w:rPr>
                <w:color w:val="000000"/>
              </w:rPr>
              <w:t>léčba (přizpůsobená věku): den 1</w:t>
            </w:r>
          </w:p>
          <w:p w14:paraId="5F3035E6" w14:textId="77777777" w:rsidR="00EA5993" w:rsidRPr="00F25A60" w:rsidRDefault="00EA5993" w:rsidP="0048111F">
            <w:pPr>
              <w:pStyle w:val="EndnoteText"/>
              <w:rPr>
                <w:color w:val="000000"/>
              </w:rPr>
            </w:pPr>
            <w:r w:rsidRPr="00F25A60">
              <w:rPr>
                <w:color w:val="000000"/>
              </w:rPr>
              <w:t>ARA-C (3 g/m</w:t>
            </w:r>
            <w:r w:rsidRPr="00F25A60">
              <w:rPr>
                <w:color w:val="000000"/>
                <w:vertAlign w:val="superscript"/>
              </w:rPr>
              <w:t>2</w:t>
            </w:r>
            <w:r w:rsidRPr="00F25A60">
              <w:rPr>
                <w:color w:val="000000"/>
              </w:rPr>
              <w:t xml:space="preserve">/dávku q 12 h x 4, </w:t>
            </w:r>
            <w:r w:rsidR="003212CF" w:rsidRPr="00F25A60">
              <w:rPr>
                <w:color w:val="000000"/>
              </w:rPr>
              <w:t>i.v.</w:t>
            </w:r>
            <w:r w:rsidRPr="00F25A60">
              <w:rPr>
                <w:color w:val="000000"/>
              </w:rPr>
              <w:t>): dny 2 a 3</w:t>
            </w:r>
          </w:p>
          <w:p w14:paraId="57909CA8" w14:textId="4D08E962" w:rsidR="00EA5993" w:rsidRPr="00F25A60" w:rsidRDefault="00EA5993" w:rsidP="0048111F">
            <w:pPr>
              <w:pStyle w:val="EndnoteText"/>
              <w:rPr>
                <w:color w:val="000000"/>
              </w:rPr>
            </w:pPr>
            <w:r w:rsidRPr="00F25A60">
              <w:rPr>
                <w:color w:val="000000"/>
              </w:rPr>
              <w:t xml:space="preserve">G-CSF (5 μg/kg, </w:t>
            </w:r>
            <w:r w:rsidR="003212CF" w:rsidRPr="00F25A60">
              <w:rPr>
                <w:color w:val="000000"/>
              </w:rPr>
              <w:t>s.c.</w:t>
            </w:r>
            <w:r w:rsidRPr="00F25A60">
              <w:rPr>
                <w:color w:val="000000"/>
              </w:rPr>
              <w:t>): dny 4-13 nebo do ANC &gt; 1</w:t>
            </w:r>
            <w:ins w:id="322" w:author="Author">
              <w:r w:rsidR="00DA27E8" w:rsidRPr="00F25A60">
                <w:rPr>
                  <w:color w:val="000000"/>
                </w:rPr>
                <w:t> </w:t>
              </w:r>
            </w:ins>
            <w:r w:rsidRPr="00F25A60">
              <w:rPr>
                <w:color w:val="000000"/>
              </w:rPr>
              <w:t>500 po dosažení nejnižší hodnoty</w:t>
            </w:r>
          </w:p>
        </w:tc>
      </w:tr>
      <w:tr w:rsidR="00EA5993" w:rsidRPr="00F25A60" w14:paraId="21259E28" w14:textId="77777777" w:rsidTr="00D567F2">
        <w:trPr>
          <w:cantSplit/>
          <w:trPrChange w:id="323" w:author="Author">
            <w:trPr>
              <w:cantSplit/>
            </w:trPr>
          </w:trPrChange>
        </w:trPr>
        <w:tc>
          <w:tcPr>
            <w:tcW w:w="2323" w:type="dxa"/>
            <w:tcPrChange w:id="324" w:author="Author">
              <w:tcPr>
                <w:tcW w:w="2358" w:type="dxa"/>
                <w:gridSpan w:val="2"/>
              </w:tcPr>
            </w:tcPrChange>
          </w:tcPr>
          <w:p w14:paraId="0875BA33" w14:textId="77777777" w:rsidR="00EA5993" w:rsidRPr="00F25A60" w:rsidRDefault="00EA5993" w:rsidP="0048111F">
            <w:pPr>
              <w:pStyle w:val="EndnoteText"/>
              <w:rPr>
                <w:color w:val="000000"/>
              </w:rPr>
            </w:pPr>
            <w:r w:rsidRPr="00F25A60">
              <w:rPr>
                <w:color w:val="000000"/>
              </w:rPr>
              <w:t xml:space="preserve">Reindukční </w:t>
            </w:r>
            <w:r w:rsidR="004165E7" w:rsidRPr="00F25A60">
              <w:rPr>
                <w:color w:val="000000"/>
              </w:rPr>
              <w:t>blok</w:t>
            </w:r>
            <w:r w:rsidRPr="00F25A60">
              <w:rPr>
                <w:color w:val="000000"/>
              </w:rPr>
              <w:t> 1</w:t>
            </w:r>
          </w:p>
          <w:p w14:paraId="2774EB5B" w14:textId="77777777" w:rsidR="00EA5993" w:rsidRPr="00F25A60" w:rsidRDefault="00EA5993" w:rsidP="0048111F">
            <w:pPr>
              <w:pStyle w:val="EndnoteText"/>
              <w:rPr>
                <w:color w:val="000000"/>
              </w:rPr>
            </w:pPr>
            <w:r w:rsidRPr="00F25A60">
              <w:rPr>
                <w:color w:val="000000"/>
              </w:rPr>
              <w:t>(3 týdny)</w:t>
            </w:r>
          </w:p>
        </w:tc>
        <w:tc>
          <w:tcPr>
            <w:tcW w:w="6736" w:type="dxa"/>
            <w:gridSpan w:val="2"/>
            <w:tcPrChange w:id="325" w:author="Author">
              <w:tcPr>
                <w:tcW w:w="6929" w:type="dxa"/>
                <w:gridSpan w:val="2"/>
              </w:tcPr>
            </w:tcPrChange>
          </w:tcPr>
          <w:p w14:paraId="4B75B7B5" w14:textId="77777777" w:rsidR="00EA5993" w:rsidRPr="00F25A60" w:rsidRDefault="00EA5993" w:rsidP="0048111F">
            <w:pPr>
              <w:pStyle w:val="EndnoteText"/>
              <w:rPr>
                <w:color w:val="000000"/>
              </w:rPr>
            </w:pPr>
            <w:r w:rsidRPr="00F25A60">
              <w:rPr>
                <w:color w:val="000000"/>
              </w:rPr>
              <w:t>VCR (1,5 mg/m</w:t>
            </w:r>
            <w:r w:rsidRPr="00F25A60">
              <w:rPr>
                <w:color w:val="000000"/>
                <w:vertAlign w:val="superscript"/>
              </w:rPr>
              <w:t>2</w:t>
            </w:r>
            <w:r w:rsidRPr="00F25A60">
              <w:rPr>
                <w:color w:val="000000"/>
              </w:rPr>
              <w:t xml:space="preserve">/den, </w:t>
            </w:r>
            <w:r w:rsidR="003212CF" w:rsidRPr="00F25A60">
              <w:rPr>
                <w:color w:val="000000"/>
              </w:rPr>
              <w:t>i.v.</w:t>
            </w:r>
            <w:r w:rsidRPr="00F25A60">
              <w:rPr>
                <w:color w:val="000000"/>
              </w:rPr>
              <w:t>): dny 1, 8, a 15</w:t>
            </w:r>
          </w:p>
          <w:p w14:paraId="7E1576B0" w14:textId="77777777" w:rsidR="00EA5993" w:rsidRPr="00F25A60" w:rsidRDefault="00EA5993" w:rsidP="0048111F">
            <w:pPr>
              <w:pStyle w:val="EndnoteText"/>
              <w:rPr>
                <w:color w:val="000000"/>
              </w:rPr>
            </w:pPr>
            <w:r w:rsidRPr="00F25A60">
              <w:rPr>
                <w:color w:val="000000"/>
              </w:rPr>
              <w:t>DAUN (45 mg/m</w:t>
            </w:r>
            <w:r w:rsidRPr="00F25A60">
              <w:rPr>
                <w:color w:val="000000"/>
                <w:vertAlign w:val="superscript"/>
              </w:rPr>
              <w:t>2</w:t>
            </w:r>
            <w:r w:rsidRPr="00F25A60">
              <w:rPr>
                <w:color w:val="000000"/>
              </w:rPr>
              <w:t xml:space="preserve">/den jako bolus, </w:t>
            </w:r>
            <w:r w:rsidR="003212CF" w:rsidRPr="00F25A60">
              <w:rPr>
                <w:color w:val="000000"/>
              </w:rPr>
              <w:t>i.v.</w:t>
            </w:r>
            <w:r w:rsidRPr="00F25A60">
              <w:rPr>
                <w:color w:val="000000"/>
              </w:rPr>
              <w:t>): dny 1 a 2</w:t>
            </w:r>
          </w:p>
          <w:p w14:paraId="18773946" w14:textId="77777777" w:rsidR="00EA5993" w:rsidRPr="00F25A60" w:rsidRDefault="00EA5993" w:rsidP="0048111F">
            <w:pPr>
              <w:pStyle w:val="EndnoteText"/>
              <w:rPr>
                <w:color w:val="000000"/>
              </w:rPr>
            </w:pPr>
            <w:r w:rsidRPr="00F25A60">
              <w:rPr>
                <w:color w:val="000000"/>
              </w:rPr>
              <w:t>CPM (250 mg/m</w:t>
            </w:r>
            <w:r w:rsidRPr="00F25A60">
              <w:rPr>
                <w:color w:val="000000"/>
                <w:vertAlign w:val="superscript"/>
              </w:rPr>
              <w:t>2</w:t>
            </w:r>
            <w:r w:rsidRPr="00F25A60">
              <w:rPr>
                <w:color w:val="000000"/>
              </w:rPr>
              <w:t xml:space="preserve">/dávku q12h x 4 dávky, </w:t>
            </w:r>
            <w:r w:rsidR="003212CF" w:rsidRPr="00F25A60">
              <w:rPr>
                <w:color w:val="000000"/>
              </w:rPr>
              <w:t>i.v.</w:t>
            </w:r>
            <w:r w:rsidRPr="00F25A60">
              <w:rPr>
                <w:color w:val="000000"/>
              </w:rPr>
              <w:t>): dny 3 a 4</w:t>
            </w:r>
          </w:p>
          <w:p w14:paraId="30DCE54F" w14:textId="7C9DB3D6" w:rsidR="00EA5993" w:rsidRPr="00F25A60" w:rsidRDefault="00EA5993" w:rsidP="0048111F">
            <w:pPr>
              <w:pStyle w:val="EndnoteText"/>
              <w:rPr>
                <w:color w:val="000000"/>
              </w:rPr>
            </w:pPr>
            <w:r w:rsidRPr="00F25A60">
              <w:rPr>
                <w:color w:val="000000"/>
              </w:rPr>
              <w:t>PEG-ASP (2</w:t>
            </w:r>
            <w:ins w:id="326" w:author="Author">
              <w:r w:rsidR="00DA27E8" w:rsidRPr="00F25A60">
                <w:rPr>
                  <w:color w:val="000000"/>
                </w:rPr>
                <w:t> </w:t>
              </w:r>
            </w:ins>
            <w:r w:rsidRPr="00F25A60">
              <w:rPr>
                <w:color w:val="000000"/>
              </w:rPr>
              <w:t>500 IU/m</w:t>
            </w:r>
            <w:r w:rsidRPr="00F25A60">
              <w:rPr>
                <w:color w:val="000000"/>
                <w:vertAlign w:val="superscript"/>
              </w:rPr>
              <w:t>2</w:t>
            </w:r>
            <w:r w:rsidRPr="00F25A60">
              <w:rPr>
                <w:color w:val="000000"/>
              </w:rPr>
              <w:t xml:space="preserve">, </w:t>
            </w:r>
            <w:r w:rsidR="003212CF" w:rsidRPr="00F25A60">
              <w:rPr>
                <w:color w:val="000000"/>
              </w:rPr>
              <w:t>i.m.</w:t>
            </w:r>
            <w:r w:rsidRPr="00F25A60">
              <w:rPr>
                <w:color w:val="000000"/>
              </w:rPr>
              <w:t>): den 4</w:t>
            </w:r>
          </w:p>
          <w:p w14:paraId="2555C7FD" w14:textId="13B46B05" w:rsidR="00EA5993" w:rsidRPr="00F25A60" w:rsidRDefault="00EA5993" w:rsidP="0048111F">
            <w:pPr>
              <w:pStyle w:val="EndnoteText"/>
              <w:rPr>
                <w:color w:val="000000"/>
              </w:rPr>
            </w:pPr>
            <w:r w:rsidRPr="00F25A60">
              <w:rPr>
                <w:color w:val="000000"/>
              </w:rPr>
              <w:t xml:space="preserve">G-CSF (5 μg/kg, </w:t>
            </w:r>
            <w:r w:rsidR="003212CF" w:rsidRPr="00F25A60">
              <w:rPr>
                <w:color w:val="000000"/>
              </w:rPr>
              <w:t>s.c.</w:t>
            </w:r>
            <w:r w:rsidRPr="00F25A60">
              <w:rPr>
                <w:color w:val="000000"/>
              </w:rPr>
              <w:t>): dny 5</w:t>
            </w:r>
            <w:r w:rsidRPr="00F25A60">
              <w:rPr>
                <w:color w:val="000000"/>
              </w:rPr>
              <w:noBreakHyphen/>
              <w:t>14 nebo do ANC &gt; 1</w:t>
            </w:r>
            <w:ins w:id="327" w:author="Author">
              <w:r w:rsidR="00DA27E8" w:rsidRPr="00F25A60">
                <w:rPr>
                  <w:color w:val="000000"/>
                </w:rPr>
                <w:t> </w:t>
              </w:r>
            </w:ins>
            <w:r w:rsidRPr="00F25A60">
              <w:rPr>
                <w:color w:val="000000"/>
              </w:rPr>
              <w:t>500 po dosažení nejnižší hodnoty</w:t>
            </w:r>
          </w:p>
          <w:p w14:paraId="66E608E7" w14:textId="77777777" w:rsidR="00EA5993" w:rsidRPr="00F25A60" w:rsidRDefault="00EA5993" w:rsidP="0048111F">
            <w:pPr>
              <w:pStyle w:val="EndnoteText"/>
              <w:rPr>
                <w:color w:val="000000"/>
              </w:rPr>
            </w:pPr>
            <w:r w:rsidRPr="00F25A60">
              <w:rPr>
                <w:color w:val="000000"/>
              </w:rPr>
              <w:t xml:space="preserve">Trojnásobná </w:t>
            </w:r>
            <w:r w:rsidR="003212CF" w:rsidRPr="00F25A60">
              <w:rPr>
                <w:color w:val="000000"/>
              </w:rPr>
              <w:t xml:space="preserve">i.t. </w:t>
            </w:r>
            <w:r w:rsidRPr="00F25A60">
              <w:rPr>
                <w:color w:val="000000"/>
              </w:rPr>
              <w:t>léčba (přizpůsobená věku): dny 1 a 15</w:t>
            </w:r>
          </w:p>
          <w:p w14:paraId="21F07783" w14:textId="77777777" w:rsidR="00EA5993" w:rsidRPr="00F25A60" w:rsidRDefault="00EA5993" w:rsidP="0048111F">
            <w:pPr>
              <w:pStyle w:val="EndnoteText"/>
              <w:rPr>
                <w:color w:val="000000"/>
              </w:rPr>
            </w:pPr>
            <w:r w:rsidRPr="00F25A60">
              <w:rPr>
                <w:color w:val="000000"/>
              </w:rPr>
              <w:t>DEX (6 mg/m</w:t>
            </w:r>
            <w:r w:rsidRPr="00F25A60">
              <w:rPr>
                <w:color w:val="000000"/>
                <w:vertAlign w:val="superscript"/>
              </w:rPr>
              <w:t>2</w:t>
            </w:r>
            <w:r w:rsidRPr="00F25A60">
              <w:rPr>
                <w:color w:val="000000"/>
              </w:rPr>
              <w:t xml:space="preserve">/den, </w:t>
            </w:r>
            <w:r w:rsidR="003212CF" w:rsidRPr="00F25A60">
              <w:rPr>
                <w:color w:val="000000"/>
              </w:rPr>
              <w:t>p.o.</w:t>
            </w:r>
            <w:r w:rsidRPr="00F25A60">
              <w:rPr>
                <w:color w:val="000000"/>
              </w:rPr>
              <w:t>): dny 1</w:t>
            </w:r>
            <w:r w:rsidRPr="00F25A60">
              <w:rPr>
                <w:color w:val="000000"/>
              </w:rPr>
              <w:noBreakHyphen/>
              <w:t>7 a 15</w:t>
            </w:r>
            <w:r w:rsidRPr="00F25A60">
              <w:rPr>
                <w:color w:val="000000"/>
              </w:rPr>
              <w:noBreakHyphen/>
              <w:t>21</w:t>
            </w:r>
          </w:p>
        </w:tc>
      </w:tr>
      <w:tr w:rsidR="00EA5993" w:rsidRPr="00F25A60" w14:paraId="2768D252" w14:textId="77777777" w:rsidTr="00D567F2">
        <w:trPr>
          <w:cantSplit/>
          <w:trPrChange w:id="328" w:author="Author">
            <w:trPr>
              <w:cantSplit/>
            </w:trPr>
          </w:trPrChange>
        </w:trPr>
        <w:tc>
          <w:tcPr>
            <w:tcW w:w="2323" w:type="dxa"/>
            <w:tcPrChange w:id="329" w:author="Author">
              <w:tcPr>
                <w:tcW w:w="2358" w:type="dxa"/>
                <w:gridSpan w:val="2"/>
              </w:tcPr>
            </w:tcPrChange>
          </w:tcPr>
          <w:p w14:paraId="3B311589" w14:textId="77777777" w:rsidR="00EA5993" w:rsidRPr="00F25A60" w:rsidRDefault="00EA5993" w:rsidP="0048111F">
            <w:pPr>
              <w:pStyle w:val="EndnoteText"/>
              <w:rPr>
                <w:color w:val="000000"/>
              </w:rPr>
            </w:pPr>
            <w:r w:rsidRPr="00F25A60">
              <w:rPr>
                <w:color w:val="000000"/>
              </w:rPr>
              <w:t xml:space="preserve">Intenzifikační </w:t>
            </w:r>
            <w:r w:rsidR="004165E7" w:rsidRPr="00F25A60">
              <w:rPr>
                <w:color w:val="000000"/>
              </w:rPr>
              <w:t>blok</w:t>
            </w:r>
            <w:r w:rsidRPr="00F25A60">
              <w:rPr>
                <w:color w:val="000000"/>
              </w:rPr>
              <w:t> 1</w:t>
            </w:r>
          </w:p>
          <w:p w14:paraId="6513FAAA" w14:textId="77777777" w:rsidR="00EA5993" w:rsidRPr="00F25A60" w:rsidRDefault="00EA5993" w:rsidP="0048111F">
            <w:pPr>
              <w:pStyle w:val="EndnoteText"/>
              <w:rPr>
                <w:color w:val="000000"/>
              </w:rPr>
            </w:pPr>
            <w:r w:rsidRPr="00F25A60">
              <w:rPr>
                <w:color w:val="000000"/>
              </w:rPr>
              <w:t>(9 týdnů)</w:t>
            </w:r>
          </w:p>
        </w:tc>
        <w:tc>
          <w:tcPr>
            <w:tcW w:w="6736" w:type="dxa"/>
            <w:gridSpan w:val="2"/>
            <w:tcPrChange w:id="330" w:author="Author">
              <w:tcPr>
                <w:tcW w:w="6929" w:type="dxa"/>
                <w:gridSpan w:val="2"/>
              </w:tcPr>
            </w:tcPrChange>
          </w:tcPr>
          <w:p w14:paraId="4A843A0D" w14:textId="77777777" w:rsidR="00EA5993" w:rsidRPr="00F25A60" w:rsidRDefault="003212CF" w:rsidP="0048111F">
            <w:pPr>
              <w:pStyle w:val="EndnoteText"/>
              <w:rPr>
                <w:color w:val="000000"/>
              </w:rPr>
            </w:pPr>
            <w:r w:rsidRPr="00F25A60">
              <w:rPr>
                <w:color w:val="000000"/>
              </w:rPr>
              <w:t>m</w:t>
            </w:r>
            <w:r w:rsidR="00EA5993" w:rsidRPr="00F25A60">
              <w:rPr>
                <w:color w:val="000000"/>
              </w:rPr>
              <w:t>ethotrexát (5 g/m</w:t>
            </w:r>
            <w:r w:rsidR="00EA5993" w:rsidRPr="00F25A60">
              <w:rPr>
                <w:color w:val="000000"/>
                <w:vertAlign w:val="superscript"/>
              </w:rPr>
              <w:t>2</w:t>
            </w:r>
            <w:r w:rsidR="00EA5993" w:rsidRPr="00F25A60">
              <w:rPr>
                <w:color w:val="000000"/>
              </w:rPr>
              <w:t xml:space="preserve"> v průběhu 24 hodin, </w:t>
            </w:r>
            <w:r w:rsidRPr="00F25A60">
              <w:rPr>
                <w:color w:val="000000"/>
              </w:rPr>
              <w:t>i.v.</w:t>
            </w:r>
            <w:r w:rsidR="00EA5993" w:rsidRPr="00F25A60">
              <w:rPr>
                <w:color w:val="000000"/>
              </w:rPr>
              <w:t>): dny 1 a 15</w:t>
            </w:r>
          </w:p>
          <w:p w14:paraId="4DB3ECF3" w14:textId="77777777" w:rsidR="00EA5993" w:rsidRPr="00F25A60" w:rsidRDefault="003212CF" w:rsidP="0048111F">
            <w:pPr>
              <w:pStyle w:val="EndnoteText"/>
              <w:rPr>
                <w:color w:val="000000"/>
              </w:rPr>
            </w:pPr>
            <w:r w:rsidRPr="00F25A60">
              <w:rPr>
                <w:color w:val="000000"/>
              </w:rPr>
              <w:t>l</w:t>
            </w:r>
            <w:r w:rsidR="00EA5993" w:rsidRPr="00F25A60">
              <w:rPr>
                <w:color w:val="000000"/>
              </w:rPr>
              <w:t>eukovorin (75 mg/m</w:t>
            </w:r>
            <w:r w:rsidR="00EA5993" w:rsidRPr="00F25A60">
              <w:rPr>
                <w:color w:val="000000"/>
                <w:vertAlign w:val="superscript"/>
              </w:rPr>
              <w:t>2</w:t>
            </w:r>
            <w:r w:rsidR="00EA5993" w:rsidRPr="00F25A60">
              <w:rPr>
                <w:color w:val="000000"/>
              </w:rPr>
              <w:t xml:space="preserve"> ve 36. hodině, </w:t>
            </w:r>
            <w:r w:rsidRPr="00F25A60">
              <w:rPr>
                <w:color w:val="000000"/>
              </w:rPr>
              <w:t>i.v.</w:t>
            </w:r>
            <w:r w:rsidR="00EA5993" w:rsidRPr="00F25A60">
              <w:rPr>
                <w:color w:val="000000"/>
              </w:rPr>
              <w:t>; 15 mg/m</w:t>
            </w:r>
            <w:r w:rsidR="00EA5993" w:rsidRPr="00F25A60">
              <w:rPr>
                <w:color w:val="000000"/>
                <w:vertAlign w:val="superscript"/>
              </w:rPr>
              <w:t>2</w:t>
            </w:r>
            <w:r w:rsidR="00EA5993" w:rsidRPr="00F25A60">
              <w:rPr>
                <w:color w:val="000000"/>
              </w:rPr>
              <w:t xml:space="preserve"> </w:t>
            </w:r>
            <w:r w:rsidRPr="00F25A60">
              <w:rPr>
                <w:color w:val="000000"/>
              </w:rPr>
              <w:t xml:space="preserve">i.v. </w:t>
            </w:r>
            <w:r w:rsidR="00EA5993" w:rsidRPr="00F25A60">
              <w:rPr>
                <w:color w:val="000000"/>
              </w:rPr>
              <w:t xml:space="preserve">nebo </w:t>
            </w:r>
            <w:r w:rsidRPr="00F25A60">
              <w:rPr>
                <w:color w:val="000000"/>
              </w:rPr>
              <w:t xml:space="preserve">p.o. </w:t>
            </w:r>
            <w:r w:rsidR="00EA5993" w:rsidRPr="00F25A60">
              <w:rPr>
                <w:color w:val="000000"/>
              </w:rPr>
              <w:t>q6h x 6 dávek)iii: dny 2, 3, 16, a 17</w:t>
            </w:r>
          </w:p>
          <w:p w14:paraId="0A95F328" w14:textId="77777777" w:rsidR="00EA5993" w:rsidRPr="00F25A60" w:rsidRDefault="00EA5993" w:rsidP="0048111F">
            <w:pPr>
              <w:pStyle w:val="EndnoteText"/>
              <w:rPr>
                <w:color w:val="000000"/>
              </w:rPr>
            </w:pPr>
            <w:r w:rsidRPr="00F25A60">
              <w:rPr>
                <w:color w:val="000000"/>
              </w:rPr>
              <w:t xml:space="preserve">Trojnásobná </w:t>
            </w:r>
            <w:r w:rsidR="003212CF" w:rsidRPr="00F25A60">
              <w:rPr>
                <w:color w:val="000000"/>
              </w:rPr>
              <w:t xml:space="preserve">i.t. </w:t>
            </w:r>
            <w:r w:rsidRPr="00F25A60">
              <w:rPr>
                <w:color w:val="000000"/>
              </w:rPr>
              <w:t>léčba (přizpůsobená věku): dny 1 a 22</w:t>
            </w:r>
          </w:p>
          <w:p w14:paraId="359E06F2" w14:textId="77777777" w:rsidR="00EA5993" w:rsidRPr="00F25A60" w:rsidRDefault="00EA5993" w:rsidP="0048111F">
            <w:pPr>
              <w:pStyle w:val="EndnoteText"/>
              <w:rPr>
                <w:color w:val="000000"/>
              </w:rPr>
            </w:pPr>
            <w:r w:rsidRPr="00F25A60">
              <w:rPr>
                <w:color w:val="000000"/>
              </w:rPr>
              <w:t>VP-16 (100 mg/m</w:t>
            </w:r>
            <w:r w:rsidRPr="00F25A60">
              <w:rPr>
                <w:color w:val="000000"/>
                <w:vertAlign w:val="superscript"/>
              </w:rPr>
              <w:t>2</w:t>
            </w:r>
            <w:r w:rsidRPr="00F25A60">
              <w:rPr>
                <w:color w:val="000000"/>
              </w:rPr>
              <w:t xml:space="preserve">/den, </w:t>
            </w:r>
            <w:r w:rsidR="003212CF" w:rsidRPr="00F25A60">
              <w:rPr>
                <w:color w:val="000000"/>
              </w:rPr>
              <w:t>i.v.</w:t>
            </w:r>
            <w:r w:rsidRPr="00F25A60">
              <w:rPr>
                <w:color w:val="000000"/>
              </w:rPr>
              <w:t>): dny 22</w:t>
            </w:r>
            <w:r w:rsidRPr="00F25A60">
              <w:rPr>
                <w:color w:val="000000"/>
              </w:rPr>
              <w:noBreakHyphen/>
              <w:t>26</w:t>
            </w:r>
          </w:p>
          <w:p w14:paraId="0A7D3B59" w14:textId="77777777" w:rsidR="00EA5993" w:rsidRPr="00F25A60" w:rsidRDefault="00EA5993" w:rsidP="0048111F">
            <w:pPr>
              <w:pStyle w:val="EndnoteText"/>
              <w:rPr>
                <w:color w:val="000000"/>
              </w:rPr>
            </w:pPr>
            <w:r w:rsidRPr="00F25A60">
              <w:rPr>
                <w:color w:val="000000"/>
              </w:rPr>
              <w:t>CPM (300 mg/m</w:t>
            </w:r>
            <w:r w:rsidRPr="00F25A60">
              <w:rPr>
                <w:color w:val="000000"/>
                <w:vertAlign w:val="superscript"/>
              </w:rPr>
              <w:t>2</w:t>
            </w:r>
            <w:r w:rsidRPr="00F25A60">
              <w:rPr>
                <w:color w:val="000000"/>
              </w:rPr>
              <w:t xml:space="preserve">/den, </w:t>
            </w:r>
            <w:r w:rsidR="003212CF" w:rsidRPr="00F25A60">
              <w:rPr>
                <w:color w:val="000000"/>
              </w:rPr>
              <w:t>i.v.</w:t>
            </w:r>
            <w:r w:rsidRPr="00F25A60">
              <w:rPr>
                <w:color w:val="000000"/>
              </w:rPr>
              <w:t>): dny 22</w:t>
            </w:r>
            <w:r w:rsidRPr="00F25A60">
              <w:rPr>
                <w:color w:val="000000"/>
              </w:rPr>
              <w:noBreakHyphen/>
              <w:t>26</w:t>
            </w:r>
          </w:p>
          <w:p w14:paraId="015A791D" w14:textId="77777777" w:rsidR="00EA5993" w:rsidRPr="00F25A60" w:rsidRDefault="00EA5993" w:rsidP="0048111F">
            <w:pPr>
              <w:pStyle w:val="EndnoteText"/>
              <w:rPr>
                <w:color w:val="000000"/>
              </w:rPr>
            </w:pPr>
            <w:r w:rsidRPr="00F25A60">
              <w:rPr>
                <w:color w:val="000000"/>
              </w:rPr>
              <w:t>MESNA (150 mg/m</w:t>
            </w:r>
            <w:r w:rsidRPr="00F25A60">
              <w:rPr>
                <w:color w:val="000000"/>
                <w:vertAlign w:val="superscript"/>
              </w:rPr>
              <w:t>2</w:t>
            </w:r>
            <w:r w:rsidRPr="00F25A60">
              <w:rPr>
                <w:color w:val="000000"/>
              </w:rPr>
              <w:t xml:space="preserve">/den, </w:t>
            </w:r>
            <w:r w:rsidR="003212CF" w:rsidRPr="00F25A60">
              <w:rPr>
                <w:color w:val="000000"/>
              </w:rPr>
              <w:t>i.v.</w:t>
            </w:r>
            <w:r w:rsidRPr="00F25A60">
              <w:rPr>
                <w:color w:val="000000"/>
              </w:rPr>
              <w:t>): dny 22</w:t>
            </w:r>
            <w:r w:rsidRPr="00F25A60">
              <w:rPr>
                <w:color w:val="000000"/>
              </w:rPr>
              <w:noBreakHyphen/>
              <w:t>26</w:t>
            </w:r>
          </w:p>
          <w:p w14:paraId="06E4EE5C" w14:textId="67F4CCFC" w:rsidR="00EA5993" w:rsidRPr="00F25A60" w:rsidRDefault="00EA5993" w:rsidP="0048111F">
            <w:pPr>
              <w:pStyle w:val="EndnoteText"/>
              <w:rPr>
                <w:color w:val="000000"/>
              </w:rPr>
            </w:pPr>
            <w:r w:rsidRPr="00F25A60">
              <w:rPr>
                <w:color w:val="000000"/>
              </w:rPr>
              <w:t xml:space="preserve">G-CSF (5 μg/kg, </w:t>
            </w:r>
            <w:r w:rsidR="003212CF" w:rsidRPr="00F25A60">
              <w:rPr>
                <w:color w:val="000000"/>
              </w:rPr>
              <w:t>s.c.</w:t>
            </w:r>
            <w:r w:rsidRPr="00F25A60">
              <w:rPr>
                <w:color w:val="000000"/>
              </w:rPr>
              <w:t>): dny 27-36 nebo do ANC &gt; 1</w:t>
            </w:r>
            <w:ins w:id="331" w:author="Author">
              <w:r w:rsidR="002D3FD5" w:rsidRPr="00F25A60">
                <w:rPr>
                  <w:color w:val="000000"/>
                </w:rPr>
                <w:t> </w:t>
              </w:r>
            </w:ins>
            <w:r w:rsidRPr="00F25A60">
              <w:rPr>
                <w:color w:val="000000"/>
              </w:rPr>
              <w:t>500 po dosažení nejnižší hodnoty</w:t>
            </w:r>
          </w:p>
          <w:p w14:paraId="1798E1F8" w14:textId="77777777" w:rsidR="00EA5993" w:rsidRPr="00F25A60" w:rsidRDefault="00EA5993" w:rsidP="0048111F">
            <w:pPr>
              <w:pStyle w:val="EndnoteText"/>
              <w:rPr>
                <w:color w:val="000000"/>
              </w:rPr>
            </w:pPr>
            <w:r w:rsidRPr="00F25A60">
              <w:rPr>
                <w:color w:val="000000"/>
              </w:rPr>
              <w:t>ARA-C (3 g/m</w:t>
            </w:r>
            <w:r w:rsidRPr="00F25A60">
              <w:rPr>
                <w:color w:val="000000"/>
                <w:vertAlign w:val="superscript"/>
              </w:rPr>
              <w:t>2</w:t>
            </w:r>
            <w:r w:rsidRPr="00F25A60">
              <w:rPr>
                <w:color w:val="000000"/>
              </w:rPr>
              <w:t xml:space="preserve">, q12h, </w:t>
            </w:r>
            <w:r w:rsidR="003212CF" w:rsidRPr="00F25A60">
              <w:rPr>
                <w:color w:val="000000"/>
              </w:rPr>
              <w:t>i.v.</w:t>
            </w:r>
            <w:r w:rsidRPr="00F25A60">
              <w:rPr>
                <w:color w:val="000000"/>
              </w:rPr>
              <w:t>): dny 43, 44</w:t>
            </w:r>
          </w:p>
          <w:p w14:paraId="5F219BF4" w14:textId="2FDA60AC" w:rsidR="00EA5993" w:rsidRPr="00F25A60" w:rsidRDefault="00EA5993" w:rsidP="0048111F">
            <w:pPr>
              <w:pStyle w:val="EndnoteText"/>
              <w:rPr>
                <w:color w:val="000000"/>
              </w:rPr>
            </w:pPr>
            <w:r w:rsidRPr="00F25A60">
              <w:rPr>
                <w:color w:val="000000"/>
              </w:rPr>
              <w:t>L-ASP (6</w:t>
            </w:r>
            <w:ins w:id="332" w:author="Author">
              <w:r w:rsidR="002D3FD5" w:rsidRPr="00F25A60">
                <w:rPr>
                  <w:color w:val="000000"/>
                </w:rPr>
                <w:t> </w:t>
              </w:r>
            </w:ins>
            <w:r w:rsidRPr="00F25A60">
              <w:rPr>
                <w:color w:val="000000"/>
              </w:rPr>
              <w:t>000 IU/m</w:t>
            </w:r>
            <w:r w:rsidRPr="00F25A60">
              <w:rPr>
                <w:color w:val="000000"/>
                <w:vertAlign w:val="superscript"/>
              </w:rPr>
              <w:t>2</w:t>
            </w:r>
            <w:r w:rsidRPr="00F25A60">
              <w:rPr>
                <w:color w:val="000000"/>
              </w:rPr>
              <w:t xml:space="preserve">, </w:t>
            </w:r>
            <w:r w:rsidR="003212CF" w:rsidRPr="00F25A60">
              <w:rPr>
                <w:color w:val="000000"/>
              </w:rPr>
              <w:t>i.m.</w:t>
            </w:r>
            <w:r w:rsidRPr="00F25A60">
              <w:rPr>
                <w:color w:val="000000"/>
              </w:rPr>
              <w:t>): den 44</w:t>
            </w:r>
          </w:p>
        </w:tc>
      </w:tr>
      <w:tr w:rsidR="00EA5993" w:rsidRPr="00F25A60" w14:paraId="5CAA73FB" w14:textId="77777777" w:rsidTr="00D567F2">
        <w:trPr>
          <w:cantSplit/>
          <w:trPrChange w:id="333" w:author="Author">
            <w:trPr>
              <w:cantSplit/>
            </w:trPr>
          </w:trPrChange>
        </w:trPr>
        <w:tc>
          <w:tcPr>
            <w:tcW w:w="2323" w:type="dxa"/>
            <w:tcPrChange w:id="334" w:author="Author">
              <w:tcPr>
                <w:tcW w:w="2358" w:type="dxa"/>
                <w:gridSpan w:val="2"/>
              </w:tcPr>
            </w:tcPrChange>
          </w:tcPr>
          <w:p w14:paraId="7B595A85" w14:textId="77777777" w:rsidR="00EA5993" w:rsidRPr="00F25A60" w:rsidRDefault="00EA5993" w:rsidP="0048111F">
            <w:pPr>
              <w:pStyle w:val="EndnoteText"/>
              <w:rPr>
                <w:color w:val="000000"/>
              </w:rPr>
            </w:pPr>
            <w:r w:rsidRPr="00F25A60">
              <w:rPr>
                <w:color w:val="000000"/>
              </w:rPr>
              <w:t xml:space="preserve">Reindukční </w:t>
            </w:r>
            <w:r w:rsidR="004165E7" w:rsidRPr="00F25A60">
              <w:rPr>
                <w:color w:val="000000"/>
              </w:rPr>
              <w:t>blok</w:t>
            </w:r>
            <w:r w:rsidRPr="00F25A60">
              <w:rPr>
                <w:color w:val="000000"/>
              </w:rPr>
              <w:t> 2</w:t>
            </w:r>
          </w:p>
          <w:p w14:paraId="2DF28C24" w14:textId="77777777" w:rsidR="00EA5993" w:rsidRPr="00F25A60" w:rsidRDefault="00EA5993" w:rsidP="0048111F">
            <w:pPr>
              <w:pStyle w:val="EndnoteText"/>
              <w:rPr>
                <w:color w:val="000000"/>
              </w:rPr>
            </w:pPr>
            <w:r w:rsidRPr="00F25A60">
              <w:rPr>
                <w:color w:val="000000"/>
              </w:rPr>
              <w:t>(3 týdny)</w:t>
            </w:r>
          </w:p>
        </w:tc>
        <w:tc>
          <w:tcPr>
            <w:tcW w:w="6736" w:type="dxa"/>
            <w:gridSpan w:val="2"/>
            <w:tcPrChange w:id="335" w:author="Author">
              <w:tcPr>
                <w:tcW w:w="6929" w:type="dxa"/>
                <w:gridSpan w:val="2"/>
              </w:tcPr>
            </w:tcPrChange>
          </w:tcPr>
          <w:p w14:paraId="4CF7033D" w14:textId="77777777" w:rsidR="00EA5993" w:rsidRPr="00F25A60" w:rsidRDefault="00EA5993" w:rsidP="0048111F">
            <w:pPr>
              <w:pStyle w:val="EndnoteText"/>
              <w:rPr>
                <w:color w:val="000000"/>
              </w:rPr>
            </w:pPr>
            <w:r w:rsidRPr="00F25A60">
              <w:rPr>
                <w:color w:val="000000"/>
              </w:rPr>
              <w:t>VCR (1,5 mg/m</w:t>
            </w:r>
            <w:r w:rsidRPr="00F25A60">
              <w:rPr>
                <w:color w:val="000000"/>
                <w:vertAlign w:val="superscript"/>
              </w:rPr>
              <w:t>2</w:t>
            </w:r>
            <w:r w:rsidRPr="00F25A60">
              <w:rPr>
                <w:color w:val="000000"/>
              </w:rPr>
              <w:t xml:space="preserve">/den, </w:t>
            </w:r>
            <w:r w:rsidR="003212CF" w:rsidRPr="00F25A60">
              <w:rPr>
                <w:color w:val="000000"/>
              </w:rPr>
              <w:t>i.v.</w:t>
            </w:r>
            <w:r w:rsidRPr="00F25A60">
              <w:rPr>
                <w:color w:val="000000"/>
              </w:rPr>
              <w:t>): dny 1, 8 a 15</w:t>
            </w:r>
          </w:p>
          <w:p w14:paraId="3B4423E9" w14:textId="77777777" w:rsidR="00EA5993" w:rsidRPr="00F25A60" w:rsidRDefault="00EA5993" w:rsidP="0048111F">
            <w:pPr>
              <w:pStyle w:val="EndnoteText"/>
              <w:rPr>
                <w:color w:val="000000"/>
              </w:rPr>
            </w:pPr>
            <w:r w:rsidRPr="00F25A60">
              <w:rPr>
                <w:color w:val="000000"/>
              </w:rPr>
              <w:t>DAUN (45 mg/m</w:t>
            </w:r>
            <w:r w:rsidRPr="00F25A60">
              <w:rPr>
                <w:color w:val="000000"/>
                <w:vertAlign w:val="superscript"/>
              </w:rPr>
              <w:t>2</w:t>
            </w:r>
            <w:r w:rsidRPr="00F25A60">
              <w:rPr>
                <w:color w:val="000000"/>
              </w:rPr>
              <w:t xml:space="preserve">/den jako bolus, </w:t>
            </w:r>
            <w:r w:rsidR="003212CF" w:rsidRPr="00F25A60">
              <w:rPr>
                <w:color w:val="000000"/>
              </w:rPr>
              <w:t>i.v.</w:t>
            </w:r>
            <w:r w:rsidRPr="00F25A60">
              <w:rPr>
                <w:color w:val="000000"/>
              </w:rPr>
              <w:t>): dny 1 a 2</w:t>
            </w:r>
          </w:p>
          <w:p w14:paraId="402278F0" w14:textId="77777777" w:rsidR="00EA5993" w:rsidRPr="00F25A60" w:rsidRDefault="00EA5993" w:rsidP="0048111F">
            <w:pPr>
              <w:pStyle w:val="EndnoteText"/>
              <w:rPr>
                <w:color w:val="000000"/>
              </w:rPr>
            </w:pPr>
            <w:r w:rsidRPr="00F25A60">
              <w:rPr>
                <w:color w:val="000000"/>
              </w:rPr>
              <w:t>CPM (250 mg/m</w:t>
            </w:r>
            <w:r w:rsidRPr="00F25A60">
              <w:rPr>
                <w:color w:val="000000"/>
                <w:vertAlign w:val="superscript"/>
              </w:rPr>
              <w:t>2</w:t>
            </w:r>
            <w:r w:rsidRPr="00F25A60">
              <w:rPr>
                <w:color w:val="000000"/>
              </w:rPr>
              <w:t>/dávku q12h x 4 dávky, i</w:t>
            </w:r>
            <w:r w:rsidR="003212CF" w:rsidRPr="00F25A60">
              <w:rPr>
                <w:color w:val="000000"/>
              </w:rPr>
              <w:t>.</w:t>
            </w:r>
            <w:r w:rsidRPr="00F25A60">
              <w:rPr>
                <w:color w:val="000000"/>
              </w:rPr>
              <w:t>v</w:t>
            </w:r>
            <w:r w:rsidR="003212CF" w:rsidRPr="00F25A60">
              <w:rPr>
                <w:color w:val="000000"/>
              </w:rPr>
              <w:t>.</w:t>
            </w:r>
            <w:r w:rsidRPr="00F25A60">
              <w:rPr>
                <w:color w:val="000000"/>
              </w:rPr>
              <w:t>): dny 3 a 4</w:t>
            </w:r>
          </w:p>
          <w:p w14:paraId="05865A1F" w14:textId="1FB98836" w:rsidR="00EA5993" w:rsidRPr="00F25A60" w:rsidRDefault="00EA5993" w:rsidP="0048111F">
            <w:pPr>
              <w:pStyle w:val="EndnoteText"/>
              <w:rPr>
                <w:color w:val="000000"/>
              </w:rPr>
            </w:pPr>
            <w:r w:rsidRPr="00F25A60">
              <w:rPr>
                <w:color w:val="000000"/>
              </w:rPr>
              <w:t>PEG-ASP (2</w:t>
            </w:r>
            <w:ins w:id="336" w:author="Author">
              <w:r w:rsidR="002D3FD5" w:rsidRPr="00F25A60">
                <w:rPr>
                  <w:color w:val="000000"/>
                </w:rPr>
                <w:t> </w:t>
              </w:r>
            </w:ins>
            <w:r w:rsidRPr="00F25A60">
              <w:rPr>
                <w:color w:val="000000"/>
              </w:rPr>
              <w:t>500 IU/m</w:t>
            </w:r>
            <w:r w:rsidRPr="00F25A60">
              <w:rPr>
                <w:color w:val="000000"/>
                <w:vertAlign w:val="superscript"/>
              </w:rPr>
              <w:t>2</w:t>
            </w:r>
            <w:r w:rsidRPr="00F25A60">
              <w:rPr>
                <w:color w:val="000000"/>
              </w:rPr>
              <w:t xml:space="preserve">, </w:t>
            </w:r>
            <w:r w:rsidR="003212CF" w:rsidRPr="00F25A60">
              <w:rPr>
                <w:color w:val="000000"/>
              </w:rPr>
              <w:t>i.m.</w:t>
            </w:r>
            <w:r w:rsidRPr="00F25A60">
              <w:rPr>
                <w:color w:val="000000"/>
              </w:rPr>
              <w:t>): den 4</w:t>
            </w:r>
          </w:p>
          <w:p w14:paraId="0E3BFCF4" w14:textId="6F586423" w:rsidR="00EA5993" w:rsidRPr="00F25A60" w:rsidRDefault="00EA5993" w:rsidP="0048111F">
            <w:pPr>
              <w:pStyle w:val="EndnoteText"/>
              <w:rPr>
                <w:color w:val="000000"/>
              </w:rPr>
            </w:pPr>
            <w:r w:rsidRPr="00F25A60">
              <w:rPr>
                <w:color w:val="000000"/>
              </w:rPr>
              <w:t xml:space="preserve">G-CSF (5 μg/kg, </w:t>
            </w:r>
            <w:r w:rsidR="003212CF" w:rsidRPr="00F25A60">
              <w:rPr>
                <w:color w:val="000000"/>
              </w:rPr>
              <w:t>s.c.</w:t>
            </w:r>
            <w:r w:rsidRPr="00F25A60">
              <w:rPr>
                <w:color w:val="000000"/>
              </w:rPr>
              <w:t>): dny 5-14 nebo do ANC &gt; 1</w:t>
            </w:r>
            <w:ins w:id="337" w:author="Author">
              <w:r w:rsidR="002D3FD5" w:rsidRPr="00F25A60">
                <w:rPr>
                  <w:color w:val="000000"/>
                </w:rPr>
                <w:t> </w:t>
              </w:r>
            </w:ins>
            <w:r w:rsidRPr="00F25A60">
              <w:rPr>
                <w:color w:val="000000"/>
              </w:rPr>
              <w:t>500 po dosažení nejnižší hodnoty</w:t>
            </w:r>
          </w:p>
          <w:p w14:paraId="2E63DE21" w14:textId="77777777" w:rsidR="00EA5993" w:rsidRPr="00F25A60" w:rsidRDefault="00EA5993" w:rsidP="0048111F">
            <w:pPr>
              <w:pStyle w:val="EndnoteText"/>
              <w:rPr>
                <w:color w:val="000000"/>
              </w:rPr>
            </w:pPr>
            <w:r w:rsidRPr="00F25A60">
              <w:rPr>
                <w:color w:val="000000"/>
              </w:rPr>
              <w:t xml:space="preserve">Trojnásobná </w:t>
            </w:r>
            <w:r w:rsidR="003212CF" w:rsidRPr="00F25A60">
              <w:rPr>
                <w:color w:val="000000"/>
              </w:rPr>
              <w:t xml:space="preserve">i.t. </w:t>
            </w:r>
            <w:r w:rsidRPr="00F25A60">
              <w:rPr>
                <w:color w:val="000000"/>
              </w:rPr>
              <w:t>léčba (přizpůsobená věku): dny 1 a 15</w:t>
            </w:r>
          </w:p>
          <w:p w14:paraId="484D6863" w14:textId="77777777" w:rsidR="00EA5993" w:rsidRPr="00F25A60" w:rsidRDefault="00EA5993" w:rsidP="0048111F">
            <w:pPr>
              <w:pStyle w:val="EndnoteText"/>
              <w:rPr>
                <w:color w:val="000000"/>
              </w:rPr>
            </w:pPr>
            <w:r w:rsidRPr="00F25A60">
              <w:rPr>
                <w:color w:val="000000"/>
              </w:rPr>
              <w:t>DEX (6 mg/m</w:t>
            </w:r>
            <w:r w:rsidRPr="00F25A60">
              <w:rPr>
                <w:color w:val="000000"/>
                <w:vertAlign w:val="superscript"/>
              </w:rPr>
              <w:t>2</w:t>
            </w:r>
            <w:r w:rsidRPr="00F25A60">
              <w:rPr>
                <w:color w:val="000000"/>
              </w:rPr>
              <w:t xml:space="preserve">/den, </w:t>
            </w:r>
            <w:r w:rsidR="003212CF" w:rsidRPr="00F25A60">
              <w:rPr>
                <w:color w:val="000000"/>
              </w:rPr>
              <w:t>p.o.</w:t>
            </w:r>
            <w:r w:rsidRPr="00F25A60">
              <w:rPr>
                <w:color w:val="000000"/>
              </w:rPr>
              <w:t>): dny 1</w:t>
            </w:r>
            <w:r w:rsidRPr="00F25A60">
              <w:rPr>
                <w:color w:val="000000"/>
              </w:rPr>
              <w:noBreakHyphen/>
              <w:t>7 a 15</w:t>
            </w:r>
            <w:r w:rsidRPr="00F25A60">
              <w:rPr>
                <w:color w:val="000000"/>
              </w:rPr>
              <w:noBreakHyphen/>
              <w:t>21</w:t>
            </w:r>
          </w:p>
        </w:tc>
      </w:tr>
      <w:tr w:rsidR="00EA5993" w:rsidRPr="00F25A60" w14:paraId="6D4DFD3E" w14:textId="77777777" w:rsidTr="00D567F2">
        <w:trPr>
          <w:cantSplit/>
          <w:trPrChange w:id="338" w:author="Author">
            <w:trPr>
              <w:cantSplit/>
            </w:trPr>
          </w:trPrChange>
        </w:trPr>
        <w:tc>
          <w:tcPr>
            <w:tcW w:w="2323" w:type="dxa"/>
            <w:tcPrChange w:id="339" w:author="Author">
              <w:tcPr>
                <w:tcW w:w="2358" w:type="dxa"/>
                <w:gridSpan w:val="2"/>
              </w:tcPr>
            </w:tcPrChange>
          </w:tcPr>
          <w:p w14:paraId="1230521B" w14:textId="77777777" w:rsidR="00EA5993" w:rsidRPr="00F25A60" w:rsidRDefault="00EA5993" w:rsidP="0048111F">
            <w:pPr>
              <w:pStyle w:val="EndnoteText"/>
              <w:rPr>
                <w:color w:val="000000"/>
              </w:rPr>
            </w:pPr>
            <w:r w:rsidRPr="00F25A60">
              <w:rPr>
                <w:color w:val="000000"/>
              </w:rPr>
              <w:t xml:space="preserve">Intenzifikační </w:t>
            </w:r>
            <w:r w:rsidR="004165E7" w:rsidRPr="00F25A60">
              <w:rPr>
                <w:color w:val="000000"/>
              </w:rPr>
              <w:t>blok</w:t>
            </w:r>
            <w:r w:rsidRPr="00F25A60">
              <w:rPr>
                <w:color w:val="000000"/>
              </w:rPr>
              <w:t> 2</w:t>
            </w:r>
          </w:p>
          <w:p w14:paraId="62CA9B31" w14:textId="77777777" w:rsidR="00EA5993" w:rsidRPr="00F25A60" w:rsidRDefault="00EA5993" w:rsidP="0048111F">
            <w:pPr>
              <w:pStyle w:val="EndnoteText"/>
              <w:rPr>
                <w:color w:val="000000"/>
              </w:rPr>
            </w:pPr>
            <w:r w:rsidRPr="00F25A60">
              <w:rPr>
                <w:color w:val="000000"/>
              </w:rPr>
              <w:t>(9 týdnů)</w:t>
            </w:r>
          </w:p>
        </w:tc>
        <w:tc>
          <w:tcPr>
            <w:tcW w:w="6736" w:type="dxa"/>
            <w:gridSpan w:val="2"/>
            <w:tcPrChange w:id="340" w:author="Author">
              <w:tcPr>
                <w:tcW w:w="6929" w:type="dxa"/>
                <w:gridSpan w:val="2"/>
              </w:tcPr>
            </w:tcPrChange>
          </w:tcPr>
          <w:p w14:paraId="11B08849" w14:textId="77777777" w:rsidR="00EA5993" w:rsidRPr="00F25A60" w:rsidRDefault="003212CF" w:rsidP="0048111F">
            <w:pPr>
              <w:pStyle w:val="EndnoteText"/>
              <w:rPr>
                <w:color w:val="000000"/>
              </w:rPr>
            </w:pPr>
            <w:r w:rsidRPr="00F25A60">
              <w:rPr>
                <w:color w:val="000000"/>
              </w:rPr>
              <w:t>m</w:t>
            </w:r>
            <w:r w:rsidR="00EA5993" w:rsidRPr="00F25A60">
              <w:rPr>
                <w:color w:val="000000"/>
              </w:rPr>
              <w:t>ethotrexát (5 g/m</w:t>
            </w:r>
            <w:r w:rsidR="00EA5993" w:rsidRPr="00F25A60">
              <w:rPr>
                <w:color w:val="000000"/>
                <w:vertAlign w:val="superscript"/>
              </w:rPr>
              <w:t>2</w:t>
            </w:r>
            <w:r w:rsidR="00EA5993" w:rsidRPr="00F25A60">
              <w:rPr>
                <w:color w:val="000000"/>
              </w:rPr>
              <w:t xml:space="preserve"> v průběhu 24 hodin, </w:t>
            </w:r>
            <w:r w:rsidRPr="00F25A60">
              <w:rPr>
                <w:color w:val="000000"/>
              </w:rPr>
              <w:t>i.v.</w:t>
            </w:r>
            <w:r w:rsidR="00EA5993" w:rsidRPr="00F25A60">
              <w:rPr>
                <w:color w:val="000000"/>
              </w:rPr>
              <w:t>): dny 1 a 15</w:t>
            </w:r>
          </w:p>
          <w:p w14:paraId="3C69180F" w14:textId="77777777" w:rsidR="00EA5993" w:rsidRPr="00F25A60" w:rsidRDefault="003212CF" w:rsidP="0048111F">
            <w:pPr>
              <w:pStyle w:val="EndnoteText"/>
              <w:rPr>
                <w:color w:val="000000"/>
              </w:rPr>
            </w:pPr>
            <w:r w:rsidRPr="00F25A60">
              <w:rPr>
                <w:color w:val="000000"/>
              </w:rPr>
              <w:t>l</w:t>
            </w:r>
            <w:r w:rsidR="00EA5993" w:rsidRPr="00F25A60">
              <w:rPr>
                <w:color w:val="000000"/>
              </w:rPr>
              <w:t>eukovorin (75 mg/m</w:t>
            </w:r>
            <w:r w:rsidR="00EA5993" w:rsidRPr="00F25A60">
              <w:rPr>
                <w:color w:val="000000"/>
                <w:vertAlign w:val="superscript"/>
              </w:rPr>
              <w:t>2</w:t>
            </w:r>
            <w:r w:rsidR="00EA5993" w:rsidRPr="00F25A60">
              <w:rPr>
                <w:color w:val="000000"/>
              </w:rPr>
              <w:t xml:space="preserve"> ve 36. hodině, </w:t>
            </w:r>
            <w:r w:rsidRPr="00F25A60">
              <w:rPr>
                <w:color w:val="000000"/>
              </w:rPr>
              <w:t>i.v.</w:t>
            </w:r>
            <w:r w:rsidR="00EA5993" w:rsidRPr="00F25A60">
              <w:rPr>
                <w:color w:val="000000"/>
              </w:rPr>
              <w:t>; 15 mg/m</w:t>
            </w:r>
            <w:r w:rsidR="00EA5993" w:rsidRPr="00F25A60">
              <w:rPr>
                <w:color w:val="000000"/>
                <w:vertAlign w:val="superscript"/>
              </w:rPr>
              <w:t>2</w:t>
            </w:r>
            <w:r w:rsidR="00EA5993" w:rsidRPr="00F25A60">
              <w:rPr>
                <w:color w:val="000000"/>
              </w:rPr>
              <w:t xml:space="preserve"> </w:t>
            </w:r>
            <w:r w:rsidRPr="00F25A60">
              <w:rPr>
                <w:color w:val="000000"/>
              </w:rPr>
              <w:t xml:space="preserve">i.v. </w:t>
            </w:r>
            <w:r w:rsidR="00EA5993" w:rsidRPr="00F25A60">
              <w:rPr>
                <w:color w:val="000000"/>
              </w:rPr>
              <w:t xml:space="preserve">nebo </w:t>
            </w:r>
            <w:r w:rsidRPr="00F25A60">
              <w:rPr>
                <w:color w:val="000000"/>
              </w:rPr>
              <w:t xml:space="preserve">p.o. </w:t>
            </w:r>
            <w:r w:rsidR="00EA5993" w:rsidRPr="00F25A60">
              <w:rPr>
                <w:color w:val="000000"/>
              </w:rPr>
              <w:t>q6h x 6 dávek)iii: dny 2, 3, 16 a 17</w:t>
            </w:r>
          </w:p>
          <w:p w14:paraId="26CCD27D" w14:textId="77777777" w:rsidR="00EA5993" w:rsidRPr="00F25A60" w:rsidRDefault="00EA5993" w:rsidP="0048111F">
            <w:pPr>
              <w:pStyle w:val="EndnoteText"/>
              <w:rPr>
                <w:color w:val="000000"/>
              </w:rPr>
            </w:pPr>
            <w:r w:rsidRPr="00F25A60">
              <w:rPr>
                <w:color w:val="000000"/>
              </w:rPr>
              <w:t xml:space="preserve">Trojnásobná </w:t>
            </w:r>
            <w:r w:rsidR="003212CF" w:rsidRPr="00F25A60">
              <w:rPr>
                <w:color w:val="000000"/>
              </w:rPr>
              <w:t xml:space="preserve">i.t. </w:t>
            </w:r>
            <w:r w:rsidRPr="00F25A60">
              <w:rPr>
                <w:color w:val="000000"/>
              </w:rPr>
              <w:t>léčba (přizpůsobená věku): dny 1 a 22</w:t>
            </w:r>
          </w:p>
          <w:p w14:paraId="1AB3D37D" w14:textId="77777777" w:rsidR="00EA5993" w:rsidRPr="00F25A60" w:rsidRDefault="00EA5993" w:rsidP="0048111F">
            <w:pPr>
              <w:pStyle w:val="EndnoteText"/>
              <w:rPr>
                <w:color w:val="000000"/>
              </w:rPr>
            </w:pPr>
            <w:r w:rsidRPr="00F25A60">
              <w:rPr>
                <w:color w:val="000000"/>
              </w:rPr>
              <w:t>VP-16 (100 mg/m</w:t>
            </w:r>
            <w:r w:rsidRPr="00F25A60">
              <w:rPr>
                <w:color w:val="000000"/>
                <w:vertAlign w:val="superscript"/>
              </w:rPr>
              <w:t>2</w:t>
            </w:r>
            <w:r w:rsidRPr="00F25A60">
              <w:rPr>
                <w:color w:val="000000"/>
              </w:rPr>
              <w:t xml:space="preserve">/den, </w:t>
            </w:r>
            <w:r w:rsidR="003212CF" w:rsidRPr="00F25A60">
              <w:rPr>
                <w:color w:val="000000"/>
              </w:rPr>
              <w:t>i.v.</w:t>
            </w:r>
            <w:r w:rsidRPr="00F25A60">
              <w:rPr>
                <w:color w:val="000000"/>
              </w:rPr>
              <w:t>): dny 22</w:t>
            </w:r>
            <w:r w:rsidRPr="00F25A60">
              <w:rPr>
                <w:color w:val="000000"/>
              </w:rPr>
              <w:noBreakHyphen/>
              <w:t>26</w:t>
            </w:r>
          </w:p>
          <w:p w14:paraId="7FC52039" w14:textId="77777777" w:rsidR="00EA5993" w:rsidRPr="00F25A60" w:rsidRDefault="00EA5993" w:rsidP="0048111F">
            <w:pPr>
              <w:pStyle w:val="EndnoteText"/>
              <w:rPr>
                <w:color w:val="000000"/>
              </w:rPr>
            </w:pPr>
            <w:r w:rsidRPr="00F25A60">
              <w:rPr>
                <w:color w:val="000000"/>
              </w:rPr>
              <w:t>CPM (300 mg/m</w:t>
            </w:r>
            <w:r w:rsidRPr="00F25A60">
              <w:rPr>
                <w:color w:val="000000"/>
                <w:vertAlign w:val="superscript"/>
              </w:rPr>
              <w:t>2</w:t>
            </w:r>
            <w:r w:rsidRPr="00F25A60">
              <w:rPr>
                <w:color w:val="000000"/>
              </w:rPr>
              <w:t xml:space="preserve">/den, </w:t>
            </w:r>
            <w:r w:rsidR="003212CF" w:rsidRPr="00F25A60">
              <w:rPr>
                <w:color w:val="000000"/>
              </w:rPr>
              <w:t>i.v.</w:t>
            </w:r>
            <w:r w:rsidRPr="00F25A60">
              <w:rPr>
                <w:color w:val="000000"/>
              </w:rPr>
              <w:t>): dny 22</w:t>
            </w:r>
            <w:r w:rsidRPr="00F25A60">
              <w:rPr>
                <w:color w:val="000000"/>
              </w:rPr>
              <w:noBreakHyphen/>
              <w:t>26</w:t>
            </w:r>
          </w:p>
          <w:p w14:paraId="4872254A" w14:textId="77777777" w:rsidR="00EA5993" w:rsidRPr="00F25A60" w:rsidRDefault="00EA5993" w:rsidP="0048111F">
            <w:pPr>
              <w:pStyle w:val="EndnoteText"/>
              <w:rPr>
                <w:color w:val="000000"/>
              </w:rPr>
            </w:pPr>
            <w:r w:rsidRPr="00F25A60">
              <w:rPr>
                <w:color w:val="000000"/>
              </w:rPr>
              <w:t>MESNA (150 mg/m</w:t>
            </w:r>
            <w:r w:rsidRPr="00F25A60">
              <w:rPr>
                <w:color w:val="000000"/>
                <w:vertAlign w:val="superscript"/>
              </w:rPr>
              <w:t>2</w:t>
            </w:r>
            <w:r w:rsidRPr="00F25A60">
              <w:rPr>
                <w:color w:val="000000"/>
              </w:rPr>
              <w:t xml:space="preserve">/den, </w:t>
            </w:r>
            <w:r w:rsidR="003212CF" w:rsidRPr="00F25A60">
              <w:rPr>
                <w:color w:val="000000"/>
              </w:rPr>
              <w:t>i.v.</w:t>
            </w:r>
            <w:r w:rsidRPr="00F25A60">
              <w:rPr>
                <w:color w:val="000000"/>
              </w:rPr>
              <w:t>): dny 22</w:t>
            </w:r>
            <w:r w:rsidRPr="00F25A60">
              <w:rPr>
                <w:color w:val="000000"/>
              </w:rPr>
              <w:noBreakHyphen/>
              <w:t>26</w:t>
            </w:r>
          </w:p>
          <w:p w14:paraId="5E0D6804" w14:textId="018E2EDB" w:rsidR="00EA5993" w:rsidRPr="00F25A60" w:rsidRDefault="00EA5993" w:rsidP="0048111F">
            <w:pPr>
              <w:pStyle w:val="EndnoteText"/>
              <w:rPr>
                <w:color w:val="000000"/>
              </w:rPr>
            </w:pPr>
            <w:r w:rsidRPr="00F25A60">
              <w:rPr>
                <w:color w:val="000000"/>
              </w:rPr>
              <w:t xml:space="preserve">G-CSF (5 μg/kg, </w:t>
            </w:r>
            <w:r w:rsidR="003212CF" w:rsidRPr="00F25A60">
              <w:rPr>
                <w:color w:val="000000"/>
              </w:rPr>
              <w:t>s.c.</w:t>
            </w:r>
            <w:r w:rsidRPr="00F25A60">
              <w:rPr>
                <w:color w:val="000000"/>
              </w:rPr>
              <w:t>): dny 27</w:t>
            </w:r>
            <w:r w:rsidRPr="00F25A60">
              <w:rPr>
                <w:color w:val="000000"/>
              </w:rPr>
              <w:noBreakHyphen/>
              <w:t>36 nebo do ANC &gt; 1</w:t>
            </w:r>
            <w:ins w:id="341" w:author="Author">
              <w:r w:rsidR="003E6365" w:rsidRPr="00F25A60">
                <w:rPr>
                  <w:color w:val="000000"/>
                </w:rPr>
                <w:t> </w:t>
              </w:r>
            </w:ins>
            <w:r w:rsidRPr="00F25A60">
              <w:rPr>
                <w:color w:val="000000"/>
              </w:rPr>
              <w:t>500 post nadir</w:t>
            </w:r>
          </w:p>
          <w:p w14:paraId="435C3D04" w14:textId="77777777" w:rsidR="00EA5993" w:rsidRPr="00F25A60" w:rsidRDefault="00EA5993" w:rsidP="0048111F">
            <w:pPr>
              <w:pStyle w:val="EndnoteText"/>
              <w:rPr>
                <w:color w:val="000000"/>
              </w:rPr>
            </w:pPr>
            <w:r w:rsidRPr="00F25A60">
              <w:rPr>
                <w:color w:val="000000"/>
              </w:rPr>
              <w:t>ARA-C (3 g/m</w:t>
            </w:r>
            <w:r w:rsidRPr="00F25A60">
              <w:rPr>
                <w:color w:val="000000"/>
                <w:vertAlign w:val="superscript"/>
              </w:rPr>
              <w:t>2</w:t>
            </w:r>
            <w:r w:rsidRPr="00F25A60">
              <w:rPr>
                <w:color w:val="000000"/>
              </w:rPr>
              <w:t xml:space="preserve">, q12h, </w:t>
            </w:r>
            <w:r w:rsidR="003212CF" w:rsidRPr="00F25A60">
              <w:rPr>
                <w:color w:val="000000"/>
              </w:rPr>
              <w:t>i.v.</w:t>
            </w:r>
            <w:r w:rsidRPr="00F25A60">
              <w:rPr>
                <w:color w:val="000000"/>
              </w:rPr>
              <w:t>): dny 43, 44</w:t>
            </w:r>
          </w:p>
          <w:p w14:paraId="449D9AF2" w14:textId="3001DCE0" w:rsidR="00EA5993" w:rsidRPr="00F25A60" w:rsidRDefault="00EA5993" w:rsidP="0048111F">
            <w:pPr>
              <w:pStyle w:val="EndnoteText"/>
              <w:rPr>
                <w:color w:val="000000"/>
              </w:rPr>
            </w:pPr>
            <w:r w:rsidRPr="00F25A60">
              <w:rPr>
                <w:color w:val="000000"/>
              </w:rPr>
              <w:t>L-ASP (6</w:t>
            </w:r>
            <w:ins w:id="342" w:author="Author">
              <w:r w:rsidR="003E6365" w:rsidRPr="00F25A60">
                <w:rPr>
                  <w:color w:val="000000"/>
                </w:rPr>
                <w:t> </w:t>
              </w:r>
            </w:ins>
            <w:r w:rsidRPr="00F25A60">
              <w:rPr>
                <w:color w:val="000000"/>
              </w:rPr>
              <w:t>000 IU/m</w:t>
            </w:r>
            <w:r w:rsidRPr="00F25A60">
              <w:rPr>
                <w:color w:val="000000"/>
                <w:vertAlign w:val="superscript"/>
              </w:rPr>
              <w:t>2</w:t>
            </w:r>
            <w:r w:rsidRPr="00F25A60">
              <w:rPr>
                <w:color w:val="000000"/>
              </w:rPr>
              <w:t xml:space="preserve">, </w:t>
            </w:r>
            <w:r w:rsidR="003212CF" w:rsidRPr="00F25A60">
              <w:rPr>
                <w:color w:val="000000"/>
              </w:rPr>
              <w:t>i.m.</w:t>
            </w:r>
            <w:r w:rsidRPr="00F25A60">
              <w:rPr>
                <w:color w:val="000000"/>
              </w:rPr>
              <w:t>): den 44</w:t>
            </w:r>
          </w:p>
        </w:tc>
      </w:tr>
      <w:tr w:rsidR="00EA5993" w:rsidRPr="00F25A60" w14:paraId="6024EC71" w14:textId="77777777" w:rsidTr="00D567F2">
        <w:trPr>
          <w:cantSplit/>
          <w:trPrChange w:id="343" w:author="Author">
            <w:trPr>
              <w:cantSplit/>
            </w:trPr>
          </w:trPrChange>
        </w:trPr>
        <w:tc>
          <w:tcPr>
            <w:tcW w:w="2323" w:type="dxa"/>
            <w:tcPrChange w:id="344" w:author="Author">
              <w:tcPr>
                <w:tcW w:w="2358" w:type="dxa"/>
                <w:gridSpan w:val="2"/>
              </w:tcPr>
            </w:tcPrChange>
          </w:tcPr>
          <w:p w14:paraId="63F930BA" w14:textId="77777777" w:rsidR="00EA5993" w:rsidRPr="00F25A60" w:rsidRDefault="00EA5993" w:rsidP="0048111F">
            <w:pPr>
              <w:pStyle w:val="EndnoteText"/>
              <w:rPr>
                <w:color w:val="000000"/>
              </w:rPr>
            </w:pPr>
            <w:r w:rsidRPr="00F25A60">
              <w:rPr>
                <w:color w:val="000000"/>
              </w:rPr>
              <w:lastRenderedPageBreak/>
              <w:t>Udržovací terapie</w:t>
            </w:r>
          </w:p>
          <w:p w14:paraId="69CF3D7D" w14:textId="77777777" w:rsidR="00EA5993" w:rsidRPr="00F25A60" w:rsidRDefault="00EA5993" w:rsidP="0048111F">
            <w:pPr>
              <w:pStyle w:val="EndnoteText"/>
              <w:rPr>
                <w:color w:val="000000"/>
              </w:rPr>
            </w:pPr>
            <w:r w:rsidRPr="00F25A60">
              <w:rPr>
                <w:color w:val="000000"/>
              </w:rPr>
              <w:t>(8týdenní cykly)</w:t>
            </w:r>
          </w:p>
          <w:p w14:paraId="4E76D028" w14:textId="77777777" w:rsidR="00EA5993" w:rsidRPr="00F25A60" w:rsidRDefault="00EA5993" w:rsidP="0048111F">
            <w:pPr>
              <w:pStyle w:val="EndnoteText"/>
              <w:rPr>
                <w:color w:val="000000"/>
              </w:rPr>
            </w:pPr>
            <w:r w:rsidRPr="00F25A60">
              <w:rPr>
                <w:color w:val="000000"/>
              </w:rPr>
              <w:t>Cykly 1–4</w:t>
            </w:r>
          </w:p>
        </w:tc>
        <w:tc>
          <w:tcPr>
            <w:tcW w:w="6736" w:type="dxa"/>
            <w:gridSpan w:val="2"/>
            <w:tcPrChange w:id="345" w:author="Author">
              <w:tcPr>
                <w:tcW w:w="6929" w:type="dxa"/>
                <w:gridSpan w:val="2"/>
              </w:tcPr>
            </w:tcPrChange>
          </w:tcPr>
          <w:p w14:paraId="3F1C7003" w14:textId="77777777" w:rsidR="00EA5993" w:rsidRPr="00F25A60" w:rsidRDefault="00EA5993" w:rsidP="0048111F">
            <w:pPr>
              <w:pStyle w:val="EndnoteText"/>
              <w:rPr>
                <w:color w:val="000000"/>
              </w:rPr>
            </w:pPr>
            <w:r w:rsidRPr="00F25A60">
              <w:rPr>
                <w:color w:val="000000"/>
              </w:rPr>
              <w:t>MTX (5 g/m</w:t>
            </w:r>
            <w:r w:rsidRPr="00F25A60">
              <w:rPr>
                <w:color w:val="000000"/>
                <w:vertAlign w:val="superscript"/>
              </w:rPr>
              <w:t>2</w:t>
            </w:r>
            <w:r w:rsidRPr="00F25A60">
              <w:rPr>
                <w:color w:val="000000"/>
              </w:rPr>
              <w:t xml:space="preserve"> v průběhu 24 hodin, </w:t>
            </w:r>
            <w:r w:rsidR="003212CF" w:rsidRPr="00F25A60">
              <w:rPr>
                <w:color w:val="000000"/>
              </w:rPr>
              <w:t>i.v.</w:t>
            </w:r>
            <w:r w:rsidRPr="00F25A60">
              <w:rPr>
                <w:color w:val="000000"/>
              </w:rPr>
              <w:t>): den 1</w:t>
            </w:r>
          </w:p>
          <w:p w14:paraId="410208FE" w14:textId="77777777" w:rsidR="00EA5993" w:rsidRPr="00F25A60" w:rsidRDefault="003212CF" w:rsidP="0048111F">
            <w:pPr>
              <w:pStyle w:val="EndnoteText"/>
              <w:rPr>
                <w:color w:val="000000"/>
              </w:rPr>
            </w:pPr>
            <w:r w:rsidRPr="00F25A60">
              <w:rPr>
                <w:color w:val="000000"/>
              </w:rPr>
              <w:t>l</w:t>
            </w:r>
            <w:r w:rsidR="00EA5993" w:rsidRPr="00F25A60">
              <w:rPr>
                <w:color w:val="000000"/>
              </w:rPr>
              <w:t>eukovorin (75 mg/m</w:t>
            </w:r>
            <w:r w:rsidR="00EA5993" w:rsidRPr="00F25A60">
              <w:rPr>
                <w:color w:val="000000"/>
                <w:vertAlign w:val="superscript"/>
              </w:rPr>
              <w:t>2</w:t>
            </w:r>
            <w:r w:rsidR="00EA5993" w:rsidRPr="00F25A60">
              <w:rPr>
                <w:color w:val="000000"/>
              </w:rPr>
              <w:t xml:space="preserve"> ve 36. hodině, </w:t>
            </w:r>
            <w:r w:rsidRPr="00F25A60">
              <w:rPr>
                <w:color w:val="000000"/>
              </w:rPr>
              <w:t>i.v.</w:t>
            </w:r>
            <w:r w:rsidR="00EA5993" w:rsidRPr="00F25A60">
              <w:rPr>
                <w:color w:val="000000"/>
              </w:rPr>
              <w:t>; 15 mg/m</w:t>
            </w:r>
            <w:r w:rsidR="00EA5993" w:rsidRPr="00F25A60">
              <w:rPr>
                <w:color w:val="000000"/>
                <w:vertAlign w:val="superscript"/>
              </w:rPr>
              <w:t>2</w:t>
            </w:r>
            <w:r w:rsidR="00EA5993" w:rsidRPr="00F25A60">
              <w:rPr>
                <w:color w:val="000000"/>
              </w:rPr>
              <w:t xml:space="preserve"> </w:t>
            </w:r>
            <w:r w:rsidRPr="00F25A60">
              <w:rPr>
                <w:color w:val="000000"/>
              </w:rPr>
              <w:t xml:space="preserve">i.v. </w:t>
            </w:r>
            <w:r w:rsidR="00EA5993" w:rsidRPr="00F25A60">
              <w:rPr>
                <w:color w:val="000000"/>
              </w:rPr>
              <w:t xml:space="preserve">nebo </w:t>
            </w:r>
            <w:r w:rsidRPr="00F25A60">
              <w:rPr>
                <w:color w:val="000000"/>
              </w:rPr>
              <w:t xml:space="preserve">p.o. </w:t>
            </w:r>
            <w:r w:rsidR="00EA5993" w:rsidRPr="00F25A60">
              <w:rPr>
                <w:color w:val="000000"/>
              </w:rPr>
              <w:t>q6h x 6 dávek)iii: dny 2 a 3</w:t>
            </w:r>
          </w:p>
          <w:p w14:paraId="061FD351" w14:textId="77777777" w:rsidR="00EA5993" w:rsidRPr="00F25A60" w:rsidRDefault="00EA5993" w:rsidP="0048111F">
            <w:pPr>
              <w:pStyle w:val="EndnoteText"/>
              <w:rPr>
                <w:color w:val="000000"/>
              </w:rPr>
            </w:pPr>
            <w:r w:rsidRPr="00F25A60">
              <w:rPr>
                <w:color w:val="000000"/>
              </w:rPr>
              <w:t xml:space="preserve">Trojnásobná </w:t>
            </w:r>
            <w:r w:rsidR="003212CF" w:rsidRPr="00F25A60">
              <w:rPr>
                <w:color w:val="000000"/>
              </w:rPr>
              <w:t xml:space="preserve">i.t. </w:t>
            </w:r>
            <w:r w:rsidRPr="00F25A60">
              <w:rPr>
                <w:color w:val="000000"/>
              </w:rPr>
              <w:t>léčba (přizpůsobená věku): dny 1, 29</w:t>
            </w:r>
          </w:p>
          <w:p w14:paraId="0DFA7224" w14:textId="77777777" w:rsidR="00EA5993" w:rsidRPr="00F25A60" w:rsidRDefault="00EA5993" w:rsidP="0048111F">
            <w:pPr>
              <w:pStyle w:val="EndnoteText"/>
              <w:rPr>
                <w:color w:val="000000"/>
              </w:rPr>
            </w:pPr>
            <w:r w:rsidRPr="00F25A60">
              <w:rPr>
                <w:color w:val="000000"/>
              </w:rPr>
              <w:t>VCR (1,5 mg/m</w:t>
            </w:r>
            <w:r w:rsidRPr="00F25A60">
              <w:rPr>
                <w:color w:val="000000"/>
                <w:vertAlign w:val="superscript"/>
              </w:rPr>
              <w:t>2</w:t>
            </w:r>
            <w:r w:rsidRPr="00F25A60">
              <w:rPr>
                <w:color w:val="000000"/>
              </w:rPr>
              <w:t xml:space="preserve">, </w:t>
            </w:r>
            <w:r w:rsidR="003212CF" w:rsidRPr="00F25A60">
              <w:rPr>
                <w:color w:val="000000"/>
              </w:rPr>
              <w:t>i.v.</w:t>
            </w:r>
            <w:r w:rsidRPr="00F25A60">
              <w:rPr>
                <w:color w:val="000000"/>
              </w:rPr>
              <w:t>): dny 1, 29</w:t>
            </w:r>
          </w:p>
          <w:p w14:paraId="5BF98CE5" w14:textId="77777777" w:rsidR="00EA5993" w:rsidRPr="00F25A60" w:rsidRDefault="00EA5993" w:rsidP="0048111F">
            <w:pPr>
              <w:pStyle w:val="EndnoteText"/>
              <w:rPr>
                <w:color w:val="000000"/>
              </w:rPr>
            </w:pPr>
            <w:r w:rsidRPr="00F25A60">
              <w:rPr>
                <w:color w:val="000000"/>
              </w:rPr>
              <w:t>DEX (6 mg/m</w:t>
            </w:r>
            <w:r w:rsidRPr="00F25A60">
              <w:rPr>
                <w:color w:val="000000"/>
                <w:vertAlign w:val="superscript"/>
              </w:rPr>
              <w:t>2</w:t>
            </w:r>
            <w:r w:rsidRPr="00F25A60">
              <w:rPr>
                <w:color w:val="000000"/>
              </w:rPr>
              <w:t xml:space="preserve">/den </w:t>
            </w:r>
            <w:r w:rsidR="003212CF" w:rsidRPr="00F25A60">
              <w:rPr>
                <w:color w:val="000000"/>
              </w:rPr>
              <w:t>p.o.</w:t>
            </w:r>
            <w:r w:rsidRPr="00F25A60">
              <w:rPr>
                <w:color w:val="000000"/>
              </w:rPr>
              <w:t>): dny 1</w:t>
            </w:r>
            <w:r w:rsidRPr="00F25A60">
              <w:rPr>
                <w:color w:val="000000"/>
              </w:rPr>
              <w:noBreakHyphen/>
              <w:t>5; 29</w:t>
            </w:r>
            <w:r w:rsidRPr="00F25A60">
              <w:rPr>
                <w:color w:val="000000"/>
              </w:rPr>
              <w:noBreakHyphen/>
              <w:t>33</w:t>
            </w:r>
          </w:p>
          <w:p w14:paraId="0F9F016A" w14:textId="77777777" w:rsidR="00EA5993" w:rsidRPr="00F25A60" w:rsidRDefault="00EA5993" w:rsidP="0048111F">
            <w:pPr>
              <w:pStyle w:val="EndnoteText"/>
              <w:rPr>
                <w:color w:val="000000"/>
              </w:rPr>
            </w:pPr>
            <w:r w:rsidRPr="00F25A60">
              <w:rPr>
                <w:color w:val="000000"/>
              </w:rPr>
              <w:t>6-MP (75 mg/m</w:t>
            </w:r>
            <w:r w:rsidRPr="00F25A60">
              <w:rPr>
                <w:color w:val="000000"/>
                <w:vertAlign w:val="superscript"/>
              </w:rPr>
              <w:t>2</w:t>
            </w:r>
            <w:r w:rsidRPr="00F25A60">
              <w:rPr>
                <w:color w:val="000000"/>
              </w:rPr>
              <w:t xml:space="preserve">/den, </w:t>
            </w:r>
            <w:r w:rsidR="003212CF" w:rsidRPr="00F25A60">
              <w:rPr>
                <w:color w:val="000000"/>
              </w:rPr>
              <w:t>p.o.</w:t>
            </w:r>
            <w:r w:rsidRPr="00F25A60">
              <w:rPr>
                <w:color w:val="000000"/>
              </w:rPr>
              <w:t>): dny 8-28</w:t>
            </w:r>
          </w:p>
          <w:p w14:paraId="6205F947" w14:textId="77777777" w:rsidR="00EA5993" w:rsidRPr="00F25A60" w:rsidRDefault="003212CF" w:rsidP="0048111F">
            <w:pPr>
              <w:pStyle w:val="EndnoteText"/>
              <w:rPr>
                <w:color w:val="000000"/>
              </w:rPr>
            </w:pPr>
            <w:r w:rsidRPr="00F25A60">
              <w:rPr>
                <w:color w:val="000000"/>
              </w:rPr>
              <w:t>m</w:t>
            </w:r>
            <w:r w:rsidR="00EA5993" w:rsidRPr="00F25A60">
              <w:rPr>
                <w:color w:val="000000"/>
              </w:rPr>
              <w:t>ethotrexát (20 mg/m</w:t>
            </w:r>
            <w:r w:rsidR="00EA5993" w:rsidRPr="00F25A60">
              <w:rPr>
                <w:color w:val="000000"/>
                <w:vertAlign w:val="superscript"/>
              </w:rPr>
              <w:t>2</w:t>
            </w:r>
            <w:r w:rsidR="00EA5993" w:rsidRPr="00F25A60">
              <w:rPr>
                <w:color w:val="000000"/>
              </w:rPr>
              <w:t xml:space="preserve">/týden, </w:t>
            </w:r>
            <w:r w:rsidRPr="00F25A60">
              <w:rPr>
                <w:color w:val="000000"/>
              </w:rPr>
              <w:t>p.o.</w:t>
            </w:r>
            <w:r w:rsidR="00EA5993" w:rsidRPr="00F25A60">
              <w:rPr>
                <w:color w:val="000000"/>
              </w:rPr>
              <w:t>): dny 8, 15, 22</w:t>
            </w:r>
          </w:p>
          <w:p w14:paraId="1A38F45C" w14:textId="77777777" w:rsidR="00EA5993" w:rsidRPr="00F25A60" w:rsidRDefault="00EA5993" w:rsidP="0048111F">
            <w:pPr>
              <w:pStyle w:val="EndnoteText"/>
              <w:rPr>
                <w:color w:val="000000"/>
              </w:rPr>
            </w:pPr>
            <w:r w:rsidRPr="00F25A60">
              <w:rPr>
                <w:color w:val="000000"/>
              </w:rPr>
              <w:t>VP-16 (100 mg/m</w:t>
            </w:r>
            <w:r w:rsidRPr="00F25A60">
              <w:rPr>
                <w:color w:val="000000"/>
                <w:vertAlign w:val="superscript"/>
              </w:rPr>
              <w:t>2</w:t>
            </w:r>
            <w:r w:rsidRPr="00F25A60">
              <w:rPr>
                <w:color w:val="000000"/>
              </w:rPr>
              <w:t xml:space="preserve">, </w:t>
            </w:r>
            <w:r w:rsidR="003212CF" w:rsidRPr="00F25A60">
              <w:rPr>
                <w:color w:val="000000"/>
              </w:rPr>
              <w:t>i.v.</w:t>
            </w:r>
            <w:r w:rsidRPr="00F25A60">
              <w:rPr>
                <w:color w:val="000000"/>
              </w:rPr>
              <w:t>): dny 29</w:t>
            </w:r>
            <w:r w:rsidRPr="00F25A60">
              <w:rPr>
                <w:color w:val="000000"/>
              </w:rPr>
              <w:noBreakHyphen/>
              <w:t>33</w:t>
            </w:r>
          </w:p>
          <w:p w14:paraId="16031F8D" w14:textId="77777777" w:rsidR="00EA5993" w:rsidRPr="00F25A60" w:rsidRDefault="00EA5993" w:rsidP="0048111F">
            <w:pPr>
              <w:pStyle w:val="EndnoteText"/>
              <w:rPr>
                <w:color w:val="000000"/>
              </w:rPr>
            </w:pPr>
            <w:r w:rsidRPr="00F25A60">
              <w:rPr>
                <w:color w:val="000000"/>
              </w:rPr>
              <w:t>CPM (300 mg/m</w:t>
            </w:r>
            <w:r w:rsidRPr="00F25A60">
              <w:rPr>
                <w:color w:val="000000"/>
                <w:vertAlign w:val="superscript"/>
              </w:rPr>
              <w:t>2</w:t>
            </w:r>
            <w:r w:rsidRPr="00F25A60">
              <w:rPr>
                <w:color w:val="000000"/>
              </w:rPr>
              <w:t xml:space="preserve">, </w:t>
            </w:r>
            <w:r w:rsidR="003212CF" w:rsidRPr="00F25A60">
              <w:rPr>
                <w:color w:val="000000"/>
              </w:rPr>
              <w:t>i.v.</w:t>
            </w:r>
            <w:r w:rsidRPr="00F25A60">
              <w:rPr>
                <w:color w:val="000000"/>
              </w:rPr>
              <w:t>): dny 29</w:t>
            </w:r>
            <w:r w:rsidRPr="00F25A60">
              <w:rPr>
                <w:color w:val="000000"/>
              </w:rPr>
              <w:noBreakHyphen/>
              <w:t>33</w:t>
            </w:r>
          </w:p>
          <w:p w14:paraId="10DE2B8F" w14:textId="77777777" w:rsidR="00EA5993" w:rsidRPr="00F25A60" w:rsidRDefault="00EA5993" w:rsidP="0048111F">
            <w:pPr>
              <w:pStyle w:val="EndnoteText"/>
              <w:rPr>
                <w:color w:val="000000"/>
              </w:rPr>
            </w:pPr>
            <w:r w:rsidRPr="00F25A60">
              <w:rPr>
                <w:color w:val="000000"/>
              </w:rPr>
              <w:t xml:space="preserve">MESNA </w:t>
            </w:r>
            <w:r w:rsidR="003212CF" w:rsidRPr="00F25A60">
              <w:rPr>
                <w:color w:val="000000"/>
              </w:rPr>
              <w:t xml:space="preserve">i.v. </w:t>
            </w:r>
            <w:r w:rsidRPr="00F25A60">
              <w:rPr>
                <w:color w:val="000000"/>
              </w:rPr>
              <w:t>dny 29</w:t>
            </w:r>
            <w:r w:rsidRPr="00F25A60">
              <w:rPr>
                <w:color w:val="000000"/>
              </w:rPr>
              <w:noBreakHyphen/>
              <w:t>33</w:t>
            </w:r>
          </w:p>
          <w:p w14:paraId="3639BD6E" w14:textId="77777777" w:rsidR="00EA5993" w:rsidRPr="00F25A60" w:rsidRDefault="00EA5993" w:rsidP="0048111F">
            <w:pPr>
              <w:pStyle w:val="EndnoteText"/>
              <w:rPr>
                <w:color w:val="000000"/>
              </w:rPr>
            </w:pPr>
            <w:r w:rsidRPr="00F25A60">
              <w:rPr>
                <w:color w:val="000000"/>
              </w:rPr>
              <w:t xml:space="preserve">G-CSF (5 μg/kg, </w:t>
            </w:r>
            <w:r w:rsidR="003212CF" w:rsidRPr="00F25A60">
              <w:rPr>
                <w:color w:val="000000"/>
              </w:rPr>
              <w:t>s.c.</w:t>
            </w:r>
            <w:r w:rsidRPr="00F25A60">
              <w:rPr>
                <w:color w:val="000000"/>
              </w:rPr>
              <w:t>): dny 34</w:t>
            </w:r>
            <w:r w:rsidRPr="00F25A60">
              <w:rPr>
                <w:color w:val="000000"/>
              </w:rPr>
              <w:noBreakHyphen/>
              <w:t>43</w:t>
            </w:r>
          </w:p>
        </w:tc>
      </w:tr>
      <w:tr w:rsidR="00EA5993" w:rsidRPr="00F25A60" w14:paraId="4C4DFB40" w14:textId="77777777" w:rsidTr="00D567F2">
        <w:trPr>
          <w:cantSplit/>
          <w:trPrChange w:id="346" w:author="Author">
            <w:trPr>
              <w:cantSplit/>
            </w:trPr>
          </w:trPrChange>
        </w:trPr>
        <w:tc>
          <w:tcPr>
            <w:tcW w:w="2323" w:type="dxa"/>
            <w:tcPrChange w:id="347" w:author="Author">
              <w:tcPr>
                <w:tcW w:w="2358" w:type="dxa"/>
                <w:gridSpan w:val="2"/>
              </w:tcPr>
            </w:tcPrChange>
          </w:tcPr>
          <w:p w14:paraId="038F8FD5" w14:textId="77777777" w:rsidR="00EA5993" w:rsidRPr="00F25A60" w:rsidRDefault="00EA5993" w:rsidP="0048111F">
            <w:pPr>
              <w:pStyle w:val="EndnoteText"/>
              <w:rPr>
                <w:color w:val="000000"/>
              </w:rPr>
            </w:pPr>
            <w:r w:rsidRPr="00F25A60">
              <w:rPr>
                <w:color w:val="000000"/>
              </w:rPr>
              <w:t>Udržovací terapie</w:t>
            </w:r>
          </w:p>
          <w:p w14:paraId="358D9D9F" w14:textId="77777777" w:rsidR="00EA5993" w:rsidRPr="00F25A60" w:rsidRDefault="00EA5993" w:rsidP="0048111F">
            <w:pPr>
              <w:pStyle w:val="EndnoteText"/>
              <w:rPr>
                <w:color w:val="000000"/>
              </w:rPr>
            </w:pPr>
            <w:r w:rsidRPr="00F25A60">
              <w:rPr>
                <w:color w:val="000000"/>
              </w:rPr>
              <w:t>(8týdenní cykly)</w:t>
            </w:r>
          </w:p>
          <w:p w14:paraId="14E49BEE" w14:textId="77777777" w:rsidR="00EA5993" w:rsidRPr="00F25A60" w:rsidRDefault="00EA5993" w:rsidP="0048111F">
            <w:pPr>
              <w:pStyle w:val="EndnoteText"/>
              <w:rPr>
                <w:color w:val="000000"/>
              </w:rPr>
            </w:pPr>
            <w:r w:rsidRPr="00F25A60">
              <w:rPr>
                <w:color w:val="000000"/>
              </w:rPr>
              <w:t>Cyklus 5</w:t>
            </w:r>
          </w:p>
        </w:tc>
        <w:tc>
          <w:tcPr>
            <w:tcW w:w="6736" w:type="dxa"/>
            <w:gridSpan w:val="2"/>
            <w:tcPrChange w:id="348" w:author="Author">
              <w:tcPr>
                <w:tcW w:w="6929" w:type="dxa"/>
                <w:gridSpan w:val="2"/>
              </w:tcPr>
            </w:tcPrChange>
          </w:tcPr>
          <w:p w14:paraId="213EB1A9" w14:textId="77777777" w:rsidR="00EA5993" w:rsidRPr="00F25A60" w:rsidRDefault="00EA5993" w:rsidP="0048111F">
            <w:pPr>
              <w:pStyle w:val="EndnoteText"/>
              <w:rPr>
                <w:color w:val="000000"/>
              </w:rPr>
            </w:pPr>
            <w:r w:rsidRPr="00F25A60">
              <w:rPr>
                <w:color w:val="000000"/>
              </w:rPr>
              <w:t xml:space="preserve">Ozařování krania (pouze </w:t>
            </w:r>
            <w:r w:rsidR="004F264F" w:rsidRPr="00F25A60">
              <w:rPr>
                <w:color w:val="000000"/>
              </w:rPr>
              <w:t>cyklus </w:t>
            </w:r>
            <w:r w:rsidRPr="00F25A60">
              <w:rPr>
                <w:color w:val="000000"/>
              </w:rPr>
              <w:t>5)</w:t>
            </w:r>
          </w:p>
          <w:p w14:paraId="7D325CB5" w14:textId="77777777" w:rsidR="00EA5993" w:rsidRPr="00F25A60" w:rsidRDefault="00EA5993" w:rsidP="0048111F">
            <w:pPr>
              <w:pStyle w:val="EndnoteText"/>
              <w:rPr>
                <w:color w:val="000000"/>
              </w:rPr>
            </w:pPr>
            <w:r w:rsidRPr="00F25A60">
              <w:rPr>
                <w:color w:val="000000"/>
              </w:rPr>
              <w:t>12 Gy v 8 frakcích pro všechny pacienty s CNS1 a CNS2 v diagnóze</w:t>
            </w:r>
          </w:p>
          <w:p w14:paraId="101B946D" w14:textId="77777777" w:rsidR="00EA5993" w:rsidRPr="00F25A60" w:rsidRDefault="00EA5993" w:rsidP="0048111F">
            <w:pPr>
              <w:pStyle w:val="EndnoteText"/>
              <w:rPr>
                <w:color w:val="000000"/>
              </w:rPr>
            </w:pPr>
            <w:r w:rsidRPr="00F25A60">
              <w:rPr>
                <w:color w:val="000000"/>
              </w:rPr>
              <w:t>18 Gy v 10 frakcích pro pacienty s CNS3 v diagnóze</w:t>
            </w:r>
          </w:p>
          <w:p w14:paraId="0D19D911" w14:textId="77777777" w:rsidR="00EA5993" w:rsidRPr="00F25A60" w:rsidRDefault="00EA5993" w:rsidP="0048111F">
            <w:pPr>
              <w:pStyle w:val="EndnoteText"/>
              <w:rPr>
                <w:color w:val="000000"/>
              </w:rPr>
            </w:pPr>
            <w:r w:rsidRPr="00F25A60">
              <w:rPr>
                <w:color w:val="000000"/>
              </w:rPr>
              <w:t>VCR (1,5 mg/m</w:t>
            </w:r>
            <w:r w:rsidRPr="00F25A60">
              <w:rPr>
                <w:color w:val="000000"/>
                <w:vertAlign w:val="superscript"/>
              </w:rPr>
              <w:t>2</w:t>
            </w:r>
            <w:r w:rsidRPr="00F25A60">
              <w:rPr>
                <w:color w:val="000000"/>
              </w:rPr>
              <w:t xml:space="preserve">/den, </w:t>
            </w:r>
            <w:r w:rsidR="004F264F" w:rsidRPr="00F25A60">
              <w:rPr>
                <w:color w:val="000000"/>
              </w:rPr>
              <w:t>i.v.</w:t>
            </w:r>
            <w:r w:rsidRPr="00F25A60">
              <w:rPr>
                <w:color w:val="000000"/>
              </w:rPr>
              <w:t>): dny 1, 29</w:t>
            </w:r>
          </w:p>
          <w:p w14:paraId="33A90EE2" w14:textId="77777777" w:rsidR="00EA5993" w:rsidRPr="00F25A60" w:rsidRDefault="00EA5993" w:rsidP="0048111F">
            <w:pPr>
              <w:pStyle w:val="EndnoteText"/>
              <w:rPr>
                <w:color w:val="000000"/>
              </w:rPr>
            </w:pPr>
            <w:r w:rsidRPr="00F25A60">
              <w:rPr>
                <w:color w:val="000000"/>
              </w:rPr>
              <w:t>DEX (6 mg/m</w:t>
            </w:r>
            <w:r w:rsidRPr="00F25A60">
              <w:rPr>
                <w:color w:val="000000"/>
                <w:vertAlign w:val="superscript"/>
              </w:rPr>
              <w:t>2</w:t>
            </w:r>
            <w:r w:rsidRPr="00F25A60">
              <w:rPr>
                <w:color w:val="000000"/>
              </w:rPr>
              <w:t xml:space="preserve">/den, </w:t>
            </w:r>
            <w:r w:rsidR="004F264F" w:rsidRPr="00F25A60">
              <w:rPr>
                <w:color w:val="000000"/>
              </w:rPr>
              <w:t>p.o.</w:t>
            </w:r>
            <w:r w:rsidRPr="00F25A60">
              <w:rPr>
                <w:color w:val="000000"/>
              </w:rPr>
              <w:t>): dny 1</w:t>
            </w:r>
            <w:r w:rsidRPr="00F25A60">
              <w:rPr>
                <w:color w:val="000000"/>
              </w:rPr>
              <w:noBreakHyphen/>
              <w:t>5; 29</w:t>
            </w:r>
            <w:r w:rsidRPr="00F25A60">
              <w:rPr>
                <w:color w:val="000000"/>
              </w:rPr>
              <w:noBreakHyphen/>
              <w:t>33</w:t>
            </w:r>
          </w:p>
          <w:p w14:paraId="77ACC64B" w14:textId="77777777" w:rsidR="00EA5993" w:rsidRPr="00F25A60" w:rsidRDefault="00EA5993" w:rsidP="0048111F">
            <w:pPr>
              <w:pStyle w:val="EndnoteText"/>
              <w:rPr>
                <w:color w:val="000000"/>
              </w:rPr>
            </w:pPr>
            <w:r w:rsidRPr="00F25A60">
              <w:rPr>
                <w:color w:val="000000"/>
              </w:rPr>
              <w:t>6-MP (75 mg/m</w:t>
            </w:r>
            <w:r w:rsidRPr="00F25A60">
              <w:rPr>
                <w:color w:val="000000"/>
                <w:vertAlign w:val="superscript"/>
              </w:rPr>
              <w:t>2</w:t>
            </w:r>
            <w:r w:rsidRPr="00F25A60">
              <w:rPr>
                <w:color w:val="000000"/>
              </w:rPr>
              <w:t xml:space="preserve">/den, </w:t>
            </w:r>
            <w:r w:rsidR="004F264F" w:rsidRPr="00F25A60">
              <w:rPr>
                <w:color w:val="000000"/>
              </w:rPr>
              <w:t>p.o.</w:t>
            </w:r>
            <w:r w:rsidRPr="00F25A60">
              <w:rPr>
                <w:color w:val="000000"/>
              </w:rPr>
              <w:t>): dny 11</w:t>
            </w:r>
            <w:r w:rsidRPr="00F25A60">
              <w:rPr>
                <w:color w:val="000000"/>
              </w:rPr>
              <w:noBreakHyphen/>
              <w:t>56 (Vysazení 6-MP během 6</w:t>
            </w:r>
            <w:r w:rsidRPr="00F25A60">
              <w:rPr>
                <w:color w:val="000000"/>
              </w:rPr>
              <w:noBreakHyphen/>
              <w:t>10 dní ozařování krania počínaje prvním dnem cyklu 5. Započněte léčbu 6-MP první den po dokončení ozařování krania.)</w:t>
            </w:r>
          </w:p>
          <w:p w14:paraId="3A40356A" w14:textId="77777777" w:rsidR="00EA5993" w:rsidRPr="00F25A60" w:rsidRDefault="004F264F" w:rsidP="0048111F">
            <w:pPr>
              <w:pStyle w:val="EndnoteText"/>
              <w:rPr>
                <w:color w:val="000000"/>
              </w:rPr>
            </w:pPr>
            <w:r w:rsidRPr="00F25A60">
              <w:rPr>
                <w:color w:val="000000"/>
              </w:rPr>
              <w:t>m</w:t>
            </w:r>
            <w:r w:rsidR="00EA5993" w:rsidRPr="00F25A60">
              <w:rPr>
                <w:color w:val="000000"/>
              </w:rPr>
              <w:t>ethotrexát (20 mg/m</w:t>
            </w:r>
            <w:r w:rsidR="00EA5993" w:rsidRPr="00F25A60">
              <w:rPr>
                <w:color w:val="000000"/>
                <w:vertAlign w:val="superscript"/>
              </w:rPr>
              <w:t>2</w:t>
            </w:r>
            <w:r w:rsidR="00EA5993" w:rsidRPr="00F25A60">
              <w:rPr>
                <w:color w:val="000000"/>
              </w:rPr>
              <w:t xml:space="preserve">/týden, </w:t>
            </w:r>
            <w:r w:rsidRPr="00F25A60">
              <w:rPr>
                <w:color w:val="000000"/>
              </w:rPr>
              <w:t>p.o.</w:t>
            </w:r>
            <w:r w:rsidR="00EA5993" w:rsidRPr="00F25A60">
              <w:rPr>
                <w:color w:val="000000"/>
              </w:rPr>
              <w:t>): dny 8, 15, 22, 29, 36, 43, 50</w:t>
            </w:r>
          </w:p>
        </w:tc>
      </w:tr>
      <w:tr w:rsidR="00EA5993" w:rsidRPr="00F25A60" w14:paraId="69A20F0E" w14:textId="77777777" w:rsidTr="00D567F2">
        <w:trPr>
          <w:cantSplit/>
          <w:trPrChange w:id="349" w:author="Author">
            <w:trPr>
              <w:cantSplit/>
            </w:trPr>
          </w:trPrChange>
        </w:trPr>
        <w:tc>
          <w:tcPr>
            <w:tcW w:w="2323" w:type="dxa"/>
            <w:tcPrChange w:id="350" w:author="Author">
              <w:tcPr>
                <w:tcW w:w="2358" w:type="dxa"/>
                <w:gridSpan w:val="2"/>
              </w:tcPr>
            </w:tcPrChange>
          </w:tcPr>
          <w:p w14:paraId="66AC949F" w14:textId="77777777" w:rsidR="00EA5993" w:rsidRPr="00F25A60" w:rsidRDefault="00EA5993" w:rsidP="0048111F">
            <w:pPr>
              <w:pStyle w:val="EndnoteText"/>
              <w:keepNext/>
              <w:rPr>
                <w:color w:val="000000"/>
              </w:rPr>
            </w:pPr>
            <w:r w:rsidRPr="00F25A60">
              <w:rPr>
                <w:color w:val="000000"/>
              </w:rPr>
              <w:t>Udržovací terapie</w:t>
            </w:r>
          </w:p>
          <w:p w14:paraId="05CE97D1" w14:textId="77777777" w:rsidR="00EA5993" w:rsidRPr="00F25A60" w:rsidRDefault="00EA5993" w:rsidP="0048111F">
            <w:pPr>
              <w:pStyle w:val="EndnoteText"/>
              <w:keepNext/>
              <w:rPr>
                <w:color w:val="000000"/>
              </w:rPr>
            </w:pPr>
            <w:r w:rsidRPr="00F25A60">
              <w:rPr>
                <w:color w:val="000000"/>
              </w:rPr>
              <w:t>(8týdenní cykly)</w:t>
            </w:r>
          </w:p>
          <w:p w14:paraId="61A2F0A9" w14:textId="77777777" w:rsidR="00EA5993" w:rsidRPr="00F25A60" w:rsidRDefault="00EA5993" w:rsidP="0048111F">
            <w:pPr>
              <w:pStyle w:val="EndnoteText"/>
              <w:keepNext/>
              <w:rPr>
                <w:color w:val="000000"/>
              </w:rPr>
            </w:pPr>
            <w:r w:rsidRPr="00F25A60">
              <w:rPr>
                <w:color w:val="000000"/>
              </w:rPr>
              <w:t>Cykly 6</w:t>
            </w:r>
            <w:r w:rsidRPr="00F25A60">
              <w:rPr>
                <w:color w:val="000000"/>
              </w:rPr>
              <w:noBreakHyphen/>
              <w:t>12</w:t>
            </w:r>
          </w:p>
        </w:tc>
        <w:tc>
          <w:tcPr>
            <w:tcW w:w="6736" w:type="dxa"/>
            <w:gridSpan w:val="2"/>
            <w:tcPrChange w:id="351" w:author="Author">
              <w:tcPr>
                <w:tcW w:w="6929" w:type="dxa"/>
                <w:gridSpan w:val="2"/>
              </w:tcPr>
            </w:tcPrChange>
          </w:tcPr>
          <w:p w14:paraId="42F76507" w14:textId="77777777" w:rsidR="00EA5993" w:rsidRPr="00F25A60" w:rsidRDefault="00EA5993" w:rsidP="0048111F">
            <w:pPr>
              <w:pStyle w:val="EndnoteText"/>
              <w:keepNext/>
              <w:rPr>
                <w:color w:val="000000"/>
              </w:rPr>
            </w:pPr>
            <w:r w:rsidRPr="00F25A60">
              <w:rPr>
                <w:color w:val="000000"/>
              </w:rPr>
              <w:t>VCR (1,5 mg/m</w:t>
            </w:r>
            <w:r w:rsidRPr="00F25A60">
              <w:rPr>
                <w:color w:val="000000"/>
                <w:vertAlign w:val="superscript"/>
              </w:rPr>
              <w:t>2</w:t>
            </w:r>
            <w:r w:rsidRPr="00F25A60">
              <w:rPr>
                <w:color w:val="000000"/>
              </w:rPr>
              <w:t xml:space="preserve">/den, </w:t>
            </w:r>
            <w:r w:rsidR="004F264F" w:rsidRPr="00F25A60">
              <w:rPr>
                <w:color w:val="000000"/>
              </w:rPr>
              <w:t>i.v.</w:t>
            </w:r>
            <w:r w:rsidRPr="00F25A60">
              <w:rPr>
                <w:color w:val="000000"/>
              </w:rPr>
              <w:t>): dny 1, 29</w:t>
            </w:r>
          </w:p>
          <w:p w14:paraId="27EB8B05" w14:textId="77777777" w:rsidR="00EA5993" w:rsidRPr="00F25A60" w:rsidRDefault="00EA5993" w:rsidP="0048111F">
            <w:pPr>
              <w:pStyle w:val="EndnoteText"/>
              <w:keepNext/>
              <w:rPr>
                <w:color w:val="000000"/>
              </w:rPr>
            </w:pPr>
            <w:r w:rsidRPr="00F25A60">
              <w:rPr>
                <w:color w:val="000000"/>
              </w:rPr>
              <w:t>DEX (6 mg/m</w:t>
            </w:r>
            <w:r w:rsidRPr="00F25A60">
              <w:rPr>
                <w:color w:val="000000"/>
                <w:vertAlign w:val="superscript"/>
              </w:rPr>
              <w:t>2</w:t>
            </w:r>
            <w:r w:rsidRPr="00F25A60">
              <w:rPr>
                <w:color w:val="000000"/>
              </w:rPr>
              <w:t xml:space="preserve">/den, </w:t>
            </w:r>
            <w:r w:rsidR="004F264F" w:rsidRPr="00F25A60">
              <w:rPr>
                <w:color w:val="000000"/>
              </w:rPr>
              <w:t>p.o.</w:t>
            </w:r>
            <w:r w:rsidRPr="00F25A60">
              <w:rPr>
                <w:color w:val="000000"/>
              </w:rPr>
              <w:t>): dny 1</w:t>
            </w:r>
            <w:r w:rsidRPr="00F25A60">
              <w:rPr>
                <w:color w:val="000000"/>
              </w:rPr>
              <w:noBreakHyphen/>
              <w:t>5; 29</w:t>
            </w:r>
            <w:r w:rsidRPr="00F25A60">
              <w:rPr>
                <w:color w:val="000000"/>
              </w:rPr>
              <w:noBreakHyphen/>
              <w:t>33</w:t>
            </w:r>
          </w:p>
          <w:p w14:paraId="1241119E" w14:textId="77777777" w:rsidR="00EA5993" w:rsidRPr="00F25A60" w:rsidRDefault="00EA5993" w:rsidP="0048111F">
            <w:pPr>
              <w:pStyle w:val="EndnoteText"/>
              <w:keepNext/>
              <w:rPr>
                <w:color w:val="000000"/>
              </w:rPr>
            </w:pPr>
            <w:r w:rsidRPr="00F25A60">
              <w:rPr>
                <w:color w:val="000000"/>
              </w:rPr>
              <w:t>6-MP (75 mg/m</w:t>
            </w:r>
            <w:r w:rsidRPr="00F25A60">
              <w:rPr>
                <w:color w:val="000000"/>
                <w:vertAlign w:val="superscript"/>
              </w:rPr>
              <w:t>2</w:t>
            </w:r>
            <w:r w:rsidRPr="00F25A60">
              <w:rPr>
                <w:color w:val="000000"/>
              </w:rPr>
              <w:t xml:space="preserve">/den, </w:t>
            </w:r>
            <w:r w:rsidR="004F264F" w:rsidRPr="00F25A60">
              <w:rPr>
                <w:color w:val="000000"/>
              </w:rPr>
              <w:t>p.o.</w:t>
            </w:r>
            <w:r w:rsidRPr="00F25A60">
              <w:rPr>
                <w:color w:val="000000"/>
              </w:rPr>
              <w:t>): dny 1</w:t>
            </w:r>
            <w:r w:rsidRPr="00F25A60">
              <w:rPr>
                <w:color w:val="000000"/>
              </w:rPr>
              <w:noBreakHyphen/>
              <w:t>56</w:t>
            </w:r>
          </w:p>
          <w:p w14:paraId="654D82DC" w14:textId="77777777" w:rsidR="00EA5993" w:rsidRPr="00F25A60" w:rsidRDefault="004F264F" w:rsidP="0048111F">
            <w:pPr>
              <w:pStyle w:val="EndnoteText"/>
              <w:keepNext/>
              <w:rPr>
                <w:color w:val="000000"/>
              </w:rPr>
            </w:pPr>
            <w:r w:rsidRPr="00F25A60">
              <w:rPr>
                <w:color w:val="000000"/>
              </w:rPr>
              <w:t>m</w:t>
            </w:r>
            <w:r w:rsidR="00EA5993" w:rsidRPr="00F25A60">
              <w:rPr>
                <w:color w:val="000000"/>
              </w:rPr>
              <w:t>ethotrexát (20 mg/m</w:t>
            </w:r>
            <w:r w:rsidR="00EA5993" w:rsidRPr="00F25A60">
              <w:rPr>
                <w:color w:val="000000"/>
                <w:vertAlign w:val="superscript"/>
              </w:rPr>
              <w:t>2</w:t>
            </w:r>
            <w:r w:rsidR="00EA5993" w:rsidRPr="00F25A60">
              <w:rPr>
                <w:color w:val="000000"/>
              </w:rPr>
              <w:t xml:space="preserve">/týden, </w:t>
            </w:r>
            <w:r w:rsidRPr="00F25A60">
              <w:rPr>
                <w:color w:val="000000"/>
              </w:rPr>
              <w:t>p.o.</w:t>
            </w:r>
            <w:r w:rsidR="00EA5993" w:rsidRPr="00F25A60">
              <w:rPr>
                <w:color w:val="000000"/>
              </w:rPr>
              <w:t>): dny 1, 8, 15, 22, 29, 36, 43, 50</w:t>
            </w:r>
          </w:p>
        </w:tc>
      </w:tr>
      <w:tr w:rsidR="00B424AB" w:rsidRPr="00F25A60" w14:paraId="5E68E543" w14:textId="77777777" w:rsidTr="00C52712">
        <w:trPr>
          <w:gridAfter w:val="1"/>
          <w:wAfter w:w="43" w:type="dxa"/>
          <w:cantSplit/>
          <w:ins w:id="352" w:author="Author"/>
        </w:trPr>
        <w:tc>
          <w:tcPr>
            <w:tcW w:w="9059" w:type="dxa"/>
            <w:gridSpan w:val="2"/>
          </w:tcPr>
          <w:p w14:paraId="111B4669" w14:textId="4E2443F3" w:rsidR="00B424AB" w:rsidRPr="006F7776" w:rsidRDefault="00B424AB" w:rsidP="0048111F">
            <w:pPr>
              <w:pStyle w:val="EndnoteText"/>
              <w:keepLines/>
              <w:rPr>
                <w:ins w:id="353" w:author="Author"/>
                <w:color w:val="000000"/>
                <w:sz w:val="20"/>
                <w:szCs w:val="20"/>
              </w:rPr>
            </w:pPr>
            <w:ins w:id="354" w:author="Author">
              <w:r w:rsidRPr="006F7776">
                <w:rPr>
                  <w:color w:val="000000"/>
                  <w:sz w:val="20"/>
                  <w:szCs w:val="20"/>
                </w:rPr>
                <w:t>G-CSF = stimulační faktor</w:t>
              </w:r>
              <w:r w:rsidRPr="006F7776">
                <w:rPr>
                  <w:sz w:val="20"/>
                  <w:szCs w:val="20"/>
                </w:rPr>
                <w:t xml:space="preserve"> pro granulocytární řadu leukocytů</w:t>
              </w:r>
              <w:r w:rsidRPr="006F7776">
                <w:rPr>
                  <w:color w:val="000000"/>
                  <w:sz w:val="20"/>
                  <w:szCs w:val="20"/>
                </w:rPr>
                <w:t>, VP-16 = etoposid, MTX = methotrexát, i.v. = intravenózní, s.c. = subkutánní, i.t. = intratekální, p.o. = perorální, i.m. = intramuskulární, ARA-C = cytarabin, CPM = cyklofosfamid, VCR = vinkristin, DEX = dexamethason, DAUN = daunorubicin, 6-MP = 6-merkaptopurin, E.Coli L-ASP = L-asparagináza, PEG-ASP = PEG asparagináza, MESNA= natrium-2-sulfanylethan -1- sulfonát, iii= nebo pokud je hladina MTX do &lt; 0,1 µM, q6h = každých 6 hodin, Gy= Gray</w:t>
              </w:r>
            </w:ins>
          </w:p>
        </w:tc>
      </w:tr>
    </w:tbl>
    <w:p w14:paraId="092883D3" w14:textId="345A172F" w:rsidR="00EA5993" w:rsidRPr="00F25A60" w:rsidDel="00B424AB" w:rsidRDefault="00EA5993" w:rsidP="0048111F">
      <w:pPr>
        <w:pStyle w:val="EndnoteText"/>
        <w:keepLines/>
        <w:rPr>
          <w:del w:id="355" w:author="Author"/>
          <w:color w:val="000000"/>
        </w:rPr>
      </w:pPr>
      <w:del w:id="356" w:author="Author">
        <w:r w:rsidRPr="00F25A60" w:rsidDel="00B424AB">
          <w:rPr>
            <w:color w:val="000000"/>
          </w:rPr>
          <w:delText xml:space="preserve">G-CSF = </w:delText>
        </w:r>
        <w:r w:rsidR="004F264F" w:rsidRPr="00F25A60" w:rsidDel="00B424AB">
          <w:rPr>
            <w:color w:val="000000"/>
          </w:rPr>
          <w:delText>stimulační faktor</w:delText>
        </w:r>
        <w:r w:rsidRPr="00F25A60" w:rsidDel="00B424AB">
          <w:delText xml:space="preserve"> pro granulocytární řadu leukocytů</w:delText>
        </w:r>
        <w:r w:rsidRPr="00F25A60" w:rsidDel="00B424AB">
          <w:rPr>
            <w:color w:val="000000"/>
          </w:rPr>
          <w:delText xml:space="preserve">, VP-16 = etoposid, MTX = methotrexát, </w:delText>
        </w:r>
        <w:r w:rsidR="004F264F" w:rsidRPr="00F25A60" w:rsidDel="00B424AB">
          <w:rPr>
            <w:color w:val="000000"/>
          </w:rPr>
          <w:delText xml:space="preserve">i.v. </w:delText>
        </w:r>
        <w:r w:rsidRPr="00F25A60" w:rsidDel="00B424AB">
          <w:rPr>
            <w:color w:val="000000"/>
          </w:rPr>
          <w:delText xml:space="preserve">= intravenózní, </w:delText>
        </w:r>
        <w:r w:rsidR="004F264F" w:rsidRPr="00F25A60" w:rsidDel="00B424AB">
          <w:rPr>
            <w:color w:val="000000"/>
          </w:rPr>
          <w:delText xml:space="preserve">s.c. </w:delText>
        </w:r>
        <w:r w:rsidRPr="00F25A60" w:rsidDel="00B424AB">
          <w:rPr>
            <w:color w:val="000000"/>
          </w:rPr>
          <w:delText xml:space="preserve">= subkutánní, </w:delText>
        </w:r>
        <w:r w:rsidR="004F264F" w:rsidRPr="00F25A60" w:rsidDel="00B424AB">
          <w:rPr>
            <w:color w:val="000000"/>
          </w:rPr>
          <w:delText xml:space="preserve">i.t. </w:delText>
        </w:r>
        <w:r w:rsidRPr="00F25A60" w:rsidDel="00B424AB">
          <w:rPr>
            <w:color w:val="000000"/>
          </w:rPr>
          <w:delText xml:space="preserve">= intratekální, </w:delText>
        </w:r>
        <w:r w:rsidR="004F264F" w:rsidRPr="00F25A60" w:rsidDel="00B424AB">
          <w:rPr>
            <w:color w:val="000000"/>
          </w:rPr>
          <w:delText xml:space="preserve">p.o. </w:delText>
        </w:r>
        <w:r w:rsidRPr="00F25A60" w:rsidDel="00B424AB">
          <w:rPr>
            <w:color w:val="000000"/>
          </w:rPr>
          <w:delText xml:space="preserve">= perorální, </w:delText>
        </w:r>
        <w:r w:rsidR="004F264F" w:rsidRPr="00F25A60" w:rsidDel="00B424AB">
          <w:rPr>
            <w:color w:val="000000"/>
          </w:rPr>
          <w:delText xml:space="preserve">i.m. </w:delText>
        </w:r>
        <w:r w:rsidRPr="00F25A60" w:rsidDel="00B424AB">
          <w:rPr>
            <w:color w:val="000000"/>
          </w:rPr>
          <w:delText>= intramuskulární, ARA-C = cytarabin, CPM = cyklofosfamid, VCR = vinkristin, DEX = dexamethason, DAUN = daunorubicin, 6-MP = 6-merkaptopurin, E.Coli L-ASP = L-asparagináza, PEG-ASP = PEG asparagináza, MESNA= natrium-2-sulfanylethan -1- sulfonát, iii= nebo pokud je hladina MTX do &lt; 0,1 µM, q6h = každých 6 hodin, Gy= Gray</w:delText>
        </w:r>
      </w:del>
    </w:p>
    <w:p w14:paraId="7255F32A" w14:textId="77777777" w:rsidR="00EA5993" w:rsidRPr="00F25A60" w:rsidRDefault="00EA5993" w:rsidP="0048111F">
      <w:pPr>
        <w:pStyle w:val="EndnoteText"/>
        <w:jc w:val="both"/>
        <w:rPr>
          <w:color w:val="000000"/>
          <w:sz w:val="20"/>
        </w:rPr>
      </w:pPr>
    </w:p>
    <w:p w14:paraId="665E9754" w14:textId="77777777" w:rsidR="00EA5993" w:rsidRPr="00F25A60" w:rsidRDefault="00EA5993" w:rsidP="0048111F">
      <w:pPr>
        <w:pStyle w:val="EndnoteText"/>
        <w:rPr>
          <w:color w:val="000000"/>
        </w:rPr>
      </w:pPr>
      <w:r w:rsidRPr="00F25A60">
        <w:rPr>
          <w:color w:val="000000"/>
        </w:rPr>
        <w:t>Studie AIT07 byla multicentrická, otevřená, randomizovaná studie fáze II/III, do které bylo zahrnuto 128 pacientů (1 mladší 18 let věku) léčených imatinibem v kombinaci s chemoterapií. Bezpečnostní data z této studie se zdají být v souladu s bezpečnostním profilem imatinibu u Ph+ ALL pacientů.</w:t>
      </w:r>
    </w:p>
    <w:p w14:paraId="55E06222" w14:textId="77777777" w:rsidR="00EA5993" w:rsidRPr="00F25A60" w:rsidRDefault="00EA5993" w:rsidP="0048111F">
      <w:pPr>
        <w:pStyle w:val="EndnoteText"/>
      </w:pPr>
    </w:p>
    <w:p w14:paraId="6BDA525F" w14:textId="69AB11C9" w:rsidR="00DF45EE" w:rsidRPr="00F25A60" w:rsidRDefault="00EA5993" w:rsidP="0048111F">
      <w:pPr>
        <w:pStyle w:val="Text"/>
        <w:keepNext/>
        <w:spacing w:before="0"/>
        <w:jc w:val="left"/>
        <w:rPr>
          <w:color w:val="000000"/>
          <w:sz w:val="22"/>
          <w:szCs w:val="22"/>
          <w:lang w:val="cs-CZ"/>
        </w:rPr>
      </w:pPr>
      <w:r w:rsidRPr="00F25A60">
        <w:rPr>
          <w:i/>
          <w:iCs/>
          <w:color w:val="000000"/>
          <w:sz w:val="22"/>
          <w:szCs w:val="22"/>
          <w:u w:val="single"/>
          <w:lang w:val="cs-CZ"/>
        </w:rPr>
        <w:t xml:space="preserve">Recidivující/refrakterní Ph+ </w:t>
      </w:r>
      <w:smartTag w:uri="urn:schemas-microsoft-com:office:smarttags" w:element="stockticker">
        <w:r w:rsidRPr="00F25A60">
          <w:rPr>
            <w:i/>
            <w:iCs/>
            <w:color w:val="000000"/>
            <w:sz w:val="22"/>
            <w:szCs w:val="22"/>
            <w:u w:val="single"/>
            <w:lang w:val="cs-CZ"/>
          </w:rPr>
          <w:t>ALL</w:t>
        </w:r>
      </w:smartTag>
    </w:p>
    <w:p w14:paraId="1C218C6B" w14:textId="30F72F5E" w:rsidR="00EA5993" w:rsidRPr="00F25A60" w:rsidRDefault="00EA5993" w:rsidP="0048111F">
      <w:pPr>
        <w:pStyle w:val="Text"/>
        <w:spacing w:before="0"/>
        <w:jc w:val="left"/>
        <w:rPr>
          <w:color w:val="000000"/>
          <w:sz w:val="22"/>
          <w:szCs w:val="22"/>
          <w:lang w:val="cs-CZ"/>
        </w:rPr>
      </w:pPr>
      <w:r w:rsidRPr="00F25A60">
        <w:rPr>
          <w:color w:val="000000"/>
          <w:sz w:val="22"/>
          <w:szCs w:val="22"/>
          <w:lang w:val="cs-CZ"/>
        </w:rPr>
        <w:t xml:space="preserve">Při podávání imatinibu v monoterapii pacientům s recidivující/refrakterní Ph+ </w:t>
      </w:r>
      <w:smartTag w:uri="urn:schemas-microsoft-com:office:smarttags" w:element="stockticker">
        <w:r w:rsidRPr="00F25A60">
          <w:rPr>
            <w:color w:val="000000"/>
            <w:sz w:val="22"/>
            <w:szCs w:val="22"/>
            <w:lang w:val="cs-CZ"/>
          </w:rPr>
          <w:t>ALL</w:t>
        </w:r>
      </w:smartTag>
      <w:r w:rsidRPr="00F25A60">
        <w:rPr>
          <w:color w:val="000000"/>
          <w:sz w:val="22"/>
          <w:szCs w:val="22"/>
          <w:lang w:val="cs-CZ"/>
        </w:rPr>
        <w:t>, bylo dosaženo ve skupině 53 hodnotitelných pacientů z celkového počtu 411 pacientů hematologické odpovědi ve 30</w:t>
      </w:r>
      <w:r w:rsidR="00FC57C0" w:rsidRPr="00F25A60">
        <w:rPr>
          <w:color w:val="000000"/>
          <w:sz w:val="22"/>
          <w:szCs w:val="22"/>
          <w:lang w:val="cs-CZ"/>
        </w:rPr>
        <w:t> </w:t>
      </w:r>
      <w:r w:rsidRPr="00F25A60">
        <w:rPr>
          <w:color w:val="000000"/>
          <w:sz w:val="22"/>
          <w:szCs w:val="22"/>
          <w:lang w:val="cs-CZ"/>
        </w:rPr>
        <w:t>% (v 9</w:t>
      </w:r>
      <w:r w:rsidR="00FC57C0" w:rsidRPr="00F25A60">
        <w:rPr>
          <w:color w:val="000000"/>
          <w:sz w:val="22"/>
          <w:szCs w:val="22"/>
          <w:lang w:val="cs-CZ"/>
        </w:rPr>
        <w:t> </w:t>
      </w:r>
      <w:r w:rsidRPr="00F25A60">
        <w:rPr>
          <w:color w:val="000000"/>
          <w:sz w:val="22"/>
          <w:szCs w:val="22"/>
          <w:lang w:val="cs-CZ"/>
        </w:rPr>
        <w:t>% kompletní) a velké cytogenetické odpovědi ve 23</w:t>
      </w:r>
      <w:r w:rsidR="00FC57C0" w:rsidRPr="00F25A60">
        <w:rPr>
          <w:color w:val="000000"/>
          <w:sz w:val="22"/>
          <w:szCs w:val="22"/>
          <w:lang w:val="cs-CZ"/>
        </w:rPr>
        <w:t> </w:t>
      </w:r>
      <w:r w:rsidRPr="00F25A60">
        <w:rPr>
          <w:color w:val="000000"/>
          <w:sz w:val="22"/>
          <w:szCs w:val="22"/>
          <w:lang w:val="cs-CZ"/>
        </w:rPr>
        <w:t>%. (Upozornění – z celkového počtu 411 pacientů bylo 353 pacientů léčeno v rámci programu rozšířeného přístupu k léčbě bez sběru dat primární odpovědi)</w:t>
      </w:r>
      <w:r w:rsidR="004F264F" w:rsidRPr="00F25A60">
        <w:rPr>
          <w:color w:val="000000"/>
          <w:sz w:val="22"/>
          <w:szCs w:val="22"/>
          <w:lang w:val="cs-CZ"/>
        </w:rPr>
        <w:t xml:space="preserve">. </w:t>
      </w:r>
      <w:r w:rsidRPr="00F25A60">
        <w:rPr>
          <w:color w:val="000000"/>
          <w:sz w:val="22"/>
          <w:szCs w:val="22"/>
          <w:lang w:val="cs-CZ"/>
        </w:rPr>
        <w:t>Medián trvání doby do progrese u celkové populace 411 pacientů s</w:t>
      </w:r>
      <w:ins w:id="357" w:author="Author">
        <w:r w:rsidR="009274D5" w:rsidRPr="00F25A60">
          <w:rPr>
            <w:color w:val="000000"/>
          </w:rPr>
          <w:t> </w:t>
        </w:r>
      </w:ins>
      <w:del w:id="358" w:author="Author">
        <w:r w:rsidRPr="00F25A60" w:rsidDel="009274D5">
          <w:rPr>
            <w:color w:val="000000"/>
            <w:sz w:val="22"/>
            <w:szCs w:val="22"/>
            <w:lang w:val="cs-CZ"/>
          </w:rPr>
          <w:delText xml:space="preserve"> </w:delText>
        </w:r>
      </w:del>
      <w:r w:rsidRPr="00F25A60">
        <w:rPr>
          <w:color w:val="000000"/>
          <w:sz w:val="22"/>
          <w:szCs w:val="22"/>
          <w:lang w:val="cs-CZ"/>
        </w:rPr>
        <w:t xml:space="preserve">recidivující/refrakterní Ph+ </w:t>
      </w:r>
      <w:smartTag w:uri="urn:schemas-microsoft-com:office:smarttags" w:element="stockticker">
        <w:r w:rsidRPr="00F25A60">
          <w:rPr>
            <w:color w:val="000000"/>
            <w:sz w:val="22"/>
            <w:szCs w:val="22"/>
            <w:lang w:val="cs-CZ"/>
          </w:rPr>
          <w:t>ALL</w:t>
        </w:r>
      </w:smartTag>
      <w:r w:rsidRPr="00F25A60">
        <w:rPr>
          <w:color w:val="000000"/>
          <w:sz w:val="22"/>
          <w:szCs w:val="22"/>
          <w:lang w:val="cs-CZ"/>
        </w:rPr>
        <w:t xml:space="preserve"> byl v rozmezí mezi 2,6 až 3,1 měsíců, medián doby celkového přežití u 401 hodnotitelných pacientů byl v rozmezí od 4,9 do 9 měsíců. Údaje byly podobné, když byly znovu analyzovány po zahrnutí pouze pacientů ve věku 55 let a starších.</w:t>
      </w:r>
    </w:p>
    <w:p w14:paraId="4E14A516" w14:textId="77777777" w:rsidR="00EA5993" w:rsidRPr="00F25A60" w:rsidRDefault="00EA5993" w:rsidP="0048111F">
      <w:pPr>
        <w:pStyle w:val="EndnoteText"/>
        <w:tabs>
          <w:tab w:val="clear" w:pos="567"/>
        </w:tabs>
        <w:rPr>
          <w:color w:val="000000"/>
        </w:rPr>
      </w:pPr>
    </w:p>
    <w:p w14:paraId="090E0A06" w14:textId="740E103E" w:rsidR="00EA5993" w:rsidRPr="00F25A60" w:rsidRDefault="00EA5993" w:rsidP="0048111F">
      <w:pPr>
        <w:pStyle w:val="EndnoteText"/>
        <w:keepNext/>
        <w:rPr>
          <w:color w:val="000000"/>
          <w:u w:val="single"/>
        </w:rPr>
      </w:pPr>
      <w:r w:rsidRPr="00F25A60">
        <w:rPr>
          <w:color w:val="000000"/>
          <w:u w:val="single"/>
        </w:rPr>
        <w:t xml:space="preserve">Klinické studie u </w:t>
      </w:r>
      <w:smartTag w:uri="urn:schemas-microsoft-com:office:smarttags" w:element="stockticker">
        <w:r w:rsidRPr="00F25A60">
          <w:rPr>
            <w:color w:val="000000"/>
            <w:u w:val="single"/>
          </w:rPr>
          <w:t>MDS</w:t>
        </w:r>
      </w:smartTag>
      <w:r w:rsidRPr="00F25A60">
        <w:rPr>
          <w:color w:val="000000"/>
          <w:u w:val="single"/>
        </w:rPr>
        <w:t>/MPD</w:t>
      </w:r>
    </w:p>
    <w:p w14:paraId="5A920C6A" w14:textId="77777777" w:rsidR="00DF45EE" w:rsidRPr="00F25A60" w:rsidRDefault="00DF45EE" w:rsidP="0048111F">
      <w:pPr>
        <w:pStyle w:val="EndnoteText"/>
        <w:keepNext/>
        <w:rPr>
          <w:color w:val="000000"/>
        </w:rPr>
      </w:pPr>
    </w:p>
    <w:p w14:paraId="7AA3312A" w14:textId="77777777" w:rsidR="00233F9A" w:rsidRPr="00F25A60" w:rsidRDefault="00EA5993" w:rsidP="0048111F">
      <w:pPr>
        <w:pStyle w:val="EndnoteText"/>
        <w:rPr>
          <w:color w:val="000000"/>
        </w:rPr>
      </w:pPr>
      <w:r w:rsidRPr="00F25A60">
        <w:rPr>
          <w:color w:val="000000"/>
        </w:rPr>
        <w:t xml:space="preserve">Zkušenosti s Glivecem v této indikaci jsou velmi omezené a jsou založené na míře hematologické a cytogenetické odpovědi. Neexistují žádné kontrolované studie, které by prokázaly klinický prospěch nebo zvýšené přežití. </w:t>
      </w:r>
      <w:r w:rsidRPr="00F25A60">
        <w:rPr>
          <w:rFonts w:eastAsia="MS Mincho"/>
          <w:color w:val="000000"/>
        </w:rPr>
        <w:t>V otevřené, multicentrické klinické studii fáze II (stud</w:t>
      </w:r>
      <w:r w:rsidR="004F264F" w:rsidRPr="00F25A60">
        <w:rPr>
          <w:rFonts w:eastAsia="MS Mincho"/>
          <w:color w:val="000000"/>
        </w:rPr>
        <w:t>ie</w:t>
      </w:r>
      <w:r w:rsidRPr="00F25A60">
        <w:rPr>
          <w:rFonts w:eastAsia="MS Mincho"/>
          <w:color w:val="000000"/>
        </w:rPr>
        <w:t xml:space="preserve"> B2225) byl Glivec zkoušen u různých populací pacientů s život ohrožujícími onemocněními spojenými s</w:t>
      </w:r>
      <w:r w:rsidRPr="00F25A60">
        <w:rPr>
          <w:color w:val="000000"/>
        </w:rPr>
        <w:t> </w:t>
      </w:r>
      <w:r w:rsidRPr="00F25A60">
        <w:rPr>
          <w:rFonts w:eastAsia="MS Mincho"/>
          <w:color w:val="000000"/>
        </w:rPr>
        <w:t>aktivitou Abl, Kit nebo PDGFR tyrosinkináz.</w:t>
      </w:r>
      <w:r w:rsidRPr="00F25A60">
        <w:rPr>
          <w:color w:val="000000"/>
        </w:rPr>
        <w:t xml:space="preserve"> Do této studie bylo zařazeno 7 pacientů s </w:t>
      </w:r>
      <w:smartTag w:uri="urn:schemas-microsoft-com:office:smarttags" w:element="stockticker">
        <w:r w:rsidRPr="00F25A60">
          <w:rPr>
            <w:color w:val="000000"/>
          </w:rPr>
          <w:t>MDS</w:t>
        </w:r>
      </w:smartTag>
      <w:r w:rsidRPr="00F25A60">
        <w:rPr>
          <w:color w:val="000000"/>
        </w:rPr>
        <w:t>/MPD, kteří byli léčeni Glivecem 400 mg denně. U tří pacientů byla přítomna kompletní hematologická odpověď (</w:t>
      </w:r>
      <w:smartTag w:uri="urn:schemas-microsoft-com:office:smarttags" w:element="stockticker">
        <w:r w:rsidRPr="00F25A60">
          <w:rPr>
            <w:color w:val="000000"/>
          </w:rPr>
          <w:t>CHR</w:t>
        </w:r>
      </w:smartTag>
      <w:r w:rsidRPr="00F25A60">
        <w:rPr>
          <w:color w:val="000000"/>
        </w:rPr>
        <w:t>) a jeden pacient dosáhl parciální hematologické odpovědi (</w:t>
      </w:r>
      <w:smartTag w:uri="urn:schemas-microsoft-com:office:smarttags" w:element="stockticker">
        <w:r w:rsidRPr="00F25A60">
          <w:rPr>
            <w:color w:val="000000"/>
          </w:rPr>
          <w:t>PHR</w:t>
        </w:r>
      </w:smartTag>
      <w:r w:rsidRPr="00F25A60">
        <w:rPr>
          <w:color w:val="000000"/>
        </w:rPr>
        <w:t>). V době původní analýzy tři ze čtyř pacientů s detekovanými mutacemi genu PDGFR dosáhli hematologické odpovědi (2 </w:t>
      </w:r>
      <w:smartTag w:uri="urn:schemas-microsoft-com:office:smarttags" w:element="stockticker">
        <w:r w:rsidRPr="00F25A60">
          <w:rPr>
            <w:color w:val="000000"/>
          </w:rPr>
          <w:t>CHR</w:t>
        </w:r>
      </w:smartTag>
      <w:r w:rsidRPr="00F25A60">
        <w:rPr>
          <w:color w:val="000000"/>
        </w:rPr>
        <w:t xml:space="preserve"> a 1 </w:t>
      </w:r>
      <w:smartTag w:uri="urn:schemas-microsoft-com:office:smarttags" w:element="stockticker">
        <w:r w:rsidRPr="00F25A60">
          <w:rPr>
            <w:color w:val="000000"/>
          </w:rPr>
          <w:t>PHR</w:t>
        </w:r>
      </w:smartTag>
      <w:r w:rsidRPr="00F25A60">
        <w:rPr>
          <w:color w:val="000000"/>
        </w:rPr>
        <w:t>). Věk těchto pacientů byl v rozmezí od 20 do 72 let.</w:t>
      </w:r>
    </w:p>
    <w:p w14:paraId="61A1FFCF" w14:textId="77777777" w:rsidR="00233F9A" w:rsidRPr="00F25A60" w:rsidRDefault="00233F9A" w:rsidP="0048111F">
      <w:pPr>
        <w:pStyle w:val="EndnoteText"/>
        <w:rPr>
          <w:color w:val="000000"/>
        </w:rPr>
      </w:pPr>
    </w:p>
    <w:p w14:paraId="1EDF833D" w14:textId="77777777" w:rsidR="00233F9A" w:rsidRPr="00F25A60" w:rsidRDefault="00233F9A" w:rsidP="0048111F">
      <w:pPr>
        <w:pStyle w:val="EndnoteText"/>
        <w:rPr>
          <w:color w:val="000000"/>
        </w:rPr>
      </w:pPr>
      <w:r w:rsidRPr="00F25A60">
        <w:rPr>
          <w:color w:val="000000"/>
        </w:rPr>
        <w:t>Observační registr (studie L2401) byl proveden s cílem shromáždit data týkající se dlouhodobé bezpečnosti a účinnosti u pacientů trpících myeloproliferativním onemocněním s přestavbou PDGFR</w:t>
      </w:r>
      <w:r w:rsidRPr="00F25A60">
        <w:rPr>
          <w:rFonts w:eastAsia="TimesNewRoman"/>
        </w:rPr>
        <w:t>- β</w:t>
      </w:r>
      <w:r w:rsidRPr="00F25A60">
        <w:t>, kteří byli léčeni přípravkem Glivec. Všech 23 pacientů zařazených do registru bylo léčeno přípravkem Glivec s mediánem denní dávky 264 mg (rozmezí: 100 až 400 mg) v průměru po dobu 7,2 let (rozmezí 0,1 až 12,7 let). Vzhledem k observační povaze registru byly k dispozici hodnoty hematologické získané od 22, cytogenetické od 9 a molekulární od 17 z 23 zařazených pacientů. Za konzervativního předpokladu, že pacienti s chybějícími údaji byli pacienti neodpovídající na léčbu, CHR byla pozorována u 20/23 (87 %) pacientů, CCyR u 9/23 (39,1 %) pacientů a MR u 11/23 (47,8 %) pacientů. Jeli míra odpovědi vztažena na pacienty s alespoň jedním platným údajem, četnost odpovědí pro CHR je 20/22 (90,9 %), pro CCyR 9/9 (100 %) a pro MR 11/17 (64,7 %).</w:t>
      </w:r>
    </w:p>
    <w:p w14:paraId="7FBA893B" w14:textId="77777777" w:rsidR="00233F9A" w:rsidRPr="00F25A60" w:rsidRDefault="00233F9A" w:rsidP="0048111F">
      <w:pPr>
        <w:pStyle w:val="EndnoteText"/>
        <w:rPr>
          <w:color w:val="000000"/>
        </w:rPr>
      </w:pPr>
    </w:p>
    <w:p w14:paraId="322FA6FA" w14:textId="48209445" w:rsidR="00EA5993" w:rsidRPr="00F25A60" w:rsidRDefault="00EA5993" w:rsidP="0048111F">
      <w:pPr>
        <w:pStyle w:val="EndnoteText"/>
        <w:rPr>
          <w:color w:val="000000"/>
          <w:u w:val="single"/>
        </w:rPr>
      </w:pPr>
      <w:r w:rsidRPr="00F25A60">
        <w:rPr>
          <w:color w:val="000000"/>
        </w:rPr>
        <w:t>Ve 13 publikacích bylo hlášeno dalších 24 pacientů s </w:t>
      </w:r>
      <w:smartTag w:uri="urn:schemas-microsoft-com:office:smarttags" w:element="stockticker">
        <w:r w:rsidRPr="00F25A60">
          <w:rPr>
            <w:color w:val="000000"/>
          </w:rPr>
          <w:t>MDS</w:t>
        </w:r>
      </w:smartTag>
      <w:r w:rsidRPr="00F25A60">
        <w:rPr>
          <w:color w:val="000000"/>
        </w:rPr>
        <w:t>/MPD. 21 pacientů bylo léčeno Glivecem 400 mg denně, zatímco další 3 pacienti byli léčeni nižšími dávkami. U 11 pacientů byl</w:t>
      </w:r>
      <w:ins w:id="359" w:author="Author">
        <w:r w:rsidR="001F3A9A">
          <w:rPr>
            <w:color w:val="000000"/>
          </w:rPr>
          <w:t>y</w:t>
        </w:r>
      </w:ins>
      <w:del w:id="360" w:author="Author">
        <w:r w:rsidRPr="00F25A60" w:rsidDel="001F3A9A">
          <w:rPr>
            <w:color w:val="000000"/>
          </w:rPr>
          <w:delText>a</w:delText>
        </w:r>
      </w:del>
      <w:r w:rsidRPr="00F25A60">
        <w:rPr>
          <w:color w:val="000000"/>
        </w:rPr>
        <w:t xml:space="preserve"> zjištěn</w:t>
      </w:r>
      <w:ins w:id="361" w:author="Author">
        <w:r w:rsidR="001F3A9A">
          <w:rPr>
            <w:color w:val="000000"/>
          </w:rPr>
          <w:t>y</w:t>
        </w:r>
      </w:ins>
      <w:del w:id="362" w:author="Author">
        <w:r w:rsidRPr="00F25A60" w:rsidDel="001F3A9A">
          <w:rPr>
            <w:color w:val="000000"/>
          </w:rPr>
          <w:delText>a</w:delText>
        </w:r>
      </w:del>
      <w:r w:rsidRPr="00F25A60">
        <w:rPr>
          <w:color w:val="000000"/>
        </w:rPr>
        <w:t> </w:t>
      </w:r>
      <w:ins w:id="363" w:author="Author">
        <w:r w:rsidR="00DC7E6E">
          <w:rPr>
            <w:color w:val="000000"/>
          </w:rPr>
          <w:t>přestavby</w:t>
        </w:r>
      </w:ins>
      <w:del w:id="364" w:author="Author">
        <w:r w:rsidRPr="00F25A60" w:rsidDel="00DC7E6E">
          <w:rPr>
            <w:color w:val="000000"/>
          </w:rPr>
          <w:delText>změn</w:delText>
        </w:r>
        <w:r w:rsidRPr="00F25A60" w:rsidDel="001F3A9A">
          <w:rPr>
            <w:color w:val="000000"/>
          </w:rPr>
          <w:delText>a</w:delText>
        </w:r>
      </w:del>
      <w:r w:rsidRPr="00F25A60">
        <w:rPr>
          <w:color w:val="000000"/>
        </w:rPr>
        <w:t xml:space="preserve"> genu PDGFR, 9 z nich dosáhlo </w:t>
      </w:r>
      <w:smartTag w:uri="urn:schemas-microsoft-com:office:smarttags" w:element="stockticker">
        <w:r w:rsidRPr="00F25A60">
          <w:rPr>
            <w:color w:val="000000"/>
          </w:rPr>
          <w:t>CHR</w:t>
        </w:r>
      </w:smartTag>
      <w:r w:rsidRPr="00F25A60">
        <w:rPr>
          <w:color w:val="000000"/>
        </w:rPr>
        <w:t xml:space="preserve"> a 1 </w:t>
      </w:r>
      <w:smartTag w:uri="urn:schemas-microsoft-com:office:smarttags" w:element="stockticker">
        <w:r w:rsidRPr="00F25A60">
          <w:rPr>
            <w:color w:val="000000"/>
          </w:rPr>
          <w:t>PHR</w:t>
        </w:r>
      </w:smartTag>
      <w:r w:rsidRPr="00F25A60">
        <w:rPr>
          <w:color w:val="000000"/>
        </w:rPr>
        <w:t>. Věk těchto pacientů byl v rozmezí od 2 do 79 let. V poslední uveřejněné aktualizované informaci bylo uvedeno, že 6 z těchto 11 pacientů zůstalo v cytogenetické remisi (v rozmezí 32</w:t>
      </w:r>
      <w:r w:rsidRPr="00F25A60">
        <w:rPr>
          <w:color w:val="000000"/>
        </w:rPr>
        <w:noBreakHyphen/>
        <w:t>38 měsíců). Ve stejné publikaci byly uvedeny údaje dlouhodobého sledování 12 pacientů s </w:t>
      </w:r>
      <w:smartTag w:uri="urn:schemas-microsoft-com:office:smarttags" w:element="stockticker">
        <w:r w:rsidRPr="00F25A60">
          <w:rPr>
            <w:color w:val="000000"/>
          </w:rPr>
          <w:t>MDS</w:t>
        </w:r>
      </w:smartTag>
      <w:r w:rsidRPr="00F25A60">
        <w:rPr>
          <w:color w:val="000000"/>
        </w:rPr>
        <w:t xml:space="preserve">/MPD s mutací genu PDGFR (5 pacientů ze studie B2225). Tito pacienti byli léčeni Glivecem v mediánu 47 měsíců (v rozmezí 24 dnů – 60 měsíců). U 6 pacientů přesáhlo nyní sledování 4 roky. Jedenáct pacientů dosáhlo rychlé </w:t>
      </w:r>
      <w:smartTag w:uri="urn:schemas-microsoft-com:office:smarttags" w:element="stockticker">
        <w:r w:rsidRPr="00F25A60">
          <w:rPr>
            <w:color w:val="000000"/>
          </w:rPr>
          <w:t>CHR</w:t>
        </w:r>
      </w:smartTag>
      <w:r w:rsidRPr="00F25A60">
        <w:rPr>
          <w:color w:val="000000"/>
        </w:rPr>
        <w:t>; deset dosáhlo kompletního vymizení cytogenetických abnormalit a dle měření RT-</w:t>
      </w:r>
      <w:smartTag w:uri="urn:schemas-microsoft-com:office:smarttags" w:element="stockticker">
        <w:r w:rsidRPr="00F25A60">
          <w:rPr>
            <w:color w:val="000000"/>
          </w:rPr>
          <w:t>PCR</w:t>
        </w:r>
      </w:smartTag>
      <w:r w:rsidRPr="00F25A60">
        <w:rPr>
          <w:color w:val="000000"/>
        </w:rPr>
        <w:t xml:space="preserve"> snížení nebo vymizení fúzních transkriptů. Hematologické odpovědi byly zachovány v mediánu 49 měsíců (v rozmezí 19</w:t>
      </w:r>
      <w:r w:rsidRPr="00F25A60">
        <w:rPr>
          <w:color w:val="000000"/>
        </w:rPr>
        <w:noBreakHyphen/>
        <w:t>60) a cytogenetické odpovědi v mediánu 47 měsíců (v rozmezí 16</w:t>
      </w:r>
      <w:r w:rsidRPr="00F25A60">
        <w:rPr>
          <w:color w:val="000000"/>
        </w:rPr>
        <w:noBreakHyphen/>
        <w:t>59). Celkové přežití bylo 65 měsíců od stanovení diagnózy (v rozmezí 25</w:t>
      </w:r>
      <w:r w:rsidRPr="00F25A60">
        <w:rPr>
          <w:color w:val="000000"/>
        </w:rPr>
        <w:noBreakHyphen/>
        <w:t>234). Podávání Glivecu pacientům bez genetické translokace obecně nevede k žádnému zlepšení.</w:t>
      </w:r>
    </w:p>
    <w:p w14:paraId="6925991D" w14:textId="77777777" w:rsidR="00EA5993" w:rsidRPr="00F25A60" w:rsidRDefault="00EA5993" w:rsidP="0048111F">
      <w:pPr>
        <w:pStyle w:val="EndnoteText"/>
        <w:tabs>
          <w:tab w:val="clear" w:pos="567"/>
        </w:tabs>
        <w:rPr>
          <w:color w:val="000000"/>
        </w:rPr>
      </w:pPr>
    </w:p>
    <w:p w14:paraId="626FD4A2" w14:textId="77777777" w:rsidR="00EA5993" w:rsidRPr="00F25A60" w:rsidRDefault="00EA5993" w:rsidP="0048111F">
      <w:pPr>
        <w:pStyle w:val="EndnoteText"/>
        <w:tabs>
          <w:tab w:val="clear" w:pos="567"/>
        </w:tabs>
        <w:rPr>
          <w:color w:val="000000"/>
        </w:rPr>
      </w:pPr>
      <w:r w:rsidRPr="00F25A60">
        <w:rPr>
          <w:color w:val="000000"/>
        </w:rPr>
        <w:t>U pediatrických pacientů s MDS/MPD nebyly provedeny kontrolované klinické studie. Ve 4 publikacích bylo hlášeno pět (5) pacientů s MDS/MPD spojenými s přestavbou genu PDGFR. Věk těchto pacientů se pohyboval v rozmezí 3 měsíce až 4 roky a imatinib byl podáván v dávce 50 mg denně nebo v dávkách v rozmezí 92,5 až 340 mg/m</w:t>
      </w:r>
      <w:r w:rsidRPr="00F25A60">
        <w:rPr>
          <w:color w:val="000000"/>
          <w:vertAlign w:val="superscript"/>
        </w:rPr>
        <w:t>2</w:t>
      </w:r>
      <w:r w:rsidRPr="00F25A60">
        <w:rPr>
          <w:color w:val="000000"/>
        </w:rPr>
        <w:t xml:space="preserve"> denně. Všichni pacienti dosáhli kompletní hematologické odpovědi, cytogenetické odpovědi a/nebo klinické odpovědi.</w:t>
      </w:r>
    </w:p>
    <w:p w14:paraId="773D48A7" w14:textId="77777777" w:rsidR="00EA5993" w:rsidRPr="00F25A60" w:rsidRDefault="00EA5993" w:rsidP="0048111F">
      <w:pPr>
        <w:pStyle w:val="EndnoteText"/>
        <w:rPr>
          <w:color w:val="000000"/>
          <w:u w:val="single"/>
        </w:rPr>
      </w:pPr>
    </w:p>
    <w:p w14:paraId="05192DE6" w14:textId="7E158C79" w:rsidR="00EA5993" w:rsidRPr="00F25A60" w:rsidRDefault="00EA5993" w:rsidP="0048111F">
      <w:pPr>
        <w:pStyle w:val="EndnoteText"/>
        <w:keepNext/>
        <w:tabs>
          <w:tab w:val="clear" w:pos="567"/>
        </w:tabs>
        <w:rPr>
          <w:color w:val="000000"/>
          <w:u w:val="single"/>
        </w:rPr>
      </w:pPr>
      <w:r w:rsidRPr="00F25A60">
        <w:rPr>
          <w:color w:val="000000"/>
          <w:u w:val="single"/>
        </w:rPr>
        <w:t>Klinické studie u HES/</w:t>
      </w:r>
      <w:smartTag w:uri="urn:schemas-microsoft-com:office:smarttags" w:element="stockticker">
        <w:r w:rsidRPr="00F25A60">
          <w:rPr>
            <w:color w:val="000000"/>
            <w:u w:val="single"/>
          </w:rPr>
          <w:t>CEL</w:t>
        </w:r>
      </w:smartTag>
    </w:p>
    <w:p w14:paraId="1BBB09C7" w14:textId="77777777" w:rsidR="00DF45EE" w:rsidRPr="00F25A60" w:rsidRDefault="00DF45EE" w:rsidP="0048111F">
      <w:pPr>
        <w:pStyle w:val="EndnoteText"/>
        <w:keepNext/>
        <w:tabs>
          <w:tab w:val="clear" w:pos="567"/>
        </w:tabs>
        <w:rPr>
          <w:color w:val="000000"/>
        </w:rPr>
      </w:pPr>
    </w:p>
    <w:p w14:paraId="32029484" w14:textId="77777777" w:rsidR="00EA5993" w:rsidRPr="00F25A60" w:rsidRDefault="00EA5993" w:rsidP="0048111F">
      <w:pPr>
        <w:pStyle w:val="Text"/>
        <w:spacing w:before="0"/>
        <w:jc w:val="left"/>
        <w:rPr>
          <w:color w:val="000000"/>
          <w:sz w:val="22"/>
          <w:szCs w:val="22"/>
          <w:lang w:val="cs-CZ"/>
        </w:rPr>
      </w:pPr>
      <w:r w:rsidRPr="00F25A60">
        <w:rPr>
          <w:rFonts w:eastAsia="MS Mincho"/>
          <w:color w:val="000000"/>
          <w:sz w:val="22"/>
          <w:szCs w:val="22"/>
          <w:lang w:val="cs-CZ"/>
        </w:rPr>
        <w:t>V otevřené, multicentrické klinické studii fáze II (studie B2225) byl Glivec zkoušen u různých populací pacientů s život ohrožujícími onemocněními spojenými s</w:t>
      </w:r>
      <w:r w:rsidRPr="00F25A60">
        <w:rPr>
          <w:color w:val="000000"/>
          <w:lang w:val="cs-CZ"/>
        </w:rPr>
        <w:t> </w:t>
      </w:r>
      <w:r w:rsidRPr="00F25A60">
        <w:rPr>
          <w:rFonts w:eastAsia="MS Mincho"/>
          <w:color w:val="000000"/>
          <w:sz w:val="22"/>
          <w:szCs w:val="22"/>
          <w:lang w:val="cs-CZ"/>
        </w:rPr>
        <w:t>aktivitou Abl, Kit nebo PDGFR tyrosinkináz. V této studii 14 pacientů s HES/</w:t>
      </w:r>
      <w:smartTag w:uri="urn:schemas-microsoft-com:office:smarttags" w:element="stockticker">
        <w:r w:rsidRPr="00F25A60">
          <w:rPr>
            <w:rFonts w:eastAsia="MS Mincho"/>
            <w:color w:val="000000"/>
            <w:sz w:val="22"/>
            <w:szCs w:val="22"/>
            <w:lang w:val="cs-CZ"/>
          </w:rPr>
          <w:t>CEL</w:t>
        </w:r>
      </w:smartTag>
      <w:r w:rsidRPr="00F25A60">
        <w:rPr>
          <w:rFonts w:eastAsia="MS Mincho"/>
          <w:color w:val="000000"/>
          <w:sz w:val="22"/>
          <w:szCs w:val="22"/>
          <w:lang w:val="cs-CZ"/>
        </w:rPr>
        <w:t xml:space="preserve"> bylo léčeno Glivecem 100 mg až 1 000 mg denně. Dalších 162 pacientů s HES/</w:t>
      </w:r>
      <w:smartTag w:uri="urn:schemas-microsoft-com:office:smarttags" w:element="stockticker">
        <w:r w:rsidRPr="00F25A60">
          <w:rPr>
            <w:rFonts w:eastAsia="MS Mincho"/>
            <w:color w:val="000000"/>
            <w:sz w:val="22"/>
            <w:szCs w:val="22"/>
            <w:lang w:val="cs-CZ"/>
          </w:rPr>
          <w:t>CEL</w:t>
        </w:r>
      </w:smartTag>
      <w:r w:rsidRPr="00F25A60">
        <w:rPr>
          <w:rFonts w:eastAsia="MS Mincho"/>
          <w:color w:val="000000"/>
          <w:sz w:val="22"/>
          <w:szCs w:val="22"/>
          <w:lang w:val="cs-CZ"/>
        </w:rPr>
        <w:t xml:space="preserve"> uvedených ve </w:t>
      </w:r>
      <w:r w:rsidRPr="00F25A60">
        <w:rPr>
          <w:color w:val="000000"/>
          <w:sz w:val="22"/>
          <w:szCs w:val="22"/>
          <w:lang w:val="cs-CZ"/>
        </w:rPr>
        <w:t xml:space="preserve">35 zveřejněných kazuistikách bylo léčeno Glivecem v dávkách 75 mg až 800 mg denně. Cytogenetické abnormality byly hodnoceny u 117 z celkové populace 176 pacientů. U 61 pacientů z těchto 117 byla zjištěna fúzní kináza FIP1L1-PDGFRα. Ve třech dalších publikovaných kazuistikách byli uvedeni čtyři pacienti s HES s pozitivní fúzní kinázou FIP1L1-PDGFRα. Všech 65 pacientů s pozitivní fúzní kinázou FIP1L1-PDGFRα dosáhlo </w:t>
      </w:r>
      <w:smartTag w:uri="urn:schemas-microsoft-com:office:smarttags" w:element="stockticker">
        <w:r w:rsidRPr="00F25A60">
          <w:rPr>
            <w:color w:val="000000"/>
            <w:sz w:val="22"/>
            <w:szCs w:val="22"/>
            <w:lang w:val="cs-CZ"/>
          </w:rPr>
          <w:t>CHR</w:t>
        </w:r>
      </w:smartTag>
      <w:r w:rsidRPr="00F25A60">
        <w:rPr>
          <w:color w:val="000000"/>
          <w:sz w:val="22"/>
          <w:szCs w:val="22"/>
          <w:lang w:val="cs-CZ"/>
        </w:rPr>
        <w:t>, která se udržela po dobu několika měsíců (v rozmezí 1+ až 44+ měsíců, cenzorováno v</w:t>
      </w:r>
      <w:r w:rsidRPr="00F25A60">
        <w:rPr>
          <w:color w:val="000000"/>
          <w:lang w:val="cs-CZ"/>
        </w:rPr>
        <w:t> </w:t>
      </w:r>
      <w:r w:rsidRPr="00F25A60">
        <w:rPr>
          <w:color w:val="000000"/>
          <w:sz w:val="22"/>
          <w:szCs w:val="22"/>
          <w:lang w:val="cs-CZ"/>
        </w:rPr>
        <w:t>době hlášení). Podle posledních publikovaných hlášení 21 z těchto 65 pacientů také dosáhlo kompletní molekulární remise s mediánem délky sledování 28</w:t>
      </w:r>
      <w:r w:rsidRPr="00F25A60">
        <w:rPr>
          <w:color w:val="000000"/>
          <w:lang w:val="cs-CZ"/>
        </w:rPr>
        <w:t> </w:t>
      </w:r>
      <w:r w:rsidRPr="00F25A60">
        <w:rPr>
          <w:color w:val="000000"/>
          <w:sz w:val="22"/>
          <w:szCs w:val="22"/>
          <w:lang w:val="cs-CZ"/>
        </w:rPr>
        <w:t>měsíců (v rozmezí 13</w:t>
      </w:r>
      <w:r w:rsidRPr="00F25A60">
        <w:rPr>
          <w:color w:val="000000"/>
          <w:sz w:val="22"/>
          <w:szCs w:val="22"/>
          <w:lang w:val="cs-CZ"/>
        </w:rPr>
        <w:noBreakHyphen/>
        <w:t xml:space="preserve">67 měsíců). Věk těchto pacientů byl v rozmezí od 25 do 72 let.Dodatečně bylo </w:t>
      </w:r>
      <w:r w:rsidR="004F264F" w:rsidRPr="00F25A60">
        <w:rPr>
          <w:color w:val="000000"/>
          <w:sz w:val="22"/>
          <w:szCs w:val="22"/>
          <w:lang w:val="cs-CZ"/>
        </w:rPr>
        <w:t>zkoušejícími</w:t>
      </w:r>
      <w:r w:rsidRPr="00F25A60">
        <w:rPr>
          <w:color w:val="000000"/>
          <w:sz w:val="22"/>
          <w:szCs w:val="22"/>
          <w:lang w:val="cs-CZ"/>
        </w:rPr>
        <w:t xml:space="preserve"> hlášeno v kazuistikách symptomatologické zlepšení a zlepšení dysfunkcí dalších orgánů. Zlepšení byla hlášena u poruch funkce srdeční, nervové, kožní/podkožní, respirační/hrudní/mediastinální, muskuloskeletální/pojivové/vaskulární a gastrointestinální orgánové soustavy.</w:t>
      </w:r>
    </w:p>
    <w:p w14:paraId="28085C21" w14:textId="77777777" w:rsidR="00EA5993" w:rsidRPr="00F25A60" w:rsidRDefault="00EA5993" w:rsidP="0048111F">
      <w:pPr>
        <w:pStyle w:val="EndnoteText"/>
        <w:tabs>
          <w:tab w:val="clear" w:pos="567"/>
        </w:tabs>
        <w:rPr>
          <w:color w:val="000000"/>
        </w:rPr>
      </w:pPr>
    </w:p>
    <w:p w14:paraId="63C31F19" w14:textId="77777777" w:rsidR="00EA5993" w:rsidRPr="00F25A60" w:rsidRDefault="00EA5993" w:rsidP="0048111F">
      <w:pPr>
        <w:pStyle w:val="EndnoteText"/>
        <w:tabs>
          <w:tab w:val="clear" w:pos="567"/>
        </w:tabs>
        <w:rPr>
          <w:color w:val="000000"/>
        </w:rPr>
      </w:pPr>
      <w:r w:rsidRPr="00F25A60">
        <w:rPr>
          <w:color w:val="000000"/>
        </w:rPr>
        <w:t>U pediatrických pacientů s HES/CEL nebyly provedeny kontrolované klinické studie. Ve 3 publikacích byli hlášeni tři (3) pacienti s HES/CEL spojenými s přestavbou genu PDGFR. Věk těchto pacientů se pohyboval v rozmezí 2 až 16 let a imatinib byl podáván v dávce 300 mg/m</w:t>
      </w:r>
      <w:r w:rsidRPr="00F25A60">
        <w:rPr>
          <w:color w:val="000000"/>
          <w:vertAlign w:val="superscript"/>
        </w:rPr>
        <w:t>2</w:t>
      </w:r>
      <w:r w:rsidRPr="00F25A60">
        <w:rPr>
          <w:color w:val="000000"/>
        </w:rPr>
        <w:t xml:space="preserve"> denně anebo v dávkách v rozmezí 200 až 400 mg denně. Všichni pacienti dosáhli kompletní hematologické odpovědi, kompletní cytogenetické odpovědi a/nebo kompletní klinické odpovědi.</w:t>
      </w:r>
    </w:p>
    <w:p w14:paraId="4F8CFC5D" w14:textId="77777777" w:rsidR="00EA5993" w:rsidRPr="00F25A60" w:rsidRDefault="00EA5993" w:rsidP="0048111F">
      <w:pPr>
        <w:pStyle w:val="EndnoteText"/>
        <w:rPr>
          <w:color w:val="000000"/>
          <w:u w:val="single"/>
        </w:rPr>
      </w:pPr>
    </w:p>
    <w:p w14:paraId="6EBA6668" w14:textId="02C4E253" w:rsidR="00EA5993" w:rsidRPr="00F25A60" w:rsidRDefault="00EA5993" w:rsidP="0048111F">
      <w:pPr>
        <w:pStyle w:val="EndnoteText"/>
        <w:keepNext/>
        <w:tabs>
          <w:tab w:val="clear" w:pos="567"/>
        </w:tabs>
        <w:rPr>
          <w:color w:val="000000"/>
          <w:u w:val="single"/>
        </w:rPr>
      </w:pPr>
      <w:r w:rsidRPr="00F25A60">
        <w:rPr>
          <w:color w:val="000000"/>
          <w:u w:val="single"/>
        </w:rPr>
        <w:lastRenderedPageBreak/>
        <w:t>Klinické studie u pacientů s inoperabilním a/nebo metastatickým GIST</w:t>
      </w:r>
    </w:p>
    <w:p w14:paraId="562B38D5" w14:textId="77777777" w:rsidR="00DF45EE" w:rsidRPr="00F25A60" w:rsidRDefault="00DF45EE" w:rsidP="0048111F">
      <w:pPr>
        <w:pStyle w:val="EndnoteText"/>
        <w:keepNext/>
        <w:tabs>
          <w:tab w:val="clear" w:pos="567"/>
        </w:tabs>
        <w:rPr>
          <w:color w:val="000000"/>
        </w:rPr>
      </w:pPr>
    </w:p>
    <w:p w14:paraId="7FF78FD3" w14:textId="77777777" w:rsidR="00EA5993" w:rsidRPr="00F25A60" w:rsidRDefault="00EA5993" w:rsidP="0048111F">
      <w:pPr>
        <w:pStyle w:val="EndnoteText"/>
        <w:tabs>
          <w:tab w:val="clear" w:pos="567"/>
        </w:tabs>
        <w:rPr>
          <w:color w:val="000000"/>
        </w:rPr>
      </w:pPr>
      <w:r w:rsidRPr="00F25A60">
        <w:rPr>
          <w:color w:val="000000"/>
        </w:rPr>
        <w:t>Jedna otevřená, randomizovaná nekontrolovaná mezinárodní studie fáze II byla provedena u pacientů s inoperabilním nebo metastatickým maligním gastrointestinálním stromálním nádorem (GIST). Do studie bylo zařazeno 147 pacientů a randomizováno užívat buď 400 mg nebo 600 mg jednou denně perorálně po dobu až 36 měsíců. Tito pacienti byli ve věku od 18 až 83 let a byla u nich stanovena diagnóza Kit-pozitivní maligní GIST, který byl inoperabilní a/nebo metastazující. Rutinně bylo prováděno imunohistochemické vyšetření pomocí Kit protilátek (A-4502, králičí polyklonální antisérum, 1:100; DAKO Corporation, Carpinteria, CA) metodou nalezení antigenu podle analýzy avidin-biotin-peroxidázového komplexu.</w:t>
      </w:r>
    </w:p>
    <w:p w14:paraId="57558F28" w14:textId="77777777" w:rsidR="00EA5993" w:rsidRPr="00F25A60" w:rsidRDefault="00EA5993" w:rsidP="0048111F">
      <w:pPr>
        <w:pStyle w:val="EndnoteText"/>
        <w:tabs>
          <w:tab w:val="clear" w:pos="567"/>
        </w:tabs>
        <w:rPr>
          <w:color w:val="000000"/>
        </w:rPr>
      </w:pPr>
    </w:p>
    <w:p w14:paraId="0861D4F7" w14:textId="77777777" w:rsidR="00EA5993" w:rsidRPr="00F25A60" w:rsidRDefault="00EA5993" w:rsidP="0048111F">
      <w:pPr>
        <w:pStyle w:val="EndnoteText"/>
        <w:tabs>
          <w:tab w:val="clear" w:pos="567"/>
        </w:tabs>
        <w:rPr>
          <w:color w:val="000000"/>
        </w:rPr>
      </w:pPr>
      <w:r w:rsidRPr="00F25A60">
        <w:rPr>
          <w:color w:val="000000"/>
        </w:rPr>
        <w:t>Primární průkaz účinnosti byl založen na míře objektivní odpovědi. U nádorů byla vyžadována měřitelnost v alespoň jednom ložisku onemocnění a charakter odpovědi byl založen na kriteriích Southwestern Oncology Group (SWOG). Výsledky jsou uvedeny v </w:t>
      </w:r>
      <w:r w:rsidR="004F264F" w:rsidRPr="00F25A60">
        <w:rPr>
          <w:color w:val="000000"/>
        </w:rPr>
        <w:t>t</w:t>
      </w:r>
      <w:r w:rsidRPr="00F25A60">
        <w:rPr>
          <w:color w:val="000000"/>
        </w:rPr>
        <w:t>abulce </w:t>
      </w:r>
      <w:r w:rsidR="00A2522A" w:rsidRPr="00F25A60">
        <w:rPr>
          <w:color w:val="000000"/>
        </w:rPr>
        <w:t>6</w:t>
      </w:r>
      <w:r w:rsidRPr="00F25A60">
        <w:rPr>
          <w:color w:val="000000"/>
        </w:rPr>
        <w:t>.</w:t>
      </w:r>
    </w:p>
    <w:p w14:paraId="2C33BCA2" w14:textId="77777777" w:rsidR="00EA5993" w:rsidRPr="00F25A60" w:rsidRDefault="00EA5993" w:rsidP="0048111F">
      <w:pPr>
        <w:pStyle w:val="EndnoteText"/>
        <w:tabs>
          <w:tab w:val="clear" w:pos="567"/>
        </w:tabs>
        <w:rPr>
          <w:color w:val="000000"/>
        </w:rPr>
      </w:pPr>
    </w:p>
    <w:p w14:paraId="57D84F78" w14:textId="77777777" w:rsidR="00EA5993" w:rsidRPr="00F25A60" w:rsidRDefault="00EA5993" w:rsidP="0048111F">
      <w:pPr>
        <w:pStyle w:val="EndnoteText"/>
        <w:keepNext/>
        <w:tabs>
          <w:tab w:val="clear" w:pos="567"/>
          <w:tab w:val="left" w:pos="1134"/>
        </w:tabs>
        <w:rPr>
          <w:b/>
          <w:bCs/>
          <w:color w:val="000000"/>
        </w:rPr>
      </w:pPr>
      <w:r w:rsidRPr="00F25A60">
        <w:rPr>
          <w:b/>
          <w:bCs/>
          <w:color w:val="000000"/>
        </w:rPr>
        <w:t>Tabulka </w:t>
      </w:r>
      <w:r w:rsidR="00A2522A" w:rsidRPr="00F25A60">
        <w:rPr>
          <w:b/>
          <w:bCs/>
          <w:color w:val="000000"/>
        </w:rPr>
        <w:t>6</w:t>
      </w:r>
      <w:r w:rsidRPr="00F25A60">
        <w:rPr>
          <w:b/>
          <w:bCs/>
          <w:color w:val="000000"/>
        </w:rPr>
        <w:tab/>
        <w:t>Nejlepší odpovědi nádoru ve studii STIB2222 (GIST)</w:t>
      </w:r>
    </w:p>
    <w:p w14:paraId="206D8669" w14:textId="77777777" w:rsidR="00EA5993" w:rsidRPr="00F25A60" w:rsidRDefault="00EA5993" w:rsidP="0048111F">
      <w:pPr>
        <w:pStyle w:val="EndnoteText"/>
        <w:keepNext/>
        <w:tabs>
          <w:tab w:val="clear" w:pos="567"/>
        </w:tabs>
        <w:rPr>
          <w:color w:val="000000"/>
        </w:rPr>
      </w:pPr>
    </w:p>
    <w:tbl>
      <w:tblPr>
        <w:tblW w:w="0" w:type="auto"/>
        <w:tblLayout w:type="fixed"/>
        <w:tblLook w:val="0000" w:firstRow="0" w:lastRow="0" w:firstColumn="0" w:lastColumn="0" w:noHBand="0" w:noVBand="0"/>
      </w:tblPr>
      <w:tblGrid>
        <w:gridCol w:w="4643"/>
        <w:gridCol w:w="4643"/>
      </w:tblGrid>
      <w:tr w:rsidR="00EA5993" w:rsidRPr="00F25A60" w14:paraId="73D88CF1" w14:textId="77777777" w:rsidTr="00EB4FF7">
        <w:trPr>
          <w:cantSplit/>
        </w:trPr>
        <w:tc>
          <w:tcPr>
            <w:tcW w:w="4643" w:type="dxa"/>
            <w:tcBorders>
              <w:top w:val="single" w:sz="4" w:space="0" w:color="000000"/>
              <w:bottom w:val="single" w:sz="4" w:space="0" w:color="000000"/>
            </w:tcBorders>
          </w:tcPr>
          <w:p w14:paraId="24CA3F7D" w14:textId="77777777" w:rsidR="00EA5993" w:rsidRPr="00F25A60" w:rsidRDefault="00EA5993" w:rsidP="0048111F">
            <w:pPr>
              <w:pStyle w:val="EndnoteText"/>
              <w:keepNext/>
              <w:tabs>
                <w:tab w:val="clear" w:pos="567"/>
              </w:tabs>
              <w:snapToGrid w:val="0"/>
              <w:rPr>
                <w:color w:val="000000"/>
              </w:rPr>
            </w:pPr>
          </w:p>
          <w:p w14:paraId="7DF273FA" w14:textId="77777777" w:rsidR="00EA5993" w:rsidRPr="00F25A60" w:rsidRDefault="00EA5993" w:rsidP="0048111F">
            <w:pPr>
              <w:pStyle w:val="EndnoteText"/>
              <w:keepNext/>
              <w:tabs>
                <w:tab w:val="clear" w:pos="567"/>
              </w:tabs>
              <w:rPr>
                <w:color w:val="000000"/>
              </w:rPr>
            </w:pPr>
          </w:p>
          <w:p w14:paraId="5958284B" w14:textId="77777777" w:rsidR="00EA5993" w:rsidRPr="00F25A60" w:rsidRDefault="00EA5993" w:rsidP="0048111F">
            <w:pPr>
              <w:pStyle w:val="EndnoteText"/>
              <w:keepNext/>
              <w:tabs>
                <w:tab w:val="clear" w:pos="567"/>
              </w:tabs>
              <w:rPr>
                <w:color w:val="000000"/>
              </w:rPr>
            </w:pPr>
          </w:p>
          <w:p w14:paraId="260EA36F" w14:textId="77777777" w:rsidR="00EA5993" w:rsidRPr="00F25A60" w:rsidRDefault="00EA5993" w:rsidP="0048111F">
            <w:pPr>
              <w:pStyle w:val="EndnoteText"/>
              <w:keepNext/>
              <w:tabs>
                <w:tab w:val="clear" w:pos="567"/>
              </w:tabs>
              <w:rPr>
                <w:color w:val="000000"/>
              </w:rPr>
            </w:pPr>
            <w:r w:rsidRPr="00F25A60">
              <w:rPr>
                <w:color w:val="000000"/>
              </w:rPr>
              <w:t>Nejlepší odpověď</w:t>
            </w:r>
          </w:p>
        </w:tc>
        <w:tc>
          <w:tcPr>
            <w:tcW w:w="4643" w:type="dxa"/>
            <w:tcBorders>
              <w:top w:val="single" w:sz="4" w:space="0" w:color="000000"/>
              <w:bottom w:val="single" w:sz="4" w:space="0" w:color="000000"/>
            </w:tcBorders>
          </w:tcPr>
          <w:p w14:paraId="1AA0992A" w14:textId="77777777" w:rsidR="00EA5993" w:rsidRPr="00F25A60" w:rsidRDefault="00EA5993" w:rsidP="0048111F">
            <w:pPr>
              <w:pStyle w:val="EndnoteText"/>
              <w:keepNext/>
              <w:tabs>
                <w:tab w:val="clear" w:pos="567"/>
              </w:tabs>
              <w:snapToGrid w:val="0"/>
              <w:jc w:val="center"/>
              <w:rPr>
                <w:color w:val="000000"/>
              </w:rPr>
            </w:pPr>
            <w:r w:rsidRPr="00F25A60">
              <w:rPr>
                <w:color w:val="000000"/>
              </w:rPr>
              <w:t>Všechny dávky (n=147)</w:t>
            </w:r>
          </w:p>
          <w:p w14:paraId="1E20B0CF" w14:textId="77777777" w:rsidR="00EA5993" w:rsidRPr="00F25A60" w:rsidRDefault="00EA5993" w:rsidP="0048111F">
            <w:pPr>
              <w:pStyle w:val="EndnoteText"/>
              <w:keepNext/>
              <w:tabs>
                <w:tab w:val="clear" w:pos="567"/>
              </w:tabs>
              <w:jc w:val="center"/>
              <w:rPr>
                <w:color w:val="000000"/>
              </w:rPr>
            </w:pPr>
            <w:r w:rsidRPr="00F25A60">
              <w:rPr>
                <w:color w:val="000000"/>
              </w:rPr>
              <w:t>400 mg (n=73)</w:t>
            </w:r>
          </w:p>
          <w:p w14:paraId="672BB2CA" w14:textId="77777777" w:rsidR="00EA5993" w:rsidRPr="00F25A60" w:rsidRDefault="00EA5993" w:rsidP="0048111F">
            <w:pPr>
              <w:pStyle w:val="EndnoteText"/>
              <w:keepNext/>
              <w:tabs>
                <w:tab w:val="clear" w:pos="567"/>
              </w:tabs>
              <w:jc w:val="center"/>
              <w:rPr>
                <w:color w:val="000000"/>
              </w:rPr>
            </w:pPr>
            <w:r w:rsidRPr="00F25A60">
              <w:rPr>
                <w:color w:val="000000"/>
              </w:rPr>
              <w:t>600 mg (n=74)</w:t>
            </w:r>
          </w:p>
          <w:p w14:paraId="1276D510" w14:textId="77777777" w:rsidR="00EA5993" w:rsidRPr="00F25A60" w:rsidRDefault="00EA5993" w:rsidP="0048111F">
            <w:pPr>
              <w:pStyle w:val="EndnoteText"/>
              <w:keepNext/>
              <w:tabs>
                <w:tab w:val="clear" w:pos="567"/>
              </w:tabs>
              <w:jc w:val="center"/>
              <w:rPr>
                <w:color w:val="000000"/>
              </w:rPr>
            </w:pPr>
            <w:r w:rsidRPr="00F25A60">
              <w:rPr>
                <w:color w:val="000000"/>
              </w:rPr>
              <w:t>n (%)</w:t>
            </w:r>
          </w:p>
        </w:tc>
      </w:tr>
      <w:tr w:rsidR="00EA5993" w:rsidRPr="00F25A60" w14:paraId="312C5168" w14:textId="77777777" w:rsidTr="00EB4FF7">
        <w:trPr>
          <w:cantSplit/>
        </w:trPr>
        <w:tc>
          <w:tcPr>
            <w:tcW w:w="4643" w:type="dxa"/>
          </w:tcPr>
          <w:p w14:paraId="55A3FA5A" w14:textId="77777777" w:rsidR="00EA5993" w:rsidRPr="00F25A60" w:rsidRDefault="00EA5993" w:rsidP="0048111F">
            <w:pPr>
              <w:pStyle w:val="EndnoteText"/>
              <w:keepNext/>
              <w:tabs>
                <w:tab w:val="clear" w:pos="567"/>
              </w:tabs>
              <w:snapToGrid w:val="0"/>
              <w:rPr>
                <w:color w:val="000000"/>
              </w:rPr>
            </w:pPr>
            <w:r w:rsidRPr="00F25A60">
              <w:rPr>
                <w:color w:val="000000"/>
              </w:rPr>
              <w:t>Kompletní odpověď</w:t>
            </w:r>
          </w:p>
        </w:tc>
        <w:tc>
          <w:tcPr>
            <w:tcW w:w="4643" w:type="dxa"/>
          </w:tcPr>
          <w:p w14:paraId="0EC831D4" w14:textId="77777777" w:rsidR="00EA5993" w:rsidRPr="00F25A60" w:rsidRDefault="00EA5993" w:rsidP="0048111F">
            <w:pPr>
              <w:pStyle w:val="EndnoteText"/>
              <w:keepNext/>
              <w:tabs>
                <w:tab w:val="clear" w:pos="567"/>
              </w:tabs>
              <w:snapToGrid w:val="0"/>
              <w:jc w:val="center"/>
              <w:rPr>
                <w:color w:val="000000"/>
              </w:rPr>
            </w:pPr>
            <w:r w:rsidRPr="00F25A60">
              <w:rPr>
                <w:color w:val="000000"/>
              </w:rPr>
              <w:t>1 (0,7)</w:t>
            </w:r>
          </w:p>
        </w:tc>
      </w:tr>
      <w:tr w:rsidR="00EA5993" w:rsidRPr="00F25A60" w14:paraId="1D94D74E" w14:textId="77777777" w:rsidTr="00EB4FF7">
        <w:trPr>
          <w:cantSplit/>
        </w:trPr>
        <w:tc>
          <w:tcPr>
            <w:tcW w:w="4643" w:type="dxa"/>
          </w:tcPr>
          <w:p w14:paraId="0C3BCFE3" w14:textId="77777777" w:rsidR="00EA5993" w:rsidRPr="00F25A60" w:rsidRDefault="00EA5993" w:rsidP="0048111F">
            <w:pPr>
              <w:pStyle w:val="EndnoteText"/>
              <w:keepNext/>
              <w:tabs>
                <w:tab w:val="clear" w:pos="567"/>
              </w:tabs>
              <w:snapToGrid w:val="0"/>
              <w:rPr>
                <w:color w:val="000000"/>
              </w:rPr>
            </w:pPr>
            <w:r w:rsidRPr="00F25A60">
              <w:rPr>
                <w:color w:val="000000"/>
              </w:rPr>
              <w:t>Parciální odpověď</w:t>
            </w:r>
          </w:p>
        </w:tc>
        <w:tc>
          <w:tcPr>
            <w:tcW w:w="4643" w:type="dxa"/>
          </w:tcPr>
          <w:p w14:paraId="6DA2E76B" w14:textId="77777777" w:rsidR="00EA5993" w:rsidRPr="00F25A60" w:rsidRDefault="00EA5993" w:rsidP="0048111F">
            <w:pPr>
              <w:pStyle w:val="EndnoteText"/>
              <w:keepNext/>
              <w:tabs>
                <w:tab w:val="clear" w:pos="567"/>
              </w:tabs>
              <w:snapToGrid w:val="0"/>
              <w:jc w:val="center"/>
              <w:rPr>
                <w:color w:val="000000"/>
              </w:rPr>
            </w:pPr>
            <w:r w:rsidRPr="00F25A60">
              <w:rPr>
                <w:color w:val="000000"/>
              </w:rPr>
              <w:t>98 (66,7)</w:t>
            </w:r>
          </w:p>
        </w:tc>
      </w:tr>
      <w:tr w:rsidR="00EA5993" w:rsidRPr="00F25A60" w14:paraId="543BF426" w14:textId="77777777" w:rsidTr="00EB4FF7">
        <w:trPr>
          <w:cantSplit/>
        </w:trPr>
        <w:tc>
          <w:tcPr>
            <w:tcW w:w="4643" w:type="dxa"/>
          </w:tcPr>
          <w:p w14:paraId="7214804F" w14:textId="77777777" w:rsidR="00EA5993" w:rsidRPr="00F25A60" w:rsidRDefault="00EA5993" w:rsidP="0048111F">
            <w:pPr>
              <w:pStyle w:val="EndnoteText"/>
              <w:keepNext/>
              <w:tabs>
                <w:tab w:val="clear" w:pos="567"/>
              </w:tabs>
              <w:snapToGrid w:val="0"/>
              <w:rPr>
                <w:color w:val="000000"/>
              </w:rPr>
            </w:pPr>
            <w:r w:rsidRPr="00F25A60">
              <w:rPr>
                <w:color w:val="000000"/>
              </w:rPr>
              <w:t>Stabilní onemocnění</w:t>
            </w:r>
          </w:p>
        </w:tc>
        <w:tc>
          <w:tcPr>
            <w:tcW w:w="4643" w:type="dxa"/>
          </w:tcPr>
          <w:p w14:paraId="178B40A7" w14:textId="77777777" w:rsidR="00EA5993" w:rsidRPr="00F25A60" w:rsidRDefault="00EA5993" w:rsidP="0048111F">
            <w:pPr>
              <w:pStyle w:val="EndnoteText"/>
              <w:keepNext/>
              <w:tabs>
                <w:tab w:val="clear" w:pos="567"/>
              </w:tabs>
              <w:snapToGrid w:val="0"/>
              <w:jc w:val="center"/>
              <w:rPr>
                <w:color w:val="000000"/>
              </w:rPr>
            </w:pPr>
            <w:r w:rsidRPr="00F25A60">
              <w:rPr>
                <w:color w:val="000000"/>
              </w:rPr>
              <w:t>23 (15,6)</w:t>
            </w:r>
          </w:p>
        </w:tc>
      </w:tr>
      <w:tr w:rsidR="00EA5993" w:rsidRPr="00F25A60" w14:paraId="376BF61A" w14:textId="77777777" w:rsidTr="00EB4FF7">
        <w:trPr>
          <w:cantSplit/>
        </w:trPr>
        <w:tc>
          <w:tcPr>
            <w:tcW w:w="4643" w:type="dxa"/>
          </w:tcPr>
          <w:p w14:paraId="1B123976" w14:textId="77777777" w:rsidR="00EA5993" w:rsidRPr="00F25A60" w:rsidRDefault="00EA5993" w:rsidP="0048111F">
            <w:pPr>
              <w:pStyle w:val="EndnoteText"/>
              <w:keepNext/>
              <w:tabs>
                <w:tab w:val="clear" w:pos="567"/>
              </w:tabs>
              <w:snapToGrid w:val="0"/>
              <w:rPr>
                <w:color w:val="000000"/>
              </w:rPr>
            </w:pPr>
            <w:r w:rsidRPr="00F25A60">
              <w:rPr>
                <w:color w:val="000000"/>
              </w:rPr>
              <w:t>Progresivní onemocnění</w:t>
            </w:r>
          </w:p>
        </w:tc>
        <w:tc>
          <w:tcPr>
            <w:tcW w:w="4643" w:type="dxa"/>
          </w:tcPr>
          <w:p w14:paraId="25332DAC" w14:textId="77777777" w:rsidR="00EA5993" w:rsidRPr="00F25A60" w:rsidRDefault="00EA5993" w:rsidP="0048111F">
            <w:pPr>
              <w:pStyle w:val="EndnoteText"/>
              <w:keepNext/>
              <w:tabs>
                <w:tab w:val="clear" w:pos="567"/>
              </w:tabs>
              <w:snapToGrid w:val="0"/>
              <w:jc w:val="center"/>
              <w:rPr>
                <w:color w:val="000000"/>
              </w:rPr>
            </w:pPr>
            <w:r w:rsidRPr="00F25A60">
              <w:rPr>
                <w:color w:val="000000"/>
              </w:rPr>
              <w:t>18 (12,2)</w:t>
            </w:r>
          </w:p>
        </w:tc>
      </w:tr>
      <w:tr w:rsidR="00EA5993" w:rsidRPr="00F25A60" w14:paraId="1BA97981" w14:textId="77777777" w:rsidTr="00EB4FF7">
        <w:trPr>
          <w:cantSplit/>
        </w:trPr>
        <w:tc>
          <w:tcPr>
            <w:tcW w:w="4643" w:type="dxa"/>
          </w:tcPr>
          <w:p w14:paraId="43CD1C63" w14:textId="77777777" w:rsidR="00EA5993" w:rsidRPr="00F25A60" w:rsidRDefault="00EA5993" w:rsidP="0048111F">
            <w:pPr>
              <w:pStyle w:val="EndnoteText"/>
              <w:keepNext/>
              <w:tabs>
                <w:tab w:val="clear" w:pos="567"/>
              </w:tabs>
              <w:snapToGrid w:val="0"/>
              <w:rPr>
                <w:color w:val="000000"/>
              </w:rPr>
            </w:pPr>
            <w:r w:rsidRPr="00F25A60">
              <w:rPr>
                <w:color w:val="000000"/>
              </w:rPr>
              <w:t>Nehodnotitelé</w:t>
            </w:r>
          </w:p>
        </w:tc>
        <w:tc>
          <w:tcPr>
            <w:tcW w:w="4643" w:type="dxa"/>
          </w:tcPr>
          <w:p w14:paraId="2EC6CCBF" w14:textId="77777777" w:rsidR="00EA5993" w:rsidRPr="00F25A60" w:rsidRDefault="00EA5993" w:rsidP="0048111F">
            <w:pPr>
              <w:pStyle w:val="EndnoteText"/>
              <w:keepNext/>
              <w:tabs>
                <w:tab w:val="clear" w:pos="567"/>
              </w:tabs>
              <w:snapToGrid w:val="0"/>
              <w:jc w:val="center"/>
              <w:rPr>
                <w:color w:val="000000"/>
              </w:rPr>
            </w:pPr>
            <w:r w:rsidRPr="00F25A60">
              <w:rPr>
                <w:color w:val="000000"/>
              </w:rPr>
              <w:t>5 (3,4)</w:t>
            </w:r>
          </w:p>
        </w:tc>
      </w:tr>
      <w:tr w:rsidR="00EA5993" w:rsidRPr="00F25A60" w14:paraId="4F948AB5" w14:textId="77777777" w:rsidTr="00EB4FF7">
        <w:trPr>
          <w:cantSplit/>
        </w:trPr>
        <w:tc>
          <w:tcPr>
            <w:tcW w:w="4643" w:type="dxa"/>
            <w:tcBorders>
              <w:bottom w:val="single" w:sz="4" w:space="0" w:color="000000"/>
            </w:tcBorders>
          </w:tcPr>
          <w:p w14:paraId="4FA71398" w14:textId="77777777" w:rsidR="00EA5993" w:rsidRPr="00F25A60" w:rsidRDefault="00EA5993" w:rsidP="0048111F">
            <w:pPr>
              <w:pStyle w:val="EndnoteText"/>
              <w:tabs>
                <w:tab w:val="clear" w:pos="567"/>
              </w:tabs>
              <w:snapToGrid w:val="0"/>
              <w:rPr>
                <w:color w:val="000000"/>
              </w:rPr>
            </w:pPr>
            <w:r w:rsidRPr="00F25A60">
              <w:rPr>
                <w:color w:val="000000"/>
              </w:rPr>
              <w:t>Neznámo</w:t>
            </w:r>
          </w:p>
        </w:tc>
        <w:tc>
          <w:tcPr>
            <w:tcW w:w="4643" w:type="dxa"/>
            <w:tcBorders>
              <w:bottom w:val="single" w:sz="4" w:space="0" w:color="000000"/>
            </w:tcBorders>
          </w:tcPr>
          <w:p w14:paraId="57A77DDE" w14:textId="77777777" w:rsidR="00EA5993" w:rsidRPr="00F25A60" w:rsidRDefault="00EA5993" w:rsidP="0048111F">
            <w:pPr>
              <w:pStyle w:val="EndnoteText"/>
              <w:tabs>
                <w:tab w:val="clear" w:pos="567"/>
              </w:tabs>
              <w:snapToGrid w:val="0"/>
              <w:jc w:val="center"/>
              <w:rPr>
                <w:color w:val="000000"/>
              </w:rPr>
            </w:pPr>
            <w:r w:rsidRPr="00F25A60">
              <w:rPr>
                <w:color w:val="000000"/>
              </w:rPr>
              <w:t>2 (1,4)</w:t>
            </w:r>
          </w:p>
        </w:tc>
      </w:tr>
    </w:tbl>
    <w:p w14:paraId="109A3286" w14:textId="77777777" w:rsidR="00EA5993" w:rsidRPr="00F25A60" w:rsidRDefault="00EA5993" w:rsidP="0048111F">
      <w:pPr>
        <w:pStyle w:val="EndnoteText"/>
        <w:tabs>
          <w:tab w:val="clear" w:pos="567"/>
        </w:tabs>
      </w:pPr>
    </w:p>
    <w:p w14:paraId="06910052" w14:textId="77777777" w:rsidR="00EA5993" w:rsidRPr="00F25A60" w:rsidRDefault="00EA5993" w:rsidP="0048111F">
      <w:pPr>
        <w:pStyle w:val="EndnoteText"/>
        <w:tabs>
          <w:tab w:val="clear" w:pos="567"/>
        </w:tabs>
        <w:rPr>
          <w:color w:val="000000"/>
        </w:rPr>
      </w:pPr>
      <w:r w:rsidRPr="00F25A60">
        <w:rPr>
          <w:color w:val="000000"/>
        </w:rPr>
        <w:t>Nebyly nalezeny rozdíly v míře odpovědí mezi dvěma skupinami s rozdílným dávkováním. Významný počet pacientů, kteří měli stabilní onemocnění v době interim analýzy, dosáhl částečné odpovědi při delší léčbě (medián doby sledování 31 měsíců). Medián času do odpovědi byl 13 týdnů (95% CI 12–23). Medián času do selhání léčby u pacientů s odpovědí byl 122 týdnů (95% CI 106–147), zatímco v celé studijní populaci to byly 84 týdny (95% CI 71–109). Medián celkového přežití nebyl dosažen. Odhad pro přežití po 36 měsících sledování podle Kaplan-Meiera je 68</w:t>
      </w:r>
      <w:r w:rsidR="004F264F" w:rsidRPr="00F25A60">
        <w:rPr>
          <w:color w:val="000000"/>
        </w:rPr>
        <w:t> </w:t>
      </w:r>
      <w:r w:rsidRPr="00F25A60">
        <w:rPr>
          <w:color w:val="000000"/>
        </w:rPr>
        <w:t>%.</w:t>
      </w:r>
    </w:p>
    <w:p w14:paraId="03C601C4" w14:textId="77777777" w:rsidR="00EA5993" w:rsidRPr="00F25A60" w:rsidRDefault="00EA5993" w:rsidP="0048111F">
      <w:pPr>
        <w:pStyle w:val="EndnoteText"/>
        <w:tabs>
          <w:tab w:val="clear" w:pos="567"/>
        </w:tabs>
        <w:rPr>
          <w:color w:val="000000"/>
        </w:rPr>
      </w:pPr>
    </w:p>
    <w:p w14:paraId="5E3E639D" w14:textId="77777777" w:rsidR="00EA5993" w:rsidRPr="00F25A60" w:rsidRDefault="00EA5993" w:rsidP="0048111F">
      <w:pPr>
        <w:pStyle w:val="EndnoteText"/>
        <w:tabs>
          <w:tab w:val="clear" w:pos="567"/>
        </w:tabs>
        <w:rPr>
          <w:color w:val="000000"/>
        </w:rPr>
      </w:pPr>
      <w:r w:rsidRPr="00F25A60">
        <w:rPr>
          <w:color w:val="000000"/>
        </w:rPr>
        <w:t>Ve dvou klinických studiích (studie B2222 a studie S0033) byla denní dávka Glivecu zvyšována na 800 mg u pacientů, u kterých onemocnění progredovalo při nižších denních dávkách 400 nebo 600 mg. Denní dávka byla zvýšena na 800 mg u celkově 103 pacientů; 6 pacientů dosáhlo po zvýšení dávky částečné odpovědi a u 21 pacientů došlo ke stabilizaci onemocnění, což představuje klinický prospěch 26</w:t>
      </w:r>
      <w:r w:rsidR="004F264F" w:rsidRPr="00F25A60">
        <w:rPr>
          <w:color w:val="000000"/>
        </w:rPr>
        <w:t> </w:t>
      </w:r>
      <w:r w:rsidRPr="00F25A60">
        <w:rPr>
          <w:color w:val="000000"/>
        </w:rPr>
        <w:t>%. Z dostupných bezpečnostních dat nevyplývá, že by zvýšení dávky na 800 mg denně u pacientů s progresí onemocnění při nižších dávkách 400 mg nebo 600 mg denně mělo vliv na bezpečnostní profil Glivecu.</w:t>
      </w:r>
    </w:p>
    <w:p w14:paraId="1A806CB5" w14:textId="77777777" w:rsidR="00EA5993" w:rsidRPr="00F25A60" w:rsidRDefault="00EA5993" w:rsidP="0048111F">
      <w:pPr>
        <w:pStyle w:val="EndnoteText"/>
        <w:tabs>
          <w:tab w:val="clear" w:pos="567"/>
        </w:tabs>
        <w:rPr>
          <w:rFonts w:eastAsia="MS Mincho"/>
          <w:color w:val="000000"/>
          <w:u w:val="single"/>
        </w:rPr>
      </w:pPr>
    </w:p>
    <w:p w14:paraId="4BD71A18" w14:textId="12242379" w:rsidR="00EA5993" w:rsidRPr="00F25A60" w:rsidRDefault="00EA5993" w:rsidP="0048111F">
      <w:pPr>
        <w:pStyle w:val="EndnoteText"/>
        <w:keepNext/>
        <w:tabs>
          <w:tab w:val="clear" w:pos="567"/>
        </w:tabs>
        <w:rPr>
          <w:rFonts w:eastAsia="MS Mincho"/>
          <w:color w:val="000000"/>
          <w:u w:val="single"/>
        </w:rPr>
      </w:pPr>
      <w:r w:rsidRPr="00F25A60">
        <w:rPr>
          <w:rFonts w:eastAsia="MS Mincho"/>
          <w:color w:val="000000"/>
          <w:u w:val="single"/>
        </w:rPr>
        <w:t>Klinické studie u adjuvantní léčby GIST</w:t>
      </w:r>
    </w:p>
    <w:p w14:paraId="0F719880" w14:textId="77777777" w:rsidR="00DF45EE" w:rsidRPr="00F25A60" w:rsidRDefault="00DF45EE" w:rsidP="0048111F">
      <w:pPr>
        <w:pStyle w:val="EndnoteText"/>
        <w:keepNext/>
        <w:tabs>
          <w:tab w:val="clear" w:pos="567"/>
        </w:tabs>
      </w:pPr>
    </w:p>
    <w:p w14:paraId="1610E95B" w14:textId="77777777" w:rsidR="00EA5993" w:rsidRPr="00F25A60" w:rsidRDefault="00EA5993" w:rsidP="0048111F">
      <w:pPr>
        <w:pStyle w:val="EndnoteText"/>
        <w:tabs>
          <w:tab w:val="clear" w:pos="567"/>
        </w:tabs>
        <w:rPr>
          <w:rFonts w:eastAsia="MS Mincho"/>
          <w:color w:val="000000"/>
        </w:rPr>
      </w:pPr>
      <w:r w:rsidRPr="00F25A60">
        <w:rPr>
          <w:rFonts w:eastAsia="MS Mincho"/>
          <w:color w:val="000000"/>
        </w:rPr>
        <w:t xml:space="preserve">Glivec byl studován v adjuvantní léčbě v multicentrické, dvojitě slepé, prospektivní, placebem kontrolované studii fáze </w:t>
      </w:r>
      <w:smartTag w:uri="urn:schemas-microsoft-com:office:smarttags" w:element="stockticker">
        <w:r w:rsidRPr="00F25A60">
          <w:rPr>
            <w:rFonts w:eastAsia="MS Mincho"/>
            <w:color w:val="000000"/>
          </w:rPr>
          <w:t>III</w:t>
        </w:r>
      </w:smartTag>
      <w:r w:rsidRPr="00F25A60">
        <w:rPr>
          <w:rFonts w:eastAsia="MS Mincho"/>
          <w:color w:val="000000"/>
        </w:rPr>
        <w:t xml:space="preserve"> (Z9001), která zahrnovala 773 pacientů. Věkové rozmezí pacientů bylo 18 až 91 let. Byli zařazeni pacienti s histologickou diagnózou primárního GIST s imunochemicky potvrzenou expresí Kit proteinu a velikostí nádoru ≥ 3 cm v maximálním rozměru, s úplnou makroskopickou resekcí primárního GIST během 14</w:t>
      </w:r>
      <w:r w:rsidRPr="00F25A60">
        <w:rPr>
          <w:rFonts w:eastAsia="MS Mincho"/>
          <w:color w:val="000000"/>
        </w:rPr>
        <w:noBreakHyphen/>
        <w:t>70 dnů před zařazením do studie. Po resekci primárního GIST byli pacienti randomizováni do jednoho ze dvou ramen: Glivec podávaný v dávkách 400 mg/den nebo odpovídající placebo po dobu jednoho roku.</w:t>
      </w:r>
    </w:p>
    <w:p w14:paraId="21D50B59" w14:textId="77777777" w:rsidR="00EA5993" w:rsidRPr="00F25A60" w:rsidRDefault="00EA5993" w:rsidP="0048111F">
      <w:pPr>
        <w:pStyle w:val="EndnoteText"/>
        <w:tabs>
          <w:tab w:val="clear" w:pos="567"/>
        </w:tabs>
        <w:rPr>
          <w:rFonts w:eastAsia="MS Mincho"/>
          <w:color w:val="000000"/>
        </w:rPr>
      </w:pPr>
    </w:p>
    <w:p w14:paraId="05210D28" w14:textId="77777777" w:rsidR="00EA5993" w:rsidRPr="00F25A60" w:rsidRDefault="00EA5993" w:rsidP="0048111F">
      <w:pPr>
        <w:pStyle w:val="EndnoteText"/>
        <w:tabs>
          <w:tab w:val="clear" w:pos="567"/>
        </w:tabs>
        <w:rPr>
          <w:rFonts w:eastAsia="MS Mincho"/>
          <w:color w:val="000000"/>
        </w:rPr>
      </w:pPr>
      <w:r w:rsidRPr="00F25A60">
        <w:rPr>
          <w:rFonts w:eastAsia="MS Mincho"/>
          <w:color w:val="000000"/>
        </w:rPr>
        <w:t>Primárním cílovým parametrem studie bylo přežití bez návratu onemocnění (</w:t>
      </w:r>
      <w:smartTag w:uri="urn:schemas-microsoft-com:office:smarttags" w:element="stockticker">
        <w:r w:rsidRPr="00F25A60">
          <w:rPr>
            <w:rFonts w:eastAsia="MS Mincho"/>
            <w:color w:val="000000"/>
          </w:rPr>
          <w:t>RFS</w:t>
        </w:r>
      </w:smartTag>
      <w:r w:rsidRPr="00F25A60">
        <w:rPr>
          <w:rFonts w:eastAsia="MS Mincho"/>
          <w:color w:val="000000"/>
        </w:rPr>
        <w:t>) definované jako doba od data randomizace do data návratu onemocnění nebo smrti z jakékoli příčiny.</w:t>
      </w:r>
    </w:p>
    <w:p w14:paraId="6002775E" w14:textId="77777777" w:rsidR="00EA5993" w:rsidRPr="00F25A60" w:rsidRDefault="00EA5993" w:rsidP="0048111F">
      <w:pPr>
        <w:pStyle w:val="EndnoteText"/>
        <w:tabs>
          <w:tab w:val="clear" w:pos="567"/>
        </w:tabs>
        <w:rPr>
          <w:rFonts w:eastAsia="MS Mincho"/>
          <w:color w:val="000000"/>
        </w:rPr>
      </w:pPr>
    </w:p>
    <w:p w14:paraId="59AA480F" w14:textId="77777777" w:rsidR="00EA5993" w:rsidRPr="00F25A60" w:rsidRDefault="00EA5993" w:rsidP="0048111F">
      <w:pPr>
        <w:pStyle w:val="EndnoteText"/>
        <w:tabs>
          <w:tab w:val="clear" w:pos="567"/>
        </w:tabs>
        <w:rPr>
          <w:rFonts w:eastAsia="MS Mincho"/>
          <w:color w:val="000000"/>
          <w:u w:val="single"/>
        </w:rPr>
      </w:pPr>
      <w:r w:rsidRPr="00F25A60">
        <w:rPr>
          <w:rFonts w:eastAsia="MS Mincho"/>
          <w:color w:val="000000"/>
        </w:rPr>
        <w:lastRenderedPageBreak/>
        <w:t xml:space="preserve">Glivec významně prodloužil </w:t>
      </w:r>
      <w:smartTag w:uri="urn:schemas-microsoft-com:office:smarttags" w:element="stockticker">
        <w:r w:rsidRPr="00F25A60">
          <w:rPr>
            <w:rFonts w:eastAsia="MS Mincho"/>
            <w:color w:val="000000"/>
          </w:rPr>
          <w:t>RFS</w:t>
        </w:r>
      </w:smartTag>
      <w:r w:rsidRPr="00F25A60">
        <w:rPr>
          <w:rFonts w:eastAsia="MS Mincho"/>
          <w:color w:val="000000"/>
        </w:rPr>
        <w:t>, ve skupině s Glivecem bylo po dobu 38 měsíců bez návratu onemocnění 75</w:t>
      </w:r>
      <w:r w:rsidR="00FC57C0" w:rsidRPr="00F25A60">
        <w:rPr>
          <w:rFonts w:eastAsia="MS Mincho"/>
          <w:color w:val="000000"/>
        </w:rPr>
        <w:t> </w:t>
      </w:r>
      <w:r w:rsidRPr="00F25A60">
        <w:rPr>
          <w:rFonts w:eastAsia="MS Mincho"/>
          <w:color w:val="000000"/>
        </w:rPr>
        <w:t xml:space="preserve">% pacientů, oproti 20 měsícům u pacientů ve skupině s placebem (95% CI, [30-nelze určit]; respektive[14-nelze určit]); (relativní riziko = 0,398 [0,259 – 0,610], p&lt; 0,0001). Po jednom roce byl celkový </w:t>
      </w:r>
      <w:smartTag w:uri="urn:schemas-microsoft-com:office:smarttags" w:element="stockticker">
        <w:r w:rsidRPr="00F25A60">
          <w:rPr>
            <w:rFonts w:eastAsia="MS Mincho"/>
            <w:color w:val="000000"/>
          </w:rPr>
          <w:t>RFS</w:t>
        </w:r>
      </w:smartTag>
      <w:r w:rsidRPr="00F25A60">
        <w:rPr>
          <w:rFonts w:eastAsia="MS Mincho"/>
          <w:color w:val="000000"/>
        </w:rPr>
        <w:t xml:space="preserve"> významně lepší pro Glivec (97,7</w:t>
      </w:r>
      <w:r w:rsidR="00FC57C0" w:rsidRPr="00F25A60">
        <w:rPr>
          <w:rFonts w:eastAsia="MS Mincho"/>
          <w:color w:val="000000"/>
        </w:rPr>
        <w:t> </w:t>
      </w:r>
      <w:r w:rsidRPr="00F25A60">
        <w:rPr>
          <w:rFonts w:eastAsia="MS Mincho"/>
          <w:color w:val="000000"/>
        </w:rPr>
        <w:t>%) oproti placebu (82,3</w:t>
      </w:r>
      <w:r w:rsidR="00FC57C0" w:rsidRPr="00F25A60">
        <w:rPr>
          <w:rFonts w:eastAsia="MS Mincho"/>
          <w:color w:val="000000"/>
        </w:rPr>
        <w:t> </w:t>
      </w:r>
      <w:r w:rsidRPr="00F25A60">
        <w:rPr>
          <w:rFonts w:eastAsia="MS Mincho"/>
          <w:color w:val="000000"/>
        </w:rPr>
        <w:t>%), (p&lt; 0,0001). Riziko recidivy onemocnění tak bylo sníženo o přibližně 89</w:t>
      </w:r>
      <w:r w:rsidR="00FC57C0" w:rsidRPr="00F25A60">
        <w:rPr>
          <w:rFonts w:eastAsia="MS Mincho"/>
          <w:color w:val="000000"/>
        </w:rPr>
        <w:t> </w:t>
      </w:r>
      <w:r w:rsidRPr="00F25A60">
        <w:rPr>
          <w:rFonts w:eastAsia="MS Mincho"/>
          <w:color w:val="000000"/>
        </w:rPr>
        <w:t>% v porovnání s placebem (relativní riziko = 0,113 [0,049 – 0,264]).</w:t>
      </w:r>
    </w:p>
    <w:p w14:paraId="749B4B67" w14:textId="77777777" w:rsidR="00EA5993" w:rsidRPr="00F25A60" w:rsidRDefault="00EA5993" w:rsidP="0048111F">
      <w:pPr>
        <w:pStyle w:val="EndnoteText"/>
        <w:tabs>
          <w:tab w:val="clear" w:pos="567"/>
        </w:tabs>
        <w:rPr>
          <w:rFonts w:eastAsia="MS Mincho"/>
          <w:color w:val="000000"/>
          <w:u w:val="single"/>
        </w:rPr>
      </w:pPr>
    </w:p>
    <w:p w14:paraId="04A8941A" w14:textId="77777777" w:rsidR="00EA5993" w:rsidRPr="00F25A60" w:rsidRDefault="00EA5993" w:rsidP="0048111F">
      <w:pPr>
        <w:pStyle w:val="EndnoteText"/>
        <w:tabs>
          <w:tab w:val="clear" w:pos="567"/>
        </w:tabs>
        <w:rPr>
          <w:rFonts w:eastAsia="MS Mincho"/>
          <w:color w:val="000000"/>
          <w:u w:val="single"/>
        </w:rPr>
      </w:pPr>
      <w:r w:rsidRPr="00F25A60">
        <w:rPr>
          <w:rFonts w:eastAsia="MS Mincho"/>
          <w:color w:val="000000"/>
        </w:rPr>
        <w:t>Riziko recidivy u pacientů po operaci primárního GIST nádoru bylo retrospektivně vyhodnoceno na základě těchto prognostických faktorů: velikost nádoru, mitotický index, umístění nádoru. Hodnoty mitotického indexu byly dostupné pro 556 ze 713 pacientů intention-to-treat (</w:t>
      </w:r>
      <w:smartTag w:uri="urn:schemas-microsoft-com:office:smarttags" w:element="stockticker">
        <w:r w:rsidRPr="00F25A60">
          <w:rPr>
            <w:rFonts w:eastAsia="MS Mincho"/>
            <w:color w:val="000000"/>
          </w:rPr>
          <w:t>ITT</w:t>
        </w:r>
      </w:smartTag>
      <w:r w:rsidRPr="00F25A60">
        <w:rPr>
          <w:rFonts w:eastAsia="MS Mincho"/>
          <w:color w:val="000000"/>
        </w:rPr>
        <w:t>) populace. Výsledky analýzy podskupin podle klasifikace rizika Národního ústavu zdraví USA (NIH) a Ústavu patologie ozbrojených sil USA (AFIP) jsou shrnuty v </w:t>
      </w:r>
      <w:r w:rsidR="004F264F" w:rsidRPr="00F25A60">
        <w:rPr>
          <w:rFonts w:eastAsia="MS Mincho"/>
          <w:color w:val="000000"/>
        </w:rPr>
        <w:t>t</w:t>
      </w:r>
      <w:r w:rsidRPr="00F25A60">
        <w:rPr>
          <w:rFonts w:eastAsia="MS Mincho"/>
          <w:color w:val="000000"/>
        </w:rPr>
        <w:t>abulce </w:t>
      </w:r>
      <w:r w:rsidR="00A2522A" w:rsidRPr="00F25A60">
        <w:rPr>
          <w:rFonts w:eastAsia="MS Mincho"/>
          <w:color w:val="000000"/>
        </w:rPr>
        <w:t>7</w:t>
      </w:r>
      <w:r w:rsidRPr="00F25A60">
        <w:rPr>
          <w:rFonts w:eastAsia="MS Mincho"/>
          <w:color w:val="000000"/>
        </w:rPr>
        <w:t>. Nebyl pozorován přínos ve skupině s nízkým a velmi nízkým rizikem. Nebyl pozorován přínos pro celkové přežití.</w:t>
      </w:r>
    </w:p>
    <w:p w14:paraId="5246494A" w14:textId="77777777" w:rsidR="00EA5993" w:rsidRPr="00F25A60" w:rsidRDefault="00EA5993" w:rsidP="0048111F">
      <w:pPr>
        <w:pStyle w:val="EndnoteText"/>
        <w:tabs>
          <w:tab w:val="clear" w:pos="567"/>
        </w:tabs>
        <w:rPr>
          <w:rFonts w:eastAsia="MS Mincho"/>
          <w:color w:val="000000"/>
          <w:u w:val="single"/>
        </w:rPr>
      </w:pPr>
    </w:p>
    <w:p w14:paraId="6D767D4A" w14:textId="77777777" w:rsidR="00EA5993" w:rsidRPr="005C56E6" w:rsidRDefault="00EA5993" w:rsidP="0048111F">
      <w:pPr>
        <w:keepNext/>
        <w:tabs>
          <w:tab w:val="clear" w:pos="567"/>
        </w:tabs>
        <w:spacing w:line="240" w:lineRule="auto"/>
        <w:ind w:left="1134" w:hanging="1134"/>
        <w:rPr>
          <w:rFonts w:eastAsia="MS Mincho"/>
          <w:b/>
          <w:bCs/>
        </w:rPr>
      </w:pPr>
      <w:r w:rsidRPr="005C56E6">
        <w:rPr>
          <w:rFonts w:eastAsia="MS Mincho"/>
          <w:b/>
          <w:bCs/>
        </w:rPr>
        <w:t>Tabulka </w:t>
      </w:r>
      <w:r w:rsidR="00A2522A" w:rsidRPr="005C56E6">
        <w:rPr>
          <w:rFonts w:eastAsia="MS Mincho"/>
          <w:b/>
          <w:bCs/>
        </w:rPr>
        <w:t>7</w:t>
      </w:r>
      <w:r w:rsidRPr="005C56E6">
        <w:rPr>
          <w:rFonts w:eastAsia="MS Mincho"/>
          <w:b/>
          <w:bCs/>
        </w:rPr>
        <w:tab/>
        <w:t xml:space="preserve">Souhrn analýz </w:t>
      </w:r>
      <w:smartTag w:uri="urn:schemas-microsoft-com:office:smarttags" w:element="stockticker">
        <w:r w:rsidRPr="005C56E6">
          <w:rPr>
            <w:rFonts w:eastAsia="MS Mincho"/>
            <w:b/>
            <w:bCs/>
          </w:rPr>
          <w:t>RFS</w:t>
        </w:r>
      </w:smartTag>
      <w:r w:rsidRPr="005C56E6">
        <w:rPr>
          <w:rFonts w:eastAsia="MS Mincho"/>
          <w:b/>
          <w:bCs/>
        </w:rPr>
        <w:t xml:space="preserve"> studie Z9001podle klasifikace rizika NIH and AFIP</w:t>
      </w:r>
    </w:p>
    <w:p w14:paraId="75B15ED0" w14:textId="77777777" w:rsidR="00EA5993" w:rsidRPr="00F25A60" w:rsidRDefault="00EA5993" w:rsidP="0048111F">
      <w:pPr>
        <w:keepNext/>
        <w:spacing w:line="240" w:lineRule="auto"/>
        <w:rPr>
          <w:rFonts w:eastAsia="MS Mincho"/>
        </w:rPr>
      </w:pPr>
    </w:p>
    <w:tbl>
      <w:tblPr>
        <w:tblW w:w="9087" w:type="dxa"/>
        <w:tblInd w:w="-20" w:type="dxa"/>
        <w:tblLayout w:type="fixed"/>
        <w:tblCellMar>
          <w:left w:w="28" w:type="dxa"/>
          <w:right w:w="28" w:type="dxa"/>
        </w:tblCellMar>
        <w:tblLook w:val="0000" w:firstRow="0" w:lastRow="0" w:firstColumn="0" w:lastColumn="0" w:noHBand="0" w:noVBand="0"/>
      </w:tblPr>
      <w:tblGrid>
        <w:gridCol w:w="866"/>
        <w:gridCol w:w="1276"/>
        <w:gridCol w:w="992"/>
        <w:gridCol w:w="1701"/>
        <w:gridCol w:w="1559"/>
        <w:gridCol w:w="1418"/>
        <w:gridCol w:w="1275"/>
      </w:tblGrid>
      <w:tr w:rsidR="00EA5993" w:rsidRPr="00F25A60" w14:paraId="6D6AC119" w14:textId="77777777" w:rsidTr="0048111F">
        <w:trPr>
          <w:cantSplit/>
        </w:trPr>
        <w:tc>
          <w:tcPr>
            <w:tcW w:w="866" w:type="dxa"/>
            <w:vMerge w:val="restart"/>
            <w:tcBorders>
              <w:top w:val="single" w:sz="4" w:space="0" w:color="000000"/>
              <w:left w:val="single" w:sz="4" w:space="0" w:color="000000"/>
              <w:bottom w:val="single" w:sz="4" w:space="0" w:color="000000"/>
            </w:tcBorders>
          </w:tcPr>
          <w:p w14:paraId="308F5729" w14:textId="77777777" w:rsidR="00EA5993" w:rsidRPr="00F25A60" w:rsidRDefault="00EA5993" w:rsidP="0048111F">
            <w:pPr>
              <w:keepNext/>
              <w:keepLines/>
              <w:snapToGrid w:val="0"/>
              <w:spacing w:line="240" w:lineRule="auto"/>
              <w:jc w:val="center"/>
              <w:rPr>
                <w:b/>
              </w:rPr>
            </w:pPr>
            <w:r w:rsidRPr="00F25A60">
              <w:rPr>
                <w:b/>
              </w:rPr>
              <w:t>Kritéria rizika</w:t>
            </w:r>
          </w:p>
        </w:tc>
        <w:tc>
          <w:tcPr>
            <w:tcW w:w="1276" w:type="dxa"/>
            <w:vMerge w:val="restart"/>
            <w:tcBorders>
              <w:top w:val="single" w:sz="4" w:space="0" w:color="000000"/>
              <w:left w:val="single" w:sz="4" w:space="0" w:color="000000"/>
              <w:bottom w:val="single" w:sz="4" w:space="0" w:color="000000"/>
            </w:tcBorders>
          </w:tcPr>
          <w:p w14:paraId="060F94A4" w14:textId="0886D584" w:rsidR="00EA5993" w:rsidRPr="00F25A60" w:rsidRDefault="00EA5993" w:rsidP="0048111F">
            <w:pPr>
              <w:keepNext/>
              <w:keepLines/>
              <w:snapToGrid w:val="0"/>
              <w:spacing w:line="240" w:lineRule="auto"/>
              <w:rPr>
                <w:b/>
              </w:rPr>
            </w:pPr>
            <w:r w:rsidRPr="00F25A60">
              <w:rPr>
                <w:b/>
              </w:rPr>
              <w:t>Stupeň rizika</w:t>
            </w:r>
          </w:p>
        </w:tc>
        <w:tc>
          <w:tcPr>
            <w:tcW w:w="992" w:type="dxa"/>
            <w:vMerge w:val="restart"/>
            <w:tcBorders>
              <w:top w:val="single" w:sz="4" w:space="0" w:color="000000"/>
              <w:left w:val="single" w:sz="4" w:space="0" w:color="000000"/>
              <w:bottom w:val="single" w:sz="4" w:space="0" w:color="000000"/>
            </w:tcBorders>
          </w:tcPr>
          <w:p w14:paraId="1EC61BC4" w14:textId="77777777" w:rsidR="00EA5993" w:rsidRPr="00F25A60" w:rsidRDefault="00EA5993" w:rsidP="0048111F">
            <w:pPr>
              <w:keepNext/>
              <w:keepLines/>
              <w:snapToGrid w:val="0"/>
              <w:spacing w:line="240" w:lineRule="auto"/>
              <w:jc w:val="center"/>
              <w:rPr>
                <w:b/>
              </w:rPr>
            </w:pPr>
            <w:r w:rsidRPr="00F25A60">
              <w:rPr>
                <w:b/>
              </w:rPr>
              <w:t>% pacientů</w:t>
            </w:r>
          </w:p>
        </w:tc>
        <w:tc>
          <w:tcPr>
            <w:tcW w:w="1701" w:type="dxa"/>
            <w:vMerge w:val="restart"/>
            <w:tcBorders>
              <w:top w:val="single" w:sz="4" w:space="0" w:color="000000"/>
              <w:left w:val="single" w:sz="4" w:space="0" w:color="000000"/>
              <w:bottom w:val="single" w:sz="4" w:space="0" w:color="000000"/>
            </w:tcBorders>
          </w:tcPr>
          <w:p w14:paraId="3123ECEB" w14:textId="77777777" w:rsidR="00EA5993" w:rsidRPr="00F25A60" w:rsidRDefault="00EA5993" w:rsidP="0048111F">
            <w:pPr>
              <w:keepNext/>
              <w:keepLines/>
              <w:snapToGrid w:val="0"/>
              <w:spacing w:line="240" w:lineRule="auto"/>
              <w:jc w:val="center"/>
              <w:rPr>
                <w:b/>
              </w:rPr>
            </w:pPr>
            <w:r w:rsidRPr="00F25A60">
              <w:rPr>
                <w:b/>
              </w:rPr>
              <w:t>Počet příhod /</w:t>
            </w:r>
          </w:p>
          <w:p w14:paraId="4A44CE7C" w14:textId="77777777" w:rsidR="00EA5993" w:rsidRPr="00F25A60" w:rsidRDefault="00EA5993" w:rsidP="0048111F">
            <w:pPr>
              <w:keepNext/>
              <w:keepLines/>
              <w:spacing w:line="240" w:lineRule="auto"/>
              <w:jc w:val="center"/>
              <w:rPr>
                <w:b/>
              </w:rPr>
            </w:pPr>
            <w:r w:rsidRPr="00F25A60">
              <w:rPr>
                <w:b/>
              </w:rPr>
              <w:t>Počet pacientů</w:t>
            </w:r>
          </w:p>
        </w:tc>
        <w:tc>
          <w:tcPr>
            <w:tcW w:w="1559" w:type="dxa"/>
            <w:vMerge w:val="restart"/>
            <w:tcBorders>
              <w:top w:val="single" w:sz="4" w:space="0" w:color="000000"/>
              <w:left w:val="single" w:sz="4" w:space="0" w:color="000000"/>
              <w:bottom w:val="single" w:sz="4" w:space="0" w:color="000000"/>
            </w:tcBorders>
          </w:tcPr>
          <w:p w14:paraId="4CB24017" w14:textId="77777777" w:rsidR="00EA5993" w:rsidRPr="00F25A60" w:rsidRDefault="00EA5993" w:rsidP="0048111F">
            <w:pPr>
              <w:keepNext/>
              <w:keepLines/>
              <w:snapToGrid w:val="0"/>
              <w:spacing w:line="240" w:lineRule="auto"/>
              <w:jc w:val="center"/>
              <w:rPr>
                <w:b/>
              </w:rPr>
            </w:pPr>
            <w:r w:rsidRPr="00F25A60">
              <w:rPr>
                <w:b/>
              </w:rPr>
              <w:t>Celkové relativní riziko (95 %CI)*</w:t>
            </w:r>
          </w:p>
        </w:tc>
        <w:tc>
          <w:tcPr>
            <w:tcW w:w="2693" w:type="dxa"/>
            <w:gridSpan w:val="2"/>
            <w:tcBorders>
              <w:top w:val="single" w:sz="4" w:space="0" w:color="000000"/>
              <w:left w:val="single" w:sz="4" w:space="0" w:color="000000"/>
              <w:bottom w:val="single" w:sz="4" w:space="0" w:color="000000"/>
              <w:right w:val="single" w:sz="4" w:space="0" w:color="000000"/>
            </w:tcBorders>
          </w:tcPr>
          <w:p w14:paraId="6D519269" w14:textId="77777777" w:rsidR="00EA5993" w:rsidRPr="00F25A60" w:rsidRDefault="00EA5993" w:rsidP="0048111F">
            <w:pPr>
              <w:keepNext/>
              <w:keepLines/>
              <w:snapToGrid w:val="0"/>
              <w:spacing w:line="240" w:lineRule="auto"/>
              <w:jc w:val="center"/>
            </w:pPr>
            <w:r w:rsidRPr="00F25A60">
              <w:rPr>
                <w:b/>
              </w:rPr>
              <w:t xml:space="preserve">Míra </w:t>
            </w:r>
            <w:smartTag w:uri="urn:schemas-microsoft-com:office:smarttags" w:element="stockticker">
              <w:r w:rsidRPr="00F25A60">
                <w:rPr>
                  <w:b/>
                </w:rPr>
                <w:t>RFS</w:t>
              </w:r>
            </w:smartTag>
            <w:r w:rsidRPr="00F25A60">
              <w:rPr>
                <w:b/>
              </w:rPr>
              <w:t xml:space="preserve"> (%)</w:t>
            </w:r>
          </w:p>
        </w:tc>
      </w:tr>
      <w:tr w:rsidR="00EA5993" w:rsidRPr="00F25A60" w14:paraId="2E3B31A1" w14:textId="77777777" w:rsidTr="0048111F">
        <w:trPr>
          <w:cantSplit/>
        </w:trPr>
        <w:tc>
          <w:tcPr>
            <w:tcW w:w="866" w:type="dxa"/>
            <w:vMerge/>
            <w:tcBorders>
              <w:top w:val="single" w:sz="4" w:space="0" w:color="000000"/>
              <w:left w:val="single" w:sz="4" w:space="0" w:color="000000"/>
              <w:bottom w:val="single" w:sz="4" w:space="0" w:color="000000"/>
            </w:tcBorders>
          </w:tcPr>
          <w:p w14:paraId="337EDF22" w14:textId="77777777" w:rsidR="00EA5993" w:rsidRPr="00F25A60" w:rsidRDefault="00EA5993" w:rsidP="0048111F">
            <w:pPr>
              <w:keepNext/>
              <w:keepLines/>
              <w:spacing w:line="240" w:lineRule="auto"/>
            </w:pPr>
          </w:p>
        </w:tc>
        <w:tc>
          <w:tcPr>
            <w:tcW w:w="1276" w:type="dxa"/>
            <w:vMerge/>
            <w:tcBorders>
              <w:top w:val="single" w:sz="4" w:space="0" w:color="000000"/>
              <w:left w:val="single" w:sz="4" w:space="0" w:color="000000"/>
              <w:bottom w:val="single" w:sz="4" w:space="0" w:color="000000"/>
            </w:tcBorders>
          </w:tcPr>
          <w:p w14:paraId="2542E95B" w14:textId="77777777" w:rsidR="00EA5993" w:rsidRPr="00F25A60" w:rsidRDefault="00EA5993" w:rsidP="0048111F">
            <w:pPr>
              <w:keepNext/>
              <w:keepLines/>
              <w:spacing w:line="240" w:lineRule="auto"/>
            </w:pPr>
          </w:p>
        </w:tc>
        <w:tc>
          <w:tcPr>
            <w:tcW w:w="992" w:type="dxa"/>
            <w:vMerge/>
            <w:tcBorders>
              <w:top w:val="single" w:sz="4" w:space="0" w:color="000000"/>
              <w:left w:val="single" w:sz="4" w:space="0" w:color="000000"/>
              <w:bottom w:val="single" w:sz="4" w:space="0" w:color="000000"/>
            </w:tcBorders>
          </w:tcPr>
          <w:p w14:paraId="12FEFEE9" w14:textId="77777777" w:rsidR="00EA5993" w:rsidRPr="00F25A60" w:rsidRDefault="00EA5993" w:rsidP="0048111F">
            <w:pPr>
              <w:keepNext/>
              <w:keepLines/>
              <w:spacing w:line="240" w:lineRule="auto"/>
            </w:pPr>
          </w:p>
        </w:tc>
        <w:tc>
          <w:tcPr>
            <w:tcW w:w="1701" w:type="dxa"/>
            <w:vMerge/>
            <w:tcBorders>
              <w:top w:val="single" w:sz="4" w:space="0" w:color="000000"/>
              <w:left w:val="single" w:sz="4" w:space="0" w:color="000000"/>
              <w:bottom w:val="single" w:sz="4" w:space="0" w:color="000000"/>
            </w:tcBorders>
          </w:tcPr>
          <w:p w14:paraId="5B85E29F" w14:textId="77777777" w:rsidR="00EA5993" w:rsidRPr="00F25A60" w:rsidRDefault="00EA5993" w:rsidP="0048111F">
            <w:pPr>
              <w:keepNext/>
              <w:keepLines/>
              <w:spacing w:line="240" w:lineRule="auto"/>
            </w:pPr>
          </w:p>
        </w:tc>
        <w:tc>
          <w:tcPr>
            <w:tcW w:w="1559" w:type="dxa"/>
            <w:vMerge/>
            <w:tcBorders>
              <w:top w:val="single" w:sz="4" w:space="0" w:color="000000"/>
              <w:left w:val="single" w:sz="4" w:space="0" w:color="000000"/>
              <w:bottom w:val="single" w:sz="4" w:space="0" w:color="000000"/>
            </w:tcBorders>
          </w:tcPr>
          <w:p w14:paraId="3A53CD85" w14:textId="77777777" w:rsidR="00EA5993" w:rsidRPr="00F25A60" w:rsidRDefault="00EA5993" w:rsidP="0048111F">
            <w:pPr>
              <w:keepNext/>
              <w:keepLines/>
              <w:spacing w:line="240" w:lineRule="auto"/>
            </w:pPr>
          </w:p>
        </w:tc>
        <w:tc>
          <w:tcPr>
            <w:tcW w:w="1418" w:type="dxa"/>
            <w:tcBorders>
              <w:top w:val="single" w:sz="4" w:space="0" w:color="000000"/>
              <w:left w:val="single" w:sz="4" w:space="0" w:color="000000"/>
              <w:bottom w:val="single" w:sz="4" w:space="0" w:color="000000"/>
            </w:tcBorders>
          </w:tcPr>
          <w:p w14:paraId="3C004667" w14:textId="77777777" w:rsidR="00EA5993" w:rsidRPr="00F25A60" w:rsidRDefault="00EA5993" w:rsidP="0048111F">
            <w:pPr>
              <w:keepNext/>
              <w:keepLines/>
              <w:snapToGrid w:val="0"/>
              <w:spacing w:line="240" w:lineRule="auto"/>
              <w:jc w:val="center"/>
              <w:rPr>
                <w:b/>
              </w:rPr>
            </w:pPr>
            <w:r w:rsidRPr="00F25A60">
              <w:rPr>
                <w:b/>
              </w:rPr>
              <w:t>12 měsíců</w:t>
            </w:r>
          </w:p>
        </w:tc>
        <w:tc>
          <w:tcPr>
            <w:tcW w:w="1275" w:type="dxa"/>
            <w:tcBorders>
              <w:top w:val="single" w:sz="4" w:space="0" w:color="000000"/>
              <w:left w:val="single" w:sz="4" w:space="0" w:color="000000"/>
              <w:bottom w:val="single" w:sz="4" w:space="0" w:color="000000"/>
              <w:right w:val="single" w:sz="4" w:space="0" w:color="000000"/>
            </w:tcBorders>
          </w:tcPr>
          <w:p w14:paraId="7199A426" w14:textId="77777777" w:rsidR="00EA5993" w:rsidRPr="00F25A60" w:rsidRDefault="00EA5993" w:rsidP="0048111F">
            <w:pPr>
              <w:keepNext/>
              <w:keepLines/>
              <w:snapToGrid w:val="0"/>
              <w:spacing w:line="240" w:lineRule="auto"/>
              <w:jc w:val="center"/>
            </w:pPr>
            <w:r w:rsidRPr="00F25A60">
              <w:rPr>
                <w:b/>
              </w:rPr>
              <w:t>24 měsíců</w:t>
            </w:r>
          </w:p>
        </w:tc>
      </w:tr>
      <w:tr w:rsidR="00EA5993" w:rsidRPr="00F25A60" w14:paraId="0811D6F8" w14:textId="77777777" w:rsidTr="0048111F">
        <w:trPr>
          <w:cantSplit/>
        </w:trPr>
        <w:tc>
          <w:tcPr>
            <w:tcW w:w="866" w:type="dxa"/>
            <w:vMerge/>
            <w:tcBorders>
              <w:top w:val="single" w:sz="4" w:space="0" w:color="000000"/>
              <w:left w:val="single" w:sz="4" w:space="0" w:color="000000"/>
              <w:bottom w:val="single" w:sz="4" w:space="0" w:color="000000"/>
            </w:tcBorders>
          </w:tcPr>
          <w:p w14:paraId="2FEBAFA7" w14:textId="77777777" w:rsidR="00EA5993" w:rsidRPr="00F25A60" w:rsidRDefault="00EA5993" w:rsidP="0048111F">
            <w:pPr>
              <w:keepNext/>
              <w:keepLines/>
              <w:spacing w:line="240" w:lineRule="auto"/>
            </w:pPr>
          </w:p>
        </w:tc>
        <w:tc>
          <w:tcPr>
            <w:tcW w:w="1276" w:type="dxa"/>
            <w:vMerge/>
            <w:tcBorders>
              <w:top w:val="single" w:sz="4" w:space="0" w:color="000000"/>
              <w:left w:val="single" w:sz="4" w:space="0" w:color="000000"/>
              <w:bottom w:val="single" w:sz="4" w:space="0" w:color="000000"/>
            </w:tcBorders>
          </w:tcPr>
          <w:p w14:paraId="7FBE5C0D" w14:textId="77777777" w:rsidR="00EA5993" w:rsidRPr="00F25A60" w:rsidRDefault="00EA5993" w:rsidP="0048111F">
            <w:pPr>
              <w:keepNext/>
              <w:keepLines/>
              <w:spacing w:line="240" w:lineRule="auto"/>
            </w:pPr>
          </w:p>
        </w:tc>
        <w:tc>
          <w:tcPr>
            <w:tcW w:w="992" w:type="dxa"/>
            <w:vMerge/>
            <w:tcBorders>
              <w:top w:val="single" w:sz="4" w:space="0" w:color="000000"/>
              <w:left w:val="single" w:sz="4" w:space="0" w:color="000000"/>
              <w:bottom w:val="single" w:sz="4" w:space="0" w:color="000000"/>
            </w:tcBorders>
          </w:tcPr>
          <w:p w14:paraId="44DE5C61" w14:textId="77777777" w:rsidR="00EA5993" w:rsidRPr="00F25A60" w:rsidRDefault="00EA5993" w:rsidP="0048111F">
            <w:pPr>
              <w:keepNext/>
              <w:keepLines/>
              <w:spacing w:line="240" w:lineRule="auto"/>
            </w:pPr>
          </w:p>
        </w:tc>
        <w:tc>
          <w:tcPr>
            <w:tcW w:w="1701" w:type="dxa"/>
            <w:tcBorders>
              <w:top w:val="single" w:sz="4" w:space="0" w:color="000000"/>
              <w:left w:val="single" w:sz="4" w:space="0" w:color="000000"/>
              <w:bottom w:val="single" w:sz="4" w:space="0" w:color="000000"/>
            </w:tcBorders>
          </w:tcPr>
          <w:p w14:paraId="218AC03E" w14:textId="77777777" w:rsidR="00EA5993" w:rsidRPr="00F25A60" w:rsidRDefault="00EA5993" w:rsidP="0048111F">
            <w:pPr>
              <w:keepNext/>
              <w:keepLines/>
              <w:snapToGrid w:val="0"/>
              <w:spacing w:line="240" w:lineRule="auto"/>
              <w:jc w:val="center"/>
            </w:pPr>
            <w:r w:rsidRPr="00F25A60">
              <w:rPr>
                <w:b/>
              </w:rPr>
              <w:t>Glivec vs placebo</w:t>
            </w:r>
          </w:p>
        </w:tc>
        <w:tc>
          <w:tcPr>
            <w:tcW w:w="1559" w:type="dxa"/>
            <w:vMerge/>
            <w:tcBorders>
              <w:top w:val="single" w:sz="4" w:space="0" w:color="000000"/>
              <w:left w:val="single" w:sz="4" w:space="0" w:color="000000"/>
              <w:bottom w:val="single" w:sz="4" w:space="0" w:color="000000"/>
            </w:tcBorders>
          </w:tcPr>
          <w:p w14:paraId="62FDDD8B" w14:textId="77777777" w:rsidR="00EA5993" w:rsidRPr="00F25A60" w:rsidRDefault="00EA5993" w:rsidP="0048111F">
            <w:pPr>
              <w:keepNext/>
              <w:keepLines/>
              <w:spacing w:line="240" w:lineRule="auto"/>
            </w:pPr>
          </w:p>
        </w:tc>
        <w:tc>
          <w:tcPr>
            <w:tcW w:w="1418" w:type="dxa"/>
            <w:tcBorders>
              <w:top w:val="single" w:sz="4" w:space="0" w:color="000000"/>
              <w:left w:val="single" w:sz="4" w:space="0" w:color="000000"/>
              <w:bottom w:val="single" w:sz="4" w:space="0" w:color="000000"/>
            </w:tcBorders>
          </w:tcPr>
          <w:p w14:paraId="4029013A" w14:textId="77777777" w:rsidR="00EA5993" w:rsidRPr="00F25A60" w:rsidRDefault="00EA5993" w:rsidP="0048111F">
            <w:pPr>
              <w:keepNext/>
              <w:keepLines/>
              <w:snapToGrid w:val="0"/>
              <w:spacing w:line="240" w:lineRule="auto"/>
              <w:jc w:val="center"/>
              <w:rPr>
                <w:b/>
              </w:rPr>
            </w:pPr>
            <w:r w:rsidRPr="00F25A60">
              <w:rPr>
                <w:b/>
              </w:rPr>
              <w:t>Glivec vs placebo</w:t>
            </w:r>
          </w:p>
        </w:tc>
        <w:tc>
          <w:tcPr>
            <w:tcW w:w="1275" w:type="dxa"/>
            <w:tcBorders>
              <w:top w:val="single" w:sz="4" w:space="0" w:color="000000"/>
              <w:left w:val="single" w:sz="4" w:space="0" w:color="000000"/>
              <w:bottom w:val="single" w:sz="4" w:space="0" w:color="000000"/>
              <w:right w:val="single" w:sz="4" w:space="0" w:color="000000"/>
            </w:tcBorders>
          </w:tcPr>
          <w:p w14:paraId="0020DED9" w14:textId="77777777" w:rsidR="00EA5993" w:rsidRPr="00F25A60" w:rsidRDefault="00EA5993" w:rsidP="0048111F">
            <w:pPr>
              <w:keepNext/>
              <w:keepLines/>
              <w:snapToGrid w:val="0"/>
              <w:spacing w:line="240" w:lineRule="auto"/>
              <w:jc w:val="center"/>
            </w:pPr>
            <w:r w:rsidRPr="00F25A60">
              <w:rPr>
                <w:b/>
              </w:rPr>
              <w:t>Glivec vs placebo</w:t>
            </w:r>
          </w:p>
        </w:tc>
      </w:tr>
      <w:tr w:rsidR="00EA5993" w:rsidRPr="00F25A60" w14:paraId="7C1EC6DD" w14:textId="77777777" w:rsidTr="0048111F">
        <w:trPr>
          <w:cantSplit/>
        </w:trPr>
        <w:tc>
          <w:tcPr>
            <w:tcW w:w="866" w:type="dxa"/>
            <w:vMerge w:val="restart"/>
            <w:tcBorders>
              <w:top w:val="single" w:sz="4" w:space="0" w:color="000000"/>
              <w:left w:val="single" w:sz="4" w:space="0" w:color="000000"/>
              <w:bottom w:val="single" w:sz="4" w:space="0" w:color="000000"/>
            </w:tcBorders>
          </w:tcPr>
          <w:p w14:paraId="2F709B0C" w14:textId="77777777" w:rsidR="00EA5993" w:rsidRPr="00F25A60" w:rsidRDefault="00EA5993" w:rsidP="0048111F">
            <w:pPr>
              <w:keepNext/>
              <w:keepLines/>
              <w:snapToGrid w:val="0"/>
              <w:spacing w:line="240" w:lineRule="auto"/>
            </w:pPr>
            <w:r w:rsidRPr="00F25A60">
              <w:t>NIH</w:t>
            </w:r>
          </w:p>
        </w:tc>
        <w:tc>
          <w:tcPr>
            <w:tcW w:w="1276" w:type="dxa"/>
            <w:tcBorders>
              <w:top w:val="single" w:sz="4" w:space="0" w:color="000000"/>
              <w:left w:val="single" w:sz="4" w:space="0" w:color="000000"/>
            </w:tcBorders>
            <w:vAlign w:val="bottom"/>
          </w:tcPr>
          <w:p w14:paraId="0DF8F0FF" w14:textId="77777777" w:rsidR="00EA5993" w:rsidRPr="00F25A60" w:rsidRDefault="00EA5993" w:rsidP="0048111F">
            <w:pPr>
              <w:keepNext/>
              <w:keepLines/>
              <w:snapToGrid w:val="0"/>
              <w:spacing w:line="240" w:lineRule="auto"/>
              <w:ind w:left="57" w:hanging="57"/>
            </w:pPr>
            <w:r w:rsidRPr="00F25A60">
              <w:t>Nízké</w:t>
            </w:r>
          </w:p>
        </w:tc>
        <w:tc>
          <w:tcPr>
            <w:tcW w:w="992" w:type="dxa"/>
            <w:tcBorders>
              <w:top w:val="single" w:sz="4" w:space="0" w:color="000000"/>
              <w:left w:val="single" w:sz="4" w:space="0" w:color="000000"/>
            </w:tcBorders>
            <w:vAlign w:val="bottom"/>
          </w:tcPr>
          <w:p w14:paraId="22422278" w14:textId="77777777" w:rsidR="00EA5993" w:rsidRPr="00F25A60" w:rsidRDefault="00EA5993" w:rsidP="0048111F">
            <w:pPr>
              <w:keepNext/>
              <w:keepLines/>
              <w:snapToGrid w:val="0"/>
              <w:spacing w:line="240" w:lineRule="auto"/>
              <w:ind w:left="57" w:hanging="57"/>
              <w:jc w:val="center"/>
            </w:pPr>
            <w:r w:rsidRPr="00F25A60">
              <w:t>29,5</w:t>
            </w:r>
          </w:p>
        </w:tc>
        <w:tc>
          <w:tcPr>
            <w:tcW w:w="1701" w:type="dxa"/>
            <w:tcBorders>
              <w:top w:val="single" w:sz="4" w:space="0" w:color="000000"/>
              <w:left w:val="single" w:sz="4" w:space="0" w:color="000000"/>
            </w:tcBorders>
            <w:vAlign w:val="bottom"/>
          </w:tcPr>
          <w:p w14:paraId="5E311DC9" w14:textId="77777777" w:rsidR="00EA5993" w:rsidRPr="00F25A60" w:rsidRDefault="00EA5993" w:rsidP="0048111F">
            <w:pPr>
              <w:keepNext/>
              <w:keepLines/>
              <w:snapToGrid w:val="0"/>
              <w:spacing w:line="240" w:lineRule="auto"/>
              <w:ind w:left="57" w:hanging="57"/>
            </w:pPr>
            <w:r w:rsidRPr="00F25A60">
              <w:t>0/86 vs. 2/90</w:t>
            </w:r>
          </w:p>
        </w:tc>
        <w:tc>
          <w:tcPr>
            <w:tcW w:w="1559" w:type="dxa"/>
            <w:tcBorders>
              <w:top w:val="single" w:sz="4" w:space="0" w:color="000000"/>
              <w:left w:val="single" w:sz="4" w:space="0" w:color="000000"/>
            </w:tcBorders>
            <w:vAlign w:val="bottom"/>
          </w:tcPr>
          <w:p w14:paraId="1D509574" w14:textId="77777777" w:rsidR="00EA5993" w:rsidRPr="00F25A60" w:rsidRDefault="00EA5993" w:rsidP="0048111F">
            <w:pPr>
              <w:keepNext/>
              <w:keepLines/>
              <w:snapToGrid w:val="0"/>
              <w:spacing w:line="240" w:lineRule="auto"/>
              <w:ind w:left="57" w:hanging="57"/>
            </w:pPr>
            <w:r w:rsidRPr="00F25A60">
              <w:t>N.E.</w:t>
            </w:r>
          </w:p>
        </w:tc>
        <w:tc>
          <w:tcPr>
            <w:tcW w:w="1418" w:type="dxa"/>
            <w:tcBorders>
              <w:top w:val="single" w:sz="4" w:space="0" w:color="000000"/>
              <w:left w:val="single" w:sz="4" w:space="0" w:color="000000"/>
            </w:tcBorders>
            <w:vAlign w:val="bottom"/>
          </w:tcPr>
          <w:p w14:paraId="378254D0" w14:textId="77777777" w:rsidR="00EA5993" w:rsidRPr="00F25A60" w:rsidRDefault="00EA5993" w:rsidP="0048111F">
            <w:pPr>
              <w:keepNext/>
              <w:keepLines/>
              <w:snapToGrid w:val="0"/>
              <w:spacing w:line="240" w:lineRule="auto"/>
              <w:ind w:left="57" w:hanging="57"/>
            </w:pPr>
            <w:r w:rsidRPr="00F25A60">
              <w:t>100 vs. 98,7</w:t>
            </w:r>
          </w:p>
        </w:tc>
        <w:tc>
          <w:tcPr>
            <w:tcW w:w="1275" w:type="dxa"/>
            <w:tcBorders>
              <w:top w:val="single" w:sz="4" w:space="0" w:color="000000"/>
              <w:left w:val="single" w:sz="4" w:space="0" w:color="000000"/>
              <w:right w:val="single" w:sz="4" w:space="0" w:color="000000"/>
            </w:tcBorders>
            <w:vAlign w:val="bottom"/>
          </w:tcPr>
          <w:p w14:paraId="1DFC88F4" w14:textId="77777777" w:rsidR="00EA5993" w:rsidRPr="00F25A60" w:rsidRDefault="00EA5993" w:rsidP="0048111F">
            <w:pPr>
              <w:keepNext/>
              <w:keepLines/>
              <w:snapToGrid w:val="0"/>
              <w:spacing w:line="240" w:lineRule="auto"/>
              <w:ind w:left="57" w:hanging="57"/>
            </w:pPr>
            <w:r w:rsidRPr="00F25A60">
              <w:t>100 vs. 95,5</w:t>
            </w:r>
          </w:p>
        </w:tc>
      </w:tr>
      <w:tr w:rsidR="00EA5993" w:rsidRPr="00F25A60" w14:paraId="4B9D8945" w14:textId="77777777" w:rsidTr="0048111F">
        <w:trPr>
          <w:cantSplit/>
        </w:trPr>
        <w:tc>
          <w:tcPr>
            <w:tcW w:w="866" w:type="dxa"/>
            <w:vMerge/>
            <w:tcBorders>
              <w:top w:val="single" w:sz="4" w:space="0" w:color="000000"/>
              <w:left w:val="single" w:sz="4" w:space="0" w:color="000000"/>
              <w:bottom w:val="single" w:sz="4" w:space="0" w:color="000000"/>
            </w:tcBorders>
          </w:tcPr>
          <w:p w14:paraId="43BFFE67" w14:textId="77777777" w:rsidR="00EA5993" w:rsidRPr="00F25A60" w:rsidRDefault="00EA5993" w:rsidP="0048111F">
            <w:pPr>
              <w:keepNext/>
              <w:keepLines/>
              <w:spacing w:line="240" w:lineRule="auto"/>
            </w:pPr>
          </w:p>
        </w:tc>
        <w:tc>
          <w:tcPr>
            <w:tcW w:w="1276" w:type="dxa"/>
            <w:tcBorders>
              <w:left w:val="single" w:sz="4" w:space="0" w:color="000000"/>
            </w:tcBorders>
            <w:vAlign w:val="bottom"/>
          </w:tcPr>
          <w:p w14:paraId="378F8179" w14:textId="77777777" w:rsidR="00EA5993" w:rsidRPr="00F25A60" w:rsidRDefault="00EA5993" w:rsidP="0048111F">
            <w:pPr>
              <w:keepNext/>
              <w:keepLines/>
              <w:snapToGrid w:val="0"/>
              <w:spacing w:line="240" w:lineRule="auto"/>
            </w:pPr>
            <w:r w:rsidRPr="00F25A60">
              <w:t>Střední</w:t>
            </w:r>
          </w:p>
        </w:tc>
        <w:tc>
          <w:tcPr>
            <w:tcW w:w="992" w:type="dxa"/>
            <w:tcBorders>
              <w:left w:val="single" w:sz="4" w:space="0" w:color="000000"/>
            </w:tcBorders>
            <w:vAlign w:val="bottom"/>
          </w:tcPr>
          <w:p w14:paraId="1766C072" w14:textId="77777777" w:rsidR="00EA5993" w:rsidRPr="00F25A60" w:rsidRDefault="00EA5993" w:rsidP="0048111F">
            <w:pPr>
              <w:keepNext/>
              <w:keepLines/>
              <w:snapToGrid w:val="0"/>
              <w:spacing w:line="240" w:lineRule="auto"/>
              <w:jc w:val="center"/>
            </w:pPr>
            <w:r w:rsidRPr="00F25A60">
              <w:t>25,7</w:t>
            </w:r>
          </w:p>
        </w:tc>
        <w:tc>
          <w:tcPr>
            <w:tcW w:w="1701" w:type="dxa"/>
            <w:tcBorders>
              <w:left w:val="single" w:sz="4" w:space="0" w:color="000000"/>
            </w:tcBorders>
            <w:vAlign w:val="bottom"/>
          </w:tcPr>
          <w:p w14:paraId="5BF1A5D0" w14:textId="77777777" w:rsidR="00EA5993" w:rsidRPr="00F25A60" w:rsidRDefault="00EA5993" w:rsidP="0048111F">
            <w:pPr>
              <w:keepNext/>
              <w:keepLines/>
              <w:snapToGrid w:val="0"/>
              <w:spacing w:line="240" w:lineRule="auto"/>
            </w:pPr>
            <w:r w:rsidRPr="00F25A60">
              <w:t>4/75 vs. 6/78</w:t>
            </w:r>
          </w:p>
        </w:tc>
        <w:tc>
          <w:tcPr>
            <w:tcW w:w="1559" w:type="dxa"/>
            <w:tcBorders>
              <w:left w:val="single" w:sz="4" w:space="0" w:color="000000"/>
            </w:tcBorders>
            <w:vAlign w:val="bottom"/>
          </w:tcPr>
          <w:p w14:paraId="6072F294" w14:textId="77777777" w:rsidR="00EA5993" w:rsidRPr="00F25A60" w:rsidRDefault="00EA5993" w:rsidP="0048111F">
            <w:pPr>
              <w:keepNext/>
              <w:keepLines/>
              <w:snapToGrid w:val="0"/>
              <w:spacing w:line="240" w:lineRule="auto"/>
            </w:pPr>
            <w:r w:rsidRPr="00F25A60">
              <w:t>0,59 (0,17; 2,10)</w:t>
            </w:r>
          </w:p>
        </w:tc>
        <w:tc>
          <w:tcPr>
            <w:tcW w:w="1418" w:type="dxa"/>
            <w:tcBorders>
              <w:left w:val="single" w:sz="4" w:space="0" w:color="000000"/>
            </w:tcBorders>
            <w:vAlign w:val="bottom"/>
          </w:tcPr>
          <w:p w14:paraId="34D105B0" w14:textId="77777777" w:rsidR="00EA5993" w:rsidRPr="00F25A60" w:rsidRDefault="00EA5993" w:rsidP="0048111F">
            <w:pPr>
              <w:keepNext/>
              <w:keepLines/>
              <w:snapToGrid w:val="0"/>
              <w:spacing w:line="240" w:lineRule="auto"/>
            </w:pPr>
            <w:r w:rsidRPr="00F25A60">
              <w:t>100 vs. 94,8</w:t>
            </w:r>
          </w:p>
        </w:tc>
        <w:tc>
          <w:tcPr>
            <w:tcW w:w="1275" w:type="dxa"/>
            <w:tcBorders>
              <w:left w:val="single" w:sz="4" w:space="0" w:color="000000"/>
              <w:right w:val="single" w:sz="4" w:space="0" w:color="000000"/>
            </w:tcBorders>
            <w:vAlign w:val="bottom"/>
          </w:tcPr>
          <w:p w14:paraId="51D3F652" w14:textId="77777777" w:rsidR="00EA5993" w:rsidRPr="00F25A60" w:rsidRDefault="00EA5993" w:rsidP="0048111F">
            <w:pPr>
              <w:keepNext/>
              <w:keepLines/>
              <w:snapToGrid w:val="0"/>
              <w:spacing w:line="240" w:lineRule="auto"/>
            </w:pPr>
            <w:r w:rsidRPr="00F25A60">
              <w:t>97,8 vs. 89,5</w:t>
            </w:r>
          </w:p>
        </w:tc>
      </w:tr>
      <w:tr w:rsidR="00EA5993" w:rsidRPr="00F25A60" w14:paraId="5D225EDA" w14:textId="77777777" w:rsidTr="0048111F">
        <w:trPr>
          <w:cantSplit/>
        </w:trPr>
        <w:tc>
          <w:tcPr>
            <w:tcW w:w="866" w:type="dxa"/>
            <w:vMerge/>
            <w:tcBorders>
              <w:top w:val="single" w:sz="4" w:space="0" w:color="000000"/>
              <w:left w:val="single" w:sz="4" w:space="0" w:color="000000"/>
              <w:bottom w:val="single" w:sz="4" w:space="0" w:color="000000"/>
            </w:tcBorders>
          </w:tcPr>
          <w:p w14:paraId="75A801F7" w14:textId="77777777" w:rsidR="00EA5993" w:rsidRPr="00F25A60" w:rsidRDefault="00EA5993" w:rsidP="0048111F">
            <w:pPr>
              <w:keepNext/>
              <w:keepLines/>
              <w:spacing w:line="240" w:lineRule="auto"/>
            </w:pPr>
          </w:p>
        </w:tc>
        <w:tc>
          <w:tcPr>
            <w:tcW w:w="1276" w:type="dxa"/>
            <w:tcBorders>
              <w:left w:val="single" w:sz="4" w:space="0" w:color="000000"/>
              <w:bottom w:val="single" w:sz="4" w:space="0" w:color="000000"/>
            </w:tcBorders>
            <w:vAlign w:val="bottom"/>
          </w:tcPr>
          <w:p w14:paraId="49606222" w14:textId="77777777" w:rsidR="00EA5993" w:rsidRPr="00F25A60" w:rsidRDefault="00EA5993" w:rsidP="0048111F">
            <w:pPr>
              <w:keepNext/>
              <w:keepLines/>
              <w:snapToGrid w:val="0"/>
              <w:spacing w:line="240" w:lineRule="auto"/>
            </w:pPr>
            <w:r w:rsidRPr="00F25A60">
              <w:t>Vysoké</w:t>
            </w:r>
          </w:p>
        </w:tc>
        <w:tc>
          <w:tcPr>
            <w:tcW w:w="992" w:type="dxa"/>
            <w:tcBorders>
              <w:left w:val="single" w:sz="4" w:space="0" w:color="000000"/>
              <w:bottom w:val="single" w:sz="4" w:space="0" w:color="000000"/>
            </w:tcBorders>
            <w:vAlign w:val="bottom"/>
          </w:tcPr>
          <w:p w14:paraId="11A18081" w14:textId="77777777" w:rsidR="00EA5993" w:rsidRPr="00F25A60" w:rsidRDefault="00EA5993" w:rsidP="0048111F">
            <w:pPr>
              <w:keepNext/>
              <w:keepLines/>
              <w:snapToGrid w:val="0"/>
              <w:spacing w:line="240" w:lineRule="auto"/>
              <w:jc w:val="center"/>
            </w:pPr>
            <w:r w:rsidRPr="00F25A60">
              <w:t>44,8</w:t>
            </w:r>
          </w:p>
        </w:tc>
        <w:tc>
          <w:tcPr>
            <w:tcW w:w="1701" w:type="dxa"/>
            <w:tcBorders>
              <w:left w:val="single" w:sz="4" w:space="0" w:color="000000"/>
              <w:bottom w:val="single" w:sz="4" w:space="0" w:color="000000"/>
            </w:tcBorders>
            <w:vAlign w:val="bottom"/>
          </w:tcPr>
          <w:p w14:paraId="7BCB99A5" w14:textId="77777777" w:rsidR="00EA5993" w:rsidRPr="00F25A60" w:rsidRDefault="00EA5993" w:rsidP="0048111F">
            <w:pPr>
              <w:keepNext/>
              <w:keepLines/>
              <w:snapToGrid w:val="0"/>
              <w:spacing w:line="240" w:lineRule="auto"/>
            </w:pPr>
            <w:r w:rsidRPr="00F25A60">
              <w:t>21/140 vs. 51/127</w:t>
            </w:r>
          </w:p>
        </w:tc>
        <w:tc>
          <w:tcPr>
            <w:tcW w:w="1559" w:type="dxa"/>
            <w:tcBorders>
              <w:left w:val="single" w:sz="4" w:space="0" w:color="000000"/>
              <w:bottom w:val="single" w:sz="4" w:space="0" w:color="000000"/>
            </w:tcBorders>
            <w:vAlign w:val="bottom"/>
          </w:tcPr>
          <w:p w14:paraId="4CD24567" w14:textId="77777777" w:rsidR="00EA5993" w:rsidRPr="00F25A60" w:rsidRDefault="00EA5993" w:rsidP="0048111F">
            <w:pPr>
              <w:keepNext/>
              <w:keepLines/>
              <w:snapToGrid w:val="0"/>
              <w:spacing w:line="240" w:lineRule="auto"/>
            </w:pPr>
            <w:r w:rsidRPr="00F25A60">
              <w:t>0,29 (0,18; 0,49)</w:t>
            </w:r>
          </w:p>
        </w:tc>
        <w:tc>
          <w:tcPr>
            <w:tcW w:w="1418" w:type="dxa"/>
            <w:tcBorders>
              <w:left w:val="single" w:sz="4" w:space="0" w:color="000000"/>
              <w:bottom w:val="single" w:sz="4" w:space="0" w:color="000000"/>
            </w:tcBorders>
            <w:vAlign w:val="bottom"/>
          </w:tcPr>
          <w:p w14:paraId="39BD6100" w14:textId="77777777" w:rsidR="00EA5993" w:rsidRPr="00F25A60" w:rsidRDefault="00EA5993" w:rsidP="0048111F">
            <w:pPr>
              <w:keepNext/>
              <w:keepLines/>
              <w:snapToGrid w:val="0"/>
              <w:spacing w:line="240" w:lineRule="auto"/>
            </w:pPr>
            <w:r w:rsidRPr="00F25A60">
              <w:t>94,8 vs. 64,0</w:t>
            </w:r>
          </w:p>
        </w:tc>
        <w:tc>
          <w:tcPr>
            <w:tcW w:w="1275" w:type="dxa"/>
            <w:tcBorders>
              <w:left w:val="single" w:sz="4" w:space="0" w:color="000000"/>
              <w:bottom w:val="single" w:sz="4" w:space="0" w:color="000000"/>
              <w:right w:val="single" w:sz="4" w:space="0" w:color="000000"/>
            </w:tcBorders>
            <w:vAlign w:val="bottom"/>
          </w:tcPr>
          <w:p w14:paraId="313F1C03" w14:textId="77777777" w:rsidR="00EA5993" w:rsidRPr="00F25A60" w:rsidRDefault="00EA5993" w:rsidP="0048111F">
            <w:pPr>
              <w:keepNext/>
              <w:keepLines/>
              <w:snapToGrid w:val="0"/>
              <w:spacing w:line="240" w:lineRule="auto"/>
            </w:pPr>
            <w:r w:rsidRPr="00F25A60">
              <w:t>80,7 vs. 46,6</w:t>
            </w:r>
          </w:p>
        </w:tc>
      </w:tr>
      <w:tr w:rsidR="00EA5993" w:rsidRPr="00F25A60" w14:paraId="588390BC" w14:textId="77777777" w:rsidTr="0048111F">
        <w:trPr>
          <w:cantSplit/>
        </w:trPr>
        <w:tc>
          <w:tcPr>
            <w:tcW w:w="866" w:type="dxa"/>
            <w:vMerge w:val="restart"/>
            <w:tcBorders>
              <w:top w:val="single" w:sz="4" w:space="0" w:color="000000"/>
              <w:left w:val="single" w:sz="4" w:space="0" w:color="000000"/>
              <w:bottom w:val="single" w:sz="4" w:space="0" w:color="000000"/>
            </w:tcBorders>
          </w:tcPr>
          <w:p w14:paraId="0A9DC124" w14:textId="77777777" w:rsidR="00EA5993" w:rsidRPr="00F25A60" w:rsidRDefault="00EA5993" w:rsidP="0048111F">
            <w:pPr>
              <w:keepNext/>
              <w:keepLines/>
              <w:snapToGrid w:val="0"/>
              <w:spacing w:line="240" w:lineRule="auto"/>
            </w:pPr>
            <w:r w:rsidRPr="00F25A60">
              <w:t>AFIP</w:t>
            </w:r>
          </w:p>
        </w:tc>
        <w:tc>
          <w:tcPr>
            <w:tcW w:w="1276" w:type="dxa"/>
            <w:tcBorders>
              <w:top w:val="single" w:sz="4" w:space="0" w:color="000000"/>
              <w:left w:val="single" w:sz="4" w:space="0" w:color="000000"/>
            </w:tcBorders>
            <w:vAlign w:val="bottom"/>
          </w:tcPr>
          <w:p w14:paraId="610743CA" w14:textId="77777777" w:rsidR="00EA5993" w:rsidRPr="00F25A60" w:rsidRDefault="00EA5993" w:rsidP="0048111F">
            <w:pPr>
              <w:keepNext/>
              <w:keepLines/>
              <w:snapToGrid w:val="0"/>
              <w:spacing w:line="240" w:lineRule="auto"/>
            </w:pPr>
            <w:r w:rsidRPr="00F25A60">
              <w:t>Velmi nízké</w:t>
            </w:r>
          </w:p>
        </w:tc>
        <w:tc>
          <w:tcPr>
            <w:tcW w:w="992" w:type="dxa"/>
            <w:tcBorders>
              <w:top w:val="single" w:sz="4" w:space="0" w:color="000000"/>
              <w:left w:val="single" w:sz="4" w:space="0" w:color="000000"/>
            </w:tcBorders>
            <w:vAlign w:val="bottom"/>
          </w:tcPr>
          <w:p w14:paraId="6EC081AF" w14:textId="77777777" w:rsidR="00EA5993" w:rsidRPr="00F25A60" w:rsidRDefault="00EA5993" w:rsidP="0048111F">
            <w:pPr>
              <w:keepNext/>
              <w:keepLines/>
              <w:snapToGrid w:val="0"/>
              <w:spacing w:line="240" w:lineRule="auto"/>
              <w:jc w:val="center"/>
            </w:pPr>
            <w:r w:rsidRPr="00F25A60">
              <w:t>20,7</w:t>
            </w:r>
          </w:p>
        </w:tc>
        <w:tc>
          <w:tcPr>
            <w:tcW w:w="1701" w:type="dxa"/>
            <w:tcBorders>
              <w:top w:val="single" w:sz="4" w:space="0" w:color="000000"/>
              <w:left w:val="single" w:sz="4" w:space="0" w:color="000000"/>
            </w:tcBorders>
            <w:vAlign w:val="bottom"/>
          </w:tcPr>
          <w:p w14:paraId="6A3C0697" w14:textId="77777777" w:rsidR="00EA5993" w:rsidRPr="00F25A60" w:rsidRDefault="00EA5993" w:rsidP="0048111F">
            <w:pPr>
              <w:keepNext/>
              <w:keepLines/>
              <w:snapToGrid w:val="0"/>
              <w:spacing w:line="240" w:lineRule="auto"/>
            </w:pPr>
            <w:r w:rsidRPr="00F25A60">
              <w:t>0/52 vs. 2/63</w:t>
            </w:r>
          </w:p>
        </w:tc>
        <w:tc>
          <w:tcPr>
            <w:tcW w:w="1559" w:type="dxa"/>
            <w:tcBorders>
              <w:top w:val="single" w:sz="4" w:space="0" w:color="000000"/>
              <w:left w:val="single" w:sz="4" w:space="0" w:color="000000"/>
            </w:tcBorders>
            <w:vAlign w:val="bottom"/>
          </w:tcPr>
          <w:p w14:paraId="1BD5BDFA" w14:textId="77777777" w:rsidR="00EA5993" w:rsidRPr="00F25A60" w:rsidRDefault="00EA5993" w:rsidP="0048111F">
            <w:pPr>
              <w:keepNext/>
              <w:keepLines/>
              <w:snapToGrid w:val="0"/>
              <w:spacing w:line="240" w:lineRule="auto"/>
            </w:pPr>
            <w:r w:rsidRPr="00F25A60">
              <w:t>N.E.</w:t>
            </w:r>
          </w:p>
        </w:tc>
        <w:tc>
          <w:tcPr>
            <w:tcW w:w="1418" w:type="dxa"/>
            <w:tcBorders>
              <w:top w:val="single" w:sz="4" w:space="0" w:color="000000"/>
              <w:left w:val="single" w:sz="4" w:space="0" w:color="000000"/>
            </w:tcBorders>
            <w:vAlign w:val="bottom"/>
          </w:tcPr>
          <w:p w14:paraId="71E5E19B" w14:textId="77777777" w:rsidR="00EA5993" w:rsidRPr="00F25A60" w:rsidRDefault="00EA5993" w:rsidP="0048111F">
            <w:pPr>
              <w:keepNext/>
              <w:keepLines/>
              <w:snapToGrid w:val="0"/>
              <w:spacing w:line="240" w:lineRule="auto"/>
            </w:pPr>
            <w:r w:rsidRPr="00F25A60">
              <w:t>100 vs. 98,1</w:t>
            </w:r>
          </w:p>
        </w:tc>
        <w:tc>
          <w:tcPr>
            <w:tcW w:w="1275" w:type="dxa"/>
            <w:tcBorders>
              <w:top w:val="single" w:sz="4" w:space="0" w:color="000000"/>
              <w:left w:val="single" w:sz="4" w:space="0" w:color="000000"/>
              <w:right w:val="single" w:sz="4" w:space="0" w:color="000000"/>
            </w:tcBorders>
            <w:vAlign w:val="bottom"/>
          </w:tcPr>
          <w:p w14:paraId="1B0CE395" w14:textId="77777777" w:rsidR="00EA5993" w:rsidRPr="00F25A60" w:rsidRDefault="00EA5993" w:rsidP="0048111F">
            <w:pPr>
              <w:keepNext/>
              <w:keepLines/>
              <w:snapToGrid w:val="0"/>
              <w:spacing w:line="240" w:lineRule="auto"/>
            </w:pPr>
            <w:r w:rsidRPr="00F25A60">
              <w:t>100 vs. 93,0</w:t>
            </w:r>
          </w:p>
        </w:tc>
      </w:tr>
      <w:tr w:rsidR="00EA5993" w:rsidRPr="00F25A60" w14:paraId="5C4466FA" w14:textId="77777777" w:rsidTr="0048111F">
        <w:trPr>
          <w:cantSplit/>
        </w:trPr>
        <w:tc>
          <w:tcPr>
            <w:tcW w:w="866" w:type="dxa"/>
            <w:vMerge/>
            <w:tcBorders>
              <w:top w:val="single" w:sz="4" w:space="0" w:color="000000"/>
              <w:left w:val="single" w:sz="4" w:space="0" w:color="000000"/>
              <w:bottom w:val="single" w:sz="4" w:space="0" w:color="000000"/>
            </w:tcBorders>
          </w:tcPr>
          <w:p w14:paraId="4A5472AF" w14:textId="77777777" w:rsidR="00EA5993" w:rsidRPr="00F25A60" w:rsidRDefault="00EA5993" w:rsidP="0048111F">
            <w:pPr>
              <w:keepNext/>
              <w:keepLines/>
              <w:spacing w:line="240" w:lineRule="auto"/>
            </w:pPr>
          </w:p>
        </w:tc>
        <w:tc>
          <w:tcPr>
            <w:tcW w:w="1276" w:type="dxa"/>
            <w:tcBorders>
              <w:left w:val="single" w:sz="4" w:space="0" w:color="000000"/>
            </w:tcBorders>
            <w:vAlign w:val="bottom"/>
          </w:tcPr>
          <w:p w14:paraId="24C07D1E" w14:textId="77777777" w:rsidR="00EA5993" w:rsidRPr="00F25A60" w:rsidRDefault="00EA5993" w:rsidP="0048111F">
            <w:pPr>
              <w:keepNext/>
              <w:keepLines/>
              <w:snapToGrid w:val="0"/>
              <w:spacing w:line="240" w:lineRule="auto"/>
            </w:pPr>
            <w:r w:rsidRPr="00F25A60">
              <w:t>Nízké</w:t>
            </w:r>
          </w:p>
        </w:tc>
        <w:tc>
          <w:tcPr>
            <w:tcW w:w="992" w:type="dxa"/>
            <w:tcBorders>
              <w:left w:val="single" w:sz="4" w:space="0" w:color="000000"/>
            </w:tcBorders>
            <w:vAlign w:val="bottom"/>
          </w:tcPr>
          <w:p w14:paraId="078C9DB3" w14:textId="77777777" w:rsidR="00EA5993" w:rsidRPr="00F25A60" w:rsidRDefault="00EA5993" w:rsidP="0048111F">
            <w:pPr>
              <w:keepNext/>
              <w:keepLines/>
              <w:snapToGrid w:val="0"/>
              <w:spacing w:line="240" w:lineRule="auto"/>
              <w:jc w:val="center"/>
            </w:pPr>
            <w:r w:rsidRPr="00F25A60">
              <w:t>25,0</w:t>
            </w:r>
          </w:p>
        </w:tc>
        <w:tc>
          <w:tcPr>
            <w:tcW w:w="1701" w:type="dxa"/>
            <w:tcBorders>
              <w:left w:val="single" w:sz="4" w:space="0" w:color="000000"/>
            </w:tcBorders>
            <w:vAlign w:val="bottom"/>
          </w:tcPr>
          <w:p w14:paraId="388A9F8A" w14:textId="77777777" w:rsidR="00EA5993" w:rsidRPr="00F25A60" w:rsidRDefault="00EA5993" w:rsidP="0048111F">
            <w:pPr>
              <w:keepNext/>
              <w:keepLines/>
              <w:snapToGrid w:val="0"/>
              <w:spacing w:line="240" w:lineRule="auto"/>
            </w:pPr>
            <w:r w:rsidRPr="00F25A60">
              <w:t>2/70 vs. 0/69</w:t>
            </w:r>
          </w:p>
        </w:tc>
        <w:tc>
          <w:tcPr>
            <w:tcW w:w="1559" w:type="dxa"/>
            <w:tcBorders>
              <w:left w:val="single" w:sz="4" w:space="0" w:color="000000"/>
            </w:tcBorders>
            <w:vAlign w:val="bottom"/>
          </w:tcPr>
          <w:p w14:paraId="39173DDC" w14:textId="77777777" w:rsidR="00EA5993" w:rsidRPr="00F25A60" w:rsidRDefault="00EA5993" w:rsidP="0048111F">
            <w:pPr>
              <w:keepNext/>
              <w:keepLines/>
              <w:snapToGrid w:val="0"/>
              <w:spacing w:line="240" w:lineRule="auto"/>
            </w:pPr>
            <w:r w:rsidRPr="00F25A60">
              <w:t>N.E.</w:t>
            </w:r>
          </w:p>
        </w:tc>
        <w:tc>
          <w:tcPr>
            <w:tcW w:w="1418" w:type="dxa"/>
            <w:tcBorders>
              <w:left w:val="single" w:sz="4" w:space="0" w:color="000000"/>
            </w:tcBorders>
            <w:vAlign w:val="bottom"/>
          </w:tcPr>
          <w:p w14:paraId="4BACFAC3" w14:textId="77777777" w:rsidR="00EA5993" w:rsidRPr="00F25A60" w:rsidRDefault="00EA5993" w:rsidP="0048111F">
            <w:pPr>
              <w:keepNext/>
              <w:keepLines/>
              <w:snapToGrid w:val="0"/>
              <w:spacing w:line="240" w:lineRule="auto"/>
            </w:pPr>
            <w:r w:rsidRPr="00F25A60">
              <w:t>100 vs. 100</w:t>
            </w:r>
          </w:p>
        </w:tc>
        <w:tc>
          <w:tcPr>
            <w:tcW w:w="1275" w:type="dxa"/>
            <w:tcBorders>
              <w:left w:val="single" w:sz="4" w:space="0" w:color="000000"/>
              <w:right w:val="single" w:sz="4" w:space="0" w:color="000000"/>
            </w:tcBorders>
            <w:vAlign w:val="bottom"/>
          </w:tcPr>
          <w:p w14:paraId="461CDC83" w14:textId="77777777" w:rsidR="00EA5993" w:rsidRPr="00F25A60" w:rsidRDefault="00EA5993" w:rsidP="0048111F">
            <w:pPr>
              <w:keepNext/>
              <w:keepLines/>
              <w:snapToGrid w:val="0"/>
              <w:spacing w:line="240" w:lineRule="auto"/>
            </w:pPr>
            <w:r w:rsidRPr="00F25A60">
              <w:t>97,8 vs. 100</w:t>
            </w:r>
          </w:p>
        </w:tc>
      </w:tr>
      <w:tr w:rsidR="00EA5993" w:rsidRPr="00F25A60" w14:paraId="55E96C11" w14:textId="77777777" w:rsidTr="0048111F">
        <w:trPr>
          <w:cantSplit/>
        </w:trPr>
        <w:tc>
          <w:tcPr>
            <w:tcW w:w="866" w:type="dxa"/>
            <w:vMerge/>
            <w:tcBorders>
              <w:top w:val="single" w:sz="4" w:space="0" w:color="000000"/>
              <w:left w:val="single" w:sz="4" w:space="0" w:color="000000"/>
              <w:bottom w:val="single" w:sz="4" w:space="0" w:color="000000"/>
            </w:tcBorders>
          </w:tcPr>
          <w:p w14:paraId="472F7969" w14:textId="77777777" w:rsidR="00EA5993" w:rsidRPr="00F25A60" w:rsidRDefault="00EA5993" w:rsidP="0048111F">
            <w:pPr>
              <w:keepNext/>
              <w:keepLines/>
              <w:spacing w:line="240" w:lineRule="auto"/>
            </w:pPr>
          </w:p>
        </w:tc>
        <w:tc>
          <w:tcPr>
            <w:tcW w:w="1276" w:type="dxa"/>
            <w:tcBorders>
              <w:left w:val="single" w:sz="4" w:space="0" w:color="000000"/>
            </w:tcBorders>
            <w:vAlign w:val="bottom"/>
          </w:tcPr>
          <w:p w14:paraId="03517CE7" w14:textId="77777777" w:rsidR="00EA5993" w:rsidRPr="00F25A60" w:rsidRDefault="00EA5993" w:rsidP="0048111F">
            <w:pPr>
              <w:keepNext/>
              <w:keepLines/>
              <w:snapToGrid w:val="0"/>
              <w:spacing w:line="240" w:lineRule="auto"/>
            </w:pPr>
            <w:r w:rsidRPr="00F25A60">
              <w:t>Střední</w:t>
            </w:r>
          </w:p>
        </w:tc>
        <w:tc>
          <w:tcPr>
            <w:tcW w:w="992" w:type="dxa"/>
            <w:tcBorders>
              <w:left w:val="single" w:sz="4" w:space="0" w:color="000000"/>
            </w:tcBorders>
            <w:vAlign w:val="bottom"/>
          </w:tcPr>
          <w:p w14:paraId="68314F88" w14:textId="77777777" w:rsidR="00EA5993" w:rsidRPr="00F25A60" w:rsidRDefault="00EA5993" w:rsidP="0048111F">
            <w:pPr>
              <w:keepNext/>
              <w:keepLines/>
              <w:snapToGrid w:val="0"/>
              <w:spacing w:line="240" w:lineRule="auto"/>
              <w:jc w:val="center"/>
            </w:pPr>
            <w:r w:rsidRPr="00F25A60">
              <w:t>24,6</w:t>
            </w:r>
          </w:p>
        </w:tc>
        <w:tc>
          <w:tcPr>
            <w:tcW w:w="1701" w:type="dxa"/>
            <w:tcBorders>
              <w:left w:val="single" w:sz="4" w:space="0" w:color="000000"/>
            </w:tcBorders>
            <w:vAlign w:val="bottom"/>
          </w:tcPr>
          <w:p w14:paraId="46C4F54A" w14:textId="77777777" w:rsidR="00EA5993" w:rsidRPr="00F25A60" w:rsidRDefault="00EA5993" w:rsidP="0048111F">
            <w:pPr>
              <w:keepNext/>
              <w:keepLines/>
              <w:snapToGrid w:val="0"/>
              <w:spacing w:line="240" w:lineRule="auto"/>
            </w:pPr>
            <w:r w:rsidRPr="00F25A60">
              <w:t>2/70 vs. 11/67</w:t>
            </w:r>
          </w:p>
        </w:tc>
        <w:tc>
          <w:tcPr>
            <w:tcW w:w="1559" w:type="dxa"/>
            <w:tcBorders>
              <w:left w:val="single" w:sz="4" w:space="0" w:color="000000"/>
            </w:tcBorders>
            <w:vAlign w:val="bottom"/>
          </w:tcPr>
          <w:p w14:paraId="0D030369" w14:textId="77777777" w:rsidR="00EA5993" w:rsidRPr="00F25A60" w:rsidRDefault="00EA5993" w:rsidP="0048111F">
            <w:pPr>
              <w:keepNext/>
              <w:keepLines/>
              <w:snapToGrid w:val="0"/>
              <w:spacing w:line="240" w:lineRule="auto"/>
            </w:pPr>
            <w:r w:rsidRPr="00F25A60">
              <w:t>0,16 (0,03; 0,70)</w:t>
            </w:r>
          </w:p>
        </w:tc>
        <w:tc>
          <w:tcPr>
            <w:tcW w:w="1418" w:type="dxa"/>
            <w:tcBorders>
              <w:left w:val="single" w:sz="4" w:space="0" w:color="000000"/>
            </w:tcBorders>
            <w:vAlign w:val="bottom"/>
          </w:tcPr>
          <w:p w14:paraId="47A6795C" w14:textId="77777777" w:rsidR="00EA5993" w:rsidRPr="00F25A60" w:rsidRDefault="00EA5993" w:rsidP="0048111F">
            <w:pPr>
              <w:keepNext/>
              <w:keepLines/>
              <w:snapToGrid w:val="0"/>
              <w:spacing w:line="240" w:lineRule="auto"/>
            </w:pPr>
            <w:r w:rsidRPr="00F25A60">
              <w:t>97,9 vs. 90,8</w:t>
            </w:r>
          </w:p>
        </w:tc>
        <w:tc>
          <w:tcPr>
            <w:tcW w:w="1275" w:type="dxa"/>
            <w:tcBorders>
              <w:left w:val="single" w:sz="4" w:space="0" w:color="000000"/>
              <w:right w:val="single" w:sz="4" w:space="0" w:color="000000"/>
            </w:tcBorders>
            <w:vAlign w:val="bottom"/>
          </w:tcPr>
          <w:p w14:paraId="588A8A53" w14:textId="77777777" w:rsidR="00EA5993" w:rsidRPr="00F25A60" w:rsidRDefault="00EA5993" w:rsidP="0048111F">
            <w:pPr>
              <w:keepNext/>
              <w:keepLines/>
              <w:snapToGrid w:val="0"/>
              <w:spacing w:line="240" w:lineRule="auto"/>
            </w:pPr>
            <w:r w:rsidRPr="00F25A60">
              <w:t>97,9 vs. 73,3</w:t>
            </w:r>
          </w:p>
        </w:tc>
      </w:tr>
      <w:tr w:rsidR="0048111F" w:rsidRPr="00F25A60" w14:paraId="5F6D6AC7" w14:textId="77777777" w:rsidTr="0048111F">
        <w:trPr>
          <w:cantSplit/>
        </w:trPr>
        <w:tc>
          <w:tcPr>
            <w:tcW w:w="866" w:type="dxa"/>
            <w:vMerge/>
            <w:tcBorders>
              <w:top w:val="single" w:sz="4" w:space="0" w:color="000000"/>
              <w:left w:val="single" w:sz="4" w:space="0" w:color="000000"/>
              <w:bottom w:val="single" w:sz="4" w:space="0" w:color="000000"/>
            </w:tcBorders>
          </w:tcPr>
          <w:p w14:paraId="76E3A0D0" w14:textId="77777777" w:rsidR="00EA5993" w:rsidRPr="00F25A60" w:rsidRDefault="00EA5993" w:rsidP="0048111F">
            <w:pPr>
              <w:keepNext/>
              <w:keepLines/>
              <w:spacing w:line="240" w:lineRule="auto"/>
            </w:pPr>
          </w:p>
        </w:tc>
        <w:tc>
          <w:tcPr>
            <w:tcW w:w="1276" w:type="dxa"/>
            <w:tcBorders>
              <w:left w:val="single" w:sz="4" w:space="0" w:color="000000"/>
            </w:tcBorders>
            <w:vAlign w:val="bottom"/>
          </w:tcPr>
          <w:p w14:paraId="159D4732" w14:textId="77777777" w:rsidR="00EA5993" w:rsidRPr="00F25A60" w:rsidRDefault="00EA5993" w:rsidP="0048111F">
            <w:pPr>
              <w:keepNext/>
              <w:keepLines/>
              <w:snapToGrid w:val="0"/>
              <w:spacing w:line="240" w:lineRule="auto"/>
            </w:pPr>
            <w:r w:rsidRPr="00F25A60">
              <w:t>Vysoké</w:t>
            </w:r>
          </w:p>
        </w:tc>
        <w:tc>
          <w:tcPr>
            <w:tcW w:w="992" w:type="dxa"/>
            <w:tcBorders>
              <w:left w:val="single" w:sz="4" w:space="0" w:color="000000"/>
            </w:tcBorders>
            <w:vAlign w:val="bottom"/>
          </w:tcPr>
          <w:p w14:paraId="4DC117EA" w14:textId="77777777" w:rsidR="00EA5993" w:rsidRPr="00F25A60" w:rsidRDefault="00EA5993" w:rsidP="0048111F">
            <w:pPr>
              <w:keepNext/>
              <w:keepLines/>
              <w:snapToGrid w:val="0"/>
              <w:spacing w:line="240" w:lineRule="auto"/>
              <w:ind w:right="-3"/>
              <w:jc w:val="center"/>
            </w:pPr>
            <w:r w:rsidRPr="00F25A60">
              <w:t>29,7</w:t>
            </w:r>
          </w:p>
        </w:tc>
        <w:tc>
          <w:tcPr>
            <w:tcW w:w="1701" w:type="dxa"/>
            <w:tcBorders>
              <w:left w:val="single" w:sz="4" w:space="0" w:color="000000"/>
            </w:tcBorders>
            <w:vAlign w:val="bottom"/>
          </w:tcPr>
          <w:p w14:paraId="03BF422E" w14:textId="77777777" w:rsidR="00EA5993" w:rsidRPr="00F25A60" w:rsidRDefault="00EA5993" w:rsidP="0048111F">
            <w:pPr>
              <w:keepNext/>
              <w:keepLines/>
              <w:snapToGrid w:val="0"/>
              <w:spacing w:line="240" w:lineRule="auto"/>
            </w:pPr>
            <w:r w:rsidRPr="00F25A60">
              <w:t>16/84 vs. 39/81</w:t>
            </w:r>
          </w:p>
        </w:tc>
        <w:tc>
          <w:tcPr>
            <w:tcW w:w="1559" w:type="dxa"/>
            <w:tcBorders>
              <w:left w:val="single" w:sz="4" w:space="0" w:color="000000"/>
            </w:tcBorders>
            <w:vAlign w:val="bottom"/>
          </w:tcPr>
          <w:p w14:paraId="5B5A8DD7" w14:textId="77777777" w:rsidR="00EA5993" w:rsidRPr="00F25A60" w:rsidRDefault="00EA5993" w:rsidP="0048111F">
            <w:pPr>
              <w:keepNext/>
              <w:keepLines/>
              <w:snapToGrid w:val="0"/>
              <w:spacing w:line="240" w:lineRule="auto"/>
            </w:pPr>
            <w:r w:rsidRPr="00F25A60">
              <w:t>0,27 (0,15; 0,48)</w:t>
            </w:r>
          </w:p>
        </w:tc>
        <w:tc>
          <w:tcPr>
            <w:tcW w:w="1418" w:type="dxa"/>
            <w:tcBorders>
              <w:left w:val="single" w:sz="4" w:space="0" w:color="000000"/>
            </w:tcBorders>
            <w:vAlign w:val="bottom"/>
          </w:tcPr>
          <w:p w14:paraId="3C00549C" w14:textId="77777777" w:rsidR="00EA5993" w:rsidRPr="00F25A60" w:rsidRDefault="00EA5993" w:rsidP="0048111F">
            <w:pPr>
              <w:keepNext/>
              <w:keepLines/>
              <w:snapToGrid w:val="0"/>
              <w:spacing w:line="240" w:lineRule="auto"/>
            </w:pPr>
            <w:r w:rsidRPr="00F25A60">
              <w:t>98,7 vs. 56,1</w:t>
            </w:r>
          </w:p>
        </w:tc>
        <w:tc>
          <w:tcPr>
            <w:tcW w:w="1275" w:type="dxa"/>
            <w:tcBorders>
              <w:left w:val="single" w:sz="4" w:space="0" w:color="000000"/>
              <w:right w:val="single" w:sz="4" w:space="0" w:color="000000"/>
            </w:tcBorders>
            <w:vAlign w:val="bottom"/>
          </w:tcPr>
          <w:p w14:paraId="73BAC6E6" w14:textId="77777777" w:rsidR="00EA5993" w:rsidRPr="00F25A60" w:rsidRDefault="00EA5993" w:rsidP="0048111F">
            <w:pPr>
              <w:keepNext/>
              <w:keepLines/>
              <w:snapToGrid w:val="0"/>
              <w:spacing w:line="240" w:lineRule="auto"/>
            </w:pPr>
            <w:r w:rsidRPr="00F25A60">
              <w:t>79,9 vs. 41,5</w:t>
            </w:r>
          </w:p>
        </w:tc>
      </w:tr>
      <w:tr w:rsidR="00B424AB" w:rsidRPr="00F25A60" w14:paraId="53E1102C" w14:textId="77777777" w:rsidTr="0048111F">
        <w:trPr>
          <w:cantSplit/>
          <w:ins w:id="365" w:author="Author"/>
        </w:trPr>
        <w:tc>
          <w:tcPr>
            <w:tcW w:w="9087" w:type="dxa"/>
            <w:gridSpan w:val="7"/>
            <w:tcBorders>
              <w:top w:val="single" w:sz="4" w:space="0" w:color="000000"/>
              <w:left w:val="single" w:sz="4" w:space="0" w:color="000000"/>
              <w:bottom w:val="single" w:sz="4" w:space="0" w:color="000000"/>
              <w:right w:val="single" w:sz="4" w:space="0" w:color="000000"/>
            </w:tcBorders>
          </w:tcPr>
          <w:p w14:paraId="4922B75C" w14:textId="3324E389" w:rsidR="00B424AB" w:rsidRPr="00A4569A" w:rsidRDefault="00B424AB" w:rsidP="0048111F">
            <w:pPr>
              <w:pStyle w:val="Text"/>
              <w:spacing w:before="0"/>
              <w:rPr>
                <w:ins w:id="366" w:author="Author"/>
                <w:rFonts w:eastAsia="MS Mincho"/>
                <w:color w:val="000000"/>
                <w:sz w:val="20"/>
                <w:szCs w:val="20"/>
                <w:lang w:val="cs-CZ"/>
              </w:rPr>
            </w:pPr>
            <w:ins w:id="367" w:author="Author">
              <w:r w:rsidRPr="0048111F">
                <w:rPr>
                  <w:sz w:val="20"/>
                  <w:szCs w:val="20"/>
                  <w:lang w:val="cs-CZ"/>
                </w:rPr>
                <w:t>* včetně follow-up periody; N</w:t>
              </w:r>
              <w:r w:rsidR="00035785">
                <w:rPr>
                  <w:sz w:val="20"/>
                  <w:szCs w:val="20"/>
                  <w:lang w:val="cs-CZ"/>
                </w:rPr>
                <w:t>.</w:t>
              </w:r>
              <w:r w:rsidRPr="0048111F">
                <w:rPr>
                  <w:sz w:val="20"/>
                  <w:szCs w:val="20"/>
                  <w:lang w:val="cs-CZ"/>
                </w:rPr>
                <w:t>E</w:t>
              </w:r>
              <w:r w:rsidR="00035785">
                <w:rPr>
                  <w:sz w:val="20"/>
                  <w:szCs w:val="20"/>
                  <w:lang w:val="cs-CZ"/>
                </w:rPr>
                <w:t>.</w:t>
              </w:r>
              <w:r w:rsidRPr="0048111F">
                <w:rPr>
                  <w:sz w:val="20"/>
                  <w:szCs w:val="20"/>
                  <w:lang w:val="cs-CZ"/>
                </w:rPr>
                <w:t xml:space="preserve"> – nelze určit</w:t>
              </w:r>
            </w:ins>
          </w:p>
        </w:tc>
      </w:tr>
    </w:tbl>
    <w:p w14:paraId="03A62CA3" w14:textId="354C1A14" w:rsidR="00EA5993" w:rsidRPr="00F25A60" w:rsidDel="00B424AB" w:rsidRDefault="00EA5993" w:rsidP="0048111F">
      <w:pPr>
        <w:pStyle w:val="Text"/>
        <w:spacing w:before="0"/>
        <w:rPr>
          <w:del w:id="368" w:author="Author"/>
          <w:rFonts w:eastAsia="MS Mincho"/>
          <w:color w:val="000000"/>
          <w:lang w:val="cs-CZ"/>
        </w:rPr>
      </w:pPr>
      <w:del w:id="369" w:author="Author">
        <w:r w:rsidRPr="00F25A60" w:rsidDel="00B424AB">
          <w:rPr>
            <w:sz w:val="22"/>
            <w:szCs w:val="22"/>
            <w:lang w:val="cs-CZ"/>
          </w:rPr>
          <w:delText>* včetně follow-up periody; NE – nelze určit</w:delText>
        </w:r>
      </w:del>
    </w:p>
    <w:p w14:paraId="190B229D" w14:textId="77777777" w:rsidR="00EA5993" w:rsidRPr="00F25A60" w:rsidRDefault="00EA5993" w:rsidP="0048111F">
      <w:pPr>
        <w:tabs>
          <w:tab w:val="clear" w:pos="567"/>
        </w:tabs>
        <w:spacing w:line="240" w:lineRule="auto"/>
        <w:rPr>
          <w:rFonts w:eastAsia="MS Mincho"/>
          <w:lang w:eastAsia="ja-JP"/>
        </w:rPr>
      </w:pPr>
    </w:p>
    <w:p w14:paraId="5B3B99C1" w14:textId="77777777" w:rsidR="00EA5993" w:rsidRPr="00F25A60" w:rsidRDefault="00EA5993" w:rsidP="0048111F">
      <w:pPr>
        <w:tabs>
          <w:tab w:val="clear" w:pos="567"/>
        </w:tabs>
        <w:spacing w:line="240" w:lineRule="auto"/>
        <w:rPr>
          <w:rFonts w:eastAsia="MS Mincho"/>
          <w:iCs/>
          <w:lang w:eastAsia="ja-JP"/>
        </w:rPr>
      </w:pPr>
      <w:r w:rsidRPr="00F25A60">
        <w:rPr>
          <w:rFonts w:eastAsia="MS Mincho"/>
          <w:lang w:eastAsia="ja-JP"/>
        </w:rPr>
        <w:t>Druhá multicentrická otevřená studie fáze III (SSG XVIII/AIO) porovnávala výsledky léčby Glivecem v dávce 400 mg/den po dobu 12 měsíců oproti 36 měsícům u pacientů po chirurgické resekci GIST a s jedním z následujících parametrů: průměr tumoru</w:t>
      </w:r>
      <w:r w:rsidRPr="00F25A60">
        <w:rPr>
          <w:rFonts w:eastAsia="MS Mincho"/>
          <w:iCs/>
          <w:lang w:eastAsia="ja-JP"/>
        </w:rPr>
        <w:t xml:space="preserve"> &gt; 5</w:t>
      </w:r>
      <w:r w:rsidRPr="00F25A60">
        <w:rPr>
          <w:rFonts w:eastAsia="MS Mincho"/>
          <w:lang w:eastAsia="ja-JP"/>
        </w:rPr>
        <w:t> </w:t>
      </w:r>
      <w:r w:rsidRPr="00F25A60">
        <w:rPr>
          <w:rFonts w:eastAsia="MS Mincho"/>
          <w:iCs/>
          <w:lang w:eastAsia="ja-JP"/>
        </w:rPr>
        <w:t>cm a počet mitóz &gt; 5/50 zorných polí ve velkém zvětšení (high power fields, HPF) nebo průměr tumoru &gt; 10</w:t>
      </w:r>
      <w:r w:rsidRPr="00F25A60">
        <w:rPr>
          <w:rFonts w:eastAsia="MS Mincho"/>
          <w:lang w:eastAsia="ja-JP"/>
        </w:rPr>
        <w:t> </w:t>
      </w:r>
      <w:r w:rsidRPr="00F25A60">
        <w:rPr>
          <w:rFonts w:eastAsia="MS Mincho"/>
          <w:iCs/>
          <w:lang w:eastAsia="ja-JP"/>
        </w:rPr>
        <w:t>cm a jakýkoli počet mitóz nebo tumor jakékoli velikosti s počtem mitóz &gt; 10/50 HPF nebo tumory s rupturou do peritonální dutiny. Ve studii bylo randomizováno a informovaný souhlas podepsalo celkem 397</w:t>
      </w:r>
      <w:r w:rsidRPr="00F25A60">
        <w:rPr>
          <w:rFonts w:eastAsia="MS Mincho"/>
          <w:lang w:eastAsia="ja-JP"/>
        </w:rPr>
        <w:t> </w:t>
      </w:r>
      <w:r w:rsidRPr="00F25A60">
        <w:rPr>
          <w:rFonts w:eastAsia="MS Mincho"/>
          <w:iCs/>
          <w:lang w:eastAsia="ja-JP"/>
        </w:rPr>
        <w:t>pacientů (199</w:t>
      </w:r>
      <w:r w:rsidRPr="00F25A60">
        <w:rPr>
          <w:rFonts w:eastAsia="MS Mincho"/>
          <w:lang w:eastAsia="ja-JP"/>
        </w:rPr>
        <w:t> </w:t>
      </w:r>
      <w:r w:rsidRPr="00F25A60">
        <w:rPr>
          <w:rFonts w:eastAsia="MS Mincho"/>
          <w:iCs/>
          <w:lang w:eastAsia="ja-JP"/>
        </w:rPr>
        <w:t>pacientů v</w:t>
      </w:r>
      <w:r w:rsidRPr="00F25A60">
        <w:rPr>
          <w:rFonts w:eastAsia="MS Mincho"/>
          <w:lang w:eastAsia="ja-JP"/>
        </w:rPr>
        <w:t> </w:t>
      </w:r>
      <w:r w:rsidRPr="00F25A60">
        <w:rPr>
          <w:rFonts w:eastAsia="MS Mincho"/>
          <w:iCs/>
          <w:lang w:eastAsia="ja-JP"/>
        </w:rPr>
        <w:t>rameni s</w:t>
      </w:r>
      <w:r w:rsidRPr="00F25A60">
        <w:rPr>
          <w:rFonts w:eastAsia="MS Mincho"/>
          <w:lang w:eastAsia="ja-JP"/>
        </w:rPr>
        <w:t> </w:t>
      </w:r>
      <w:r w:rsidRPr="00F25A60">
        <w:rPr>
          <w:rFonts w:eastAsia="MS Mincho"/>
          <w:iCs/>
          <w:lang w:eastAsia="ja-JP"/>
        </w:rPr>
        <w:t>12měsíční léčbou a 198</w:t>
      </w:r>
      <w:r w:rsidRPr="00F25A60">
        <w:rPr>
          <w:rFonts w:eastAsia="MS Mincho"/>
          <w:lang w:eastAsia="ja-JP"/>
        </w:rPr>
        <w:t> pacientů v rameni s 36měsíční léčbou</w:t>
      </w:r>
      <w:r w:rsidRPr="00F25A60">
        <w:rPr>
          <w:rFonts w:eastAsia="MS Mincho"/>
          <w:iCs/>
          <w:lang w:eastAsia="ja-JP"/>
        </w:rPr>
        <w:t xml:space="preserve">), jejichž průměrný věk byl </w:t>
      </w:r>
      <w:r w:rsidRPr="00F25A60">
        <w:rPr>
          <w:rFonts w:eastAsia="MS Mincho"/>
          <w:bCs/>
          <w:iCs/>
          <w:lang w:eastAsia="ja-JP"/>
        </w:rPr>
        <w:t>61</w:t>
      </w:r>
      <w:r w:rsidRPr="00F25A60">
        <w:rPr>
          <w:rFonts w:eastAsia="MS Mincho"/>
          <w:lang w:eastAsia="ja-JP"/>
        </w:rPr>
        <w:t> let</w:t>
      </w:r>
      <w:r w:rsidRPr="00F25A60">
        <w:rPr>
          <w:rFonts w:eastAsia="MS Mincho"/>
          <w:iCs/>
          <w:lang w:eastAsia="ja-JP"/>
        </w:rPr>
        <w:t xml:space="preserve"> (rozmezí 22 až 84</w:t>
      </w:r>
      <w:r w:rsidRPr="00F25A60">
        <w:rPr>
          <w:rFonts w:eastAsia="MS Mincho"/>
          <w:lang w:eastAsia="ja-JP"/>
        </w:rPr>
        <w:t> let</w:t>
      </w:r>
      <w:r w:rsidRPr="00F25A60">
        <w:rPr>
          <w:rFonts w:eastAsia="MS Mincho"/>
          <w:iCs/>
          <w:lang w:eastAsia="ja-JP"/>
        </w:rPr>
        <w:t>). Medián doby sledování byl 54</w:t>
      </w:r>
      <w:r w:rsidRPr="00F25A60">
        <w:rPr>
          <w:rFonts w:eastAsia="MS Mincho"/>
          <w:lang w:eastAsia="ja-JP"/>
        </w:rPr>
        <w:t> měsíců</w:t>
      </w:r>
      <w:r w:rsidRPr="00F25A60">
        <w:rPr>
          <w:rFonts w:eastAsia="MS Mincho"/>
          <w:iCs/>
          <w:lang w:eastAsia="ja-JP"/>
        </w:rPr>
        <w:t xml:space="preserve"> (od data randomizace do data ukončení), s</w:t>
      </w:r>
      <w:r w:rsidRPr="00F25A60">
        <w:rPr>
          <w:rFonts w:eastAsia="MS Mincho"/>
          <w:lang w:eastAsia="ja-JP"/>
        </w:rPr>
        <w:t> </w:t>
      </w:r>
      <w:r w:rsidRPr="00F25A60">
        <w:rPr>
          <w:rFonts w:eastAsia="MS Mincho"/>
          <w:iCs/>
          <w:lang w:eastAsia="ja-JP"/>
        </w:rPr>
        <w:t>celkovou dobou 83</w:t>
      </w:r>
      <w:r w:rsidRPr="00F25A60">
        <w:rPr>
          <w:rFonts w:eastAsia="MS Mincho"/>
          <w:lang w:eastAsia="ja-JP"/>
        </w:rPr>
        <w:t> měsíců</w:t>
      </w:r>
      <w:r w:rsidRPr="00F25A60">
        <w:rPr>
          <w:rFonts w:eastAsia="MS Mincho"/>
          <w:iCs/>
          <w:lang w:eastAsia="ja-JP"/>
        </w:rPr>
        <w:t xml:space="preserve"> mezi prvním randomizovaným pacientem a ukončením studie.</w:t>
      </w:r>
    </w:p>
    <w:p w14:paraId="18866E36" w14:textId="77777777" w:rsidR="00EA5993" w:rsidRPr="00F25A60" w:rsidRDefault="00EA5993" w:rsidP="0048111F">
      <w:pPr>
        <w:pStyle w:val="EndnoteText"/>
        <w:tabs>
          <w:tab w:val="clear" w:pos="567"/>
        </w:tabs>
        <w:rPr>
          <w:rFonts w:eastAsia="MS Mincho"/>
          <w:color w:val="000000"/>
        </w:rPr>
      </w:pPr>
    </w:p>
    <w:p w14:paraId="783ED313" w14:textId="77777777" w:rsidR="00EA5993" w:rsidRPr="00F25A60" w:rsidRDefault="00EA5993" w:rsidP="0048111F">
      <w:pPr>
        <w:pStyle w:val="EndnoteText"/>
        <w:tabs>
          <w:tab w:val="clear" w:pos="567"/>
        </w:tabs>
        <w:rPr>
          <w:rFonts w:eastAsia="MS Mincho"/>
          <w:color w:val="000000"/>
        </w:rPr>
      </w:pPr>
      <w:r w:rsidRPr="00F25A60">
        <w:rPr>
          <w:rFonts w:eastAsia="MS Mincho"/>
          <w:color w:val="000000"/>
        </w:rPr>
        <w:t>Primárním cílovým parametrem účinnosti studie bylo přežití bez návratu onemocnění (</w:t>
      </w:r>
      <w:smartTag w:uri="urn:schemas-microsoft-com:office:smarttags" w:element="stockticker">
        <w:r w:rsidRPr="00F25A60">
          <w:rPr>
            <w:rFonts w:eastAsia="MS Mincho"/>
            <w:color w:val="000000"/>
          </w:rPr>
          <w:t>RFS</w:t>
        </w:r>
      </w:smartTag>
      <w:r w:rsidRPr="00F25A60">
        <w:rPr>
          <w:rFonts w:eastAsia="MS Mincho"/>
          <w:color w:val="000000"/>
        </w:rPr>
        <w:t>) definované jako doba od data randomizace do data návratu onemocnění nebo smrti z jakékoli příčiny.</w:t>
      </w:r>
    </w:p>
    <w:p w14:paraId="1D34685B" w14:textId="77777777" w:rsidR="00EA5993" w:rsidRPr="00F25A60" w:rsidRDefault="00EA5993" w:rsidP="0048111F">
      <w:pPr>
        <w:tabs>
          <w:tab w:val="clear" w:pos="567"/>
        </w:tabs>
        <w:spacing w:line="240" w:lineRule="auto"/>
        <w:rPr>
          <w:rFonts w:eastAsia="MS Mincho"/>
          <w:iCs/>
          <w:lang w:eastAsia="ja-JP"/>
        </w:rPr>
      </w:pPr>
    </w:p>
    <w:p w14:paraId="7E9426A0" w14:textId="77777777" w:rsidR="00EA5993" w:rsidRPr="00F25A60" w:rsidRDefault="00EA5993" w:rsidP="0048111F">
      <w:pPr>
        <w:tabs>
          <w:tab w:val="clear" w:pos="567"/>
        </w:tabs>
        <w:spacing w:line="240" w:lineRule="auto"/>
        <w:rPr>
          <w:rFonts w:eastAsia="MS Mincho"/>
          <w:iCs/>
          <w:color w:val="000000"/>
          <w:lang w:eastAsia="ja-JP"/>
        </w:rPr>
      </w:pPr>
      <w:r w:rsidRPr="00F25A60">
        <w:rPr>
          <w:rFonts w:eastAsia="MS Mincho"/>
          <w:iCs/>
          <w:lang w:eastAsia="ja-JP"/>
        </w:rPr>
        <w:t>36měsíční léčba Glivecem významně prodlužila RFS oproti 12</w:t>
      </w:r>
      <w:r w:rsidRPr="00F25A60">
        <w:rPr>
          <w:rFonts w:eastAsia="MS Mincho"/>
          <w:lang w:eastAsia="ja-JP"/>
        </w:rPr>
        <w:t xml:space="preserve">měsíční léčbě </w:t>
      </w:r>
      <w:r w:rsidRPr="00F25A60">
        <w:rPr>
          <w:rFonts w:eastAsia="MS Mincho"/>
          <w:iCs/>
          <w:lang w:eastAsia="ja-JP"/>
        </w:rPr>
        <w:t>Glivecem</w:t>
      </w:r>
      <w:r w:rsidRPr="00F25A60">
        <w:rPr>
          <w:rFonts w:eastAsia="MS Mincho"/>
          <w:iCs/>
          <w:color w:val="000000"/>
          <w:lang w:eastAsia="ja-JP"/>
        </w:rPr>
        <w:t xml:space="preserve"> (s</w:t>
      </w:r>
      <w:r w:rsidRPr="00F25A60">
        <w:rPr>
          <w:rFonts w:eastAsia="MS Mincho"/>
          <w:lang w:eastAsia="ja-JP"/>
        </w:rPr>
        <w:t> </w:t>
      </w:r>
      <w:r w:rsidRPr="00F25A60">
        <w:rPr>
          <w:rFonts w:eastAsia="MS Mincho"/>
          <w:iCs/>
          <w:color w:val="000000"/>
          <w:lang w:eastAsia="ja-JP"/>
        </w:rPr>
        <w:t>celkovým poměrem rizik (HR) = 0,46 [0,32, 0,65], p&lt;0,0001) (</w:t>
      </w:r>
      <w:r w:rsidR="00A12785" w:rsidRPr="00F25A60">
        <w:rPr>
          <w:rFonts w:eastAsia="MS Mincho"/>
          <w:iCs/>
          <w:color w:val="000000"/>
          <w:lang w:eastAsia="ja-JP"/>
        </w:rPr>
        <w:t>t</w:t>
      </w:r>
      <w:r w:rsidRPr="00F25A60">
        <w:rPr>
          <w:rFonts w:eastAsia="MS Mincho"/>
          <w:iCs/>
          <w:color w:val="000000"/>
          <w:lang w:eastAsia="ja-JP"/>
        </w:rPr>
        <w:t>abulka </w:t>
      </w:r>
      <w:r w:rsidR="00A2522A" w:rsidRPr="00F25A60">
        <w:rPr>
          <w:rFonts w:eastAsia="MS Mincho"/>
          <w:iCs/>
          <w:color w:val="000000"/>
          <w:lang w:eastAsia="ja-JP"/>
        </w:rPr>
        <w:t>8</w:t>
      </w:r>
      <w:r w:rsidRPr="00F25A60">
        <w:rPr>
          <w:rFonts w:eastAsia="MS Mincho"/>
          <w:iCs/>
          <w:color w:val="000000"/>
          <w:lang w:eastAsia="ja-JP"/>
        </w:rPr>
        <w:t xml:space="preserve">, </w:t>
      </w:r>
      <w:r w:rsidR="00A12785" w:rsidRPr="00F25A60">
        <w:rPr>
          <w:rFonts w:eastAsia="MS Mincho"/>
          <w:iCs/>
          <w:color w:val="000000"/>
          <w:lang w:eastAsia="ja-JP"/>
        </w:rPr>
        <w:t>o</w:t>
      </w:r>
      <w:r w:rsidRPr="00F25A60">
        <w:rPr>
          <w:rFonts w:eastAsia="MS Mincho"/>
          <w:iCs/>
          <w:color w:val="000000"/>
          <w:lang w:eastAsia="ja-JP"/>
        </w:rPr>
        <w:t>brázek 1).</w:t>
      </w:r>
    </w:p>
    <w:p w14:paraId="149AB17A" w14:textId="77777777" w:rsidR="00EA5993" w:rsidRPr="00F25A60" w:rsidRDefault="00EA5993" w:rsidP="0048111F">
      <w:pPr>
        <w:tabs>
          <w:tab w:val="clear" w:pos="567"/>
        </w:tabs>
        <w:spacing w:line="240" w:lineRule="auto"/>
        <w:rPr>
          <w:rFonts w:eastAsia="MS Mincho"/>
          <w:iCs/>
          <w:color w:val="000000"/>
          <w:lang w:eastAsia="ja-JP"/>
        </w:rPr>
      </w:pPr>
    </w:p>
    <w:p w14:paraId="0D9757C9" w14:textId="77777777" w:rsidR="00EA5993" w:rsidRPr="00F25A60" w:rsidRDefault="00EA5993" w:rsidP="0048111F">
      <w:pPr>
        <w:tabs>
          <w:tab w:val="clear" w:pos="567"/>
        </w:tabs>
        <w:spacing w:line="240" w:lineRule="auto"/>
        <w:rPr>
          <w:rFonts w:eastAsia="MS Mincho"/>
          <w:iCs/>
          <w:color w:val="000000"/>
          <w:lang w:eastAsia="ja-JP"/>
        </w:rPr>
      </w:pPr>
      <w:r w:rsidRPr="00F25A60">
        <w:rPr>
          <w:rFonts w:eastAsia="MS Mincho"/>
          <w:iCs/>
          <w:color w:val="000000"/>
          <w:lang w:eastAsia="ja-JP"/>
        </w:rPr>
        <w:t>Třicet šest měsíců léčby Glivecem významně prodloužilo celkové přežití (OS) v</w:t>
      </w:r>
      <w:r w:rsidRPr="00F25A60">
        <w:rPr>
          <w:rFonts w:eastAsia="MS Mincho"/>
          <w:lang w:eastAsia="ja-JP"/>
        </w:rPr>
        <w:t> </w:t>
      </w:r>
      <w:r w:rsidRPr="00F25A60">
        <w:rPr>
          <w:rFonts w:eastAsia="MS Mincho"/>
          <w:iCs/>
          <w:color w:val="000000"/>
          <w:lang w:eastAsia="ja-JP"/>
        </w:rPr>
        <w:t>porovnání s</w:t>
      </w:r>
      <w:r w:rsidRPr="00F25A60">
        <w:rPr>
          <w:rFonts w:eastAsia="MS Mincho"/>
          <w:lang w:eastAsia="ja-JP"/>
        </w:rPr>
        <w:t> </w:t>
      </w:r>
      <w:r w:rsidRPr="00F25A60">
        <w:rPr>
          <w:rFonts w:eastAsia="MS Mincho"/>
          <w:iCs/>
          <w:color w:val="000000"/>
          <w:lang w:eastAsia="ja-JP"/>
        </w:rPr>
        <w:t>12</w:t>
      </w:r>
      <w:r w:rsidRPr="00F25A60">
        <w:rPr>
          <w:rFonts w:eastAsia="MS Mincho"/>
          <w:color w:val="000000"/>
          <w:lang w:eastAsia="ja-JP"/>
        </w:rPr>
        <w:t> měsíci</w:t>
      </w:r>
      <w:r w:rsidRPr="00F25A60">
        <w:rPr>
          <w:rFonts w:eastAsia="MS Mincho"/>
          <w:iCs/>
          <w:color w:val="000000"/>
          <w:lang w:eastAsia="ja-JP"/>
        </w:rPr>
        <w:t xml:space="preserve"> léčby Glivecem (HR = 0,45 [0,22; 0,89], p=0,0187) (</w:t>
      </w:r>
      <w:r w:rsidR="00A12785" w:rsidRPr="00F25A60">
        <w:rPr>
          <w:rFonts w:eastAsia="MS Mincho"/>
          <w:iCs/>
          <w:color w:val="000000"/>
          <w:lang w:eastAsia="ja-JP"/>
        </w:rPr>
        <w:t>t</w:t>
      </w:r>
      <w:r w:rsidRPr="00F25A60">
        <w:rPr>
          <w:rFonts w:eastAsia="MS Mincho"/>
          <w:iCs/>
          <w:color w:val="000000"/>
          <w:lang w:eastAsia="ja-JP"/>
        </w:rPr>
        <w:t>abulka</w:t>
      </w:r>
      <w:r w:rsidRPr="00F25A60">
        <w:rPr>
          <w:rFonts w:eastAsia="MS Mincho"/>
          <w:color w:val="000000"/>
          <w:lang w:eastAsia="ja-JP"/>
        </w:rPr>
        <w:t> </w:t>
      </w:r>
      <w:r w:rsidR="00A2522A" w:rsidRPr="00F25A60">
        <w:rPr>
          <w:rFonts w:eastAsia="MS Mincho"/>
          <w:color w:val="000000"/>
          <w:lang w:eastAsia="ja-JP"/>
        </w:rPr>
        <w:t>8</w:t>
      </w:r>
      <w:r w:rsidRPr="00F25A60">
        <w:rPr>
          <w:rFonts w:eastAsia="MS Mincho"/>
          <w:iCs/>
          <w:color w:val="000000"/>
          <w:lang w:eastAsia="ja-JP"/>
        </w:rPr>
        <w:t xml:space="preserve">, </w:t>
      </w:r>
      <w:r w:rsidR="00A12785" w:rsidRPr="00F25A60">
        <w:rPr>
          <w:rFonts w:eastAsia="MS Mincho"/>
          <w:iCs/>
          <w:color w:val="000000"/>
          <w:lang w:eastAsia="ja-JP"/>
        </w:rPr>
        <w:t>o</w:t>
      </w:r>
      <w:r w:rsidRPr="00F25A60">
        <w:rPr>
          <w:rFonts w:eastAsia="MS Mincho"/>
          <w:iCs/>
          <w:color w:val="000000"/>
          <w:lang w:eastAsia="ja-JP"/>
        </w:rPr>
        <w:t xml:space="preserve">brázek 2). </w:t>
      </w:r>
    </w:p>
    <w:p w14:paraId="020F71EC" w14:textId="77777777" w:rsidR="00EA5993" w:rsidRPr="00F25A60" w:rsidRDefault="00EA5993" w:rsidP="0048111F">
      <w:pPr>
        <w:tabs>
          <w:tab w:val="clear" w:pos="567"/>
        </w:tabs>
        <w:spacing w:line="240" w:lineRule="auto"/>
        <w:rPr>
          <w:rFonts w:eastAsia="MS Mincho"/>
          <w:iCs/>
          <w:color w:val="000000"/>
          <w:lang w:eastAsia="ja-JP"/>
        </w:rPr>
      </w:pPr>
    </w:p>
    <w:p w14:paraId="25920B2E" w14:textId="77777777" w:rsidR="00EA5993" w:rsidRPr="00F25A60" w:rsidRDefault="00EA5993" w:rsidP="0048111F">
      <w:pPr>
        <w:spacing w:line="240" w:lineRule="auto"/>
        <w:rPr>
          <w:rFonts w:eastAsia="MS Mincho"/>
          <w:lang w:eastAsia="ja-JP"/>
        </w:rPr>
      </w:pPr>
      <w:r w:rsidRPr="00F25A60">
        <w:rPr>
          <w:rFonts w:eastAsia="MS Mincho"/>
          <w:lang w:eastAsia="ja-JP"/>
        </w:rPr>
        <w:t>Déletrvající léčba (&gt; 36 měsíců) může prodloužit dobu do výskytu dalších recidiv; vliv těchto zjištění na celkové přežití nicméně zůstává neznámý.</w:t>
      </w:r>
    </w:p>
    <w:p w14:paraId="6EC3B023" w14:textId="77777777" w:rsidR="00EA5993" w:rsidRPr="00F25A60" w:rsidRDefault="00EA5993" w:rsidP="0048111F">
      <w:pPr>
        <w:tabs>
          <w:tab w:val="clear" w:pos="567"/>
        </w:tabs>
        <w:spacing w:line="240" w:lineRule="auto"/>
        <w:rPr>
          <w:rFonts w:eastAsia="MS Mincho"/>
          <w:iCs/>
          <w:color w:val="000000"/>
          <w:lang w:eastAsia="ja-JP"/>
        </w:rPr>
      </w:pPr>
    </w:p>
    <w:p w14:paraId="64492A0C" w14:textId="77777777" w:rsidR="00EA5993" w:rsidRPr="00F25A60" w:rsidRDefault="00EA5993" w:rsidP="0048111F">
      <w:pPr>
        <w:tabs>
          <w:tab w:val="clear" w:pos="567"/>
        </w:tabs>
        <w:spacing w:line="240" w:lineRule="auto"/>
        <w:rPr>
          <w:rFonts w:eastAsia="MS Mincho"/>
          <w:iCs/>
          <w:color w:val="000000"/>
          <w:lang w:eastAsia="ja-JP"/>
        </w:rPr>
      </w:pPr>
      <w:r w:rsidRPr="00F25A60">
        <w:rPr>
          <w:rFonts w:eastAsia="MS Mincho"/>
          <w:iCs/>
          <w:color w:val="000000"/>
          <w:lang w:eastAsia="ja-JP"/>
        </w:rPr>
        <w:t>Celkový počet úmrtí byl 25 v</w:t>
      </w:r>
      <w:r w:rsidRPr="00F25A60">
        <w:rPr>
          <w:rFonts w:eastAsia="MS Mincho"/>
          <w:lang w:eastAsia="ja-JP"/>
        </w:rPr>
        <w:t> </w:t>
      </w:r>
      <w:r w:rsidRPr="00F25A60">
        <w:rPr>
          <w:rFonts w:eastAsia="MS Mincho"/>
          <w:iCs/>
          <w:color w:val="000000"/>
          <w:lang w:eastAsia="ja-JP"/>
        </w:rPr>
        <w:t>rameni s</w:t>
      </w:r>
      <w:r w:rsidRPr="00F25A60">
        <w:rPr>
          <w:rFonts w:eastAsia="MS Mincho"/>
          <w:lang w:eastAsia="ja-JP"/>
        </w:rPr>
        <w:t> </w:t>
      </w:r>
      <w:r w:rsidRPr="00F25A60">
        <w:rPr>
          <w:rFonts w:eastAsia="MS Mincho"/>
          <w:iCs/>
          <w:color w:val="000000"/>
          <w:lang w:eastAsia="ja-JP"/>
        </w:rPr>
        <w:t>12měsíční léčbou a 12 v</w:t>
      </w:r>
      <w:r w:rsidRPr="00F25A60">
        <w:rPr>
          <w:rFonts w:eastAsia="MS Mincho"/>
          <w:lang w:eastAsia="ja-JP"/>
        </w:rPr>
        <w:t> </w:t>
      </w:r>
      <w:r w:rsidRPr="00F25A60">
        <w:rPr>
          <w:rFonts w:eastAsia="MS Mincho"/>
          <w:iCs/>
          <w:color w:val="000000"/>
          <w:lang w:eastAsia="ja-JP"/>
        </w:rPr>
        <w:t>rameni s</w:t>
      </w:r>
      <w:r w:rsidRPr="00F25A60">
        <w:rPr>
          <w:rFonts w:eastAsia="MS Mincho"/>
          <w:lang w:eastAsia="ja-JP"/>
        </w:rPr>
        <w:t> </w:t>
      </w:r>
      <w:r w:rsidRPr="00F25A60">
        <w:rPr>
          <w:rFonts w:eastAsia="MS Mincho"/>
          <w:iCs/>
          <w:color w:val="000000"/>
          <w:lang w:eastAsia="ja-JP"/>
        </w:rPr>
        <w:t>36měsíční léčbou.</w:t>
      </w:r>
    </w:p>
    <w:p w14:paraId="65DEE799" w14:textId="77777777" w:rsidR="00EA5993" w:rsidRPr="00F25A60" w:rsidRDefault="00EA5993" w:rsidP="0048111F">
      <w:pPr>
        <w:tabs>
          <w:tab w:val="clear" w:pos="567"/>
        </w:tabs>
        <w:spacing w:line="240" w:lineRule="auto"/>
        <w:rPr>
          <w:rFonts w:eastAsia="MS Mincho"/>
          <w:iCs/>
          <w:lang w:eastAsia="ja-JP"/>
        </w:rPr>
      </w:pPr>
    </w:p>
    <w:p w14:paraId="3367BF3C" w14:textId="77777777" w:rsidR="00EA5993" w:rsidRPr="00F25A60" w:rsidRDefault="00EA5993" w:rsidP="0048111F">
      <w:pPr>
        <w:tabs>
          <w:tab w:val="clear" w:pos="567"/>
        </w:tabs>
        <w:spacing w:line="240" w:lineRule="auto"/>
        <w:rPr>
          <w:rFonts w:eastAsia="MS Mincho"/>
          <w:iCs/>
          <w:lang w:eastAsia="ja-JP"/>
        </w:rPr>
      </w:pPr>
      <w:r w:rsidRPr="00F25A60">
        <w:rPr>
          <w:rFonts w:eastAsia="MS Mincho"/>
          <w:iCs/>
          <w:lang w:eastAsia="ja-JP"/>
        </w:rPr>
        <w:t>36měsíční léčbou imatinibem bylo dosaženo lepších výsledků oproti 12měsíční léčbě v</w:t>
      </w:r>
      <w:r w:rsidRPr="00F25A60">
        <w:rPr>
          <w:rFonts w:eastAsia="MS Mincho"/>
          <w:lang w:eastAsia="ja-JP"/>
        </w:rPr>
        <w:t> </w:t>
      </w:r>
      <w:r w:rsidRPr="00F25A60">
        <w:rPr>
          <w:rFonts w:eastAsia="MS Mincho"/>
          <w:iCs/>
          <w:lang w:eastAsia="ja-JP"/>
        </w:rPr>
        <w:t>ITT analýze, t.j. zahrnující celou studijní populaci. V</w:t>
      </w:r>
      <w:r w:rsidRPr="00F25A60">
        <w:rPr>
          <w:rFonts w:eastAsia="MS Mincho"/>
          <w:lang w:eastAsia="ja-JP"/>
        </w:rPr>
        <w:t> </w:t>
      </w:r>
      <w:r w:rsidRPr="00F25A60">
        <w:rPr>
          <w:rFonts w:eastAsia="MS Mincho"/>
          <w:iCs/>
          <w:lang w:eastAsia="ja-JP"/>
        </w:rPr>
        <w:t>plánované analýze podskupin podle typu mutace byl poměr rizika přežití bez rekurence pro 36měsíční léčbu pacientů s</w:t>
      </w:r>
      <w:r w:rsidRPr="00F25A60">
        <w:rPr>
          <w:rFonts w:eastAsia="MS Mincho"/>
          <w:lang w:eastAsia="ja-JP"/>
        </w:rPr>
        <w:t> </w:t>
      </w:r>
      <w:r w:rsidRPr="00F25A60">
        <w:rPr>
          <w:rFonts w:eastAsia="MS Mincho"/>
          <w:iCs/>
          <w:lang w:eastAsia="ja-JP"/>
        </w:rPr>
        <w:t xml:space="preserve">mutací exonu 11 0,35 [95% CI: 0,22, </w:t>
      </w:r>
      <w:r w:rsidRPr="00F25A60">
        <w:rPr>
          <w:rFonts w:eastAsia="MS Mincho"/>
          <w:iCs/>
          <w:lang w:eastAsia="ja-JP"/>
        </w:rPr>
        <w:lastRenderedPageBreak/>
        <w:t>0,56]. Pro jiné podskupiny s</w:t>
      </w:r>
      <w:r w:rsidRPr="00F25A60">
        <w:rPr>
          <w:rFonts w:eastAsia="MS Mincho"/>
          <w:lang w:eastAsia="ja-JP"/>
        </w:rPr>
        <w:t> </w:t>
      </w:r>
      <w:r w:rsidRPr="00F25A60">
        <w:rPr>
          <w:rFonts w:eastAsia="MS Mincho"/>
          <w:iCs/>
          <w:lang w:eastAsia="ja-JP"/>
        </w:rPr>
        <w:t>méně častými mutacemi nelze z</w:t>
      </w:r>
      <w:r w:rsidRPr="00F25A60">
        <w:rPr>
          <w:rFonts w:eastAsia="MS Mincho"/>
          <w:lang w:eastAsia="ja-JP"/>
        </w:rPr>
        <w:t> </w:t>
      </w:r>
      <w:r w:rsidRPr="00F25A60">
        <w:rPr>
          <w:rFonts w:eastAsia="MS Mincho"/>
          <w:iCs/>
          <w:lang w:eastAsia="ja-JP"/>
        </w:rPr>
        <w:t>důvodu nízkého počtu sledovaných případů vyvodit žádné závěry.</w:t>
      </w:r>
    </w:p>
    <w:p w14:paraId="2E2034CB" w14:textId="77777777" w:rsidR="00EA5993" w:rsidRPr="00F25A60" w:rsidRDefault="00EA5993" w:rsidP="0048111F">
      <w:pPr>
        <w:tabs>
          <w:tab w:val="clear" w:pos="567"/>
        </w:tabs>
        <w:spacing w:line="240" w:lineRule="auto"/>
        <w:rPr>
          <w:rFonts w:eastAsia="MS Mincho"/>
          <w:iCs/>
          <w:lang w:eastAsia="ja-JP"/>
        </w:rPr>
      </w:pPr>
    </w:p>
    <w:p w14:paraId="24961AFA" w14:textId="77777777" w:rsidR="00EA5993" w:rsidRPr="00F25A60" w:rsidRDefault="00EA5993" w:rsidP="0048111F">
      <w:pPr>
        <w:keepNext/>
        <w:tabs>
          <w:tab w:val="clear" w:pos="567"/>
        </w:tabs>
        <w:spacing w:line="240" w:lineRule="auto"/>
        <w:ind w:left="1134" w:hanging="1134"/>
        <w:rPr>
          <w:rFonts w:eastAsia="MS Mincho"/>
          <w:b/>
          <w:lang w:eastAsia="ja-JP"/>
        </w:rPr>
      </w:pPr>
      <w:r w:rsidRPr="00F25A60">
        <w:rPr>
          <w:rFonts w:eastAsia="MS Mincho"/>
          <w:b/>
        </w:rPr>
        <w:t>Tabulka </w:t>
      </w:r>
      <w:r w:rsidR="00A2522A" w:rsidRPr="00F25A60">
        <w:rPr>
          <w:rFonts w:eastAsia="MS Mincho"/>
          <w:b/>
        </w:rPr>
        <w:t>8</w:t>
      </w:r>
      <w:r w:rsidRPr="00F25A60">
        <w:rPr>
          <w:rFonts w:eastAsia="MS Mincho"/>
        </w:rPr>
        <w:tab/>
      </w:r>
      <w:r w:rsidRPr="00F25A60">
        <w:rPr>
          <w:rFonts w:eastAsia="MS Mincho"/>
          <w:b/>
          <w:lang w:eastAsia="ja-JP"/>
        </w:rPr>
        <w:t>12měsíční a 36měsíční léčba Glivecem (studie SSGXVIII/AIO)</w:t>
      </w:r>
    </w:p>
    <w:p w14:paraId="2D95AA62" w14:textId="77777777" w:rsidR="00EA5993" w:rsidRPr="00F25A60" w:rsidRDefault="00EA5993" w:rsidP="0048111F">
      <w:pPr>
        <w:keepNext/>
        <w:tabs>
          <w:tab w:val="clear" w:pos="567"/>
        </w:tabs>
        <w:spacing w:line="240" w:lineRule="auto"/>
        <w:rPr>
          <w:rFonts w:eastAsia="MS Mincho"/>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099"/>
        <w:gridCol w:w="3100"/>
        <w:gridCol w:w="3100"/>
      </w:tblGrid>
      <w:tr w:rsidR="00EA5993" w:rsidRPr="00F25A60" w14:paraId="36F9A61E" w14:textId="77777777" w:rsidTr="00EB4FF7">
        <w:trPr>
          <w:cantSplit/>
        </w:trPr>
        <w:tc>
          <w:tcPr>
            <w:tcW w:w="3099" w:type="dxa"/>
            <w:tcBorders>
              <w:top w:val="single" w:sz="4" w:space="0" w:color="auto"/>
              <w:bottom w:val="nil"/>
            </w:tcBorders>
          </w:tcPr>
          <w:p w14:paraId="61B648F7" w14:textId="77777777" w:rsidR="00EA5993" w:rsidRPr="00F25A60" w:rsidRDefault="00EA5993" w:rsidP="0048111F">
            <w:pPr>
              <w:keepNext/>
              <w:tabs>
                <w:tab w:val="clear" w:pos="567"/>
                <w:tab w:val="left" w:pos="284"/>
              </w:tabs>
              <w:spacing w:line="240" w:lineRule="auto"/>
              <w:rPr>
                <w:rFonts w:eastAsia="MS Mincho"/>
              </w:rPr>
            </w:pPr>
          </w:p>
        </w:tc>
        <w:tc>
          <w:tcPr>
            <w:tcW w:w="3100" w:type="dxa"/>
            <w:tcBorders>
              <w:top w:val="single" w:sz="4" w:space="0" w:color="auto"/>
              <w:bottom w:val="nil"/>
            </w:tcBorders>
          </w:tcPr>
          <w:p w14:paraId="291A23FE" w14:textId="77777777" w:rsidR="00EA5993" w:rsidRPr="00F25A60" w:rsidRDefault="00EA5993" w:rsidP="0048111F">
            <w:pPr>
              <w:keepNext/>
              <w:tabs>
                <w:tab w:val="clear" w:pos="567"/>
                <w:tab w:val="left" w:pos="284"/>
              </w:tabs>
              <w:spacing w:line="240" w:lineRule="auto"/>
              <w:rPr>
                <w:rFonts w:eastAsia="MS Mincho"/>
                <w:b/>
              </w:rPr>
            </w:pPr>
            <w:r w:rsidRPr="00F25A60">
              <w:rPr>
                <w:rFonts w:eastAsia="MS Mincho"/>
                <w:b/>
              </w:rPr>
              <w:t>rameno s</w:t>
            </w:r>
            <w:r w:rsidRPr="00F25A60">
              <w:rPr>
                <w:rFonts w:eastAsia="MS Mincho"/>
                <w:lang w:eastAsia="ja-JP"/>
              </w:rPr>
              <w:t> </w:t>
            </w:r>
            <w:r w:rsidRPr="00F25A60">
              <w:rPr>
                <w:rFonts w:eastAsia="MS Mincho"/>
                <w:b/>
              </w:rPr>
              <w:t>12měsíční léčbou</w:t>
            </w:r>
          </w:p>
        </w:tc>
        <w:tc>
          <w:tcPr>
            <w:tcW w:w="3100" w:type="dxa"/>
            <w:tcBorders>
              <w:top w:val="single" w:sz="4" w:space="0" w:color="auto"/>
              <w:bottom w:val="nil"/>
            </w:tcBorders>
          </w:tcPr>
          <w:p w14:paraId="6AE38F34" w14:textId="77777777" w:rsidR="00EA5993" w:rsidRPr="00F25A60" w:rsidRDefault="00EA5993" w:rsidP="0048111F">
            <w:pPr>
              <w:keepNext/>
              <w:tabs>
                <w:tab w:val="clear" w:pos="567"/>
                <w:tab w:val="left" w:pos="284"/>
              </w:tabs>
              <w:spacing w:line="240" w:lineRule="auto"/>
              <w:rPr>
                <w:rFonts w:eastAsia="MS Mincho"/>
                <w:b/>
              </w:rPr>
            </w:pPr>
            <w:r w:rsidRPr="00F25A60">
              <w:rPr>
                <w:rFonts w:eastAsia="MS Mincho"/>
                <w:b/>
              </w:rPr>
              <w:t>rameno s</w:t>
            </w:r>
            <w:r w:rsidRPr="00F25A60">
              <w:rPr>
                <w:rFonts w:eastAsia="MS Mincho"/>
                <w:lang w:eastAsia="ja-JP"/>
              </w:rPr>
              <w:t> </w:t>
            </w:r>
            <w:r w:rsidRPr="00F25A60">
              <w:rPr>
                <w:rFonts w:eastAsia="MS Mincho"/>
                <w:b/>
              </w:rPr>
              <w:t>36měsíční léčbou</w:t>
            </w:r>
          </w:p>
        </w:tc>
      </w:tr>
      <w:tr w:rsidR="00EA5993" w:rsidRPr="00F25A60" w14:paraId="46F3426A" w14:textId="77777777" w:rsidTr="00EB4FF7">
        <w:trPr>
          <w:cantSplit/>
        </w:trPr>
        <w:tc>
          <w:tcPr>
            <w:tcW w:w="3099" w:type="dxa"/>
            <w:tcBorders>
              <w:top w:val="nil"/>
            </w:tcBorders>
          </w:tcPr>
          <w:p w14:paraId="226699DA" w14:textId="77777777" w:rsidR="00EA5993" w:rsidRPr="00F25A60" w:rsidRDefault="00EA5993" w:rsidP="0048111F">
            <w:pPr>
              <w:keepNext/>
              <w:tabs>
                <w:tab w:val="clear" w:pos="567"/>
                <w:tab w:val="left" w:pos="284"/>
              </w:tabs>
              <w:spacing w:line="240" w:lineRule="auto"/>
              <w:rPr>
                <w:rFonts w:eastAsia="MS Mincho"/>
                <w:b/>
              </w:rPr>
            </w:pPr>
            <w:r w:rsidRPr="00F25A60">
              <w:rPr>
                <w:rFonts w:eastAsia="MS Mincho"/>
                <w:b/>
              </w:rPr>
              <w:t>RFS</w:t>
            </w:r>
          </w:p>
        </w:tc>
        <w:tc>
          <w:tcPr>
            <w:tcW w:w="3100" w:type="dxa"/>
            <w:tcBorders>
              <w:top w:val="nil"/>
            </w:tcBorders>
          </w:tcPr>
          <w:p w14:paraId="55290893" w14:textId="77777777" w:rsidR="00EA5993" w:rsidRPr="00F25A60" w:rsidRDefault="00EA5993" w:rsidP="0048111F">
            <w:pPr>
              <w:keepNext/>
              <w:tabs>
                <w:tab w:val="clear" w:pos="567"/>
                <w:tab w:val="left" w:pos="284"/>
              </w:tabs>
              <w:spacing w:line="240" w:lineRule="auto"/>
              <w:rPr>
                <w:rFonts w:eastAsia="MS Mincho"/>
                <w:b/>
              </w:rPr>
            </w:pPr>
            <w:r w:rsidRPr="00F25A60">
              <w:rPr>
                <w:rFonts w:eastAsia="MS Mincho"/>
                <w:b/>
              </w:rPr>
              <w:t>%(CI)</w:t>
            </w:r>
          </w:p>
        </w:tc>
        <w:tc>
          <w:tcPr>
            <w:tcW w:w="3100" w:type="dxa"/>
            <w:tcBorders>
              <w:top w:val="nil"/>
            </w:tcBorders>
          </w:tcPr>
          <w:p w14:paraId="223ADB14" w14:textId="77777777" w:rsidR="00EA5993" w:rsidRPr="00F25A60" w:rsidRDefault="00EA5993" w:rsidP="0048111F">
            <w:pPr>
              <w:keepNext/>
              <w:tabs>
                <w:tab w:val="clear" w:pos="567"/>
                <w:tab w:val="left" w:pos="284"/>
              </w:tabs>
              <w:spacing w:line="240" w:lineRule="auto"/>
              <w:rPr>
                <w:rFonts w:eastAsia="MS Mincho"/>
                <w:b/>
              </w:rPr>
            </w:pPr>
            <w:r w:rsidRPr="00F25A60">
              <w:rPr>
                <w:rFonts w:eastAsia="MS Mincho"/>
                <w:b/>
              </w:rPr>
              <w:t>%(CI)</w:t>
            </w:r>
          </w:p>
        </w:tc>
      </w:tr>
      <w:tr w:rsidR="00EA5993" w:rsidRPr="00F25A60" w14:paraId="0ECDBEE1" w14:textId="77777777" w:rsidTr="00EB4FF7">
        <w:trPr>
          <w:cantSplit/>
        </w:trPr>
        <w:tc>
          <w:tcPr>
            <w:tcW w:w="3099" w:type="dxa"/>
          </w:tcPr>
          <w:p w14:paraId="7D47C687" w14:textId="77777777" w:rsidR="00EA5993" w:rsidRPr="00F25A60" w:rsidRDefault="00EA5993" w:rsidP="0048111F">
            <w:pPr>
              <w:keepNext/>
              <w:tabs>
                <w:tab w:val="clear" w:pos="567"/>
              </w:tabs>
              <w:spacing w:line="240" w:lineRule="auto"/>
              <w:ind w:left="284"/>
              <w:rPr>
                <w:rFonts w:eastAsia="MS Mincho"/>
              </w:rPr>
            </w:pPr>
            <w:r w:rsidRPr="00F25A60">
              <w:rPr>
                <w:rFonts w:eastAsia="MS Mincho"/>
              </w:rPr>
              <w:t>12</w:t>
            </w:r>
            <w:r w:rsidRPr="00F25A60">
              <w:rPr>
                <w:rFonts w:eastAsia="MS Mincho"/>
                <w:lang w:eastAsia="ja-JP"/>
              </w:rPr>
              <w:t> měsíců</w:t>
            </w:r>
          </w:p>
        </w:tc>
        <w:tc>
          <w:tcPr>
            <w:tcW w:w="3100" w:type="dxa"/>
          </w:tcPr>
          <w:p w14:paraId="45982A12" w14:textId="77777777" w:rsidR="00EA5993" w:rsidRPr="00F25A60" w:rsidRDefault="00EA5993" w:rsidP="0048111F">
            <w:pPr>
              <w:keepNext/>
              <w:tabs>
                <w:tab w:val="clear" w:pos="567"/>
                <w:tab w:val="left" w:pos="284"/>
              </w:tabs>
              <w:spacing w:line="240" w:lineRule="auto"/>
              <w:rPr>
                <w:rFonts w:eastAsia="MS Mincho"/>
              </w:rPr>
            </w:pPr>
            <w:r w:rsidRPr="00F25A60">
              <w:rPr>
                <w:rFonts w:eastAsia="MS Mincho"/>
              </w:rPr>
              <w:t>93,7 (89,2</w:t>
            </w:r>
            <w:r w:rsidRPr="00F25A60">
              <w:rPr>
                <w:rFonts w:eastAsia="MS Mincho"/>
              </w:rPr>
              <w:noBreakHyphen/>
              <w:t>96,4)</w:t>
            </w:r>
          </w:p>
        </w:tc>
        <w:tc>
          <w:tcPr>
            <w:tcW w:w="3100" w:type="dxa"/>
          </w:tcPr>
          <w:p w14:paraId="7992C648" w14:textId="77777777" w:rsidR="00EA5993" w:rsidRPr="00F25A60" w:rsidRDefault="00EA5993" w:rsidP="0048111F">
            <w:pPr>
              <w:keepNext/>
              <w:tabs>
                <w:tab w:val="clear" w:pos="567"/>
                <w:tab w:val="left" w:pos="284"/>
              </w:tabs>
              <w:spacing w:line="240" w:lineRule="auto"/>
              <w:rPr>
                <w:rFonts w:eastAsia="MS Mincho"/>
              </w:rPr>
            </w:pPr>
            <w:r w:rsidRPr="00F25A60">
              <w:rPr>
                <w:rFonts w:eastAsia="MS Mincho"/>
              </w:rPr>
              <w:t>95,9 (91,9</w:t>
            </w:r>
            <w:r w:rsidRPr="00F25A60">
              <w:rPr>
                <w:rFonts w:eastAsia="MS Mincho"/>
              </w:rPr>
              <w:noBreakHyphen/>
              <w:t>97,9)</w:t>
            </w:r>
          </w:p>
        </w:tc>
      </w:tr>
      <w:tr w:rsidR="00EA5993" w:rsidRPr="00F25A60" w14:paraId="1C36A751" w14:textId="77777777" w:rsidTr="00EB4FF7">
        <w:trPr>
          <w:cantSplit/>
        </w:trPr>
        <w:tc>
          <w:tcPr>
            <w:tcW w:w="3099" w:type="dxa"/>
          </w:tcPr>
          <w:p w14:paraId="062087FF" w14:textId="77777777" w:rsidR="00EA5993" w:rsidRPr="00F25A60" w:rsidRDefault="00EA5993" w:rsidP="0048111F">
            <w:pPr>
              <w:keepNext/>
              <w:tabs>
                <w:tab w:val="clear" w:pos="567"/>
              </w:tabs>
              <w:spacing w:line="240" w:lineRule="auto"/>
              <w:ind w:left="284"/>
              <w:rPr>
                <w:rFonts w:eastAsia="MS Mincho"/>
              </w:rPr>
            </w:pPr>
            <w:r w:rsidRPr="00F25A60">
              <w:rPr>
                <w:rFonts w:eastAsia="MS Mincho"/>
              </w:rPr>
              <w:t>24</w:t>
            </w:r>
            <w:r w:rsidRPr="00F25A60">
              <w:rPr>
                <w:rFonts w:eastAsia="MS Mincho"/>
                <w:lang w:eastAsia="ja-JP"/>
              </w:rPr>
              <w:t> </w:t>
            </w:r>
            <w:r w:rsidRPr="00F25A60">
              <w:rPr>
                <w:rFonts w:eastAsia="MS Mincho"/>
              </w:rPr>
              <w:t>měsíců</w:t>
            </w:r>
          </w:p>
        </w:tc>
        <w:tc>
          <w:tcPr>
            <w:tcW w:w="3100" w:type="dxa"/>
          </w:tcPr>
          <w:p w14:paraId="290DF557" w14:textId="77777777" w:rsidR="00EA5993" w:rsidRPr="00F25A60" w:rsidRDefault="00EA5993" w:rsidP="0048111F">
            <w:pPr>
              <w:keepNext/>
              <w:tabs>
                <w:tab w:val="clear" w:pos="567"/>
                <w:tab w:val="left" w:pos="284"/>
              </w:tabs>
              <w:spacing w:line="240" w:lineRule="auto"/>
              <w:rPr>
                <w:rFonts w:eastAsia="MS Mincho"/>
              </w:rPr>
            </w:pPr>
            <w:r w:rsidRPr="00F25A60">
              <w:rPr>
                <w:rFonts w:eastAsia="MS Mincho"/>
              </w:rPr>
              <w:t>75,4 (68,6</w:t>
            </w:r>
            <w:r w:rsidRPr="00F25A60">
              <w:rPr>
                <w:rFonts w:eastAsia="MS Mincho"/>
              </w:rPr>
              <w:noBreakHyphen/>
              <w:t>81,0)</w:t>
            </w:r>
          </w:p>
        </w:tc>
        <w:tc>
          <w:tcPr>
            <w:tcW w:w="3100" w:type="dxa"/>
          </w:tcPr>
          <w:p w14:paraId="1789CAD2" w14:textId="77777777" w:rsidR="00EA5993" w:rsidRPr="00F25A60" w:rsidRDefault="00EA5993" w:rsidP="0048111F">
            <w:pPr>
              <w:keepNext/>
              <w:tabs>
                <w:tab w:val="clear" w:pos="567"/>
                <w:tab w:val="left" w:pos="284"/>
              </w:tabs>
              <w:spacing w:line="240" w:lineRule="auto"/>
              <w:rPr>
                <w:rFonts w:eastAsia="MS Mincho"/>
              </w:rPr>
            </w:pPr>
            <w:r w:rsidRPr="00F25A60">
              <w:rPr>
                <w:rFonts w:eastAsia="MS Mincho"/>
              </w:rPr>
              <w:t>90,7 (85,6</w:t>
            </w:r>
            <w:r w:rsidRPr="00F25A60">
              <w:rPr>
                <w:rFonts w:eastAsia="MS Mincho"/>
              </w:rPr>
              <w:noBreakHyphen/>
              <w:t>94,0)</w:t>
            </w:r>
          </w:p>
        </w:tc>
      </w:tr>
      <w:tr w:rsidR="00EA5993" w:rsidRPr="00F25A60" w14:paraId="6AAC8848" w14:textId="77777777" w:rsidTr="00EB4FF7">
        <w:trPr>
          <w:cantSplit/>
        </w:trPr>
        <w:tc>
          <w:tcPr>
            <w:tcW w:w="3099" w:type="dxa"/>
          </w:tcPr>
          <w:p w14:paraId="77BD9DC6" w14:textId="77777777" w:rsidR="00EA5993" w:rsidRPr="00F25A60" w:rsidRDefault="00EA5993" w:rsidP="0048111F">
            <w:pPr>
              <w:keepNext/>
              <w:tabs>
                <w:tab w:val="clear" w:pos="567"/>
              </w:tabs>
              <w:spacing w:line="240" w:lineRule="auto"/>
              <w:ind w:left="284"/>
              <w:rPr>
                <w:rFonts w:eastAsia="MS Mincho"/>
              </w:rPr>
            </w:pPr>
            <w:r w:rsidRPr="00F25A60">
              <w:rPr>
                <w:rFonts w:eastAsia="MS Mincho"/>
              </w:rPr>
              <w:t>36</w:t>
            </w:r>
            <w:r w:rsidRPr="00F25A60">
              <w:rPr>
                <w:rFonts w:eastAsia="MS Mincho"/>
                <w:lang w:eastAsia="ja-JP"/>
              </w:rPr>
              <w:t> </w:t>
            </w:r>
            <w:r w:rsidRPr="00F25A60">
              <w:rPr>
                <w:rFonts w:eastAsia="MS Mincho"/>
              </w:rPr>
              <w:t>měsíců</w:t>
            </w:r>
          </w:p>
        </w:tc>
        <w:tc>
          <w:tcPr>
            <w:tcW w:w="3100" w:type="dxa"/>
          </w:tcPr>
          <w:p w14:paraId="405A9C7B" w14:textId="77777777" w:rsidR="00EA5993" w:rsidRPr="00F25A60" w:rsidRDefault="00EA5993" w:rsidP="0048111F">
            <w:pPr>
              <w:keepNext/>
              <w:tabs>
                <w:tab w:val="clear" w:pos="567"/>
                <w:tab w:val="left" w:pos="284"/>
              </w:tabs>
              <w:spacing w:line="240" w:lineRule="auto"/>
              <w:rPr>
                <w:rFonts w:eastAsia="MS Mincho"/>
              </w:rPr>
            </w:pPr>
            <w:r w:rsidRPr="00F25A60">
              <w:rPr>
                <w:rFonts w:eastAsia="MS Mincho"/>
              </w:rPr>
              <w:t>60,1 (52,5</w:t>
            </w:r>
            <w:r w:rsidRPr="00F25A60">
              <w:rPr>
                <w:rFonts w:eastAsia="MS Mincho"/>
              </w:rPr>
              <w:noBreakHyphen/>
              <w:t>66,9)</w:t>
            </w:r>
          </w:p>
        </w:tc>
        <w:tc>
          <w:tcPr>
            <w:tcW w:w="3100" w:type="dxa"/>
          </w:tcPr>
          <w:p w14:paraId="6F31F5B8" w14:textId="77777777" w:rsidR="00EA5993" w:rsidRPr="00F25A60" w:rsidRDefault="00EA5993" w:rsidP="0048111F">
            <w:pPr>
              <w:keepNext/>
              <w:tabs>
                <w:tab w:val="clear" w:pos="567"/>
                <w:tab w:val="left" w:pos="284"/>
              </w:tabs>
              <w:spacing w:line="240" w:lineRule="auto"/>
              <w:rPr>
                <w:rFonts w:eastAsia="MS Mincho"/>
              </w:rPr>
            </w:pPr>
            <w:r w:rsidRPr="00F25A60">
              <w:rPr>
                <w:rFonts w:eastAsia="MS Mincho"/>
              </w:rPr>
              <w:t>86,6 (80,8</w:t>
            </w:r>
            <w:r w:rsidRPr="00F25A60">
              <w:rPr>
                <w:rFonts w:eastAsia="MS Mincho"/>
              </w:rPr>
              <w:noBreakHyphen/>
              <w:t>90,8)</w:t>
            </w:r>
          </w:p>
        </w:tc>
      </w:tr>
      <w:tr w:rsidR="00EA5993" w:rsidRPr="00F25A60" w14:paraId="44444BB6" w14:textId="77777777" w:rsidTr="00EB4FF7">
        <w:trPr>
          <w:cantSplit/>
        </w:trPr>
        <w:tc>
          <w:tcPr>
            <w:tcW w:w="3099" w:type="dxa"/>
          </w:tcPr>
          <w:p w14:paraId="77F5167B" w14:textId="77777777" w:rsidR="00EA5993" w:rsidRPr="00F25A60" w:rsidRDefault="00EA5993" w:rsidP="0048111F">
            <w:pPr>
              <w:keepNext/>
              <w:tabs>
                <w:tab w:val="clear" w:pos="567"/>
              </w:tabs>
              <w:spacing w:line="240" w:lineRule="auto"/>
              <w:ind w:left="284"/>
              <w:rPr>
                <w:rFonts w:eastAsia="MS Mincho"/>
              </w:rPr>
            </w:pPr>
            <w:r w:rsidRPr="00F25A60">
              <w:rPr>
                <w:rFonts w:eastAsia="MS Mincho"/>
              </w:rPr>
              <w:t>48</w:t>
            </w:r>
            <w:r w:rsidRPr="00F25A60">
              <w:rPr>
                <w:rFonts w:eastAsia="MS Mincho"/>
                <w:lang w:eastAsia="ja-JP"/>
              </w:rPr>
              <w:t> </w:t>
            </w:r>
            <w:r w:rsidRPr="00F25A60">
              <w:rPr>
                <w:rFonts w:eastAsia="MS Mincho"/>
              </w:rPr>
              <w:t>měsíců</w:t>
            </w:r>
          </w:p>
        </w:tc>
        <w:tc>
          <w:tcPr>
            <w:tcW w:w="3100" w:type="dxa"/>
          </w:tcPr>
          <w:p w14:paraId="106C7535" w14:textId="77777777" w:rsidR="00EA5993" w:rsidRPr="00F25A60" w:rsidRDefault="00EA5993" w:rsidP="0048111F">
            <w:pPr>
              <w:keepNext/>
              <w:tabs>
                <w:tab w:val="clear" w:pos="567"/>
                <w:tab w:val="left" w:pos="284"/>
              </w:tabs>
              <w:spacing w:line="240" w:lineRule="auto"/>
              <w:rPr>
                <w:rFonts w:eastAsia="MS Mincho"/>
              </w:rPr>
            </w:pPr>
            <w:r w:rsidRPr="00F25A60">
              <w:rPr>
                <w:rFonts w:eastAsia="MS Mincho"/>
              </w:rPr>
              <w:t>52,3 (44,0</w:t>
            </w:r>
            <w:r w:rsidRPr="00F25A60">
              <w:rPr>
                <w:rFonts w:eastAsia="MS Mincho"/>
              </w:rPr>
              <w:noBreakHyphen/>
              <w:t>59,8)</w:t>
            </w:r>
          </w:p>
        </w:tc>
        <w:tc>
          <w:tcPr>
            <w:tcW w:w="3100" w:type="dxa"/>
          </w:tcPr>
          <w:p w14:paraId="2BD923EF" w14:textId="77777777" w:rsidR="00EA5993" w:rsidRPr="00F25A60" w:rsidRDefault="00EA5993" w:rsidP="0048111F">
            <w:pPr>
              <w:keepNext/>
              <w:tabs>
                <w:tab w:val="clear" w:pos="567"/>
                <w:tab w:val="left" w:pos="284"/>
              </w:tabs>
              <w:spacing w:line="240" w:lineRule="auto"/>
              <w:rPr>
                <w:rFonts w:eastAsia="MS Mincho"/>
              </w:rPr>
            </w:pPr>
            <w:r w:rsidRPr="00F25A60">
              <w:rPr>
                <w:rFonts w:eastAsia="MS Mincho"/>
              </w:rPr>
              <w:t>78,3 (70,8</w:t>
            </w:r>
            <w:r w:rsidRPr="00F25A60">
              <w:rPr>
                <w:rFonts w:eastAsia="MS Mincho"/>
              </w:rPr>
              <w:noBreakHyphen/>
              <w:t>84,1)</w:t>
            </w:r>
          </w:p>
        </w:tc>
      </w:tr>
      <w:tr w:rsidR="00EA5993" w:rsidRPr="00F25A60" w14:paraId="439CF15F" w14:textId="77777777" w:rsidTr="00EB4FF7">
        <w:trPr>
          <w:cantSplit/>
        </w:trPr>
        <w:tc>
          <w:tcPr>
            <w:tcW w:w="3099" w:type="dxa"/>
          </w:tcPr>
          <w:p w14:paraId="0B194E53" w14:textId="77777777" w:rsidR="00EA5993" w:rsidRPr="00F25A60" w:rsidRDefault="00EA5993" w:rsidP="0048111F">
            <w:pPr>
              <w:keepNext/>
              <w:tabs>
                <w:tab w:val="clear" w:pos="567"/>
              </w:tabs>
              <w:spacing w:line="240" w:lineRule="auto"/>
              <w:ind w:left="284"/>
              <w:rPr>
                <w:rFonts w:eastAsia="MS Mincho"/>
              </w:rPr>
            </w:pPr>
            <w:r w:rsidRPr="00F25A60">
              <w:rPr>
                <w:rFonts w:eastAsia="MS Mincho"/>
              </w:rPr>
              <w:t>60</w:t>
            </w:r>
            <w:r w:rsidRPr="00F25A60">
              <w:rPr>
                <w:rFonts w:eastAsia="MS Mincho"/>
                <w:lang w:eastAsia="ja-JP"/>
              </w:rPr>
              <w:t> </w:t>
            </w:r>
            <w:r w:rsidRPr="00F25A60">
              <w:rPr>
                <w:rFonts w:eastAsia="MS Mincho"/>
              </w:rPr>
              <w:t>měsíců</w:t>
            </w:r>
          </w:p>
        </w:tc>
        <w:tc>
          <w:tcPr>
            <w:tcW w:w="3100" w:type="dxa"/>
          </w:tcPr>
          <w:p w14:paraId="64DE8B62" w14:textId="77777777" w:rsidR="00EA5993" w:rsidRPr="00F25A60" w:rsidRDefault="00EA5993" w:rsidP="0048111F">
            <w:pPr>
              <w:keepNext/>
              <w:tabs>
                <w:tab w:val="clear" w:pos="567"/>
                <w:tab w:val="left" w:pos="284"/>
              </w:tabs>
              <w:spacing w:line="240" w:lineRule="auto"/>
              <w:rPr>
                <w:rFonts w:eastAsia="MS Mincho"/>
              </w:rPr>
            </w:pPr>
            <w:r w:rsidRPr="00F25A60">
              <w:rPr>
                <w:rFonts w:eastAsia="MS Mincho"/>
              </w:rPr>
              <w:t>47,9 (39,0</w:t>
            </w:r>
            <w:r w:rsidRPr="00F25A60">
              <w:rPr>
                <w:rFonts w:eastAsia="MS Mincho"/>
              </w:rPr>
              <w:noBreakHyphen/>
              <w:t>56,3)</w:t>
            </w:r>
          </w:p>
        </w:tc>
        <w:tc>
          <w:tcPr>
            <w:tcW w:w="3100" w:type="dxa"/>
          </w:tcPr>
          <w:p w14:paraId="48962882" w14:textId="77777777" w:rsidR="00EA5993" w:rsidRPr="00F25A60" w:rsidRDefault="00EA5993" w:rsidP="0048111F">
            <w:pPr>
              <w:keepNext/>
              <w:tabs>
                <w:tab w:val="clear" w:pos="567"/>
                <w:tab w:val="left" w:pos="284"/>
              </w:tabs>
              <w:spacing w:line="240" w:lineRule="auto"/>
              <w:rPr>
                <w:rFonts w:eastAsia="MS Mincho"/>
              </w:rPr>
            </w:pPr>
            <w:r w:rsidRPr="00F25A60">
              <w:rPr>
                <w:rFonts w:eastAsia="MS Mincho"/>
              </w:rPr>
              <w:t>65,6 (56,1</w:t>
            </w:r>
            <w:r w:rsidRPr="00F25A60">
              <w:rPr>
                <w:rFonts w:eastAsia="MS Mincho"/>
              </w:rPr>
              <w:noBreakHyphen/>
              <w:t>73,4)</w:t>
            </w:r>
          </w:p>
        </w:tc>
      </w:tr>
      <w:tr w:rsidR="00EA5993" w:rsidRPr="00F25A60" w14:paraId="373A9D93" w14:textId="77777777" w:rsidTr="00EB4FF7">
        <w:trPr>
          <w:cantSplit/>
        </w:trPr>
        <w:tc>
          <w:tcPr>
            <w:tcW w:w="3099" w:type="dxa"/>
          </w:tcPr>
          <w:p w14:paraId="76E4A3CC" w14:textId="77777777" w:rsidR="00EA5993" w:rsidRPr="00F25A60" w:rsidRDefault="00EA5993" w:rsidP="0048111F">
            <w:pPr>
              <w:keepNext/>
              <w:tabs>
                <w:tab w:val="clear" w:pos="567"/>
                <w:tab w:val="left" w:pos="284"/>
              </w:tabs>
              <w:spacing w:line="240" w:lineRule="auto"/>
              <w:rPr>
                <w:rFonts w:eastAsia="MS Mincho"/>
                <w:b/>
              </w:rPr>
            </w:pPr>
            <w:r w:rsidRPr="00F25A60">
              <w:rPr>
                <w:rFonts w:eastAsia="MS Mincho"/>
                <w:b/>
              </w:rPr>
              <w:t>Přežití</w:t>
            </w:r>
          </w:p>
        </w:tc>
        <w:tc>
          <w:tcPr>
            <w:tcW w:w="3100" w:type="dxa"/>
          </w:tcPr>
          <w:p w14:paraId="3C6CC497" w14:textId="77777777" w:rsidR="00EA5993" w:rsidRPr="00F25A60" w:rsidRDefault="00EA5993" w:rsidP="0048111F">
            <w:pPr>
              <w:keepNext/>
              <w:tabs>
                <w:tab w:val="clear" w:pos="567"/>
                <w:tab w:val="left" w:pos="284"/>
              </w:tabs>
              <w:spacing w:line="240" w:lineRule="auto"/>
              <w:rPr>
                <w:rFonts w:eastAsia="MS Mincho"/>
              </w:rPr>
            </w:pPr>
          </w:p>
        </w:tc>
        <w:tc>
          <w:tcPr>
            <w:tcW w:w="3100" w:type="dxa"/>
          </w:tcPr>
          <w:p w14:paraId="33BEBBE2" w14:textId="77777777" w:rsidR="00EA5993" w:rsidRPr="00F25A60" w:rsidRDefault="00EA5993" w:rsidP="0048111F">
            <w:pPr>
              <w:keepNext/>
              <w:tabs>
                <w:tab w:val="clear" w:pos="567"/>
                <w:tab w:val="left" w:pos="284"/>
              </w:tabs>
              <w:spacing w:line="240" w:lineRule="auto"/>
              <w:rPr>
                <w:rFonts w:eastAsia="MS Mincho"/>
              </w:rPr>
            </w:pPr>
          </w:p>
        </w:tc>
      </w:tr>
      <w:tr w:rsidR="00EA5993" w:rsidRPr="00F25A60" w14:paraId="02786755" w14:textId="77777777" w:rsidTr="00EB4FF7">
        <w:trPr>
          <w:cantSplit/>
        </w:trPr>
        <w:tc>
          <w:tcPr>
            <w:tcW w:w="3099" w:type="dxa"/>
          </w:tcPr>
          <w:p w14:paraId="5EBBED63" w14:textId="77777777" w:rsidR="00EA5993" w:rsidRPr="00F25A60" w:rsidRDefault="00EA5993" w:rsidP="0048111F">
            <w:pPr>
              <w:keepNext/>
              <w:tabs>
                <w:tab w:val="clear" w:pos="567"/>
              </w:tabs>
              <w:spacing w:line="240" w:lineRule="auto"/>
              <w:ind w:left="284"/>
              <w:rPr>
                <w:rFonts w:eastAsia="MS Mincho"/>
              </w:rPr>
            </w:pPr>
            <w:r w:rsidRPr="00F25A60">
              <w:rPr>
                <w:rFonts w:eastAsia="MS Mincho"/>
              </w:rPr>
              <w:t>36</w:t>
            </w:r>
            <w:r w:rsidRPr="00F25A60">
              <w:rPr>
                <w:rFonts w:eastAsia="MS Mincho"/>
                <w:lang w:eastAsia="ja-JP"/>
              </w:rPr>
              <w:t> </w:t>
            </w:r>
            <w:r w:rsidRPr="00F25A60">
              <w:rPr>
                <w:rFonts w:eastAsia="MS Mincho"/>
              </w:rPr>
              <w:t>měsíců</w:t>
            </w:r>
          </w:p>
        </w:tc>
        <w:tc>
          <w:tcPr>
            <w:tcW w:w="3100" w:type="dxa"/>
          </w:tcPr>
          <w:p w14:paraId="6A8ED8C3" w14:textId="77777777" w:rsidR="00EA5993" w:rsidRPr="00F25A60" w:rsidRDefault="00EA5993" w:rsidP="0048111F">
            <w:pPr>
              <w:keepNext/>
              <w:tabs>
                <w:tab w:val="clear" w:pos="567"/>
                <w:tab w:val="left" w:pos="284"/>
              </w:tabs>
              <w:spacing w:line="240" w:lineRule="auto"/>
              <w:rPr>
                <w:rFonts w:eastAsia="MS Mincho"/>
              </w:rPr>
            </w:pPr>
            <w:r w:rsidRPr="00F25A60">
              <w:rPr>
                <w:rFonts w:eastAsia="MS Mincho"/>
              </w:rPr>
              <w:t>94,0 (89,5</w:t>
            </w:r>
            <w:r w:rsidRPr="00F25A60">
              <w:rPr>
                <w:rFonts w:eastAsia="MS Mincho"/>
              </w:rPr>
              <w:noBreakHyphen/>
              <w:t>96,7)</w:t>
            </w:r>
          </w:p>
        </w:tc>
        <w:tc>
          <w:tcPr>
            <w:tcW w:w="3100" w:type="dxa"/>
          </w:tcPr>
          <w:p w14:paraId="051E9CF7" w14:textId="77777777" w:rsidR="00EA5993" w:rsidRPr="00F25A60" w:rsidRDefault="00EA5993" w:rsidP="0048111F">
            <w:pPr>
              <w:keepNext/>
              <w:tabs>
                <w:tab w:val="clear" w:pos="567"/>
                <w:tab w:val="left" w:pos="284"/>
              </w:tabs>
              <w:spacing w:line="240" w:lineRule="auto"/>
              <w:rPr>
                <w:rFonts w:eastAsia="MS Mincho"/>
              </w:rPr>
            </w:pPr>
            <w:r w:rsidRPr="00F25A60">
              <w:rPr>
                <w:rFonts w:eastAsia="MS Mincho"/>
              </w:rPr>
              <w:t>96,3 (92,4</w:t>
            </w:r>
            <w:r w:rsidRPr="00F25A60">
              <w:rPr>
                <w:rFonts w:eastAsia="MS Mincho"/>
              </w:rPr>
              <w:noBreakHyphen/>
              <w:t>98,2)</w:t>
            </w:r>
          </w:p>
        </w:tc>
      </w:tr>
      <w:tr w:rsidR="00EA5993" w:rsidRPr="00F25A60" w14:paraId="7DA85D8E" w14:textId="77777777" w:rsidTr="00EB4FF7">
        <w:trPr>
          <w:cantSplit/>
        </w:trPr>
        <w:tc>
          <w:tcPr>
            <w:tcW w:w="3099" w:type="dxa"/>
          </w:tcPr>
          <w:p w14:paraId="6020D2D0" w14:textId="77777777" w:rsidR="00EA5993" w:rsidRPr="00F25A60" w:rsidRDefault="00EA5993" w:rsidP="0048111F">
            <w:pPr>
              <w:keepNext/>
              <w:tabs>
                <w:tab w:val="clear" w:pos="567"/>
              </w:tabs>
              <w:spacing w:line="240" w:lineRule="auto"/>
              <w:ind w:left="284"/>
              <w:rPr>
                <w:rFonts w:eastAsia="MS Mincho"/>
              </w:rPr>
            </w:pPr>
            <w:r w:rsidRPr="00F25A60">
              <w:rPr>
                <w:rFonts w:eastAsia="MS Mincho"/>
              </w:rPr>
              <w:t>48</w:t>
            </w:r>
            <w:r w:rsidRPr="00F25A60">
              <w:rPr>
                <w:rFonts w:eastAsia="MS Mincho"/>
                <w:lang w:eastAsia="ja-JP"/>
              </w:rPr>
              <w:t> </w:t>
            </w:r>
            <w:r w:rsidRPr="00F25A60">
              <w:rPr>
                <w:rFonts w:eastAsia="MS Mincho"/>
              </w:rPr>
              <w:t>měsícůs</w:t>
            </w:r>
          </w:p>
        </w:tc>
        <w:tc>
          <w:tcPr>
            <w:tcW w:w="3100" w:type="dxa"/>
          </w:tcPr>
          <w:p w14:paraId="66445279" w14:textId="77777777" w:rsidR="00EA5993" w:rsidRPr="00F25A60" w:rsidRDefault="00EA5993" w:rsidP="0048111F">
            <w:pPr>
              <w:keepNext/>
              <w:tabs>
                <w:tab w:val="clear" w:pos="567"/>
                <w:tab w:val="left" w:pos="284"/>
              </w:tabs>
              <w:spacing w:line="240" w:lineRule="auto"/>
              <w:rPr>
                <w:rFonts w:eastAsia="MS Mincho"/>
              </w:rPr>
            </w:pPr>
            <w:r w:rsidRPr="00F25A60">
              <w:rPr>
                <w:rFonts w:eastAsia="MS Mincho"/>
              </w:rPr>
              <w:t>87,9 (81,1</w:t>
            </w:r>
            <w:r w:rsidRPr="00F25A60">
              <w:rPr>
                <w:rFonts w:eastAsia="MS Mincho"/>
              </w:rPr>
              <w:noBreakHyphen/>
              <w:t>92,3)</w:t>
            </w:r>
          </w:p>
        </w:tc>
        <w:tc>
          <w:tcPr>
            <w:tcW w:w="3100" w:type="dxa"/>
          </w:tcPr>
          <w:p w14:paraId="661CE5CA" w14:textId="77777777" w:rsidR="00EA5993" w:rsidRPr="00F25A60" w:rsidRDefault="00EA5993" w:rsidP="0048111F">
            <w:pPr>
              <w:keepNext/>
              <w:tabs>
                <w:tab w:val="clear" w:pos="567"/>
                <w:tab w:val="left" w:pos="284"/>
              </w:tabs>
              <w:spacing w:line="240" w:lineRule="auto"/>
              <w:rPr>
                <w:rFonts w:eastAsia="MS Mincho"/>
              </w:rPr>
            </w:pPr>
            <w:r w:rsidRPr="00F25A60">
              <w:rPr>
                <w:rFonts w:eastAsia="MS Mincho"/>
              </w:rPr>
              <w:t>95,6 (91,2</w:t>
            </w:r>
            <w:r w:rsidRPr="00F25A60">
              <w:rPr>
                <w:rFonts w:eastAsia="MS Mincho"/>
              </w:rPr>
              <w:noBreakHyphen/>
              <w:t>97,8)</w:t>
            </w:r>
          </w:p>
        </w:tc>
      </w:tr>
      <w:tr w:rsidR="00EA5993" w:rsidRPr="00F25A60" w14:paraId="067A7BEB" w14:textId="77777777" w:rsidTr="00EB4FF7">
        <w:trPr>
          <w:cantSplit/>
        </w:trPr>
        <w:tc>
          <w:tcPr>
            <w:tcW w:w="3099" w:type="dxa"/>
          </w:tcPr>
          <w:p w14:paraId="3F1A155C" w14:textId="77777777" w:rsidR="00EA5993" w:rsidRPr="00F25A60" w:rsidRDefault="00EA5993" w:rsidP="0048111F">
            <w:pPr>
              <w:tabs>
                <w:tab w:val="clear" w:pos="567"/>
              </w:tabs>
              <w:spacing w:line="240" w:lineRule="auto"/>
              <w:ind w:left="284"/>
              <w:rPr>
                <w:rFonts w:eastAsia="MS Mincho"/>
              </w:rPr>
            </w:pPr>
            <w:r w:rsidRPr="00F25A60">
              <w:rPr>
                <w:rFonts w:eastAsia="MS Mincho"/>
              </w:rPr>
              <w:t>60</w:t>
            </w:r>
            <w:r w:rsidRPr="00F25A60">
              <w:rPr>
                <w:rFonts w:eastAsia="MS Mincho"/>
                <w:lang w:eastAsia="ja-JP"/>
              </w:rPr>
              <w:t> měsíců</w:t>
            </w:r>
          </w:p>
        </w:tc>
        <w:tc>
          <w:tcPr>
            <w:tcW w:w="3100" w:type="dxa"/>
          </w:tcPr>
          <w:p w14:paraId="66B23F2A" w14:textId="77777777" w:rsidR="00EA5993" w:rsidRPr="00F25A60" w:rsidRDefault="00EA5993" w:rsidP="0048111F">
            <w:pPr>
              <w:tabs>
                <w:tab w:val="clear" w:pos="567"/>
                <w:tab w:val="left" w:pos="284"/>
              </w:tabs>
              <w:spacing w:line="240" w:lineRule="auto"/>
              <w:rPr>
                <w:rFonts w:eastAsia="MS Mincho"/>
              </w:rPr>
            </w:pPr>
            <w:r w:rsidRPr="00F25A60">
              <w:rPr>
                <w:rFonts w:eastAsia="MS Mincho"/>
              </w:rPr>
              <w:t>81,7 (73,0</w:t>
            </w:r>
            <w:r w:rsidRPr="00F25A60">
              <w:rPr>
                <w:rFonts w:eastAsia="MS Mincho"/>
              </w:rPr>
              <w:noBreakHyphen/>
              <w:t>87,8)</w:t>
            </w:r>
          </w:p>
        </w:tc>
        <w:tc>
          <w:tcPr>
            <w:tcW w:w="3100" w:type="dxa"/>
          </w:tcPr>
          <w:p w14:paraId="5F2E18CE" w14:textId="77777777" w:rsidR="00EA5993" w:rsidRPr="00F25A60" w:rsidRDefault="00EA5993" w:rsidP="0048111F">
            <w:pPr>
              <w:tabs>
                <w:tab w:val="clear" w:pos="567"/>
                <w:tab w:val="left" w:pos="284"/>
              </w:tabs>
              <w:spacing w:line="240" w:lineRule="auto"/>
              <w:rPr>
                <w:rFonts w:eastAsia="MS Mincho"/>
              </w:rPr>
            </w:pPr>
            <w:r w:rsidRPr="00F25A60">
              <w:rPr>
                <w:rFonts w:eastAsia="MS Mincho"/>
              </w:rPr>
              <w:t>92,0 (85,3</w:t>
            </w:r>
            <w:r w:rsidRPr="00F25A60">
              <w:rPr>
                <w:rFonts w:eastAsia="MS Mincho"/>
              </w:rPr>
              <w:noBreakHyphen/>
              <w:t>95,7)</w:t>
            </w:r>
          </w:p>
        </w:tc>
      </w:tr>
    </w:tbl>
    <w:p w14:paraId="23F09B1F" w14:textId="77777777" w:rsidR="00EA5993" w:rsidRPr="00F25A60" w:rsidRDefault="00EA5993" w:rsidP="005C56E6">
      <w:pPr>
        <w:widowControl w:val="0"/>
        <w:tabs>
          <w:tab w:val="clear" w:pos="567"/>
        </w:tabs>
        <w:spacing w:line="240" w:lineRule="auto"/>
        <w:rPr>
          <w:rFonts w:eastAsia="MS Mincho"/>
        </w:rPr>
      </w:pPr>
    </w:p>
    <w:p w14:paraId="607BC94E" w14:textId="77777777" w:rsidR="00EA5993" w:rsidRPr="00F25A60" w:rsidRDefault="001B24B9" w:rsidP="005C56E6">
      <w:pPr>
        <w:keepNext/>
        <w:keepLines/>
        <w:widowControl w:val="0"/>
        <w:tabs>
          <w:tab w:val="clear" w:pos="567"/>
          <w:tab w:val="left" w:pos="1134"/>
        </w:tabs>
        <w:spacing w:line="240" w:lineRule="auto"/>
        <w:ind w:left="1134" w:hanging="1134"/>
        <w:rPr>
          <w:rFonts w:eastAsia="MS Mincho"/>
          <w:b/>
        </w:rPr>
      </w:pPr>
      <w:r w:rsidRPr="00F25A60">
        <w:rPr>
          <w:rFonts w:eastAsia="MS Mincho"/>
          <w:noProof/>
          <w:lang w:eastAsia="cs-CZ"/>
        </w:rPr>
        <mc:AlternateContent>
          <mc:Choice Requires="wps">
            <w:drawing>
              <wp:anchor distT="0" distB="0" distL="114300" distR="114300" simplePos="0" relativeHeight="251658240" behindDoc="0" locked="0" layoutInCell="1" allowOverlap="1" wp14:anchorId="0CC6B549" wp14:editId="3E25751B">
                <wp:simplePos x="0" y="0"/>
                <wp:positionH relativeFrom="column">
                  <wp:posOffset>-282575</wp:posOffset>
                </wp:positionH>
                <wp:positionV relativeFrom="paragraph">
                  <wp:posOffset>107315</wp:posOffset>
                </wp:positionV>
                <wp:extent cx="335915" cy="294640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946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3AFAAC" w14:textId="77777777" w:rsidR="00C44E19" w:rsidRPr="00A33DBA" w:rsidRDefault="00C44E19" w:rsidP="00EA5993">
                            <w:pPr>
                              <w:rPr>
                                <w:rFonts w:ascii="Arial" w:hAnsi="Arial" w:cs="Arial"/>
                                <w:sz w:val="20"/>
                                <w:szCs w:val="20"/>
                              </w:rPr>
                            </w:pPr>
                            <w:r>
                              <w:rPr>
                                <w:rFonts w:ascii="Arial" w:hAnsi="Arial" w:cs="Arial"/>
                                <w:sz w:val="20"/>
                                <w:szCs w:val="20"/>
                              </w:rPr>
                              <w:t>Pravděpodobnost přežití bez návratu onemocnění</w:t>
                            </w:r>
                          </w:p>
                          <w:p w14:paraId="52AF7B2A" w14:textId="77777777" w:rsidR="00C44E19" w:rsidRPr="00A33DBA" w:rsidRDefault="00C44E19" w:rsidP="00EA5993">
                            <w:pPr>
                              <w:rPr>
                                <w:rFonts w:ascii="Arial" w:hAnsi="Arial" w:cs="Arial"/>
                                <w:sz w:val="20"/>
                                <w:szCs w:val="20"/>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C6B549" id="_x0000_t202" coordsize="21600,21600" o:spt="202" path="m,l,21600r21600,l21600,xe">
                <v:stroke joinstyle="miter"/>
                <v:path gradientshapeok="t" o:connecttype="rect"/>
              </v:shapetype>
              <v:shape id="Text Box 2" o:spid="_x0000_s1026" type="#_x0000_t202" style="position:absolute;left:0;text-align:left;margin-left:-22.25pt;margin-top:8.45pt;width:26.45pt;height:2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" stroked="f">
                <v:fill opacity="0"/>
                <v:textbox style="layout-flow:vertical;mso-layout-flow-alt:bottom-to-top">
                  <w:txbxContent>
                    <w:p w14:paraId="553AFAAC" w14:textId="77777777" w:rsidR="00C44E19" w:rsidRPr="00A33DBA" w:rsidRDefault="00C44E19" w:rsidP="00EA5993">
                      <w:pPr>
                        <w:rPr>
                          <w:rFonts w:ascii="Arial" w:hAnsi="Arial" w:cs="Arial"/>
                          <w:sz w:val="20"/>
                          <w:szCs w:val="20"/>
                        </w:rPr>
                      </w:pPr>
                      <w:r>
                        <w:rPr>
                          <w:rFonts w:ascii="Arial" w:hAnsi="Arial" w:cs="Arial"/>
                          <w:sz w:val="20"/>
                          <w:szCs w:val="20"/>
                        </w:rPr>
                        <w:t>Pravděpodobnost přežití bez návratu onemocnění</w:t>
                      </w:r>
                    </w:p>
                    <w:p w14:paraId="52AF7B2A" w14:textId="77777777" w:rsidR="00C44E19" w:rsidRPr="00A33DBA" w:rsidRDefault="00C44E19" w:rsidP="00EA5993">
                      <w:pPr>
                        <w:rPr>
                          <w:rFonts w:ascii="Arial" w:hAnsi="Arial" w:cs="Arial"/>
                          <w:sz w:val="20"/>
                          <w:szCs w:val="20"/>
                        </w:rPr>
                      </w:pPr>
                    </w:p>
                  </w:txbxContent>
                </v:textbox>
              </v:shape>
            </w:pict>
          </mc:Fallback>
        </mc:AlternateContent>
      </w:r>
      <w:r w:rsidR="00EA5993" w:rsidRPr="00F25A60">
        <w:rPr>
          <w:rFonts w:eastAsia="MS Mincho"/>
          <w:b/>
        </w:rPr>
        <w:t>Obrázek 1</w:t>
      </w:r>
      <w:r w:rsidR="00EA5993" w:rsidRPr="00F25A60">
        <w:rPr>
          <w:rFonts w:eastAsia="MS Mincho"/>
          <w:b/>
        </w:rPr>
        <w:tab/>
        <w:t>Odhad primárního přežití bez návratu onemocnění podle Kaplan-Meiera (ITT populace)</w:t>
      </w:r>
    </w:p>
    <w:p w14:paraId="07E69566" w14:textId="77777777" w:rsidR="00EA5993" w:rsidRPr="00F25A60" w:rsidRDefault="00EA5993" w:rsidP="005C56E6">
      <w:pPr>
        <w:keepNext/>
        <w:keepLines/>
        <w:widowControl w:val="0"/>
        <w:tabs>
          <w:tab w:val="clear" w:pos="567"/>
        </w:tabs>
        <w:spacing w:line="240" w:lineRule="auto"/>
        <w:rPr>
          <w:rFonts w:eastAsia="MS Mincho"/>
        </w:rPr>
      </w:pPr>
    </w:p>
    <w:p w14:paraId="33FE1849" w14:textId="77777777" w:rsidR="00EA5993" w:rsidRPr="00F25A60" w:rsidRDefault="001B24B9" w:rsidP="005C56E6">
      <w:pPr>
        <w:keepNext/>
        <w:keepLines/>
        <w:widowControl w:val="0"/>
        <w:tabs>
          <w:tab w:val="clear" w:pos="567"/>
        </w:tabs>
        <w:spacing w:line="240" w:lineRule="auto"/>
        <w:rPr>
          <w:rFonts w:eastAsia="MS Mincho"/>
        </w:rPr>
      </w:pPr>
      <w:r w:rsidRPr="00F25A60">
        <w:rPr>
          <w:rFonts w:eastAsia="MS Mincho"/>
          <w:noProof/>
          <w:lang w:eastAsia="cs-CZ"/>
        </w:rPr>
        <mc:AlternateContent>
          <mc:Choice Requires="wps">
            <w:drawing>
              <wp:anchor distT="0" distB="0" distL="114300" distR="114300" simplePos="0" relativeHeight="251659264" behindDoc="0" locked="0" layoutInCell="1" allowOverlap="1" wp14:anchorId="3E0A6081" wp14:editId="2F250A95">
                <wp:simplePos x="0" y="0"/>
                <wp:positionH relativeFrom="column">
                  <wp:posOffset>342265</wp:posOffset>
                </wp:positionH>
                <wp:positionV relativeFrom="paragraph">
                  <wp:posOffset>1178560</wp:posOffset>
                </wp:positionV>
                <wp:extent cx="4585335" cy="126682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266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817"/>
                              <w:gridCol w:w="2464"/>
                              <w:gridCol w:w="851"/>
                              <w:gridCol w:w="709"/>
                              <w:gridCol w:w="850"/>
                            </w:tblGrid>
                            <w:tr w:rsidR="00C44E19" w:rsidRPr="0055776F" w14:paraId="684A96CD" w14:textId="77777777">
                              <w:trPr>
                                <w:gridAfter w:val="3"/>
                                <w:wAfter w:w="2410" w:type="dxa"/>
                              </w:trPr>
                              <w:tc>
                                <w:tcPr>
                                  <w:tcW w:w="3281" w:type="dxa"/>
                                  <w:gridSpan w:val="2"/>
                                </w:tcPr>
                                <w:p w14:paraId="085E6625" w14:textId="77777777" w:rsidR="00C44E19" w:rsidRPr="0055776F" w:rsidRDefault="00C44E19" w:rsidP="00D2009B">
                                  <w:pPr>
                                    <w:rPr>
                                      <w:rFonts w:ascii="Arial" w:hAnsi="Arial" w:cs="Arial"/>
                                      <w:sz w:val="20"/>
                                    </w:rPr>
                                  </w:pPr>
                                  <w:r>
                                    <w:rPr>
                                      <w:rFonts w:ascii="Arial" w:hAnsi="Arial" w:cs="Arial"/>
                                      <w:sz w:val="20"/>
                                    </w:rPr>
                                    <w:t>P &lt; 0,0001</w:t>
                                  </w:r>
                                </w:p>
                                <w:p w14:paraId="28814726" w14:textId="77777777" w:rsidR="00C44E19" w:rsidRPr="0055776F" w:rsidRDefault="00C44E19" w:rsidP="00D2009B">
                                  <w:pPr>
                                    <w:rPr>
                                      <w:rFonts w:ascii="Arial" w:hAnsi="Arial" w:cs="Arial"/>
                                      <w:sz w:val="20"/>
                                    </w:rPr>
                                  </w:pPr>
                                  <w:r>
                                    <w:rPr>
                                      <w:rFonts w:ascii="Arial" w:hAnsi="Arial" w:cs="Arial"/>
                                      <w:sz w:val="20"/>
                                      <w:szCs w:val="20"/>
                                    </w:rPr>
                                    <w:t>Poměr rizik</w:t>
                                  </w:r>
                                  <w:r>
                                    <w:rPr>
                                      <w:rFonts w:ascii="Arial" w:hAnsi="Arial" w:cs="Arial"/>
                                      <w:sz w:val="20"/>
                                    </w:rPr>
                                    <w:t xml:space="preserve"> 0,</w:t>
                                  </w:r>
                                  <w:r w:rsidRPr="0055776F">
                                    <w:rPr>
                                      <w:rFonts w:ascii="Arial" w:hAnsi="Arial" w:cs="Arial"/>
                                      <w:sz w:val="20"/>
                                    </w:rPr>
                                    <w:t>4</w:t>
                                  </w:r>
                                  <w:r>
                                    <w:rPr>
                                      <w:rFonts w:ascii="Arial" w:hAnsi="Arial" w:cs="Arial"/>
                                      <w:sz w:val="20"/>
                                    </w:rPr>
                                    <w:t>6</w:t>
                                  </w:r>
                                </w:p>
                                <w:p w14:paraId="02934F01" w14:textId="77777777" w:rsidR="00C44E19" w:rsidRPr="0055776F" w:rsidRDefault="00C44E19" w:rsidP="00D2009B">
                                  <w:pPr>
                                    <w:rPr>
                                      <w:rFonts w:ascii="Arial" w:hAnsi="Arial" w:cs="Arial"/>
                                      <w:sz w:val="20"/>
                                      <w:lang w:val="de-DE"/>
                                    </w:rPr>
                                  </w:pPr>
                                  <w:r>
                                    <w:rPr>
                                      <w:rFonts w:ascii="Arial" w:hAnsi="Arial" w:cs="Arial"/>
                                      <w:sz w:val="20"/>
                                    </w:rPr>
                                    <w:t>(95% Cl, 0,3</w:t>
                                  </w:r>
                                  <w:r w:rsidRPr="0055776F">
                                    <w:rPr>
                                      <w:rFonts w:ascii="Arial" w:hAnsi="Arial" w:cs="Arial"/>
                                      <w:sz w:val="20"/>
                                    </w:rPr>
                                    <w:t>2</w:t>
                                  </w:r>
                                  <w:r>
                                    <w:rPr>
                                      <w:rFonts w:ascii="Arial" w:hAnsi="Arial" w:cs="Arial"/>
                                      <w:sz w:val="20"/>
                                    </w:rPr>
                                    <w:noBreakHyphen/>
                                    <w:t>0,65</w:t>
                                  </w:r>
                                  <w:r w:rsidRPr="0055776F">
                                    <w:rPr>
                                      <w:rFonts w:ascii="Arial" w:hAnsi="Arial" w:cs="Arial"/>
                                      <w:sz w:val="20"/>
                                    </w:rPr>
                                    <w:t>)</w:t>
                                  </w:r>
                                </w:p>
                              </w:tc>
                            </w:tr>
                            <w:tr w:rsidR="00C44E19" w:rsidRPr="0055776F" w14:paraId="51E69F91" w14:textId="77777777">
                              <w:tc>
                                <w:tcPr>
                                  <w:tcW w:w="817" w:type="dxa"/>
                                </w:tcPr>
                                <w:p w14:paraId="10883495" w14:textId="77777777" w:rsidR="00C44E19" w:rsidRPr="0055776F" w:rsidRDefault="00C44E19" w:rsidP="007B7F7F">
                                  <w:pPr>
                                    <w:rPr>
                                      <w:rFonts w:ascii="Arial" w:hAnsi="Arial" w:cs="Arial"/>
                                      <w:sz w:val="20"/>
                                      <w:szCs w:val="20"/>
                                    </w:rPr>
                                  </w:pPr>
                                </w:p>
                              </w:tc>
                              <w:tc>
                                <w:tcPr>
                                  <w:tcW w:w="2464" w:type="dxa"/>
                                </w:tcPr>
                                <w:p w14:paraId="5455F725" w14:textId="77777777" w:rsidR="00C44E19" w:rsidRPr="0055776F" w:rsidRDefault="00C44E19" w:rsidP="007B7F7F">
                                  <w:pPr>
                                    <w:rPr>
                                      <w:rFonts w:ascii="Arial" w:hAnsi="Arial" w:cs="Arial"/>
                                      <w:sz w:val="20"/>
                                      <w:szCs w:val="20"/>
                                    </w:rPr>
                                  </w:pPr>
                                </w:p>
                              </w:tc>
                              <w:tc>
                                <w:tcPr>
                                  <w:tcW w:w="851" w:type="dxa"/>
                                  <w:tcBorders>
                                    <w:bottom w:val="single" w:sz="4" w:space="0" w:color="auto"/>
                                  </w:tcBorders>
                                </w:tcPr>
                                <w:p w14:paraId="00F71712" w14:textId="77777777" w:rsidR="00C44E19" w:rsidRPr="00112FBD" w:rsidRDefault="00C44E19" w:rsidP="007B7F7F">
                                  <w:pPr>
                                    <w:rPr>
                                      <w:rFonts w:ascii="Arial" w:hAnsi="Arial" w:cs="Arial"/>
                                      <w:sz w:val="20"/>
                                      <w:szCs w:val="20"/>
                                    </w:rPr>
                                  </w:pPr>
                                  <w:r>
                                    <w:rPr>
                                      <w:rFonts w:ascii="Arial" w:hAnsi="Arial" w:cs="Arial"/>
                                      <w:sz w:val="20"/>
                                      <w:szCs w:val="20"/>
                                      <w:lang w:val="de-DE"/>
                                    </w:rPr>
                                    <w:t>n</w:t>
                                  </w:r>
                                </w:p>
                              </w:tc>
                              <w:tc>
                                <w:tcPr>
                                  <w:tcW w:w="709" w:type="dxa"/>
                                  <w:tcBorders>
                                    <w:bottom w:val="single" w:sz="4" w:space="0" w:color="auto"/>
                                  </w:tcBorders>
                                </w:tcPr>
                                <w:p w14:paraId="223CABBD" w14:textId="77777777" w:rsidR="00C44E19" w:rsidRPr="00112FBD" w:rsidRDefault="00C44E19" w:rsidP="007B7F7F">
                                  <w:pPr>
                                    <w:rPr>
                                      <w:rFonts w:ascii="Arial" w:hAnsi="Arial" w:cs="Arial"/>
                                      <w:sz w:val="20"/>
                                      <w:szCs w:val="20"/>
                                    </w:rPr>
                                  </w:pPr>
                                  <w:r w:rsidRPr="00112FBD">
                                    <w:rPr>
                                      <w:rFonts w:ascii="Arial" w:hAnsi="Arial" w:cs="Arial"/>
                                      <w:sz w:val="20"/>
                                      <w:szCs w:val="20"/>
                                      <w:lang w:val="it-IT"/>
                                    </w:rPr>
                                    <w:t>Udál.</w:t>
                                  </w:r>
                                </w:p>
                              </w:tc>
                              <w:tc>
                                <w:tcPr>
                                  <w:tcW w:w="850" w:type="dxa"/>
                                  <w:tcBorders>
                                    <w:bottom w:val="single" w:sz="4" w:space="0" w:color="auto"/>
                                  </w:tcBorders>
                                </w:tcPr>
                                <w:p w14:paraId="0C952CDC" w14:textId="77777777" w:rsidR="00C44E19" w:rsidRPr="00112FBD" w:rsidRDefault="00C44E19" w:rsidP="007B7F7F">
                                  <w:pPr>
                                    <w:rPr>
                                      <w:rFonts w:ascii="Arial" w:hAnsi="Arial" w:cs="Arial"/>
                                      <w:sz w:val="20"/>
                                      <w:szCs w:val="20"/>
                                    </w:rPr>
                                  </w:pPr>
                                  <w:r w:rsidRPr="00112FBD">
                                    <w:rPr>
                                      <w:rFonts w:ascii="Arial" w:hAnsi="Arial" w:cs="Arial"/>
                                      <w:sz w:val="20"/>
                                      <w:szCs w:val="20"/>
                                      <w:lang w:val="it-IT"/>
                                    </w:rPr>
                                    <w:t>Cen.</w:t>
                                  </w:r>
                                </w:p>
                              </w:tc>
                            </w:tr>
                            <w:tr w:rsidR="00C44E19" w:rsidRPr="0055776F" w14:paraId="12116562" w14:textId="77777777">
                              <w:tc>
                                <w:tcPr>
                                  <w:tcW w:w="817" w:type="dxa"/>
                                </w:tcPr>
                                <w:p w14:paraId="1784633E" w14:textId="77777777" w:rsidR="00C44E19" w:rsidRPr="0055776F" w:rsidRDefault="00C44E19" w:rsidP="007B7F7F">
                                  <w:pPr>
                                    <w:rPr>
                                      <w:rFonts w:ascii="Arial" w:hAnsi="Arial" w:cs="Arial"/>
                                      <w:sz w:val="20"/>
                                      <w:szCs w:val="20"/>
                                    </w:rPr>
                                  </w:pPr>
                                  <w:r w:rsidRPr="0055776F">
                                    <w:rPr>
                                      <w:rFonts w:ascii="Arial" w:hAnsi="Arial" w:cs="Arial"/>
                                      <w:b/>
                                      <w:sz w:val="20"/>
                                      <w:szCs w:val="20"/>
                                    </w:rPr>
                                    <w:t>——</w:t>
                                  </w:r>
                                </w:p>
                              </w:tc>
                              <w:tc>
                                <w:tcPr>
                                  <w:tcW w:w="2464" w:type="dxa"/>
                                </w:tcPr>
                                <w:p w14:paraId="4CE01059" w14:textId="77777777" w:rsidR="00C44E19" w:rsidRPr="0055776F" w:rsidRDefault="00C44E19" w:rsidP="000E5517">
                                  <w:pPr>
                                    <w:rPr>
                                      <w:rFonts w:ascii="Arial" w:hAnsi="Arial" w:cs="Arial"/>
                                      <w:sz w:val="20"/>
                                      <w:szCs w:val="20"/>
                                    </w:rPr>
                                  </w:pPr>
                                  <w:r>
                                    <w:rPr>
                                      <w:rFonts w:ascii="Arial" w:hAnsi="Arial" w:cs="Arial"/>
                                      <w:sz w:val="20"/>
                                      <w:szCs w:val="20"/>
                                    </w:rPr>
                                    <w:t>(1) Imatinib 12 měsíců</w:t>
                                  </w:r>
                                  <w:r w:rsidRPr="00A33DBA">
                                    <w:rPr>
                                      <w:rFonts w:ascii="Arial" w:hAnsi="Arial" w:cs="Arial"/>
                                      <w:sz w:val="20"/>
                                      <w:szCs w:val="20"/>
                                    </w:rPr>
                                    <w:t>:</w:t>
                                  </w:r>
                                </w:p>
                              </w:tc>
                              <w:tc>
                                <w:tcPr>
                                  <w:tcW w:w="851" w:type="dxa"/>
                                  <w:tcBorders>
                                    <w:top w:val="single" w:sz="4" w:space="0" w:color="auto"/>
                                  </w:tcBorders>
                                </w:tcPr>
                                <w:p w14:paraId="4AE00378" w14:textId="77777777" w:rsidR="00C44E19" w:rsidRPr="0055776F" w:rsidRDefault="00C44E19" w:rsidP="007B7F7F">
                                  <w:pPr>
                                    <w:rPr>
                                      <w:rFonts w:ascii="Arial" w:hAnsi="Arial" w:cs="Arial"/>
                                      <w:sz w:val="20"/>
                                      <w:szCs w:val="20"/>
                                    </w:rPr>
                                  </w:pPr>
                                  <w:r w:rsidRPr="0055776F">
                                    <w:rPr>
                                      <w:rFonts w:ascii="Arial" w:hAnsi="Arial" w:cs="Arial"/>
                                      <w:sz w:val="20"/>
                                      <w:szCs w:val="20"/>
                                    </w:rPr>
                                    <w:t>199</w:t>
                                  </w:r>
                                </w:p>
                              </w:tc>
                              <w:tc>
                                <w:tcPr>
                                  <w:tcW w:w="709" w:type="dxa"/>
                                  <w:tcBorders>
                                    <w:top w:val="single" w:sz="4" w:space="0" w:color="auto"/>
                                  </w:tcBorders>
                                </w:tcPr>
                                <w:p w14:paraId="0EF1E3F8" w14:textId="77777777" w:rsidR="00C44E19" w:rsidRPr="0055776F" w:rsidRDefault="00C44E19" w:rsidP="007B7F7F">
                                  <w:pPr>
                                    <w:rPr>
                                      <w:rFonts w:ascii="Arial" w:hAnsi="Arial" w:cs="Arial"/>
                                      <w:sz w:val="20"/>
                                      <w:szCs w:val="20"/>
                                    </w:rPr>
                                  </w:pPr>
                                  <w:r w:rsidRPr="0055776F">
                                    <w:rPr>
                                      <w:rFonts w:ascii="Arial" w:hAnsi="Arial" w:cs="Arial"/>
                                      <w:sz w:val="20"/>
                                      <w:szCs w:val="20"/>
                                    </w:rPr>
                                    <w:t>84</w:t>
                                  </w:r>
                                </w:p>
                              </w:tc>
                              <w:tc>
                                <w:tcPr>
                                  <w:tcW w:w="850" w:type="dxa"/>
                                  <w:tcBorders>
                                    <w:top w:val="single" w:sz="4" w:space="0" w:color="auto"/>
                                  </w:tcBorders>
                                </w:tcPr>
                                <w:p w14:paraId="70C35E9B" w14:textId="77777777" w:rsidR="00C44E19" w:rsidRPr="0055776F" w:rsidRDefault="00C44E19" w:rsidP="007B7F7F">
                                  <w:pPr>
                                    <w:rPr>
                                      <w:rFonts w:ascii="Arial" w:hAnsi="Arial" w:cs="Arial"/>
                                      <w:sz w:val="20"/>
                                      <w:szCs w:val="20"/>
                                    </w:rPr>
                                  </w:pPr>
                                  <w:r w:rsidRPr="0055776F">
                                    <w:rPr>
                                      <w:rFonts w:ascii="Arial" w:hAnsi="Arial" w:cs="Arial"/>
                                      <w:sz w:val="20"/>
                                      <w:szCs w:val="20"/>
                                    </w:rPr>
                                    <w:t>115</w:t>
                                  </w:r>
                                </w:p>
                              </w:tc>
                            </w:tr>
                            <w:tr w:rsidR="00C44E19" w:rsidRPr="0055776F" w14:paraId="5643AF14" w14:textId="77777777">
                              <w:tc>
                                <w:tcPr>
                                  <w:tcW w:w="817" w:type="dxa"/>
                                </w:tcPr>
                                <w:p w14:paraId="406B2ADB" w14:textId="77777777" w:rsidR="00C44E19" w:rsidRPr="0055776F" w:rsidRDefault="00C44E19" w:rsidP="007B7F7F">
                                  <w:pPr>
                                    <w:rPr>
                                      <w:rFonts w:ascii="Arial" w:hAnsi="Arial" w:cs="Arial"/>
                                      <w:sz w:val="20"/>
                                      <w:szCs w:val="20"/>
                                    </w:rPr>
                                  </w:pPr>
                                  <w:r w:rsidRPr="0055776F">
                                    <w:rPr>
                                      <w:rFonts w:ascii="Arial" w:hAnsi="Arial" w:cs="Arial"/>
                                      <w:sz w:val="20"/>
                                      <w:szCs w:val="20"/>
                                    </w:rPr>
                                    <w:t>-----</w:t>
                                  </w:r>
                                </w:p>
                              </w:tc>
                              <w:tc>
                                <w:tcPr>
                                  <w:tcW w:w="2464" w:type="dxa"/>
                                </w:tcPr>
                                <w:p w14:paraId="6A57ED9F" w14:textId="77777777" w:rsidR="00C44E19" w:rsidRPr="0055776F" w:rsidRDefault="00C44E19" w:rsidP="000E5517">
                                  <w:pPr>
                                    <w:rPr>
                                      <w:rFonts w:ascii="Arial" w:hAnsi="Arial" w:cs="Arial"/>
                                      <w:sz w:val="20"/>
                                      <w:szCs w:val="20"/>
                                    </w:rPr>
                                  </w:pPr>
                                  <w:r>
                                    <w:rPr>
                                      <w:rFonts w:ascii="Arial" w:hAnsi="Arial" w:cs="Arial"/>
                                      <w:sz w:val="20"/>
                                      <w:szCs w:val="20"/>
                                    </w:rPr>
                                    <w:t>(2) Imatinib 36 měsíců</w:t>
                                  </w:r>
                                  <w:r w:rsidRPr="00A33DBA">
                                    <w:rPr>
                                      <w:rFonts w:ascii="Arial" w:hAnsi="Arial" w:cs="Arial"/>
                                      <w:sz w:val="20"/>
                                      <w:szCs w:val="20"/>
                                    </w:rPr>
                                    <w:t>:</w:t>
                                  </w:r>
                                </w:p>
                              </w:tc>
                              <w:tc>
                                <w:tcPr>
                                  <w:tcW w:w="851" w:type="dxa"/>
                                  <w:tcBorders>
                                    <w:bottom w:val="single" w:sz="4" w:space="0" w:color="auto"/>
                                  </w:tcBorders>
                                </w:tcPr>
                                <w:p w14:paraId="4A43D357" w14:textId="77777777" w:rsidR="00C44E19" w:rsidRPr="0055776F" w:rsidRDefault="00C44E19" w:rsidP="007B7F7F">
                                  <w:pPr>
                                    <w:rPr>
                                      <w:rFonts w:ascii="Arial" w:hAnsi="Arial" w:cs="Arial"/>
                                      <w:sz w:val="20"/>
                                      <w:szCs w:val="20"/>
                                    </w:rPr>
                                  </w:pPr>
                                  <w:r w:rsidRPr="0055776F">
                                    <w:rPr>
                                      <w:rFonts w:ascii="Arial" w:hAnsi="Arial" w:cs="Arial"/>
                                      <w:sz w:val="20"/>
                                      <w:szCs w:val="20"/>
                                    </w:rPr>
                                    <w:t>198</w:t>
                                  </w:r>
                                </w:p>
                              </w:tc>
                              <w:tc>
                                <w:tcPr>
                                  <w:tcW w:w="709" w:type="dxa"/>
                                  <w:tcBorders>
                                    <w:bottom w:val="single" w:sz="4" w:space="0" w:color="auto"/>
                                  </w:tcBorders>
                                </w:tcPr>
                                <w:p w14:paraId="270F7DA2" w14:textId="77777777" w:rsidR="00C44E19" w:rsidRPr="0055776F" w:rsidRDefault="00C44E19" w:rsidP="007B7F7F">
                                  <w:pPr>
                                    <w:rPr>
                                      <w:rFonts w:ascii="Arial" w:hAnsi="Arial" w:cs="Arial"/>
                                      <w:sz w:val="20"/>
                                      <w:szCs w:val="20"/>
                                    </w:rPr>
                                  </w:pPr>
                                  <w:r w:rsidRPr="0055776F">
                                    <w:rPr>
                                      <w:rFonts w:ascii="Arial" w:hAnsi="Arial" w:cs="Arial"/>
                                      <w:sz w:val="20"/>
                                      <w:szCs w:val="20"/>
                                    </w:rPr>
                                    <w:t>50</w:t>
                                  </w:r>
                                </w:p>
                              </w:tc>
                              <w:tc>
                                <w:tcPr>
                                  <w:tcW w:w="850" w:type="dxa"/>
                                  <w:tcBorders>
                                    <w:bottom w:val="single" w:sz="4" w:space="0" w:color="auto"/>
                                  </w:tcBorders>
                                </w:tcPr>
                                <w:p w14:paraId="18537F34" w14:textId="77777777" w:rsidR="00C44E19" w:rsidRPr="0055776F" w:rsidRDefault="00C44E19" w:rsidP="007B7F7F">
                                  <w:pPr>
                                    <w:rPr>
                                      <w:rFonts w:ascii="Arial" w:hAnsi="Arial" w:cs="Arial"/>
                                      <w:sz w:val="20"/>
                                      <w:szCs w:val="20"/>
                                    </w:rPr>
                                  </w:pPr>
                                  <w:r w:rsidRPr="0055776F">
                                    <w:rPr>
                                      <w:rFonts w:ascii="Arial" w:hAnsi="Arial" w:cs="Arial"/>
                                      <w:sz w:val="20"/>
                                      <w:szCs w:val="20"/>
                                    </w:rPr>
                                    <w:t>148</w:t>
                                  </w:r>
                                </w:p>
                              </w:tc>
                            </w:tr>
                            <w:tr w:rsidR="00C44E19" w:rsidRPr="0055776F" w14:paraId="453586B1" w14:textId="77777777">
                              <w:tc>
                                <w:tcPr>
                                  <w:tcW w:w="817" w:type="dxa"/>
                                </w:tcPr>
                                <w:p w14:paraId="7DA06D26" w14:textId="77777777" w:rsidR="00C44E19" w:rsidRPr="0055776F" w:rsidRDefault="00C44E19" w:rsidP="007B7F7F">
                                  <w:pPr>
                                    <w:rPr>
                                      <w:rFonts w:ascii="Arial" w:hAnsi="Arial" w:cs="Arial"/>
                                      <w:sz w:val="20"/>
                                      <w:szCs w:val="20"/>
                                    </w:rPr>
                                  </w:pPr>
                                  <w:r w:rsidRPr="0055776F">
                                    <w:rPr>
                                      <w:rFonts w:ascii="Arial" w:hAnsi="Arial" w:cs="Arial"/>
                                      <w:sz w:val="20"/>
                                      <w:szCs w:val="20"/>
                                    </w:rPr>
                                    <w:t>│││</w:t>
                                  </w:r>
                                </w:p>
                              </w:tc>
                              <w:tc>
                                <w:tcPr>
                                  <w:tcW w:w="2464" w:type="dxa"/>
                                </w:tcPr>
                                <w:p w14:paraId="0E8857AC" w14:textId="77777777" w:rsidR="00C44E19" w:rsidRPr="0055776F" w:rsidRDefault="00C44E19" w:rsidP="007B7F7F">
                                  <w:pPr>
                                    <w:rPr>
                                      <w:rFonts w:ascii="Arial" w:hAnsi="Arial" w:cs="Arial"/>
                                      <w:sz w:val="20"/>
                                      <w:szCs w:val="20"/>
                                    </w:rPr>
                                  </w:pPr>
                                  <w:r>
                                    <w:rPr>
                                      <w:rFonts w:ascii="Arial" w:hAnsi="Arial" w:cs="Arial"/>
                                      <w:sz w:val="20"/>
                                      <w:szCs w:val="20"/>
                                    </w:rPr>
                                    <w:t>Cenzorovaná pozorování</w:t>
                                  </w:r>
                                </w:p>
                              </w:tc>
                              <w:tc>
                                <w:tcPr>
                                  <w:tcW w:w="851" w:type="dxa"/>
                                  <w:tcBorders>
                                    <w:top w:val="single" w:sz="4" w:space="0" w:color="auto"/>
                                  </w:tcBorders>
                                </w:tcPr>
                                <w:p w14:paraId="1F98278B" w14:textId="77777777" w:rsidR="00C44E19" w:rsidRPr="0055776F" w:rsidRDefault="00C44E19" w:rsidP="007B7F7F">
                                  <w:pPr>
                                    <w:rPr>
                                      <w:rFonts w:ascii="Arial" w:hAnsi="Arial" w:cs="Arial"/>
                                      <w:sz w:val="20"/>
                                      <w:szCs w:val="20"/>
                                    </w:rPr>
                                  </w:pPr>
                                </w:p>
                              </w:tc>
                              <w:tc>
                                <w:tcPr>
                                  <w:tcW w:w="709" w:type="dxa"/>
                                  <w:tcBorders>
                                    <w:top w:val="single" w:sz="4" w:space="0" w:color="auto"/>
                                  </w:tcBorders>
                                </w:tcPr>
                                <w:p w14:paraId="2B31D2F8" w14:textId="77777777" w:rsidR="00C44E19" w:rsidRPr="0055776F" w:rsidRDefault="00C44E19" w:rsidP="007B7F7F">
                                  <w:pPr>
                                    <w:rPr>
                                      <w:rFonts w:ascii="Arial" w:hAnsi="Arial" w:cs="Arial"/>
                                      <w:sz w:val="20"/>
                                      <w:szCs w:val="20"/>
                                    </w:rPr>
                                  </w:pPr>
                                </w:p>
                              </w:tc>
                              <w:tc>
                                <w:tcPr>
                                  <w:tcW w:w="850" w:type="dxa"/>
                                  <w:tcBorders>
                                    <w:top w:val="single" w:sz="4" w:space="0" w:color="auto"/>
                                  </w:tcBorders>
                                </w:tcPr>
                                <w:p w14:paraId="317734E8" w14:textId="77777777" w:rsidR="00C44E19" w:rsidRPr="0055776F" w:rsidRDefault="00C44E19" w:rsidP="007B7F7F">
                                  <w:pPr>
                                    <w:rPr>
                                      <w:rFonts w:ascii="Arial" w:hAnsi="Arial" w:cs="Arial"/>
                                      <w:sz w:val="20"/>
                                      <w:szCs w:val="20"/>
                                    </w:rPr>
                                  </w:pPr>
                                </w:p>
                              </w:tc>
                            </w:tr>
                          </w:tbl>
                          <w:p w14:paraId="317D090C" w14:textId="77777777" w:rsidR="00C44E19" w:rsidRPr="00A33DBA" w:rsidRDefault="00C44E19" w:rsidP="00EA5993">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0A6081" id="_x0000_s1027" type="#_x0000_t202" style="position:absolute;margin-left:26.95pt;margin-top:92.8pt;width:361.05pt;height:9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" filled="f" stroked="f">
                <v:textbox>
                  <w:txbxContent>
                    <w:tbl>
                      <w:tblPr>
                        <w:tblW w:w="0" w:type="auto"/>
                        <w:tblLook w:val="04A0" w:firstRow="1" w:lastRow="0" w:firstColumn="1" w:lastColumn="0" w:noHBand="0" w:noVBand="1"/>
                      </w:tblPr>
                      <w:tblGrid>
                        <w:gridCol w:w="817"/>
                        <w:gridCol w:w="2464"/>
                        <w:gridCol w:w="851"/>
                        <w:gridCol w:w="709"/>
                        <w:gridCol w:w="850"/>
                      </w:tblGrid>
                      <w:tr w:rsidR="00C44E19" w:rsidRPr="0055776F" w14:paraId="684A96CD" w14:textId="77777777">
                        <w:trPr>
                          <w:gridAfter w:val="3"/>
                          <w:wAfter w:w="2410" w:type="dxa"/>
                        </w:trPr>
                        <w:tc>
                          <w:tcPr>
                            <w:tcW w:w="3281" w:type="dxa"/>
                            <w:gridSpan w:val="2"/>
                          </w:tcPr>
                          <w:p w14:paraId="085E6625" w14:textId="77777777" w:rsidR="00C44E19" w:rsidRPr="0055776F" w:rsidRDefault="00C44E19" w:rsidP="00D2009B">
                            <w:pPr>
                              <w:rPr>
                                <w:rFonts w:ascii="Arial" w:hAnsi="Arial" w:cs="Arial"/>
                                <w:sz w:val="20"/>
                              </w:rPr>
                            </w:pPr>
                            <w:r>
                              <w:rPr>
                                <w:rFonts w:ascii="Arial" w:hAnsi="Arial" w:cs="Arial"/>
                                <w:sz w:val="20"/>
                              </w:rPr>
                              <w:t>P &lt; 0,0001</w:t>
                            </w:r>
                          </w:p>
                          <w:p w14:paraId="28814726" w14:textId="77777777" w:rsidR="00C44E19" w:rsidRPr="0055776F" w:rsidRDefault="00C44E19" w:rsidP="00D2009B">
                            <w:pPr>
                              <w:rPr>
                                <w:rFonts w:ascii="Arial" w:hAnsi="Arial" w:cs="Arial"/>
                                <w:sz w:val="20"/>
                              </w:rPr>
                            </w:pPr>
                            <w:r>
                              <w:rPr>
                                <w:rFonts w:ascii="Arial" w:hAnsi="Arial" w:cs="Arial"/>
                                <w:sz w:val="20"/>
                                <w:szCs w:val="20"/>
                              </w:rPr>
                              <w:t>Poměr rizik</w:t>
                            </w:r>
                            <w:r>
                              <w:rPr>
                                <w:rFonts w:ascii="Arial" w:hAnsi="Arial" w:cs="Arial"/>
                                <w:sz w:val="20"/>
                              </w:rPr>
                              <w:t xml:space="preserve"> 0,</w:t>
                            </w:r>
                            <w:r w:rsidRPr="0055776F">
                              <w:rPr>
                                <w:rFonts w:ascii="Arial" w:hAnsi="Arial" w:cs="Arial"/>
                                <w:sz w:val="20"/>
                              </w:rPr>
                              <w:t>4</w:t>
                            </w:r>
                            <w:r>
                              <w:rPr>
                                <w:rFonts w:ascii="Arial" w:hAnsi="Arial" w:cs="Arial"/>
                                <w:sz w:val="20"/>
                              </w:rPr>
                              <w:t>6</w:t>
                            </w:r>
                          </w:p>
                          <w:p w14:paraId="02934F01" w14:textId="77777777" w:rsidR="00C44E19" w:rsidRPr="0055776F" w:rsidRDefault="00C44E19" w:rsidP="00D2009B">
                            <w:pPr>
                              <w:rPr>
                                <w:rFonts w:ascii="Arial" w:hAnsi="Arial" w:cs="Arial"/>
                                <w:sz w:val="20"/>
                                <w:lang w:val="de-DE"/>
                              </w:rPr>
                            </w:pPr>
                            <w:r>
                              <w:rPr>
                                <w:rFonts w:ascii="Arial" w:hAnsi="Arial" w:cs="Arial"/>
                                <w:sz w:val="20"/>
                              </w:rPr>
                              <w:t>(95% Cl, 0,3</w:t>
                            </w:r>
                            <w:r w:rsidRPr="0055776F">
                              <w:rPr>
                                <w:rFonts w:ascii="Arial" w:hAnsi="Arial" w:cs="Arial"/>
                                <w:sz w:val="20"/>
                              </w:rPr>
                              <w:t>2</w:t>
                            </w:r>
                            <w:r>
                              <w:rPr>
                                <w:rFonts w:ascii="Arial" w:hAnsi="Arial" w:cs="Arial"/>
                                <w:sz w:val="20"/>
                              </w:rPr>
                              <w:noBreakHyphen/>
                              <w:t>0,65</w:t>
                            </w:r>
                            <w:r w:rsidRPr="0055776F">
                              <w:rPr>
                                <w:rFonts w:ascii="Arial" w:hAnsi="Arial" w:cs="Arial"/>
                                <w:sz w:val="20"/>
                              </w:rPr>
                              <w:t>)</w:t>
                            </w:r>
                          </w:p>
                        </w:tc>
                      </w:tr>
                      <w:tr w:rsidR="00C44E19" w:rsidRPr="0055776F" w14:paraId="51E69F91" w14:textId="77777777">
                        <w:tc>
                          <w:tcPr>
                            <w:tcW w:w="817" w:type="dxa"/>
                          </w:tcPr>
                          <w:p w14:paraId="10883495" w14:textId="77777777" w:rsidR="00C44E19" w:rsidRPr="0055776F" w:rsidRDefault="00C44E19" w:rsidP="007B7F7F">
                            <w:pPr>
                              <w:rPr>
                                <w:rFonts w:ascii="Arial" w:hAnsi="Arial" w:cs="Arial"/>
                                <w:sz w:val="20"/>
                                <w:szCs w:val="20"/>
                              </w:rPr>
                            </w:pPr>
                          </w:p>
                        </w:tc>
                        <w:tc>
                          <w:tcPr>
                            <w:tcW w:w="2464" w:type="dxa"/>
                          </w:tcPr>
                          <w:p w14:paraId="5455F725" w14:textId="77777777" w:rsidR="00C44E19" w:rsidRPr="0055776F" w:rsidRDefault="00C44E19" w:rsidP="007B7F7F">
                            <w:pPr>
                              <w:rPr>
                                <w:rFonts w:ascii="Arial" w:hAnsi="Arial" w:cs="Arial"/>
                                <w:sz w:val="20"/>
                                <w:szCs w:val="20"/>
                              </w:rPr>
                            </w:pPr>
                          </w:p>
                        </w:tc>
                        <w:tc>
                          <w:tcPr>
                            <w:tcW w:w="851" w:type="dxa"/>
                            <w:tcBorders>
                              <w:bottom w:val="single" w:sz="4" w:space="0" w:color="auto"/>
                            </w:tcBorders>
                          </w:tcPr>
                          <w:p w14:paraId="00F71712" w14:textId="77777777" w:rsidR="00C44E19" w:rsidRPr="00112FBD" w:rsidRDefault="00C44E19" w:rsidP="007B7F7F">
                            <w:pPr>
                              <w:rPr>
                                <w:rFonts w:ascii="Arial" w:hAnsi="Arial" w:cs="Arial"/>
                                <w:sz w:val="20"/>
                                <w:szCs w:val="20"/>
                              </w:rPr>
                            </w:pPr>
                            <w:r>
                              <w:rPr>
                                <w:rFonts w:ascii="Arial" w:hAnsi="Arial" w:cs="Arial"/>
                                <w:sz w:val="20"/>
                                <w:szCs w:val="20"/>
                                <w:lang w:val="de-DE"/>
                              </w:rPr>
                              <w:t>n</w:t>
                            </w:r>
                          </w:p>
                        </w:tc>
                        <w:tc>
                          <w:tcPr>
                            <w:tcW w:w="709" w:type="dxa"/>
                            <w:tcBorders>
                              <w:bottom w:val="single" w:sz="4" w:space="0" w:color="auto"/>
                            </w:tcBorders>
                          </w:tcPr>
                          <w:p w14:paraId="223CABBD" w14:textId="77777777" w:rsidR="00C44E19" w:rsidRPr="00112FBD" w:rsidRDefault="00C44E19" w:rsidP="007B7F7F">
                            <w:pPr>
                              <w:rPr>
                                <w:rFonts w:ascii="Arial" w:hAnsi="Arial" w:cs="Arial"/>
                                <w:sz w:val="20"/>
                                <w:szCs w:val="20"/>
                              </w:rPr>
                            </w:pPr>
                            <w:r w:rsidRPr="00112FBD">
                              <w:rPr>
                                <w:rFonts w:ascii="Arial" w:hAnsi="Arial" w:cs="Arial"/>
                                <w:sz w:val="20"/>
                                <w:szCs w:val="20"/>
                                <w:lang w:val="it-IT"/>
                              </w:rPr>
                              <w:t>Udál.</w:t>
                            </w:r>
                          </w:p>
                        </w:tc>
                        <w:tc>
                          <w:tcPr>
                            <w:tcW w:w="850" w:type="dxa"/>
                            <w:tcBorders>
                              <w:bottom w:val="single" w:sz="4" w:space="0" w:color="auto"/>
                            </w:tcBorders>
                          </w:tcPr>
                          <w:p w14:paraId="0C952CDC" w14:textId="77777777" w:rsidR="00C44E19" w:rsidRPr="00112FBD" w:rsidRDefault="00C44E19" w:rsidP="007B7F7F">
                            <w:pPr>
                              <w:rPr>
                                <w:rFonts w:ascii="Arial" w:hAnsi="Arial" w:cs="Arial"/>
                                <w:sz w:val="20"/>
                                <w:szCs w:val="20"/>
                              </w:rPr>
                            </w:pPr>
                            <w:r w:rsidRPr="00112FBD">
                              <w:rPr>
                                <w:rFonts w:ascii="Arial" w:hAnsi="Arial" w:cs="Arial"/>
                                <w:sz w:val="20"/>
                                <w:szCs w:val="20"/>
                                <w:lang w:val="it-IT"/>
                              </w:rPr>
                              <w:t>Cen.</w:t>
                            </w:r>
                          </w:p>
                        </w:tc>
                      </w:tr>
                      <w:tr w:rsidR="00C44E19" w:rsidRPr="0055776F" w14:paraId="12116562" w14:textId="77777777">
                        <w:tc>
                          <w:tcPr>
                            <w:tcW w:w="817" w:type="dxa"/>
                          </w:tcPr>
                          <w:p w14:paraId="1784633E" w14:textId="77777777" w:rsidR="00C44E19" w:rsidRPr="0055776F" w:rsidRDefault="00C44E19" w:rsidP="007B7F7F">
                            <w:pPr>
                              <w:rPr>
                                <w:rFonts w:ascii="Arial" w:hAnsi="Arial" w:cs="Arial"/>
                                <w:sz w:val="20"/>
                                <w:szCs w:val="20"/>
                              </w:rPr>
                            </w:pPr>
                            <w:r w:rsidRPr="0055776F">
                              <w:rPr>
                                <w:rFonts w:ascii="Arial" w:hAnsi="Arial" w:cs="Arial"/>
                                <w:b/>
                                <w:sz w:val="20"/>
                                <w:szCs w:val="20"/>
                              </w:rPr>
                              <w:t>——</w:t>
                            </w:r>
                          </w:p>
                        </w:tc>
                        <w:tc>
                          <w:tcPr>
                            <w:tcW w:w="2464" w:type="dxa"/>
                          </w:tcPr>
                          <w:p w14:paraId="4CE01059" w14:textId="77777777" w:rsidR="00C44E19" w:rsidRPr="0055776F" w:rsidRDefault="00C44E19" w:rsidP="000E5517">
                            <w:pPr>
                              <w:rPr>
                                <w:rFonts w:ascii="Arial" w:hAnsi="Arial" w:cs="Arial"/>
                                <w:sz w:val="20"/>
                                <w:szCs w:val="20"/>
                              </w:rPr>
                            </w:pPr>
                            <w:r>
                              <w:rPr>
                                <w:rFonts w:ascii="Arial" w:hAnsi="Arial" w:cs="Arial"/>
                                <w:sz w:val="20"/>
                                <w:szCs w:val="20"/>
                              </w:rPr>
                              <w:t>(1) Imatinib 12 měsíců</w:t>
                            </w:r>
                            <w:r w:rsidRPr="00A33DBA">
                              <w:rPr>
                                <w:rFonts w:ascii="Arial" w:hAnsi="Arial" w:cs="Arial"/>
                                <w:sz w:val="20"/>
                                <w:szCs w:val="20"/>
                              </w:rPr>
                              <w:t>:</w:t>
                            </w:r>
                          </w:p>
                        </w:tc>
                        <w:tc>
                          <w:tcPr>
                            <w:tcW w:w="851" w:type="dxa"/>
                            <w:tcBorders>
                              <w:top w:val="single" w:sz="4" w:space="0" w:color="auto"/>
                            </w:tcBorders>
                          </w:tcPr>
                          <w:p w14:paraId="4AE00378" w14:textId="77777777" w:rsidR="00C44E19" w:rsidRPr="0055776F" w:rsidRDefault="00C44E19" w:rsidP="007B7F7F">
                            <w:pPr>
                              <w:rPr>
                                <w:rFonts w:ascii="Arial" w:hAnsi="Arial" w:cs="Arial"/>
                                <w:sz w:val="20"/>
                                <w:szCs w:val="20"/>
                              </w:rPr>
                            </w:pPr>
                            <w:r w:rsidRPr="0055776F">
                              <w:rPr>
                                <w:rFonts w:ascii="Arial" w:hAnsi="Arial" w:cs="Arial"/>
                                <w:sz w:val="20"/>
                                <w:szCs w:val="20"/>
                              </w:rPr>
                              <w:t>199</w:t>
                            </w:r>
                          </w:p>
                        </w:tc>
                        <w:tc>
                          <w:tcPr>
                            <w:tcW w:w="709" w:type="dxa"/>
                            <w:tcBorders>
                              <w:top w:val="single" w:sz="4" w:space="0" w:color="auto"/>
                            </w:tcBorders>
                          </w:tcPr>
                          <w:p w14:paraId="0EF1E3F8" w14:textId="77777777" w:rsidR="00C44E19" w:rsidRPr="0055776F" w:rsidRDefault="00C44E19" w:rsidP="007B7F7F">
                            <w:pPr>
                              <w:rPr>
                                <w:rFonts w:ascii="Arial" w:hAnsi="Arial" w:cs="Arial"/>
                                <w:sz w:val="20"/>
                                <w:szCs w:val="20"/>
                              </w:rPr>
                            </w:pPr>
                            <w:r w:rsidRPr="0055776F">
                              <w:rPr>
                                <w:rFonts w:ascii="Arial" w:hAnsi="Arial" w:cs="Arial"/>
                                <w:sz w:val="20"/>
                                <w:szCs w:val="20"/>
                              </w:rPr>
                              <w:t>84</w:t>
                            </w:r>
                          </w:p>
                        </w:tc>
                        <w:tc>
                          <w:tcPr>
                            <w:tcW w:w="850" w:type="dxa"/>
                            <w:tcBorders>
                              <w:top w:val="single" w:sz="4" w:space="0" w:color="auto"/>
                            </w:tcBorders>
                          </w:tcPr>
                          <w:p w14:paraId="70C35E9B" w14:textId="77777777" w:rsidR="00C44E19" w:rsidRPr="0055776F" w:rsidRDefault="00C44E19" w:rsidP="007B7F7F">
                            <w:pPr>
                              <w:rPr>
                                <w:rFonts w:ascii="Arial" w:hAnsi="Arial" w:cs="Arial"/>
                                <w:sz w:val="20"/>
                                <w:szCs w:val="20"/>
                              </w:rPr>
                            </w:pPr>
                            <w:r w:rsidRPr="0055776F">
                              <w:rPr>
                                <w:rFonts w:ascii="Arial" w:hAnsi="Arial" w:cs="Arial"/>
                                <w:sz w:val="20"/>
                                <w:szCs w:val="20"/>
                              </w:rPr>
                              <w:t>115</w:t>
                            </w:r>
                          </w:p>
                        </w:tc>
                      </w:tr>
                      <w:tr w:rsidR="00C44E19" w:rsidRPr="0055776F" w14:paraId="5643AF14" w14:textId="77777777">
                        <w:tc>
                          <w:tcPr>
                            <w:tcW w:w="817" w:type="dxa"/>
                          </w:tcPr>
                          <w:p w14:paraId="406B2ADB" w14:textId="77777777" w:rsidR="00C44E19" w:rsidRPr="0055776F" w:rsidRDefault="00C44E19" w:rsidP="007B7F7F">
                            <w:pPr>
                              <w:rPr>
                                <w:rFonts w:ascii="Arial" w:hAnsi="Arial" w:cs="Arial"/>
                                <w:sz w:val="20"/>
                                <w:szCs w:val="20"/>
                              </w:rPr>
                            </w:pPr>
                            <w:r w:rsidRPr="0055776F">
                              <w:rPr>
                                <w:rFonts w:ascii="Arial" w:hAnsi="Arial" w:cs="Arial"/>
                                <w:sz w:val="20"/>
                                <w:szCs w:val="20"/>
                              </w:rPr>
                              <w:t>-----</w:t>
                            </w:r>
                          </w:p>
                        </w:tc>
                        <w:tc>
                          <w:tcPr>
                            <w:tcW w:w="2464" w:type="dxa"/>
                          </w:tcPr>
                          <w:p w14:paraId="6A57ED9F" w14:textId="77777777" w:rsidR="00C44E19" w:rsidRPr="0055776F" w:rsidRDefault="00C44E19" w:rsidP="000E5517">
                            <w:pPr>
                              <w:rPr>
                                <w:rFonts w:ascii="Arial" w:hAnsi="Arial" w:cs="Arial"/>
                                <w:sz w:val="20"/>
                                <w:szCs w:val="20"/>
                              </w:rPr>
                            </w:pPr>
                            <w:r>
                              <w:rPr>
                                <w:rFonts w:ascii="Arial" w:hAnsi="Arial" w:cs="Arial"/>
                                <w:sz w:val="20"/>
                                <w:szCs w:val="20"/>
                              </w:rPr>
                              <w:t>(2) Imatinib 36 měsíců</w:t>
                            </w:r>
                            <w:r w:rsidRPr="00A33DBA">
                              <w:rPr>
                                <w:rFonts w:ascii="Arial" w:hAnsi="Arial" w:cs="Arial"/>
                                <w:sz w:val="20"/>
                                <w:szCs w:val="20"/>
                              </w:rPr>
                              <w:t>:</w:t>
                            </w:r>
                          </w:p>
                        </w:tc>
                        <w:tc>
                          <w:tcPr>
                            <w:tcW w:w="851" w:type="dxa"/>
                            <w:tcBorders>
                              <w:bottom w:val="single" w:sz="4" w:space="0" w:color="auto"/>
                            </w:tcBorders>
                          </w:tcPr>
                          <w:p w14:paraId="4A43D357" w14:textId="77777777" w:rsidR="00C44E19" w:rsidRPr="0055776F" w:rsidRDefault="00C44E19" w:rsidP="007B7F7F">
                            <w:pPr>
                              <w:rPr>
                                <w:rFonts w:ascii="Arial" w:hAnsi="Arial" w:cs="Arial"/>
                                <w:sz w:val="20"/>
                                <w:szCs w:val="20"/>
                              </w:rPr>
                            </w:pPr>
                            <w:r w:rsidRPr="0055776F">
                              <w:rPr>
                                <w:rFonts w:ascii="Arial" w:hAnsi="Arial" w:cs="Arial"/>
                                <w:sz w:val="20"/>
                                <w:szCs w:val="20"/>
                              </w:rPr>
                              <w:t>198</w:t>
                            </w:r>
                          </w:p>
                        </w:tc>
                        <w:tc>
                          <w:tcPr>
                            <w:tcW w:w="709" w:type="dxa"/>
                            <w:tcBorders>
                              <w:bottom w:val="single" w:sz="4" w:space="0" w:color="auto"/>
                            </w:tcBorders>
                          </w:tcPr>
                          <w:p w14:paraId="270F7DA2" w14:textId="77777777" w:rsidR="00C44E19" w:rsidRPr="0055776F" w:rsidRDefault="00C44E19" w:rsidP="007B7F7F">
                            <w:pPr>
                              <w:rPr>
                                <w:rFonts w:ascii="Arial" w:hAnsi="Arial" w:cs="Arial"/>
                                <w:sz w:val="20"/>
                                <w:szCs w:val="20"/>
                              </w:rPr>
                            </w:pPr>
                            <w:r w:rsidRPr="0055776F">
                              <w:rPr>
                                <w:rFonts w:ascii="Arial" w:hAnsi="Arial" w:cs="Arial"/>
                                <w:sz w:val="20"/>
                                <w:szCs w:val="20"/>
                              </w:rPr>
                              <w:t>50</w:t>
                            </w:r>
                          </w:p>
                        </w:tc>
                        <w:tc>
                          <w:tcPr>
                            <w:tcW w:w="850" w:type="dxa"/>
                            <w:tcBorders>
                              <w:bottom w:val="single" w:sz="4" w:space="0" w:color="auto"/>
                            </w:tcBorders>
                          </w:tcPr>
                          <w:p w14:paraId="18537F34" w14:textId="77777777" w:rsidR="00C44E19" w:rsidRPr="0055776F" w:rsidRDefault="00C44E19" w:rsidP="007B7F7F">
                            <w:pPr>
                              <w:rPr>
                                <w:rFonts w:ascii="Arial" w:hAnsi="Arial" w:cs="Arial"/>
                                <w:sz w:val="20"/>
                                <w:szCs w:val="20"/>
                              </w:rPr>
                            </w:pPr>
                            <w:r w:rsidRPr="0055776F">
                              <w:rPr>
                                <w:rFonts w:ascii="Arial" w:hAnsi="Arial" w:cs="Arial"/>
                                <w:sz w:val="20"/>
                                <w:szCs w:val="20"/>
                              </w:rPr>
                              <w:t>148</w:t>
                            </w:r>
                          </w:p>
                        </w:tc>
                      </w:tr>
                      <w:tr w:rsidR="00C44E19" w:rsidRPr="0055776F" w14:paraId="453586B1" w14:textId="77777777">
                        <w:tc>
                          <w:tcPr>
                            <w:tcW w:w="817" w:type="dxa"/>
                          </w:tcPr>
                          <w:p w14:paraId="7DA06D26" w14:textId="77777777" w:rsidR="00C44E19" w:rsidRPr="0055776F" w:rsidRDefault="00C44E19" w:rsidP="007B7F7F">
                            <w:pPr>
                              <w:rPr>
                                <w:rFonts w:ascii="Arial" w:hAnsi="Arial" w:cs="Arial"/>
                                <w:sz w:val="20"/>
                                <w:szCs w:val="20"/>
                              </w:rPr>
                            </w:pPr>
                            <w:r w:rsidRPr="0055776F">
                              <w:rPr>
                                <w:rFonts w:ascii="Arial" w:hAnsi="Arial" w:cs="Arial"/>
                                <w:sz w:val="20"/>
                                <w:szCs w:val="20"/>
                              </w:rPr>
                              <w:t>│││</w:t>
                            </w:r>
                          </w:p>
                        </w:tc>
                        <w:tc>
                          <w:tcPr>
                            <w:tcW w:w="2464" w:type="dxa"/>
                          </w:tcPr>
                          <w:p w14:paraId="0E8857AC" w14:textId="77777777" w:rsidR="00C44E19" w:rsidRPr="0055776F" w:rsidRDefault="00C44E19" w:rsidP="007B7F7F">
                            <w:pPr>
                              <w:rPr>
                                <w:rFonts w:ascii="Arial" w:hAnsi="Arial" w:cs="Arial"/>
                                <w:sz w:val="20"/>
                                <w:szCs w:val="20"/>
                              </w:rPr>
                            </w:pPr>
                            <w:r>
                              <w:rPr>
                                <w:rFonts w:ascii="Arial" w:hAnsi="Arial" w:cs="Arial"/>
                                <w:sz w:val="20"/>
                                <w:szCs w:val="20"/>
                              </w:rPr>
                              <w:t>Cenzorovaná pozorování</w:t>
                            </w:r>
                          </w:p>
                        </w:tc>
                        <w:tc>
                          <w:tcPr>
                            <w:tcW w:w="851" w:type="dxa"/>
                            <w:tcBorders>
                              <w:top w:val="single" w:sz="4" w:space="0" w:color="auto"/>
                            </w:tcBorders>
                          </w:tcPr>
                          <w:p w14:paraId="1F98278B" w14:textId="77777777" w:rsidR="00C44E19" w:rsidRPr="0055776F" w:rsidRDefault="00C44E19" w:rsidP="007B7F7F">
                            <w:pPr>
                              <w:rPr>
                                <w:rFonts w:ascii="Arial" w:hAnsi="Arial" w:cs="Arial"/>
                                <w:sz w:val="20"/>
                                <w:szCs w:val="20"/>
                              </w:rPr>
                            </w:pPr>
                          </w:p>
                        </w:tc>
                        <w:tc>
                          <w:tcPr>
                            <w:tcW w:w="709" w:type="dxa"/>
                            <w:tcBorders>
                              <w:top w:val="single" w:sz="4" w:space="0" w:color="auto"/>
                            </w:tcBorders>
                          </w:tcPr>
                          <w:p w14:paraId="2B31D2F8" w14:textId="77777777" w:rsidR="00C44E19" w:rsidRPr="0055776F" w:rsidRDefault="00C44E19" w:rsidP="007B7F7F">
                            <w:pPr>
                              <w:rPr>
                                <w:rFonts w:ascii="Arial" w:hAnsi="Arial" w:cs="Arial"/>
                                <w:sz w:val="20"/>
                                <w:szCs w:val="20"/>
                              </w:rPr>
                            </w:pPr>
                          </w:p>
                        </w:tc>
                        <w:tc>
                          <w:tcPr>
                            <w:tcW w:w="850" w:type="dxa"/>
                            <w:tcBorders>
                              <w:top w:val="single" w:sz="4" w:space="0" w:color="auto"/>
                            </w:tcBorders>
                          </w:tcPr>
                          <w:p w14:paraId="317734E8" w14:textId="77777777" w:rsidR="00C44E19" w:rsidRPr="0055776F" w:rsidRDefault="00C44E19" w:rsidP="007B7F7F">
                            <w:pPr>
                              <w:rPr>
                                <w:rFonts w:ascii="Arial" w:hAnsi="Arial" w:cs="Arial"/>
                                <w:sz w:val="20"/>
                                <w:szCs w:val="20"/>
                              </w:rPr>
                            </w:pPr>
                          </w:p>
                        </w:tc>
                      </w:tr>
                    </w:tbl>
                    <w:p w14:paraId="317D090C" w14:textId="77777777" w:rsidR="00C44E19" w:rsidRPr="00A33DBA" w:rsidRDefault="00C44E19" w:rsidP="00EA5993">
                      <w:pPr>
                        <w:rPr>
                          <w:rFonts w:ascii="Arial" w:hAnsi="Arial" w:cs="Arial"/>
                          <w:sz w:val="20"/>
                          <w:szCs w:val="20"/>
                        </w:rPr>
                      </w:pPr>
                    </w:p>
                  </w:txbxContent>
                </v:textbox>
              </v:shape>
            </w:pict>
          </mc:Fallback>
        </mc:AlternateContent>
      </w:r>
      <w:r w:rsidRPr="00F25A60">
        <w:rPr>
          <w:rFonts w:eastAsia="MS Mincho"/>
          <w:noProof/>
          <w:lang w:eastAsia="cs-CZ"/>
        </w:rPr>
        <mc:AlternateContent>
          <mc:Choice Requires="wps">
            <w:drawing>
              <wp:anchor distT="0" distB="0" distL="114300" distR="114300" simplePos="0" relativeHeight="251660288" behindDoc="0" locked="0" layoutInCell="1" allowOverlap="1" wp14:anchorId="3B13C82D" wp14:editId="00F33C38">
                <wp:simplePos x="0" y="0"/>
                <wp:positionH relativeFrom="column">
                  <wp:posOffset>2273935</wp:posOffset>
                </wp:positionH>
                <wp:positionV relativeFrom="paragraph">
                  <wp:posOffset>2621280</wp:posOffset>
                </wp:positionV>
                <wp:extent cx="1540510" cy="29527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0510" cy="2952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9D1A92" w14:textId="77777777" w:rsidR="00C44E19" w:rsidRPr="00A33DBA" w:rsidRDefault="00C44E19" w:rsidP="00EA5993">
                            <w:pPr>
                              <w:rPr>
                                <w:rFonts w:ascii="Arial" w:hAnsi="Arial" w:cs="Arial"/>
                                <w:sz w:val="20"/>
                                <w:szCs w:val="20"/>
                              </w:rPr>
                            </w:pPr>
                            <w:r>
                              <w:rPr>
                                <w:rFonts w:ascii="Arial" w:hAnsi="Arial" w:cs="Arial"/>
                                <w:sz w:val="20"/>
                                <w:szCs w:val="20"/>
                                <w:lang w:val="de-DE"/>
                              </w:rPr>
                              <w:t>Doba přežití v měsících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13C82D" id="_x0000_s1028" type="#_x0000_t202" style="position:absolute;margin-left:179.05pt;margin-top:206.4pt;width:121.3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" stroked="f">
                <v:fill opacity="0"/>
                <v:textbox>
                  <w:txbxContent>
                    <w:p w14:paraId="7A9D1A92" w14:textId="77777777" w:rsidR="00C44E19" w:rsidRPr="00A33DBA" w:rsidRDefault="00C44E19" w:rsidP="00EA5993">
                      <w:pPr>
                        <w:rPr>
                          <w:rFonts w:ascii="Arial" w:hAnsi="Arial" w:cs="Arial"/>
                          <w:sz w:val="20"/>
                          <w:szCs w:val="20"/>
                        </w:rPr>
                      </w:pPr>
                      <w:r>
                        <w:rPr>
                          <w:rFonts w:ascii="Arial" w:hAnsi="Arial" w:cs="Arial"/>
                          <w:sz w:val="20"/>
                          <w:szCs w:val="20"/>
                          <w:lang w:val="de-DE"/>
                        </w:rPr>
                        <w:t>Doba přežití v měsících</w:t>
                      </w:r>
                    </w:p>
                  </w:txbxContent>
                </v:textbox>
              </v:shape>
            </w:pict>
          </mc:Fallback>
        </mc:AlternateContent>
      </w:r>
      <w:r w:rsidRPr="00F25A60">
        <w:rPr>
          <w:noProof/>
          <w:lang w:eastAsia="cs-CZ"/>
        </w:rPr>
        <w:drawing>
          <wp:inline distT="0" distB="0" distL="0" distR="0" wp14:anchorId="0E59E9F8" wp14:editId="2092347B">
            <wp:extent cx="5939790" cy="26797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2679700"/>
                    </a:xfrm>
                    <a:prstGeom prst="rect">
                      <a:avLst/>
                    </a:prstGeom>
                    <a:noFill/>
                    <a:ln>
                      <a:noFill/>
                    </a:ln>
                  </pic:spPr>
                </pic:pic>
              </a:graphicData>
            </a:graphic>
          </wp:inline>
        </w:drawing>
      </w:r>
    </w:p>
    <w:p w14:paraId="35F68522" w14:textId="77777777" w:rsidR="00EA5993" w:rsidRPr="00F25A60" w:rsidRDefault="00EA5993" w:rsidP="005C56E6">
      <w:pPr>
        <w:keepNext/>
        <w:keepLines/>
        <w:widowControl w:val="0"/>
        <w:tabs>
          <w:tab w:val="clear" w:pos="567"/>
        </w:tabs>
        <w:spacing w:line="240" w:lineRule="auto"/>
        <w:rPr>
          <w:rFonts w:eastAsia="MS Mincho"/>
        </w:rPr>
      </w:pPr>
    </w:p>
    <w:p w14:paraId="4D5E304F" w14:textId="77777777" w:rsidR="00EA5993" w:rsidRPr="00F25A60" w:rsidRDefault="00EA5993" w:rsidP="005C56E6">
      <w:pPr>
        <w:keepNext/>
        <w:keepLines/>
        <w:widowControl w:val="0"/>
        <w:tabs>
          <w:tab w:val="clear" w:pos="567"/>
        </w:tabs>
        <w:spacing w:line="240" w:lineRule="auto"/>
        <w:rPr>
          <w:rFonts w:eastAsia="MS Mincho"/>
        </w:rPr>
      </w:pPr>
    </w:p>
    <w:tbl>
      <w:tblPr>
        <w:tblW w:w="10599" w:type="dxa"/>
        <w:tblInd w:w="-318" w:type="dxa"/>
        <w:tblLook w:val="04A0" w:firstRow="1" w:lastRow="0" w:firstColumn="1" w:lastColumn="0" w:noHBand="0" w:noVBand="1"/>
      </w:tblPr>
      <w:tblGrid>
        <w:gridCol w:w="450"/>
        <w:gridCol w:w="646"/>
        <w:gridCol w:w="645"/>
        <w:gridCol w:w="745"/>
        <w:gridCol w:w="745"/>
        <w:gridCol w:w="745"/>
        <w:gridCol w:w="752"/>
        <w:gridCol w:w="745"/>
        <w:gridCol w:w="745"/>
        <w:gridCol w:w="652"/>
        <w:gridCol w:w="652"/>
        <w:gridCol w:w="649"/>
        <w:gridCol w:w="660"/>
        <w:gridCol w:w="649"/>
        <w:gridCol w:w="564"/>
        <w:gridCol w:w="555"/>
      </w:tblGrid>
      <w:tr w:rsidR="00EA5993" w:rsidRPr="00F25A60" w14:paraId="35B13EE6" w14:textId="77777777" w:rsidTr="00CD5C21">
        <w:tc>
          <w:tcPr>
            <w:tcW w:w="10599" w:type="dxa"/>
            <w:gridSpan w:val="16"/>
          </w:tcPr>
          <w:p w14:paraId="31702110" w14:textId="77777777" w:rsidR="00EA5993" w:rsidRPr="00F25A60" w:rsidRDefault="00EA5993" w:rsidP="005C56E6">
            <w:pPr>
              <w:keepNext/>
              <w:keepLines/>
              <w:widowControl w:val="0"/>
              <w:spacing w:line="240" w:lineRule="auto"/>
              <w:ind w:left="-27"/>
              <w:rPr>
                <w:rFonts w:ascii="Arial" w:hAnsi="Arial" w:cs="Arial"/>
                <w:sz w:val="16"/>
                <w:szCs w:val="16"/>
              </w:rPr>
            </w:pPr>
            <w:r w:rsidRPr="00F25A60">
              <w:rPr>
                <w:rFonts w:ascii="Arial" w:hAnsi="Arial" w:cs="Arial"/>
                <w:sz w:val="20"/>
                <w:szCs w:val="20"/>
              </w:rPr>
              <w:t>V riziku: Události</w:t>
            </w:r>
          </w:p>
        </w:tc>
      </w:tr>
      <w:tr w:rsidR="00EA5993" w:rsidRPr="00F25A60" w14:paraId="4734DD6E" w14:textId="77777777" w:rsidTr="00CD5C21">
        <w:tc>
          <w:tcPr>
            <w:tcW w:w="450" w:type="dxa"/>
          </w:tcPr>
          <w:p w14:paraId="6BC6E075" w14:textId="77777777" w:rsidR="00EA5993" w:rsidRPr="00F25A60" w:rsidRDefault="00EA5993" w:rsidP="005C56E6">
            <w:pPr>
              <w:keepNext/>
              <w:keepLines/>
              <w:widowControl w:val="0"/>
              <w:spacing w:line="240" w:lineRule="auto"/>
              <w:rPr>
                <w:sz w:val="18"/>
                <w:szCs w:val="18"/>
              </w:rPr>
            </w:pPr>
            <w:r w:rsidRPr="00F25A60">
              <w:rPr>
                <w:sz w:val="18"/>
                <w:szCs w:val="18"/>
              </w:rPr>
              <w:t>(1)</w:t>
            </w:r>
          </w:p>
        </w:tc>
        <w:tc>
          <w:tcPr>
            <w:tcW w:w="646" w:type="dxa"/>
          </w:tcPr>
          <w:p w14:paraId="479DDFB7" w14:textId="77777777" w:rsidR="00EA5993" w:rsidRPr="00F25A60" w:rsidRDefault="00EA5993" w:rsidP="005C56E6">
            <w:pPr>
              <w:keepNext/>
              <w:keepLines/>
              <w:widowControl w:val="0"/>
              <w:spacing w:line="240" w:lineRule="auto"/>
              <w:ind w:left="-27"/>
              <w:rPr>
                <w:sz w:val="18"/>
                <w:szCs w:val="18"/>
              </w:rPr>
            </w:pPr>
            <w:r w:rsidRPr="00F25A60">
              <w:rPr>
                <w:sz w:val="18"/>
                <w:szCs w:val="18"/>
              </w:rPr>
              <w:t>199:0</w:t>
            </w:r>
          </w:p>
        </w:tc>
        <w:tc>
          <w:tcPr>
            <w:tcW w:w="645" w:type="dxa"/>
          </w:tcPr>
          <w:p w14:paraId="0E9C4906" w14:textId="77777777" w:rsidR="00EA5993" w:rsidRPr="00F25A60" w:rsidRDefault="00EA5993" w:rsidP="005C56E6">
            <w:pPr>
              <w:keepNext/>
              <w:keepLines/>
              <w:widowControl w:val="0"/>
              <w:spacing w:line="240" w:lineRule="auto"/>
              <w:ind w:left="-27"/>
              <w:rPr>
                <w:sz w:val="18"/>
                <w:szCs w:val="18"/>
              </w:rPr>
            </w:pPr>
            <w:r w:rsidRPr="00F25A60">
              <w:rPr>
                <w:sz w:val="18"/>
                <w:szCs w:val="18"/>
              </w:rPr>
              <w:t>182:8</w:t>
            </w:r>
          </w:p>
        </w:tc>
        <w:tc>
          <w:tcPr>
            <w:tcW w:w="745" w:type="dxa"/>
          </w:tcPr>
          <w:p w14:paraId="1CAA20FB" w14:textId="77777777" w:rsidR="00EA5993" w:rsidRPr="00F25A60" w:rsidRDefault="00EA5993" w:rsidP="005C56E6">
            <w:pPr>
              <w:keepNext/>
              <w:keepLines/>
              <w:widowControl w:val="0"/>
              <w:spacing w:line="240" w:lineRule="auto"/>
              <w:ind w:left="-27"/>
              <w:rPr>
                <w:sz w:val="18"/>
                <w:szCs w:val="18"/>
              </w:rPr>
            </w:pPr>
            <w:r w:rsidRPr="00F25A60">
              <w:rPr>
                <w:sz w:val="18"/>
                <w:szCs w:val="18"/>
              </w:rPr>
              <w:t>177:12</w:t>
            </w:r>
          </w:p>
        </w:tc>
        <w:tc>
          <w:tcPr>
            <w:tcW w:w="745" w:type="dxa"/>
          </w:tcPr>
          <w:p w14:paraId="45C000B2" w14:textId="77777777" w:rsidR="00EA5993" w:rsidRPr="00F25A60" w:rsidRDefault="00EA5993" w:rsidP="005C56E6">
            <w:pPr>
              <w:keepNext/>
              <w:keepLines/>
              <w:widowControl w:val="0"/>
              <w:spacing w:line="240" w:lineRule="auto"/>
              <w:ind w:left="-27"/>
              <w:rPr>
                <w:sz w:val="18"/>
                <w:szCs w:val="18"/>
              </w:rPr>
            </w:pPr>
            <w:r w:rsidRPr="00F25A60">
              <w:rPr>
                <w:sz w:val="18"/>
                <w:szCs w:val="18"/>
              </w:rPr>
              <w:t>163:25</w:t>
            </w:r>
          </w:p>
        </w:tc>
        <w:tc>
          <w:tcPr>
            <w:tcW w:w="745" w:type="dxa"/>
          </w:tcPr>
          <w:p w14:paraId="71E77963" w14:textId="77777777" w:rsidR="00EA5993" w:rsidRPr="00F25A60" w:rsidRDefault="00EA5993" w:rsidP="005C56E6">
            <w:pPr>
              <w:keepNext/>
              <w:keepLines/>
              <w:widowControl w:val="0"/>
              <w:spacing w:line="240" w:lineRule="auto"/>
              <w:ind w:left="-27"/>
              <w:rPr>
                <w:sz w:val="18"/>
                <w:szCs w:val="18"/>
              </w:rPr>
            </w:pPr>
            <w:r w:rsidRPr="00F25A60">
              <w:rPr>
                <w:sz w:val="18"/>
                <w:szCs w:val="18"/>
              </w:rPr>
              <w:t>137:46</w:t>
            </w:r>
          </w:p>
        </w:tc>
        <w:tc>
          <w:tcPr>
            <w:tcW w:w="752" w:type="dxa"/>
          </w:tcPr>
          <w:p w14:paraId="5828CB2A" w14:textId="77777777" w:rsidR="00EA5993" w:rsidRPr="00F25A60" w:rsidRDefault="00EA5993" w:rsidP="005C56E6">
            <w:pPr>
              <w:keepNext/>
              <w:keepLines/>
              <w:widowControl w:val="0"/>
              <w:spacing w:line="240" w:lineRule="auto"/>
              <w:ind w:left="-27"/>
              <w:rPr>
                <w:sz w:val="18"/>
                <w:szCs w:val="18"/>
              </w:rPr>
            </w:pPr>
            <w:r w:rsidRPr="00F25A60">
              <w:rPr>
                <w:sz w:val="18"/>
                <w:szCs w:val="18"/>
              </w:rPr>
              <w:t>105:65</w:t>
            </w:r>
          </w:p>
        </w:tc>
        <w:tc>
          <w:tcPr>
            <w:tcW w:w="745" w:type="dxa"/>
          </w:tcPr>
          <w:p w14:paraId="3007025F" w14:textId="77777777" w:rsidR="00EA5993" w:rsidRPr="00F25A60" w:rsidRDefault="00EA5993" w:rsidP="005C56E6">
            <w:pPr>
              <w:keepNext/>
              <w:keepLines/>
              <w:widowControl w:val="0"/>
              <w:spacing w:line="240" w:lineRule="auto"/>
              <w:ind w:left="-27"/>
              <w:rPr>
                <w:sz w:val="18"/>
                <w:szCs w:val="18"/>
              </w:rPr>
            </w:pPr>
            <w:r w:rsidRPr="00F25A60">
              <w:rPr>
                <w:sz w:val="18"/>
                <w:szCs w:val="18"/>
              </w:rPr>
              <w:t>88:72</w:t>
            </w:r>
          </w:p>
        </w:tc>
        <w:tc>
          <w:tcPr>
            <w:tcW w:w="745" w:type="dxa"/>
          </w:tcPr>
          <w:p w14:paraId="17F2B082" w14:textId="77777777" w:rsidR="00EA5993" w:rsidRPr="00F25A60" w:rsidRDefault="00EA5993" w:rsidP="005C56E6">
            <w:pPr>
              <w:keepNext/>
              <w:keepLines/>
              <w:widowControl w:val="0"/>
              <w:spacing w:line="240" w:lineRule="auto"/>
              <w:ind w:left="-27"/>
              <w:rPr>
                <w:sz w:val="18"/>
                <w:szCs w:val="18"/>
              </w:rPr>
            </w:pPr>
            <w:r w:rsidRPr="00F25A60">
              <w:rPr>
                <w:sz w:val="18"/>
                <w:szCs w:val="18"/>
              </w:rPr>
              <w:t>61:77</w:t>
            </w:r>
          </w:p>
        </w:tc>
        <w:tc>
          <w:tcPr>
            <w:tcW w:w="652" w:type="dxa"/>
          </w:tcPr>
          <w:p w14:paraId="546A3554" w14:textId="77777777" w:rsidR="00EA5993" w:rsidRPr="00F25A60" w:rsidRDefault="00EA5993" w:rsidP="005C56E6">
            <w:pPr>
              <w:keepNext/>
              <w:keepLines/>
              <w:widowControl w:val="0"/>
              <w:spacing w:line="240" w:lineRule="auto"/>
              <w:ind w:left="-27"/>
              <w:rPr>
                <w:sz w:val="18"/>
                <w:szCs w:val="18"/>
              </w:rPr>
            </w:pPr>
            <w:r w:rsidRPr="00F25A60">
              <w:rPr>
                <w:sz w:val="18"/>
                <w:szCs w:val="18"/>
              </w:rPr>
              <w:t>49:81</w:t>
            </w:r>
          </w:p>
        </w:tc>
        <w:tc>
          <w:tcPr>
            <w:tcW w:w="652" w:type="dxa"/>
          </w:tcPr>
          <w:p w14:paraId="098CCA02" w14:textId="77777777" w:rsidR="00EA5993" w:rsidRPr="00F25A60" w:rsidRDefault="00EA5993" w:rsidP="005C56E6">
            <w:pPr>
              <w:keepNext/>
              <w:keepLines/>
              <w:widowControl w:val="0"/>
              <w:spacing w:line="240" w:lineRule="auto"/>
              <w:ind w:left="-27"/>
              <w:rPr>
                <w:sz w:val="18"/>
                <w:szCs w:val="18"/>
              </w:rPr>
            </w:pPr>
            <w:r w:rsidRPr="00F25A60">
              <w:rPr>
                <w:sz w:val="18"/>
                <w:szCs w:val="18"/>
              </w:rPr>
              <w:t>36:83</w:t>
            </w:r>
          </w:p>
        </w:tc>
        <w:tc>
          <w:tcPr>
            <w:tcW w:w="649" w:type="dxa"/>
          </w:tcPr>
          <w:p w14:paraId="792E772E" w14:textId="77777777" w:rsidR="00EA5993" w:rsidRPr="00F25A60" w:rsidRDefault="00EA5993" w:rsidP="005C56E6">
            <w:pPr>
              <w:keepNext/>
              <w:keepLines/>
              <w:widowControl w:val="0"/>
              <w:spacing w:line="240" w:lineRule="auto"/>
              <w:ind w:left="-27"/>
              <w:rPr>
                <w:sz w:val="18"/>
                <w:szCs w:val="18"/>
              </w:rPr>
            </w:pPr>
            <w:r w:rsidRPr="00F25A60">
              <w:rPr>
                <w:sz w:val="18"/>
                <w:szCs w:val="18"/>
              </w:rPr>
              <w:t>27:84</w:t>
            </w:r>
          </w:p>
        </w:tc>
        <w:tc>
          <w:tcPr>
            <w:tcW w:w="660" w:type="dxa"/>
          </w:tcPr>
          <w:p w14:paraId="069F125B" w14:textId="77777777" w:rsidR="00EA5993" w:rsidRPr="00F25A60" w:rsidRDefault="00EA5993" w:rsidP="005C56E6">
            <w:pPr>
              <w:keepNext/>
              <w:keepLines/>
              <w:widowControl w:val="0"/>
              <w:spacing w:line="240" w:lineRule="auto"/>
              <w:ind w:left="-27"/>
              <w:rPr>
                <w:sz w:val="18"/>
                <w:szCs w:val="18"/>
              </w:rPr>
            </w:pPr>
            <w:r w:rsidRPr="00F25A60">
              <w:rPr>
                <w:sz w:val="18"/>
                <w:szCs w:val="18"/>
              </w:rPr>
              <w:t>14:84</w:t>
            </w:r>
          </w:p>
        </w:tc>
        <w:tc>
          <w:tcPr>
            <w:tcW w:w="649" w:type="dxa"/>
          </w:tcPr>
          <w:p w14:paraId="1F8FDD3D" w14:textId="77777777" w:rsidR="00EA5993" w:rsidRPr="00F25A60" w:rsidRDefault="00EA5993" w:rsidP="005C56E6">
            <w:pPr>
              <w:keepNext/>
              <w:keepLines/>
              <w:widowControl w:val="0"/>
              <w:spacing w:line="240" w:lineRule="auto"/>
              <w:ind w:left="-27"/>
              <w:rPr>
                <w:sz w:val="18"/>
                <w:szCs w:val="18"/>
              </w:rPr>
            </w:pPr>
            <w:r w:rsidRPr="00F25A60">
              <w:rPr>
                <w:sz w:val="18"/>
                <w:szCs w:val="18"/>
              </w:rPr>
              <w:t>10:84</w:t>
            </w:r>
          </w:p>
        </w:tc>
        <w:tc>
          <w:tcPr>
            <w:tcW w:w="564" w:type="dxa"/>
          </w:tcPr>
          <w:p w14:paraId="6D273F21" w14:textId="77777777" w:rsidR="00EA5993" w:rsidRPr="00F25A60" w:rsidRDefault="00EA5993" w:rsidP="005C56E6">
            <w:pPr>
              <w:keepNext/>
              <w:keepLines/>
              <w:widowControl w:val="0"/>
              <w:spacing w:line="240" w:lineRule="auto"/>
              <w:ind w:left="-27"/>
              <w:rPr>
                <w:sz w:val="18"/>
                <w:szCs w:val="18"/>
              </w:rPr>
            </w:pPr>
            <w:r w:rsidRPr="00F25A60">
              <w:rPr>
                <w:sz w:val="18"/>
                <w:szCs w:val="18"/>
              </w:rPr>
              <w:t>2:84</w:t>
            </w:r>
          </w:p>
        </w:tc>
        <w:tc>
          <w:tcPr>
            <w:tcW w:w="555" w:type="dxa"/>
          </w:tcPr>
          <w:p w14:paraId="15ADCA41" w14:textId="77777777" w:rsidR="00EA5993" w:rsidRPr="00F25A60" w:rsidRDefault="00EA5993" w:rsidP="005C56E6">
            <w:pPr>
              <w:keepNext/>
              <w:keepLines/>
              <w:widowControl w:val="0"/>
              <w:spacing w:line="240" w:lineRule="auto"/>
              <w:ind w:left="-27"/>
              <w:rPr>
                <w:sz w:val="18"/>
                <w:szCs w:val="18"/>
              </w:rPr>
            </w:pPr>
            <w:r w:rsidRPr="00F25A60">
              <w:rPr>
                <w:sz w:val="18"/>
                <w:szCs w:val="18"/>
              </w:rPr>
              <w:t>0:84</w:t>
            </w:r>
          </w:p>
        </w:tc>
      </w:tr>
      <w:tr w:rsidR="00EA5993" w:rsidRPr="00F25A60" w14:paraId="679BCF0C" w14:textId="77777777" w:rsidTr="00CD5C21">
        <w:tc>
          <w:tcPr>
            <w:tcW w:w="450" w:type="dxa"/>
          </w:tcPr>
          <w:p w14:paraId="521F992E" w14:textId="77777777" w:rsidR="00EA5993" w:rsidRPr="00F25A60" w:rsidRDefault="00EA5993" w:rsidP="005C56E6">
            <w:pPr>
              <w:keepNext/>
              <w:keepLines/>
              <w:widowControl w:val="0"/>
              <w:spacing w:line="240" w:lineRule="auto"/>
              <w:rPr>
                <w:sz w:val="18"/>
                <w:szCs w:val="18"/>
              </w:rPr>
            </w:pPr>
            <w:r w:rsidRPr="00F25A60">
              <w:rPr>
                <w:sz w:val="18"/>
                <w:szCs w:val="18"/>
              </w:rPr>
              <w:t>(2)</w:t>
            </w:r>
          </w:p>
        </w:tc>
        <w:tc>
          <w:tcPr>
            <w:tcW w:w="646" w:type="dxa"/>
          </w:tcPr>
          <w:p w14:paraId="214459D9" w14:textId="77777777" w:rsidR="00EA5993" w:rsidRPr="00F25A60" w:rsidRDefault="00EA5993" w:rsidP="005C56E6">
            <w:pPr>
              <w:keepNext/>
              <w:keepLines/>
              <w:widowControl w:val="0"/>
              <w:spacing w:line="240" w:lineRule="auto"/>
              <w:ind w:left="-27"/>
              <w:rPr>
                <w:sz w:val="18"/>
                <w:szCs w:val="18"/>
              </w:rPr>
            </w:pPr>
            <w:r w:rsidRPr="00F25A60">
              <w:rPr>
                <w:sz w:val="18"/>
                <w:szCs w:val="18"/>
              </w:rPr>
              <w:t>198:0</w:t>
            </w:r>
          </w:p>
        </w:tc>
        <w:tc>
          <w:tcPr>
            <w:tcW w:w="645" w:type="dxa"/>
          </w:tcPr>
          <w:p w14:paraId="56378F08" w14:textId="77777777" w:rsidR="00EA5993" w:rsidRPr="00F25A60" w:rsidRDefault="00EA5993" w:rsidP="005C56E6">
            <w:pPr>
              <w:keepNext/>
              <w:keepLines/>
              <w:widowControl w:val="0"/>
              <w:spacing w:line="240" w:lineRule="auto"/>
              <w:ind w:left="-27"/>
              <w:rPr>
                <w:sz w:val="18"/>
                <w:szCs w:val="18"/>
              </w:rPr>
            </w:pPr>
            <w:r w:rsidRPr="00F25A60">
              <w:rPr>
                <w:sz w:val="18"/>
                <w:szCs w:val="18"/>
              </w:rPr>
              <w:t>189:5</w:t>
            </w:r>
          </w:p>
        </w:tc>
        <w:tc>
          <w:tcPr>
            <w:tcW w:w="745" w:type="dxa"/>
          </w:tcPr>
          <w:p w14:paraId="2C76FE66" w14:textId="77777777" w:rsidR="00EA5993" w:rsidRPr="00F25A60" w:rsidRDefault="00EA5993" w:rsidP="005C56E6">
            <w:pPr>
              <w:keepNext/>
              <w:keepLines/>
              <w:widowControl w:val="0"/>
              <w:spacing w:line="240" w:lineRule="auto"/>
              <w:ind w:left="-27"/>
              <w:rPr>
                <w:sz w:val="18"/>
                <w:szCs w:val="18"/>
              </w:rPr>
            </w:pPr>
            <w:r w:rsidRPr="00F25A60">
              <w:rPr>
                <w:sz w:val="18"/>
                <w:szCs w:val="18"/>
              </w:rPr>
              <w:t>184:8</w:t>
            </w:r>
          </w:p>
        </w:tc>
        <w:tc>
          <w:tcPr>
            <w:tcW w:w="745" w:type="dxa"/>
          </w:tcPr>
          <w:p w14:paraId="6C0A5662" w14:textId="77777777" w:rsidR="00EA5993" w:rsidRPr="00F25A60" w:rsidRDefault="00EA5993" w:rsidP="005C56E6">
            <w:pPr>
              <w:keepNext/>
              <w:keepLines/>
              <w:widowControl w:val="0"/>
              <w:spacing w:line="240" w:lineRule="auto"/>
              <w:ind w:left="-27"/>
              <w:rPr>
                <w:sz w:val="18"/>
                <w:szCs w:val="18"/>
              </w:rPr>
            </w:pPr>
            <w:r w:rsidRPr="00F25A60">
              <w:rPr>
                <w:sz w:val="18"/>
                <w:szCs w:val="18"/>
              </w:rPr>
              <w:t>181:11</w:t>
            </w:r>
          </w:p>
        </w:tc>
        <w:tc>
          <w:tcPr>
            <w:tcW w:w="745" w:type="dxa"/>
          </w:tcPr>
          <w:p w14:paraId="63A0EACE" w14:textId="77777777" w:rsidR="00EA5993" w:rsidRPr="00F25A60" w:rsidRDefault="00EA5993" w:rsidP="005C56E6">
            <w:pPr>
              <w:keepNext/>
              <w:keepLines/>
              <w:widowControl w:val="0"/>
              <w:spacing w:line="240" w:lineRule="auto"/>
              <w:ind w:left="-27"/>
              <w:rPr>
                <w:sz w:val="18"/>
                <w:szCs w:val="18"/>
              </w:rPr>
            </w:pPr>
            <w:r w:rsidRPr="00F25A60">
              <w:rPr>
                <w:sz w:val="18"/>
                <w:szCs w:val="18"/>
              </w:rPr>
              <w:t>173:18</w:t>
            </w:r>
          </w:p>
        </w:tc>
        <w:tc>
          <w:tcPr>
            <w:tcW w:w="752" w:type="dxa"/>
          </w:tcPr>
          <w:p w14:paraId="2F5CCEC2" w14:textId="77777777" w:rsidR="00EA5993" w:rsidRPr="00F25A60" w:rsidRDefault="00EA5993" w:rsidP="005C56E6">
            <w:pPr>
              <w:keepNext/>
              <w:keepLines/>
              <w:widowControl w:val="0"/>
              <w:spacing w:line="240" w:lineRule="auto"/>
              <w:ind w:left="-27"/>
              <w:rPr>
                <w:sz w:val="18"/>
                <w:szCs w:val="18"/>
              </w:rPr>
            </w:pPr>
            <w:r w:rsidRPr="00F25A60">
              <w:rPr>
                <w:sz w:val="18"/>
                <w:szCs w:val="18"/>
              </w:rPr>
              <w:t>152:22</w:t>
            </w:r>
          </w:p>
        </w:tc>
        <w:tc>
          <w:tcPr>
            <w:tcW w:w="745" w:type="dxa"/>
          </w:tcPr>
          <w:p w14:paraId="1674ADDD" w14:textId="77777777" w:rsidR="00EA5993" w:rsidRPr="00F25A60" w:rsidRDefault="00EA5993" w:rsidP="005C56E6">
            <w:pPr>
              <w:keepNext/>
              <w:keepLines/>
              <w:widowControl w:val="0"/>
              <w:spacing w:line="240" w:lineRule="auto"/>
              <w:ind w:left="-27"/>
              <w:rPr>
                <w:sz w:val="18"/>
                <w:szCs w:val="18"/>
              </w:rPr>
            </w:pPr>
            <w:r w:rsidRPr="00F25A60">
              <w:rPr>
                <w:sz w:val="18"/>
                <w:szCs w:val="18"/>
              </w:rPr>
              <w:t>133:25</w:t>
            </w:r>
          </w:p>
        </w:tc>
        <w:tc>
          <w:tcPr>
            <w:tcW w:w="745" w:type="dxa"/>
          </w:tcPr>
          <w:p w14:paraId="153EB268" w14:textId="77777777" w:rsidR="00EA5993" w:rsidRPr="00F25A60" w:rsidRDefault="00EA5993" w:rsidP="005C56E6">
            <w:pPr>
              <w:keepNext/>
              <w:keepLines/>
              <w:widowControl w:val="0"/>
              <w:spacing w:line="240" w:lineRule="auto"/>
              <w:ind w:left="-27"/>
              <w:rPr>
                <w:sz w:val="18"/>
                <w:szCs w:val="18"/>
              </w:rPr>
            </w:pPr>
            <w:r w:rsidRPr="00F25A60">
              <w:rPr>
                <w:sz w:val="18"/>
                <w:szCs w:val="18"/>
              </w:rPr>
              <w:t>102:29</w:t>
            </w:r>
          </w:p>
        </w:tc>
        <w:tc>
          <w:tcPr>
            <w:tcW w:w="652" w:type="dxa"/>
          </w:tcPr>
          <w:p w14:paraId="214EFF53" w14:textId="77777777" w:rsidR="00EA5993" w:rsidRPr="00F25A60" w:rsidRDefault="00EA5993" w:rsidP="005C56E6">
            <w:pPr>
              <w:keepNext/>
              <w:keepLines/>
              <w:widowControl w:val="0"/>
              <w:spacing w:line="240" w:lineRule="auto"/>
              <w:ind w:left="-27"/>
              <w:rPr>
                <w:sz w:val="18"/>
                <w:szCs w:val="18"/>
              </w:rPr>
            </w:pPr>
            <w:r w:rsidRPr="00F25A60">
              <w:rPr>
                <w:sz w:val="18"/>
                <w:szCs w:val="18"/>
              </w:rPr>
              <w:t>82:35</w:t>
            </w:r>
          </w:p>
        </w:tc>
        <w:tc>
          <w:tcPr>
            <w:tcW w:w="652" w:type="dxa"/>
          </w:tcPr>
          <w:p w14:paraId="6EA5C7D3" w14:textId="77777777" w:rsidR="00EA5993" w:rsidRPr="00F25A60" w:rsidRDefault="00EA5993" w:rsidP="005C56E6">
            <w:pPr>
              <w:keepNext/>
              <w:keepLines/>
              <w:widowControl w:val="0"/>
              <w:spacing w:line="240" w:lineRule="auto"/>
              <w:ind w:left="-27"/>
              <w:rPr>
                <w:sz w:val="18"/>
                <w:szCs w:val="18"/>
              </w:rPr>
            </w:pPr>
            <w:r w:rsidRPr="00F25A60">
              <w:rPr>
                <w:sz w:val="18"/>
                <w:szCs w:val="18"/>
              </w:rPr>
              <w:t>54:46</w:t>
            </w:r>
          </w:p>
        </w:tc>
        <w:tc>
          <w:tcPr>
            <w:tcW w:w="649" w:type="dxa"/>
          </w:tcPr>
          <w:p w14:paraId="68EFDE17" w14:textId="77777777" w:rsidR="00EA5993" w:rsidRPr="00F25A60" w:rsidRDefault="00EA5993" w:rsidP="005C56E6">
            <w:pPr>
              <w:keepNext/>
              <w:keepLines/>
              <w:widowControl w:val="0"/>
              <w:spacing w:line="240" w:lineRule="auto"/>
              <w:ind w:left="-27"/>
              <w:rPr>
                <w:sz w:val="18"/>
                <w:szCs w:val="18"/>
              </w:rPr>
            </w:pPr>
            <w:r w:rsidRPr="00F25A60">
              <w:rPr>
                <w:sz w:val="18"/>
                <w:szCs w:val="18"/>
              </w:rPr>
              <w:t>39:47</w:t>
            </w:r>
          </w:p>
        </w:tc>
        <w:tc>
          <w:tcPr>
            <w:tcW w:w="660" w:type="dxa"/>
          </w:tcPr>
          <w:p w14:paraId="5527FCAF" w14:textId="77777777" w:rsidR="00EA5993" w:rsidRPr="00F25A60" w:rsidRDefault="00EA5993" w:rsidP="005C56E6">
            <w:pPr>
              <w:keepNext/>
              <w:keepLines/>
              <w:widowControl w:val="0"/>
              <w:spacing w:line="240" w:lineRule="auto"/>
              <w:ind w:left="-27"/>
              <w:rPr>
                <w:sz w:val="18"/>
                <w:szCs w:val="18"/>
              </w:rPr>
            </w:pPr>
            <w:r w:rsidRPr="00F25A60">
              <w:rPr>
                <w:sz w:val="18"/>
                <w:szCs w:val="18"/>
              </w:rPr>
              <w:t>21:49</w:t>
            </w:r>
          </w:p>
        </w:tc>
        <w:tc>
          <w:tcPr>
            <w:tcW w:w="649" w:type="dxa"/>
          </w:tcPr>
          <w:p w14:paraId="7A15A7BA" w14:textId="77777777" w:rsidR="00EA5993" w:rsidRPr="00F25A60" w:rsidRDefault="00EA5993" w:rsidP="005C56E6">
            <w:pPr>
              <w:keepNext/>
              <w:keepLines/>
              <w:widowControl w:val="0"/>
              <w:spacing w:line="240" w:lineRule="auto"/>
              <w:ind w:left="-27"/>
              <w:rPr>
                <w:sz w:val="18"/>
                <w:szCs w:val="18"/>
              </w:rPr>
            </w:pPr>
            <w:r w:rsidRPr="00F25A60">
              <w:rPr>
                <w:sz w:val="18"/>
                <w:szCs w:val="18"/>
              </w:rPr>
              <w:t>8:50</w:t>
            </w:r>
          </w:p>
        </w:tc>
        <w:tc>
          <w:tcPr>
            <w:tcW w:w="564" w:type="dxa"/>
          </w:tcPr>
          <w:p w14:paraId="2BD088D3" w14:textId="77777777" w:rsidR="00EA5993" w:rsidRPr="00F25A60" w:rsidRDefault="00EA5993" w:rsidP="005C56E6">
            <w:pPr>
              <w:keepNext/>
              <w:keepLines/>
              <w:widowControl w:val="0"/>
              <w:spacing w:line="240" w:lineRule="auto"/>
              <w:ind w:left="-27"/>
              <w:rPr>
                <w:sz w:val="18"/>
                <w:szCs w:val="18"/>
              </w:rPr>
            </w:pPr>
            <w:r w:rsidRPr="00F25A60">
              <w:rPr>
                <w:sz w:val="18"/>
                <w:szCs w:val="18"/>
              </w:rPr>
              <w:t>0:50</w:t>
            </w:r>
          </w:p>
        </w:tc>
        <w:tc>
          <w:tcPr>
            <w:tcW w:w="555" w:type="dxa"/>
          </w:tcPr>
          <w:p w14:paraId="7A1DE309" w14:textId="77777777" w:rsidR="00EA5993" w:rsidRPr="00F25A60" w:rsidRDefault="00EA5993" w:rsidP="005C56E6">
            <w:pPr>
              <w:keepNext/>
              <w:keepLines/>
              <w:widowControl w:val="0"/>
              <w:spacing w:line="240" w:lineRule="auto"/>
              <w:ind w:left="-27"/>
              <w:rPr>
                <w:sz w:val="18"/>
                <w:szCs w:val="18"/>
              </w:rPr>
            </w:pPr>
          </w:p>
        </w:tc>
      </w:tr>
    </w:tbl>
    <w:p w14:paraId="5F62E616" w14:textId="77777777" w:rsidR="00EA5993" w:rsidRPr="00F25A60" w:rsidRDefault="00EA5993" w:rsidP="005C56E6">
      <w:pPr>
        <w:widowControl w:val="0"/>
        <w:tabs>
          <w:tab w:val="clear" w:pos="567"/>
        </w:tabs>
        <w:spacing w:line="240" w:lineRule="auto"/>
        <w:rPr>
          <w:rFonts w:eastAsia="MS Mincho"/>
        </w:rPr>
      </w:pPr>
    </w:p>
    <w:p w14:paraId="7021B4F4" w14:textId="77777777" w:rsidR="00EA5993" w:rsidRPr="00F25A60" w:rsidRDefault="00EA5993" w:rsidP="005C56E6">
      <w:pPr>
        <w:widowControl w:val="0"/>
        <w:tabs>
          <w:tab w:val="clear" w:pos="567"/>
        </w:tabs>
        <w:spacing w:line="240" w:lineRule="auto"/>
        <w:rPr>
          <w:rFonts w:eastAsia="MS Mincho"/>
        </w:rPr>
      </w:pPr>
    </w:p>
    <w:p w14:paraId="5827E21C" w14:textId="77777777" w:rsidR="00EA5993" w:rsidRPr="00F25A60" w:rsidRDefault="00EA5993" w:rsidP="005C56E6">
      <w:pPr>
        <w:keepNext/>
        <w:keepLines/>
        <w:widowControl w:val="0"/>
        <w:tabs>
          <w:tab w:val="clear" w:pos="567"/>
        </w:tabs>
        <w:spacing w:line="240" w:lineRule="auto"/>
        <w:ind w:left="1134" w:hanging="1134"/>
        <w:rPr>
          <w:rFonts w:eastAsia="MS Mincho"/>
          <w:b/>
        </w:rPr>
      </w:pPr>
      <w:r w:rsidRPr="00F25A60">
        <w:rPr>
          <w:rFonts w:eastAsia="MS Mincho"/>
          <w:b/>
        </w:rPr>
        <w:lastRenderedPageBreak/>
        <w:t>Obrázek 2</w:t>
      </w:r>
      <w:r w:rsidRPr="00F25A60">
        <w:rPr>
          <w:rFonts w:eastAsia="MS Mincho"/>
          <w:b/>
        </w:rPr>
        <w:tab/>
        <w:t>Odhad celkového přežití podle Kaplan-Meiera (ITT populace)</w:t>
      </w:r>
    </w:p>
    <w:p w14:paraId="0D1A348D" w14:textId="77777777" w:rsidR="00EA5993" w:rsidRPr="00F25A60" w:rsidRDefault="001B24B9" w:rsidP="005C56E6">
      <w:pPr>
        <w:keepNext/>
        <w:keepLines/>
        <w:widowControl w:val="0"/>
        <w:tabs>
          <w:tab w:val="clear" w:pos="567"/>
        </w:tabs>
        <w:spacing w:line="240" w:lineRule="auto"/>
        <w:ind w:left="1134" w:hanging="1134"/>
        <w:rPr>
          <w:rFonts w:eastAsia="MS Mincho"/>
        </w:rPr>
      </w:pPr>
      <w:r w:rsidRPr="00F25A60">
        <w:rPr>
          <w:rFonts w:eastAsia="MS Mincho"/>
          <w:noProof/>
          <w:lang w:eastAsia="cs-CZ"/>
        </w:rPr>
        <mc:AlternateContent>
          <mc:Choice Requires="wps">
            <w:drawing>
              <wp:anchor distT="0" distB="0" distL="114300" distR="114300" simplePos="0" relativeHeight="251661312" behindDoc="0" locked="0" layoutInCell="1" allowOverlap="1" wp14:anchorId="5DD66D4A" wp14:editId="062BAB7B">
                <wp:simplePos x="0" y="0"/>
                <wp:positionH relativeFrom="column">
                  <wp:posOffset>-282575</wp:posOffset>
                </wp:positionH>
                <wp:positionV relativeFrom="paragraph">
                  <wp:posOffset>143510</wp:posOffset>
                </wp:positionV>
                <wp:extent cx="335915" cy="223266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2326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E420FF" w14:textId="04331C77" w:rsidR="00C44E19" w:rsidRPr="00A33DBA" w:rsidRDefault="00C44E19" w:rsidP="00EA5993">
                            <w:pPr>
                              <w:rPr>
                                <w:rFonts w:ascii="Arial" w:hAnsi="Arial" w:cs="Arial"/>
                                <w:sz w:val="20"/>
                                <w:szCs w:val="20"/>
                              </w:rPr>
                            </w:pPr>
                            <w:r w:rsidRPr="00A33DBA">
                              <w:rPr>
                                <w:rFonts w:ascii="Arial" w:hAnsi="Arial" w:cs="Arial"/>
                                <w:sz w:val="20"/>
                                <w:szCs w:val="20"/>
                              </w:rPr>
                              <w:t>P</w:t>
                            </w:r>
                            <w:r>
                              <w:rPr>
                                <w:rFonts w:ascii="Arial" w:hAnsi="Arial" w:cs="Arial"/>
                                <w:sz w:val="20"/>
                                <w:szCs w:val="20"/>
                              </w:rPr>
                              <w:t xml:space="preserve">ravděpodobnost </w:t>
                            </w:r>
                            <w:del w:id="370" w:author="Author">
                              <w:r w:rsidDel="0048111F">
                                <w:rPr>
                                  <w:rFonts w:ascii="Arial" w:hAnsi="Arial" w:cs="Arial"/>
                                  <w:sz w:val="20"/>
                                  <w:szCs w:val="20"/>
                                </w:rPr>
                                <w:delText xml:space="preserve"> </w:delText>
                              </w:r>
                            </w:del>
                            <w:r>
                              <w:rPr>
                                <w:rFonts w:ascii="Arial" w:hAnsi="Arial" w:cs="Arial"/>
                                <w:sz w:val="20"/>
                                <w:szCs w:val="20"/>
                              </w:rPr>
                              <w:t>celkového přežití</w:t>
                            </w:r>
                          </w:p>
                          <w:p w14:paraId="09D2B6C6" w14:textId="77777777" w:rsidR="00C44E19" w:rsidRPr="00A33DBA" w:rsidRDefault="00C44E19" w:rsidP="00EA5993">
                            <w:pPr>
                              <w:rPr>
                                <w:rFonts w:ascii="Arial" w:hAnsi="Arial" w:cs="Arial"/>
                                <w:sz w:val="20"/>
                                <w:szCs w:val="20"/>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D66D4A" id="_x0000_s1029" type="#_x0000_t202" style="position:absolute;left:0;text-align:left;margin-left:-22.25pt;margin-top:11.3pt;width:26.45pt;height:17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" stroked="f">
                <v:fill opacity="0"/>
                <v:textbox style="layout-flow:vertical;mso-layout-flow-alt:bottom-to-top">
                  <w:txbxContent>
                    <w:p w14:paraId="4BE420FF" w14:textId="04331C77" w:rsidR="00C44E19" w:rsidRPr="00A33DBA" w:rsidRDefault="00C44E19" w:rsidP="00EA5993">
                      <w:pPr>
                        <w:rPr>
                          <w:rFonts w:ascii="Arial" w:hAnsi="Arial" w:cs="Arial"/>
                          <w:sz w:val="20"/>
                          <w:szCs w:val="20"/>
                        </w:rPr>
                      </w:pPr>
                      <w:r w:rsidRPr="00A33DBA">
                        <w:rPr>
                          <w:rFonts w:ascii="Arial" w:hAnsi="Arial" w:cs="Arial"/>
                          <w:sz w:val="20"/>
                          <w:szCs w:val="20"/>
                        </w:rPr>
                        <w:t>P</w:t>
                      </w:r>
                      <w:r>
                        <w:rPr>
                          <w:rFonts w:ascii="Arial" w:hAnsi="Arial" w:cs="Arial"/>
                          <w:sz w:val="20"/>
                          <w:szCs w:val="20"/>
                        </w:rPr>
                        <w:t xml:space="preserve">ravděpodobnost </w:t>
                      </w:r>
                      <w:del w:id="371" w:author="Author">
                        <w:r w:rsidDel="0048111F">
                          <w:rPr>
                            <w:rFonts w:ascii="Arial" w:hAnsi="Arial" w:cs="Arial"/>
                            <w:sz w:val="20"/>
                            <w:szCs w:val="20"/>
                          </w:rPr>
                          <w:delText xml:space="preserve"> </w:delText>
                        </w:r>
                      </w:del>
                      <w:r>
                        <w:rPr>
                          <w:rFonts w:ascii="Arial" w:hAnsi="Arial" w:cs="Arial"/>
                          <w:sz w:val="20"/>
                          <w:szCs w:val="20"/>
                        </w:rPr>
                        <w:t>celkového přežití</w:t>
                      </w:r>
                    </w:p>
                    <w:p w14:paraId="09D2B6C6" w14:textId="77777777" w:rsidR="00C44E19" w:rsidRPr="00A33DBA" w:rsidRDefault="00C44E19" w:rsidP="00EA5993">
                      <w:pPr>
                        <w:rPr>
                          <w:rFonts w:ascii="Arial" w:hAnsi="Arial" w:cs="Arial"/>
                          <w:sz w:val="20"/>
                          <w:szCs w:val="20"/>
                        </w:rPr>
                      </w:pPr>
                    </w:p>
                  </w:txbxContent>
                </v:textbox>
              </v:shape>
            </w:pict>
          </mc:Fallback>
        </mc:AlternateContent>
      </w:r>
    </w:p>
    <w:p w14:paraId="415EB9AC" w14:textId="77777777" w:rsidR="00EA5993" w:rsidRPr="00F25A60" w:rsidRDefault="001B24B9" w:rsidP="005C56E6">
      <w:pPr>
        <w:keepNext/>
        <w:keepLines/>
        <w:widowControl w:val="0"/>
        <w:tabs>
          <w:tab w:val="clear" w:pos="567"/>
        </w:tabs>
        <w:spacing w:line="240" w:lineRule="auto"/>
        <w:ind w:left="1134" w:hanging="1134"/>
        <w:rPr>
          <w:rFonts w:eastAsia="MS Mincho"/>
        </w:rPr>
      </w:pPr>
      <w:r w:rsidRPr="00F25A60">
        <w:rPr>
          <w:rFonts w:eastAsia="MS Mincho"/>
          <w:noProof/>
          <w:lang w:eastAsia="cs-CZ"/>
        </w:rPr>
        <mc:AlternateContent>
          <mc:Choice Requires="wps">
            <w:drawing>
              <wp:anchor distT="0" distB="0" distL="114300" distR="114300" simplePos="0" relativeHeight="251662336" behindDoc="0" locked="0" layoutInCell="1" allowOverlap="1" wp14:anchorId="545E4594" wp14:editId="3FA02BF0">
                <wp:simplePos x="0" y="0"/>
                <wp:positionH relativeFrom="column">
                  <wp:posOffset>342265</wp:posOffset>
                </wp:positionH>
                <wp:positionV relativeFrom="paragraph">
                  <wp:posOffset>944880</wp:posOffset>
                </wp:positionV>
                <wp:extent cx="4585335" cy="14287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BED7A" w14:textId="77777777" w:rsidR="00C44E19" w:rsidRDefault="00C44E19" w:rsidP="00EA5993">
                            <w:pPr>
                              <w:rPr>
                                <w:rFonts w:ascii="Arial" w:hAnsi="Arial" w:cs="Arial"/>
                                <w:sz w:val="20"/>
                                <w:szCs w:val="20"/>
                              </w:rPr>
                            </w:pPr>
                          </w:p>
                          <w:tbl>
                            <w:tblPr>
                              <w:tblW w:w="0" w:type="auto"/>
                              <w:tblLook w:val="04A0" w:firstRow="1" w:lastRow="0" w:firstColumn="1" w:lastColumn="0" w:noHBand="0" w:noVBand="1"/>
                            </w:tblPr>
                            <w:tblGrid>
                              <w:gridCol w:w="817"/>
                              <w:gridCol w:w="2464"/>
                              <w:gridCol w:w="851"/>
                              <w:gridCol w:w="709"/>
                              <w:gridCol w:w="850"/>
                            </w:tblGrid>
                            <w:tr w:rsidR="00C44E19" w:rsidRPr="0055776F" w14:paraId="1E46C157" w14:textId="77777777">
                              <w:tc>
                                <w:tcPr>
                                  <w:tcW w:w="5691" w:type="dxa"/>
                                  <w:gridSpan w:val="5"/>
                                </w:tcPr>
                                <w:p w14:paraId="62C24F17" w14:textId="77777777" w:rsidR="00C44E19" w:rsidRPr="0055776F" w:rsidRDefault="00C44E19" w:rsidP="007B7F7F">
                                  <w:pPr>
                                    <w:rPr>
                                      <w:rFonts w:ascii="Arial" w:hAnsi="Arial" w:cs="Arial"/>
                                      <w:sz w:val="20"/>
                                      <w:szCs w:val="20"/>
                                    </w:rPr>
                                  </w:pPr>
                                  <w:r>
                                    <w:rPr>
                                      <w:rFonts w:ascii="Arial" w:hAnsi="Arial" w:cs="Arial"/>
                                      <w:sz w:val="20"/>
                                      <w:szCs w:val="20"/>
                                    </w:rPr>
                                    <w:t>P = 0,0</w:t>
                                  </w:r>
                                  <w:r w:rsidRPr="0055776F">
                                    <w:rPr>
                                      <w:rFonts w:ascii="Arial" w:hAnsi="Arial" w:cs="Arial"/>
                                      <w:sz w:val="20"/>
                                      <w:szCs w:val="20"/>
                                    </w:rPr>
                                    <w:t>19</w:t>
                                  </w:r>
                                </w:p>
                                <w:p w14:paraId="5361032A" w14:textId="77777777" w:rsidR="00C44E19" w:rsidRPr="00A33DBA" w:rsidRDefault="00C44E19" w:rsidP="00112FBD">
                                  <w:pPr>
                                    <w:rPr>
                                      <w:rFonts w:ascii="Arial" w:hAnsi="Arial" w:cs="Arial"/>
                                      <w:sz w:val="20"/>
                                      <w:szCs w:val="20"/>
                                    </w:rPr>
                                  </w:pPr>
                                  <w:r>
                                    <w:rPr>
                                      <w:rFonts w:ascii="Arial" w:hAnsi="Arial" w:cs="Arial"/>
                                      <w:sz w:val="20"/>
                                      <w:szCs w:val="20"/>
                                    </w:rPr>
                                    <w:t>Poměr rizik</w:t>
                                  </w:r>
                                  <w:r w:rsidRPr="00A33DBA">
                                    <w:rPr>
                                      <w:rFonts w:ascii="Arial" w:hAnsi="Arial" w:cs="Arial"/>
                                      <w:sz w:val="20"/>
                                      <w:szCs w:val="20"/>
                                    </w:rPr>
                                    <w:t xml:space="preserve"> 0</w:t>
                                  </w:r>
                                  <w:r>
                                    <w:rPr>
                                      <w:rFonts w:ascii="Arial" w:hAnsi="Arial" w:cs="Arial"/>
                                      <w:sz w:val="20"/>
                                      <w:szCs w:val="20"/>
                                    </w:rPr>
                                    <w:t>,</w:t>
                                  </w:r>
                                  <w:r w:rsidRPr="00A33DBA">
                                    <w:rPr>
                                      <w:rFonts w:ascii="Arial" w:hAnsi="Arial" w:cs="Arial"/>
                                      <w:sz w:val="20"/>
                                      <w:szCs w:val="20"/>
                                    </w:rPr>
                                    <w:t>45</w:t>
                                  </w:r>
                                </w:p>
                                <w:p w14:paraId="4BC34BFB" w14:textId="77777777" w:rsidR="00C44E19" w:rsidRPr="0055776F" w:rsidRDefault="00C44E19" w:rsidP="00112FBD">
                                  <w:pPr>
                                    <w:rPr>
                                      <w:rFonts w:ascii="Arial" w:hAnsi="Arial" w:cs="Arial"/>
                                      <w:sz w:val="20"/>
                                      <w:szCs w:val="20"/>
                                      <w:lang w:val="de-DE"/>
                                    </w:rPr>
                                  </w:pPr>
                                  <w:r w:rsidRPr="00A33DBA">
                                    <w:rPr>
                                      <w:rFonts w:ascii="Arial" w:hAnsi="Arial" w:cs="Arial"/>
                                      <w:sz w:val="20"/>
                                      <w:szCs w:val="20"/>
                                    </w:rPr>
                                    <w:t>(95% Cl, 0</w:t>
                                  </w:r>
                                  <w:r>
                                    <w:rPr>
                                      <w:rFonts w:ascii="Arial" w:hAnsi="Arial" w:cs="Arial"/>
                                      <w:sz w:val="20"/>
                                      <w:szCs w:val="20"/>
                                    </w:rPr>
                                    <w:t>,22</w:t>
                                  </w:r>
                                  <w:r>
                                    <w:rPr>
                                      <w:rFonts w:ascii="Arial" w:hAnsi="Arial" w:cs="Arial"/>
                                      <w:sz w:val="20"/>
                                      <w:szCs w:val="20"/>
                                    </w:rPr>
                                    <w:noBreakHyphen/>
                                  </w:r>
                                  <w:r w:rsidRPr="00A33DBA">
                                    <w:rPr>
                                      <w:rFonts w:ascii="Arial" w:hAnsi="Arial" w:cs="Arial"/>
                                      <w:sz w:val="20"/>
                                      <w:szCs w:val="20"/>
                                    </w:rPr>
                                    <w:t>0</w:t>
                                  </w:r>
                                  <w:r>
                                    <w:rPr>
                                      <w:rFonts w:ascii="Arial" w:hAnsi="Arial" w:cs="Arial"/>
                                      <w:sz w:val="20"/>
                                      <w:szCs w:val="20"/>
                                    </w:rPr>
                                    <w:t>,</w:t>
                                  </w:r>
                                  <w:r w:rsidRPr="00A33DBA">
                                    <w:rPr>
                                      <w:rFonts w:ascii="Arial" w:hAnsi="Arial" w:cs="Arial"/>
                                      <w:sz w:val="20"/>
                                      <w:szCs w:val="20"/>
                                    </w:rPr>
                                    <w:t>89)</w:t>
                                  </w:r>
                                </w:p>
                              </w:tc>
                            </w:tr>
                            <w:tr w:rsidR="00C44E19" w:rsidRPr="0055776F" w14:paraId="0700C5E6" w14:textId="77777777">
                              <w:tc>
                                <w:tcPr>
                                  <w:tcW w:w="817" w:type="dxa"/>
                                </w:tcPr>
                                <w:p w14:paraId="1B73E253" w14:textId="77777777" w:rsidR="00C44E19" w:rsidRPr="0055776F" w:rsidRDefault="00C44E19" w:rsidP="007B7F7F">
                                  <w:pPr>
                                    <w:rPr>
                                      <w:rFonts w:ascii="Arial" w:hAnsi="Arial" w:cs="Arial"/>
                                      <w:sz w:val="20"/>
                                      <w:szCs w:val="20"/>
                                    </w:rPr>
                                  </w:pPr>
                                </w:p>
                              </w:tc>
                              <w:tc>
                                <w:tcPr>
                                  <w:tcW w:w="2464" w:type="dxa"/>
                                </w:tcPr>
                                <w:p w14:paraId="47BE5B13" w14:textId="77777777" w:rsidR="00C44E19" w:rsidRPr="0055776F" w:rsidRDefault="00C44E19" w:rsidP="007B7F7F">
                                  <w:pPr>
                                    <w:rPr>
                                      <w:rFonts w:ascii="Arial" w:hAnsi="Arial" w:cs="Arial"/>
                                      <w:sz w:val="20"/>
                                      <w:szCs w:val="20"/>
                                    </w:rPr>
                                  </w:pPr>
                                </w:p>
                              </w:tc>
                              <w:tc>
                                <w:tcPr>
                                  <w:tcW w:w="851" w:type="dxa"/>
                                  <w:tcBorders>
                                    <w:bottom w:val="single" w:sz="4" w:space="0" w:color="auto"/>
                                  </w:tcBorders>
                                </w:tcPr>
                                <w:p w14:paraId="6CB8C855" w14:textId="77777777" w:rsidR="00C44E19" w:rsidRPr="0055776F" w:rsidRDefault="00C44E19" w:rsidP="007B7F7F">
                                  <w:pPr>
                                    <w:rPr>
                                      <w:rFonts w:ascii="Arial" w:hAnsi="Arial" w:cs="Arial"/>
                                      <w:sz w:val="20"/>
                                      <w:szCs w:val="20"/>
                                    </w:rPr>
                                  </w:pPr>
                                  <w:r>
                                    <w:rPr>
                                      <w:rFonts w:ascii="Arial" w:hAnsi="Arial" w:cs="Arial"/>
                                      <w:sz w:val="20"/>
                                      <w:szCs w:val="20"/>
                                      <w:lang w:val="de-DE"/>
                                    </w:rPr>
                                    <w:t>n</w:t>
                                  </w:r>
                                </w:p>
                              </w:tc>
                              <w:tc>
                                <w:tcPr>
                                  <w:tcW w:w="709" w:type="dxa"/>
                                  <w:tcBorders>
                                    <w:bottom w:val="single" w:sz="4" w:space="0" w:color="auto"/>
                                  </w:tcBorders>
                                </w:tcPr>
                                <w:p w14:paraId="07EA5C52" w14:textId="77777777" w:rsidR="00C44E19" w:rsidRPr="0055776F" w:rsidRDefault="00C44E19" w:rsidP="007B7F7F">
                                  <w:pPr>
                                    <w:rPr>
                                      <w:rFonts w:ascii="Arial" w:hAnsi="Arial" w:cs="Arial"/>
                                      <w:sz w:val="20"/>
                                      <w:szCs w:val="20"/>
                                    </w:rPr>
                                  </w:pPr>
                                  <w:r w:rsidRPr="00112FBD">
                                    <w:rPr>
                                      <w:rFonts w:ascii="Arial" w:hAnsi="Arial" w:cs="Arial"/>
                                      <w:sz w:val="20"/>
                                      <w:szCs w:val="20"/>
                                      <w:lang w:val="it-IT"/>
                                    </w:rPr>
                                    <w:t>Udál.</w:t>
                                  </w:r>
                                </w:p>
                              </w:tc>
                              <w:tc>
                                <w:tcPr>
                                  <w:tcW w:w="850" w:type="dxa"/>
                                  <w:tcBorders>
                                    <w:bottom w:val="single" w:sz="4" w:space="0" w:color="auto"/>
                                  </w:tcBorders>
                                </w:tcPr>
                                <w:p w14:paraId="44E45795" w14:textId="77777777" w:rsidR="00C44E19" w:rsidRPr="0055776F" w:rsidRDefault="00C44E19" w:rsidP="007B7F7F">
                                  <w:pPr>
                                    <w:rPr>
                                      <w:rFonts w:ascii="Arial" w:hAnsi="Arial" w:cs="Arial"/>
                                      <w:sz w:val="20"/>
                                      <w:szCs w:val="20"/>
                                    </w:rPr>
                                  </w:pPr>
                                  <w:r w:rsidRPr="00112FBD">
                                    <w:rPr>
                                      <w:rFonts w:ascii="Arial" w:hAnsi="Arial" w:cs="Arial"/>
                                      <w:sz w:val="20"/>
                                      <w:szCs w:val="20"/>
                                      <w:lang w:val="it-IT"/>
                                    </w:rPr>
                                    <w:t>Cen.</w:t>
                                  </w:r>
                                </w:p>
                              </w:tc>
                            </w:tr>
                            <w:tr w:rsidR="00C44E19" w:rsidRPr="0055776F" w14:paraId="50B56235" w14:textId="77777777">
                              <w:tc>
                                <w:tcPr>
                                  <w:tcW w:w="817" w:type="dxa"/>
                                </w:tcPr>
                                <w:p w14:paraId="43B4C911" w14:textId="77777777" w:rsidR="00C44E19" w:rsidRPr="0055776F" w:rsidRDefault="00C44E19" w:rsidP="007B7F7F">
                                  <w:pPr>
                                    <w:rPr>
                                      <w:rFonts w:ascii="Arial" w:hAnsi="Arial" w:cs="Arial"/>
                                      <w:sz w:val="20"/>
                                      <w:szCs w:val="20"/>
                                    </w:rPr>
                                  </w:pPr>
                                  <w:r w:rsidRPr="0055776F">
                                    <w:rPr>
                                      <w:rFonts w:ascii="Arial" w:hAnsi="Arial" w:cs="Arial"/>
                                      <w:b/>
                                      <w:sz w:val="20"/>
                                      <w:szCs w:val="20"/>
                                    </w:rPr>
                                    <w:t>——</w:t>
                                  </w:r>
                                </w:p>
                              </w:tc>
                              <w:tc>
                                <w:tcPr>
                                  <w:tcW w:w="2464" w:type="dxa"/>
                                </w:tcPr>
                                <w:p w14:paraId="09927A14" w14:textId="77777777" w:rsidR="00C44E19" w:rsidRPr="0055776F" w:rsidRDefault="00C44E19" w:rsidP="000E5517">
                                  <w:pPr>
                                    <w:rPr>
                                      <w:rFonts w:ascii="Arial" w:hAnsi="Arial" w:cs="Arial"/>
                                      <w:sz w:val="20"/>
                                      <w:szCs w:val="20"/>
                                    </w:rPr>
                                  </w:pPr>
                                  <w:r>
                                    <w:rPr>
                                      <w:rFonts w:ascii="Arial" w:hAnsi="Arial" w:cs="Arial"/>
                                      <w:sz w:val="20"/>
                                      <w:szCs w:val="20"/>
                                    </w:rPr>
                                    <w:t>(1) Imatinib 12 měsíců</w:t>
                                  </w:r>
                                  <w:r w:rsidRPr="00A33DBA">
                                    <w:rPr>
                                      <w:rFonts w:ascii="Arial" w:hAnsi="Arial" w:cs="Arial"/>
                                      <w:sz w:val="20"/>
                                      <w:szCs w:val="20"/>
                                    </w:rPr>
                                    <w:t>:</w:t>
                                  </w:r>
                                </w:p>
                              </w:tc>
                              <w:tc>
                                <w:tcPr>
                                  <w:tcW w:w="851" w:type="dxa"/>
                                  <w:tcBorders>
                                    <w:top w:val="single" w:sz="4" w:space="0" w:color="auto"/>
                                  </w:tcBorders>
                                </w:tcPr>
                                <w:p w14:paraId="53621021" w14:textId="77777777" w:rsidR="00C44E19" w:rsidRPr="0055776F" w:rsidRDefault="00C44E19" w:rsidP="007B7F7F">
                                  <w:pPr>
                                    <w:rPr>
                                      <w:rFonts w:ascii="Arial" w:hAnsi="Arial" w:cs="Arial"/>
                                      <w:sz w:val="20"/>
                                      <w:szCs w:val="20"/>
                                    </w:rPr>
                                  </w:pPr>
                                  <w:r w:rsidRPr="0055776F">
                                    <w:rPr>
                                      <w:rFonts w:ascii="Arial" w:hAnsi="Arial" w:cs="Arial"/>
                                      <w:sz w:val="20"/>
                                      <w:szCs w:val="20"/>
                                    </w:rPr>
                                    <w:t>199</w:t>
                                  </w:r>
                                </w:p>
                              </w:tc>
                              <w:tc>
                                <w:tcPr>
                                  <w:tcW w:w="709" w:type="dxa"/>
                                  <w:tcBorders>
                                    <w:top w:val="single" w:sz="4" w:space="0" w:color="auto"/>
                                  </w:tcBorders>
                                </w:tcPr>
                                <w:p w14:paraId="7411AB09" w14:textId="77777777" w:rsidR="00C44E19" w:rsidRPr="0055776F" w:rsidRDefault="00C44E19" w:rsidP="007B7F7F">
                                  <w:pPr>
                                    <w:rPr>
                                      <w:rFonts w:ascii="Arial" w:hAnsi="Arial" w:cs="Arial"/>
                                      <w:sz w:val="20"/>
                                      <w:szCs w:val="20"/>
                                    </w:rPr>
                                  </w:pPr>
                                  <w:r w:rsidRPr="0055776F">
                                    <w:rPr>
                                      <w:rFonts w:ascii="Arial" w:hAnsi="Arial" w:cs="Arial"/>
                                      <w:sz w:val="20"/>
                                      <w:szCs w:val="20"/>
                                    </w:rPr>
                                    <w:t>25</w:t>
                                  </w:r>
                                </w:p>
                              </w:tc>
                              <w:tc>
                                <w:tcPr>
                                  <w:tcW w:w="850" w:type="dxa"/>
                                  <w:tcBorders>
                                    <w:top w:val="single" w:sz="4" w:space="0" w:color="auto"/>
                                  </w:tcBorders>
                                </w:tcPr>
                                <w:p w14:paraId="64DB6B6F" w14:textId="77777777" w:rsidR="00C44E19" w:rsidRPr="0055776F" w:rsidRDefault="00C44E19" w:rsidP="007B7F7F">
                                  <w:pPr>
                                    <w:rPr>
                                      <w:rFonts w:ascii="Arial" w:hAnsi="Arial" w:cs="Arial"/>
                                      <w:sz w:val="20"/>
                                      <w:szCs w:val="20"/>
                                    </w:rPr>
                                  </w:pPr>
                                  <w:r w:rsidRPr="0055776F">
                                    <w:rPr>
                                      <w:rFonts w:ascii="Arial" w:hAnsi="Arial" w:cs="Arial"/>
                                      <w:sz w:val="20"/>
                                      <w:szCs w:val="20"/>
                                    </w:rPr>
                                    <w:t>174</w:t>
                                  </w:r>
                                </w:p>
                              </w:tc>
                            </w:tr>
                            <w:tr w:rsidR="00C44E19" w:rsidRPr="0055776F" w14:paraId="4A9871A6" w14:textId="77777777">
                              <w:tc>
                                <w:tcPr>
                                  <w:tcW w:w="817" w:type="dxa"/>
                                </w:tcPr>
                                <w:p w14:paraId="59855FC6" w14:textId="77777777" w:rsidR="00C44E19" w:rsidRPr="0055776F" w:rsidRDefault="00C44E19" w:rsidP="007B7F7F">
                                  <w:pPr>
                                    <w:rPr>
                                      <w:rFonts w:ascii="Arial" w:hAnsi="Arial" w:cs="Arial"/>
                                      <w:sz w:val="20"/>
                                      <w:szCs w:val="20"/>
                                    </w:rPr>
                                  </w:pPr>
                                  <w:r w:rsidRPr="0055776F">
                                    <w:rPr>
                                      <w:rFonts w:ascii="Arial" w:hAnsi="Arial" w:cs="Arial"/>
                                      <w:sz w:val="20"/>
                                      <w:szCs w:val="20"/>
                                    </w:rPr>
                                    <w:t>-----</w:t>
                                  </w:r>
                                </w:p>
                              </w:tc>
                              <w:tc>
                                <w:tcPr>
                                  <w:tcW w:w="2464" w:type="dxa"/>
                                </w:tcPr>
                                <w:p w14:paraId="6CB80492" w14:textId="77777777" w:rsidR="00C44E19" w:rsidRPr="0055776F" w:rsidRDefault="00C44E19" w:rsidP="000E5517">
                                  <w:pPr>
                                    <w:rPr>
                                      <w:rFonts w:ascii="Arial" w:hAnsi="Arial" w:cs="Arial"/>
                                      <w:sz w:val="20"/>
                                      <w:szCs w:val="20"/>
                                    </w:rPr>
                                  </w:pPr>
                                  <w:r>
                                    <w:rPr>
                                      <w:rFonts w:ascii="Arial" w:hAnsi="Arial" w:cs="Arial"/>
                                      <w:sz w:val="20"/>
                                      <w:szCs w:val="20"/>
                                    </w:rPr>
                                    <w:t>(2) Imatinib 36 měsíců</w:t>
                                  </w:r>
                                  <w:r w:rsidRPr="00A33DBA">
                                    <w:rPr>
                                      <w:rFonts w:ascii="Arial" w:hAnsi="Arial" w:cs="Arial"/>
                                      <w:sz w:val="20"/>
                                      <w:szCs w:val="20"/>
                                    </w:rPr>
                                    <w:t>:</w:t>
                                  </w:r>
                                </w:p>
                              </w:tc>
                              <w:tc>
                                <w:tcPr>
                                  <w:tcW w:w="851" w:type="dxa"/>
                                  <w:tcBorders>
                                    <w:bottom w:val="single" w:sz="4" w:space="0" w:color="auto"/>
                                  </w:tcBorders>
                                </w:tcPr>
                                <w:p w14:paraId="6A94467A" w14:textId="77777777" w:rsidR="00C44E19" w:rsidRPr="0055776F" w:rsidRDefault="00C44E19" w:rsidP="007B7F7F">
                                  <w:pPr>
                                    <w:rPr>
                                      <w:rFonts w:ascii="Arial" w:hAnsi="Arial" w:cs="Arial"/>
                                      <w:sz w:val="20"/>
                                      <w:szCs w:val="20"/>
                                    </w:rPr>
                                  </w:pPr>
                                  <w:r w:rsidRPr="0055776F">
                                    <w:rPr>
                                      <w:rFonts w:ascii="Arial" w:hAnsi="Arial" w:cs="Arial"/>
                                      <w:sz w:val="20"/>
                                      <w:szCs w:val="20"/>
                                    </w:rPr>
                                    <w:t>198</w:t>
                                  </w:r>
                                </w:p>
                              </w:tc>
                              <w:tc>
                                <w:tcPr>
                                  <w:tcW w:w="709" w:type="dxa"/>
                                  <w:tcBorders>
                                    <w:bottom w:val="single" w:sz="4" w:space="0" w:color="auto"/>
                                  </w:tcBorders>
                                </w:tcPr>
                                <w:p w14:paraId="5560B6D2" w14:textId="77777777" w:rsidR="00C44E19" w:rsidRPr="0055776F" w:rsidRDefault="00C44E19" w:rsidP="007B7F7F">
                                  <w:pPr>
                                    <w:rPr>
                                      <w:rFonts w:ascii="Arial" w:hAnsi="Arial" w:cs="Arial"/>
                                      <w:sz w:val="20"/>
                                      <w:szCs w:val="20"/>
                                    </w:rPr>
                                  </w:pPr>
                                  <w:r w:rsidRPr="0055776F">
                                    <w:rPr>
                                      <w:rFonts w:ascii="Arial" w:hAnsi="Arial" w:cs="Arial"/>
                                      <w:sz w:val="20"/>
                                      <w:szCs w:val="20"/>
                                    </w:rPr>
                                    <w:t>12</w:t>
                                  </w:r>
                                </w:p>
                              </w:tc>
                              <w:tc>
                                <w:tcPr>
                                  <w:tcW w:w="850" w:type="dxa"/>
                                  <w:tcBorders>
                                    <w:bottom w:val="single" w:sz="4" w:space="0" w:color="auto"/>
                                  </w:tcBorders>
                                </w:tcPr>
                                <w:p w14:paraId="7A5283D5" w14:textId="77777777" w:rsidR="00C44E19" w:rsidRPr="0055776F" w:rsidRDefault="00C44E19" w:rsidP="007B7F7F">
                                  <w:pPr>
                                    <w:rPr>
                                      <w:rFonts w:ascii="Arial" w:hAnsi="Arial" w:cs="Arial"/>
                                      <w:sz w:val="20"/>
                                      <w:szCs w:val="20"/>
                                    </w:rPr>
                                  </w:pPr>
                                  <w:r w:rsidRPr="0055776F">
                                    <w:rPr>
                                      <w:rFonts w:ascii="Arial" w:hAnsi="Arial" w:cs="Arial"/>
                                      <w:sz w:val="20"/>
                                      <w:szCs w:val="20"/>
                                    </w:rPr>
                                    <w:t>186</w:t>
                                  </w:r>
                                </w:p>
                              </w:tc>
                            </w:tr>
                            <w:tr w:rsidR="00C44E19" w:rsidRPr="0055776F" w14:paraId="0094E2B1" w14:textId="77777777">
                              <w:tc>
                                <w:tcPr>
                                  <w:tcW w:w="817" w:type="dxa"/>
                                </w:tcPr>
                                <w:p w14:paraId="554CBD1A" w14:textId="77777777" w:rsidR="00C44E19" w:rsidRPr="0055776F" w:rsidRDefault="00C44E19" w:rsidP="007B7F7F">
                                  <w:pPr>
                                    <w:rPr>
                                      <w:rFonts w:ascii="Arial" w:hAnsi="Arial" w:cs="Arial"/>
                                      <w:sz w:val="20"/>
                                      <w:szCs w:val="20"/>
                                    </w:rPr>
                                  </w:pPr>
                                  <w:r w:rsidRPr="0055776F">
                                    <w:rPr>
                                      <w:rFonts w:ascii="Arial" w:hAnsi="Arial" w:cs="Arial"/>
                                      <w:sz w:val="20"/>
                                      <w:szCs w:val="20"/>
                                    </w:rPr>
                                    <w:t>│││</w:t>
                                  </w:r>
                                </w:p>
                              </w:tc>
                              <w:tc>
                                <w:tcPr>
                                  <w:tcW w:w="2464" w:type="dxa"/>
                                </w:tcPr>
                                <w:p w14:paraId="7BFF7971" w14:textId="77777777" w:rsidR="00C44E19" w:rsidRPr="0055776F" w:rsidRDefault="00C44E19" w:rsidP="007B7F7F">
                                  <w:pPr>
                                    <w:rPr>
                                      <w:rFonts w:ascii="Arial" w:hAnsi="Arial" w:cs="Arial"/>
                                      <w:sz w:val="20"/>
                                      <w:szCs w:val="20"/>
                                    </w:rPr>
                                  </w:pPr>
                                  <w:r>
                                    <w:rPr>
                                      <w:rFonts w:ascii="Arial" w:hAnsi="Arial" w:cs="Arial"/>
                                      <w:sz w:val="20"/>
                                      <w:szCs w:val="20"/>
                                    </w:rPr>
                                    <w:t>Cenzorovaná pozorování</w:t>
                                  </w:r>
                                </w:p>
                              </w:tc>
                              <w:tc>
                                <w:tcPr>
                                  <w:tcW w:w="851" w:type="dxa"/>
                                  <w:tcBorders>
                                    <w:top w:val="single" w:sz="4" w:space="0" w:color="auto"/>
                                  </w:tcBorders>
                                </w:tcPr>
                                <w:p w14:paraId="12E2CC94" w14:textId="77777777" w:rsidR="00C44E19" w:rsidRPr="0055776F" w:rsidRDefault="00C44E19" w:rsidP="007B7F7F">
                                  <w:pPr>
                                    <w:rPr>
                                      <w:rFonts w:ascii="Arial" w:hAnsi="Arial" w:cs="Arial"/>
                                      <w:sz w:val="20"/>
                                      <w:szCs w:val="20"/>
                                    </w:rPr>
                                  </w:pPr>
                                </w:p>
                              </w:tc>
                              <w:tc>
                                <w:tcPr>
                                  <w:tcW w:w="709" w:type="dxa"/>
                                  <w:tcBorders>
                                    <w:top w:val="single" w:sz="4" w:space="0" w:color="auto"/>
                                  </w:tcBorders>
                                </w:tcPr>
                                <w:p w14:paraId="21CF0C3B" w14:textId="77777777" w:rsidR="00C44E19" w:rsidRPr="0055776F" w:rsidRDefault="00C44E19" w:rsidP="007B7F7F">
                                  <w:pPr>
                                    <w:rPr>
                                      <w:rFonts w:ascii="Arial" w:hAnsi="Arial" w:cs="Arial"/>
                                      <w:sz w:val="20"/>
                                      <w:szCs w:val="20"/>
                                    </w:rPr>
                                  </w:pPr>
                                </w:p>
                              </w:tc>
                              <w:tc>
                                <w:tcPr>
                                  <w:tcW w:w="850" w:type="dxa"/>
                                  <w:tcBorders>
                                    <w:top w:val="single" w:sz="4" w:space="0" w:color="auto"/>
                                  </w:tcBorders>
                                </w:tcPr>
                                <w:p w14:paraId="1F14EB55" w14:textId="77777777" w:rsidR="00C44E19" w:rsidRPr="0055776F" w:rsidRDefault="00C44E19" w:rsidP="007B7F7F">
                                  <w:pPr>
                                    <w:rPr>
                                      <w:rFonts w:ascii="Arial" w:hAnsi="Arial" w:cs="Arial"/>
                                      <w:sz w:val="20"/>
                                      <w:szCs w:val="20"/>
                                    </w:rPr>
                                  </w:pPr>
                                </w:p>
                              </w:tc>
                            </w:tr>
                          </w:tbl>
                          <w:p w14:paraId="6AC9465D" w14:textId="77777777" w:rsidR="00C44E19" w:rsidRPr="00A33DBA" w:rsidRDefault="00C44E19" w:rsidP="00EA5993">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5E4594" id="_x0000_s1030" type="#_x0000_t202" style="position:absolute;left:0;text-align:left;margin-left:26.95pt;margin-top:74.4pt;width:361.0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" filled="f" stroked="f">
                <v:textbox>
                  <w:txbxContent>
                    <w:p w14:paraId="54ABED7A" w14:textId="77777777" w:rsidR="00C44E19" w:rsidRDefault="00C44E19" w:rsidP="00EA5993">
                      <w:pPr>
                        <w:rPr>
                          <w:rFonts w:ascii="Arial" w:hAnsi="Arial" w:cs="Arial"/>
                          <w:sz w:val="20"/>
                          <w:szCs w:val="20"/>
                        </w:rPr>
                      </w:pPr>
                    </w:p>
                    <w:tbl>
                      <w:tblPr>
                        <w:tblW w:w="0" w:type="auto"/>
                        <w:tblLook w:val="04A0" w:firstRow="1" w:lastRow="0" w:firstColumn="1" w:lastColumn="0" w:noHBand="0" w:noVBand="1"/>
                      </w:tblPr>
                      <w:tblGrid>
                        <w:gridCol w:w="817"/>
                        <w:gridCol w:w="2464"/>
                        <w:gridCol w:w="851"/>
                        <w:gridCol w:w="709"/>
                        <w:gridCol w:w="850"/>
                      </w:tblGrid>
                      <w:tr w:rsidR="00C44E19" w:rsidRPr="0055776F" w14:paraId="1E46C157" w14:textId="77777777">
                        <w:tc>
                          <w:tcPr>
                            <w:tcW w:w="5691" w:type="dxa"/>
                            <w:gridSpan w:val="5"/>
                          </w:tcPr>
                          <w:p w14:paraId="62C24F17" w14:textId="77777777" w:rsidR="00C44E19" w:rsidRPr="0055776F" w:rsidRDefault="00C44E19" w:rsidP="007B7F7F">
                            <w:pPr>
                              <w:rPr>
                                <w:rFonts w:ascii="Arial" w:hAnsi="Arial" w:cs="Arial"/>
                                <w:sz w:val="20"/>
                                <w:szCs w:val="20"/>
                              </w:rPr>
                            </w:pPr>
                            <w:r>
                              <w:rPr>
                                <w:rFonts w:ascii="Arial" w:hAnsi="Arial" w:cs="Arial"/>
                                <w:sz w:val="20"/>
                                <w:szCs w:val="20"/>
                              </w:rPr>
                              <w:t>P = 0,0</w:t>
                            </w:r>
                            <w:r w:rsidRPr="0055776F">
                              <w:rPr>
                                <w:rFonts w:ascii="Arial" w:hAnsi="Arial" w:cs="Arial"/>
                                <w:sz w:val="20"/>
                                <w:szCs w:val="20"/>
                              </w:rPr>
                              <w:t>19</w:t>
                            </w:r>
                          </w:p>
                          <w:p w14:paraId="5361032A" w14:textId="77777777" w:rsidR="00C44E19" w:rsidRPr="00A33DBA" w:rsidRDefault="00C44E19" w:rsidP="00112FBD">
                            <w:pPr>
                              <w:rPr>
                                <w:rFonts w:ascii="Arial" w:hAnsi="Arial" w:cs="Arial"/>
                                <w:sz w:val="20"/>
                                <w:szCs w:val="20"/>
                              </w:rPr>
                            </w:pPr>
                            <w:r>
                              <w:rPr>
                                <w:rFonts w:ascii="Arial" w:hAnsi="Arial" w:cs="Arial"/>
                                <w:sz w:val="20"/>
                                <w:szCs w:val="20"/>
                              </w:rPr>
                              <w:t>Poměr rizik</w:t>
                            </w:r>
                            <w:r w:rsidRPr="00A33DBA">
                              <w:rPr>
                                <w:rFonts w:ascii="Arial" w:hAnsi="Arial" w:cs="Arial"/>
                                <w:sz w:val="20"/>
                                <w:szCs w:val="20"/>
                              </w:rPr>
                              <w:t xml:space="preserve"> 0</w:t>
                            </w:r>
                            <w:r>
                              <w:rPr>
                                <w:rFonts w:ascii="Arial" w:hAnsi="Arial" w:cs="Arial"/>
                                <w:sz w:val="20"/>
                                <w:szCs w:val="20"/>
                              </w:rPr>
                              <w:t>,</w:t>
                            </w:r>
                            <w:r w:rsidRPr="00A33DBA">
                              <w:rPr>
                                <w:rFonts w:ascii="Arial" w:hAnsi="Arial" w:cs="Arial"/>
                                <w:sz w:val="20"/>
                                <w:szCs w:val="20"/>
                              </w:rPr>
                              <w:t>45</w:t>
                            </w:r>
                          </w:p>
                          <w:p w14:paraId="4BC34BFB" w14:textId="77777777" w:rsidR="00C44E19" w:rsidRPr="0055776F" w:rsidRDefault="00C44E19" w:rsidP="00112FBD">
                            <w:pPr>
                              <w:rPr>
                                <w:rFonts w:ascii="Arial" w:hAnsi="Arial" w:cs="Arial"/>
                                <w:sz w:val="20"/>
                                <w:szCs w:val="20"/>
                                <w:lang w:val="de-DE"/>
                              </w:rPr>
                            </w:pPr>
                            <w:r w:rsidRPr="00A33DBA">
                              <w:rPr>
                                <w:rFonts w:ascii="Arial" w:hAnsi="Arial" w:cs="Arial"/>
                                <w:sz w:val="20"/>
                                <w:szCs w:val="20"/>
                              </w:rPr>
                              <w:t>(95% Cl, 0</w:t>
                            </w:r>
                            <w:r>
                              <w:rPr>
                                <w:rFonts w:ascii="Arial" w:hAnsi="Arial" w:cs="Arial"/>
                                <w:sz w:val="20"/>
                                <w:szCs w:val="20"/>
                              </w:rPr>
                              <w:t>,22</w:t>
                            </w:r>
                            <w:r>
                              <w:rPr>
                                <w:rFonts w:ascii="Arial" w:hAnsi="Arial" w:cs="Arial"/>
                                <w:sz w:val="20"/>
                                <w:szCs w:val="20"/>
                              </w:rPr>
                              <w:noBreakHyphen/>
                            </w:r>
                            <w:r w:rsidRPr="00A33DBA">
                              <w:rPr>
                                <w:rFonts w:ascii="Arial" w:hAnsi="Arial" w:cs="Arial"/>
                                <w:sz w:val="20"/>
                                <w:szCs w:val="20"/>
                              </w:rPr>
                              <w:t>0</w:t>
                            </w:r>
                            <w:r>
                              <w:rPr>
                                <w:rFonts w:ascii="Arial" w:hAnsi="Arial" w:cs="Arial"/>
                                <w:sz w:val="20"/>
                                <w:szCs w:val="20"/>
                              </w:rPr>
                              <w:t>,</w:t>
                            </w:r>
                            <w:r w:rsidRPr="00A33DBA">
                              <w:rPr>
                                <w:rFonts w:ascii="Arial" w:hAnsi="Arial" w:cs="Arial"/>
                                <w:sz w:val="20"/>
                                <w:szCs w:val="20"/>
                              </w:rPr>
                              <w:t>89)</w:t>
                            </w:r>
                          </w:p>
                        </w:tc>
                      </w:tr>
                      <w:tr w:rsidR="00C44E19" w:rsidRPr="0055776F" w14:paraId="0700C5E6" w14:textId="77777777">
                        <w:tc>
                          <w:tcPr>
                            <w:tcW w:w="817" w:type="dxa"/>
                          </w:tcPr>
                          <w:p w14:paraId="1B73E253" w14:textId="77777777" w:rsidR="00C44E19" w:rsidRPr="0055776F" w:rsidRDefault="00C44E19" w:rsidP="007B7F7F">
                            <w:pPr>
                              <w:rPr>
                                <w:rFonts w:ascii="Arial" w:hAnsi="Arial" w:cs="Arial"/>
                                <w:sz w:val="20"/>
                                <w:szCs w:val="20"/>
                              </w:rPr>
                            </w:pPr>
                          </w:p>
                        </w:tc>
                        <w:tc>
                          <w:tcPr>
                            <w:tcW w:w="2464" w:type="dxa"/>
                          </w:tcPr>
                          <w:p w14:paraId="47BE5B13" w14:textId="77777777" w:rsidR="00C44E19" w:rsidRPr="0055776F" w:rsidRDefault="00C44E19" w:rsidP="007B7F7F">
                            <w:pPr>
                              <w:rPr>
                                <w:rFonts w:ascii="Arial" w:hAnsi="Arial" w:cs="Arial"/>
                                <w:sz w:val="20"/>
                                <w:szCs w:val="20"/>
                              </w:rPr>
                            </w:pPr>
                          </w:p>
                        </w:tc>
                        <w:tc>
                          <w:tcPr>
                            <w:tcW w:w="851" w:type="dxa"/>
                            <w:tcBorders>
                              <w:bottom w:val="single" w:sz="4" w:space="0" w:color="auto"/>
                            </w:tcBorders>
                          </w:tcPr>
                          <w:p w14:paraId="6CB8C855" w14:textId="77777777" w:rsidR="00C44E19" w:rsidRPr="0055776F" w:rsidRDefault="00C44E19" w:rsidP="007B7F7F">
                            <w:pPr>
                              <w:rPr>
                                <w:rFonts w:ascii="Arial" w:hAnsi="Arial" w:cs="Arial"/>
                                <w:sz w:val="20"/>
                                <w:szCs w:val="20"/>
                              </w:rPr>
                            </w:pPr>
                            <w:r>
                              <w:rPr>
                                <w:rFonts w:ascii="Arial" w:hAnsi="Arial" w:cs="Arial"/>
                                <w:sz w:val="20"/>
                                <w:szCs w:val="20"/>
                                <w:lang w:val="de-DE"/>
                              </w:rPr>
                              <w:t>n</w:t>
                            </w:r>
                          </w:p>
                        </w:tc>
                        <w:tc>
                          <w:tcPr>
                            <w:tcW w:w="709" w:type="dxa"/>
                            <w:tcBorders>
                              <w:bottom w:val="single" w:sz="4" w:space="0" w:color="auto"/>
                            </w:tcBorders>
                          </w:tcPr>
                          <w:p w14:paraId="07EA5C52" w14:textId="77777777" w:rsidR="00C44E19" w:rsidRPr="0055776F" w:rsidRDefault="00C44E19" w:rsidP="007B7F7F">
                            <w:pPr>
                              <w:rPr>
                                <w:rFonts w:ascii="Arial" w:hAnsi="Arial" w:cs="Arial"/>
                                <w:sz w:val="20"/>
                                <w:szCs w:val="20"/>
                              </w:rPr>
                            </w:pPr>
                            <w:r w:rsidRPr="00112FBD">
                              <w:rPr>
                                <w:rFonts w:ascii="Arial" w:hAnsi="Arial" w:cs="Arial"/>
                                <w:sz w:val="20"/>
                                <w:szCs w:val="20"/>
                                <w:lang w:val="it-IT"/>
                              </w:rPr>
                              <w:t>Udál.</w:t>
                            </w:r>
                          </w:p>
                        </w:tc>
                        <w:tc>
                          <w:tcPr>
                            <w:tcW w:w="850" w:type="dxa"/>
                            <w:tcBorders>
                              <w:bottom w:val="single" w:sz="4" w:space="0" w:color="auto"/>
                            </w:tcBorders>
                          </w:tcPr>
                          <w:p w14:paraId="44E45795" w14:textId="77777777" w:rsidR="00C44E19" w:rsidRPr="0055776F" w:rsidRDefault="00C44E19" w:rsidP="007B7F7F">
                            <w:pPr>
                              <w:rPr>
                                <w:rFonts w:ascii="Arial" w:hAnsi="Arial" w:cs="Arial"/>
                                <w:sz w:val="20"/>
                                <w:szCs w:val="20"/>
                              </w:rPr>
                            </w:pPr>
                            <w:r w:rsidRPr="00112FBD">
                              <w:rPr>
                                <w:rFonts w:ascii="Arial" w:hAnsi="Arial" w:cs="Arial"/>
                                <w:sz w:val="20"/>
                                <w:szCs w:val="20"/>
                                <w:lang w:val="it-IT"/>
                              </w:rPr>
                              <w:t>Cen.</w:t>
                            </w:r>
                          </w:p>
                        </w:tc>
                      </w:tr>
                      <w:tr w:rsidR="00C44E19" w:rsidRPr="0055776F" w14:paraId="50B56235" w14:textId="77777777">
                        <w:tc>
                          <w:tcPr>
                            <w:tcW w:w="817" w:type="dxa"/>
                          </w:tcPr>
                          <w:p w14:paraId="43B4C911" w14:textId="77777777" w:rsidR="00C44E19" w:rsidRPr="0055776F" w:rsidRDefault="00C44E19" w:rsidP="007B7F7F">
                            <w:pPr>
                              <w:rPr>
                                <w:rFonts w:ascii="Arial" w:hAnsi="Arial" w:cs="Arial"/>
                                <w:sz w:val="20"/>
                                <w:szCs w:val="20"/>
                              </w:rPr>
                            </w:pPr>
                            <w:r w:rsidRPr="0055776F">
                              <w:rPr>
                                <w:rFonts w:ascii="Arial" w:hAnsi="Arial" w:cs="Arial"/>
                                <w:b/>
                                <w:sz w:val="20"/>
                                <w:szCs w:val="20"/>
                              </w:rPr>
                              <w:t>——</w:t>
                            </w:r>
                          </w:p>
                        </w:tc>
                        <w:tc>
                          <w:tcPr>
                            <w:tcW w:w="2464" w:type="dxa"/>
                          </w:tcPr>
                          <w:p w14:paraId="09927A14" w14:textId="77777777" w:rsidR="00C44E19" w:rsidRPr="0055776F" w:rsidRDefault="00C44E19" w:rsidP="000E5517">
                            <w:pPr>
                              <w:rPr>
                                <w:rFonts w:ascii="Arial" w:hAnsi="Arial" w:cs="Arial"/>
                                <w:sz w:val="20"/>
                                <w:szCs w:val="20"/>
                              </w:rPr>
                            </w:pPr>
                            <w:r>
                              <w:rPr>
                                <w:rFonts w:ascii="Arial" w:hAnsi="Arial" w:cs="Arial"/>
                                <w:sz w:val="20"/>
                                <w:szCs w:val="20"/>
                              </w:rPr>
                              <w:t>(1) Imatinib 12 měsíců</w:t>
                            </w:r>
                            <w:r w:rsidRPr="00A33DBA">
                              <w:rPr>
                                <w:rFonts w:ascii="Arial" w:hAnsi="Arial" w:cs="Arial"/>
                                <w:sz w:val="20"/>
                                <w:szCs w:val="20"/>
                              </w:rPr>
                              <w:t>:</w:t>
                            </w:r>
                          </w:p>
                        </w:tc>
                        <w:tc>
                          <w:tcPr>
                            <w:tcW w:w="851" w:type="dxa"/>
                            <w:tcBorders>
                              <w:top w:val="single" w:sz="4" w:space="0" w:color="auto"/>
                            </w:tcBorders>
                          </w:tcPr>
                          <w:p w14:paraId="53621021" w14:textId="77777777" w:rsidR="00C44E19" w:rsidRPr="0055776F" w:rsidRDefault="00C44E19" w:rsidP="007B7F7F">
                            <w:pPr>
                              <w:rPr>
                                <w:rFonts w:ascii="Arial" w:hAnsi="Arial" w:cs="Arial"/>
                                <w:sz w:val="20"/>
                                <w:szCs w:val="20"/>
                              </w:rPr>
                            </w:pPr>
                            <w:r w:rsidRPr="0055776F">
                              <w:rPr>
                                <w:rFonts w:ascii="Arial" w:hAnsi="Arial" w:cs="Arial"/>
                                <w:sz w:val="20"/>
                                <w:szCs w:val="20"/>
                              </w:rPr>
                              <w:t>199</w:t>
                            </w:r>
                          </w:p>
                        </w:tc>
                        <w:tc>
                          <w:tcPr>
                            <w:tcW w:w="709" w:type="dxa"/>
                            <w:tcBorders>
                              <w:top w:val="single" w:sz="4" w:space="0" w:color="auto"/>
                            </w:tcBorders>
                          </w:tcPr>
                          <w:p w14:paraId="7411AB09" w14:textId="77777777" w:rsidR="00C44E19" w:rsidRPr="0055776F" w:rsidRDefault="00C44E19" w:rsidP="007B7F7F">
                            <w:pPr>
                              <w:rPr>
                                <w:rFonts w:ascii="Arial" w:hAnsi="Arial" w:cs="Arial"/>
                                <w:sz w:val="20"/>
                                <w:szCs w:val="20"/>
                              </w:rPr>
                            </w:pPr>
                            <w:r w:rsidRPr="0055776F">
                              <w:rPr>
                                <w:rFonts w:ascii="Arial" w:hAnsi="Arial" w:cs="Arial"/>
                                <w:sz w:val="20"/>
                                <w:szCs w:val="20"/>
                              </w:rPr>
                              <w:t>25</w:t>
                            </w:r>
                          </w:p>
                        </w:tc>
                        <w:tc>
                          <w:tcPr>
                            <w:tcW w:w="850" w:type="dxa"/>
                            <w:tcBorders>
                              <w:top w:val="single" w:sz="4" w:space="0" w:color="auto"/>
                            </w:tcBorders>
                          </w:tcPr>
                          <w:p w14:paraId="64DB6B6F" w14:textId="77777777" w:rsidR="00C44E19" w:rsidRPr="0055776F" w:rsidRDefault="00C44E19" w:rsidP="007B7F7F">
                            <w:pPr>
                              <w:rPr>
                                <w:rFonts w:ascii="Arial" w:hAnsi="Arial" w:cs="Arial"/>
                                <w:sz w:val="20"/>
                                <w:szCs w:val="20"/>
                              </w:rPr>
                            </w:pPr>
                            <w:r w:rsidRPr="0055776F">
                              <w:rPr>
                                <w:rFonts w:ascii="Arial" w:hAnsi="Arial" w:cs="Arial"/>
                                <w:sz w:val="20"/>
                                <w:szCs w:val="20"/>
                              </w:rPr>
                              <w:t>174</w:t>
                            </w:r>
                          </w:p>
                        </w:tc>
                      </w:tr>
                      <w:tr w:rsidR="00C44E19" w:rsidRPr="0055776F" w14:paraId="4A9871A6" w14:textId="77777777">
                        <w:tc>
                          <w:tcPr>
                            <w:tcW w:w="817" w:type="dxa"/>
                          </w:tcPr>
                          <w:p w14:paraId="59855FC6" w14:textId="77777777" w:rsidR="00C44E19" w:rsidRPr="0055776F" w:rsidRDefault="00C44E19" w:rsidP="007B7F7F">
                            <w:pPr>
                              <w:rPr>
                                <w:rFonts w:ascii="Arial" w:hAnsi="Arial" w:cs="Arial"/>
                                <w:sz w:val="20"/>
                                <w:szCs w:val="20"/>
                              </w:rPr>
                            </w:pPr>
                            <w:r w:rsidRPr="0055776F">
                              <w:rPr>
                                <w:rFonts w:ascii="Arial" w:hAnsi="Arial" w:cs="Arial"/>
                                <w:sz w:val="20"/>
                                <w:szCs w:val="20"/>
                              </w:rPr>
                              <w:t>-----</w:t>
                            </w:r>
                          </w:p>
                        </w:tc>
                        <w:tc>
                          <w:tcPr>
                            <w:tcW w:w="2464" w:type="dxa"/>
                          </w:tcPr>
                          <w:p w14:paraId="6CB80492" w14:textId="77777777" w:rsidR="00C44E19" w:rsidRPr="0055776F" w:rsidRDefault="00C44E19" w:rsidP="000E5517">
                            <w:pPr>
                              <w:rPr>
                                <w:rFonts w:ascii="Arial" w:hAnsi="Arial" w:cs="Arial"/>
                                <w:sz w:val="20"/>
                                <w:szCs w:val="20"/>
                              </w:rPr>
                            </w:pPr>
                            <w:r>
                              <w:rPr>
                                <w:rFonts w:ascii="Arial" w:hAnsi="Arial" w:cs="Arial"/>
                                <w:sz w:val="20"/>
                                <w:szCs w:val="20"/>
                              </w:rPr>
                              <w:t>(2) Imatinib 36 měsíců</w:t>
                            </w:r>
                            <w:r w:rsidRPr="00A33DBA">
                              <w:rPr>
                                <w:rFonts w:ascii="Arial" w:hAnsi="Arial" w:cs="Arial"/>
                                <w:sz w:val="20"/>
                                <w:szCs w:val="20"/>
                              </w:rPr>
                              <w:t>:</w:t>
                            </w:r>
                          </w:p>
                        </w:tc>
                        <w:tc>
                          <w:tcPr>
                            <w:tcW w:w="851" w:type="dxa"/>
                            <w:tcBorders>
                              <w:bottom w:val="single" w:sz="4" w:space="0" w:color="auto"/>
                            </w:tcBorders>
                          </w:tcPr>
                          <w:p w14:paraId="6A94467A" w14:textId="77777777" w:rsidR="00C44E19" w:rsidRPr="0055776F" w:rsidRDefault="00C44E19" w:rsidP="007B7F7F">
                            <w:pPr>
                              <w:rPr>
                                <w:rFonts w:ascii="Arial" w:hAnsi="Arial" w:cs="Arial"/>
                                <w:sz w:val="20"/>
                                <w:szCs w:val="20"/>
                              </w:rPr>
                            </w:pPr>
                            <w:r w:rsidRPr="0055776F">
                              <w:rPr>
                                <w:rFonts w:ascii="Arial" w:hAnsi="Arial" w:cs="Arial"/>
                                <w:sz w:val="20"/>
                                <w:szCs w:val="20"/>
                              </w:rPr>
                              <w:t>198</w:t>
                            </w:r>
                          </w:p>
                        </w:tc>
                        <w:tc>
                          <w:tcPr>
                            <w:tcW w:w="709" w:type="dxa"/>
                            <w:tcBorders>
                              <w:bottom w:val="single" w:sz="4" w:space="0" w:color="auto"/>
                            </w:tcBorders>
                          </w:tcPr>
                          <w:p w14:paraId="5560B6D2" w14:textId="77777777" w:rsidR="00C44E19" w:rsidRPr="0055776F" w:rsidRDefault="00C44E19" w:rsidP="007B7F7F">
                            <w:pPr>
                              <w:rPr>
                                <w:rFonts w:ascii="Arial" w:hAnsi="Arial" w:cs="Arial"/>
                                <w:sz w:val="20"/>
                                <w:szCs w:val="20"/>
                              </w:rPr>
                            </w:pPr>
                            <w:r w:rsidRPr="0055776F">
                              <w:rPr>
                                <w:rFonts w:ascii="Arial" w:hAnsi="Arial" w:cs="Arial"/>
                                <w:sz w:val="20"/>
                                <w:szCs w:val="20"/>
                              </w:rPr>
                              <w:t>12</w:t>
                            </w:r>
                          </w:p>
                        </w:tc>
                        <w:tc>
                          <w:tcPr>
                            <w:tcW w:w="850" w:type="dxa"/>
                            <w:tcBorders>
                              <w:bottom w:val="single" w:sz="4" w:space="0" w:color="auto"/>
                            </w:tcBorders>
                          </w:tcPr>
                          <w:p w14:paraId="7A5283D5" w14:textId="77777777" w:rsidR="00C44E19" w:rsidRPr="0055776F" w:rsidRDefault="00C44E19" w:rsidP="007B7F7F">
                            <w:pPr>
                              <w:rPr>
                                <w:rFonts w:ascii="Arial" w:hAnsi="Arial" w:cs="Arial"/>
                                <w:sz w:val="20"/>
                                <w:szCs w:val="20"/>
                              </w:rPr>
                            </w:pPr>
                            <w:r w:rsidRPr="0055776F">
                              <w:rPr>
                                <w:rFonts w:ascii="Arial" w:hAnsi="Arial" w:cs="Arial"/>
                                <w:sz w:val="20"/>
                                <w:szCs w:val="20"/>
                              </w:rPr>
                              <w:t>186</w:t>
                            </w:r>
                          </w:p>
                        </w:tc>
                      </w:tr>
                      <w:tr w:rsidR="00C44E19" w:rsidRPr="0055776F" w14:paraId="0094E2B1" w14:textId="77777777">
                        <w:tc>
                          <w:tcPr>
                            <w:tcW w:w="817" w:type="dxa"/>
                          </w:tcPr>
                          <w:p w14:paraId="554CBD1A" w14:textId="77777777" w:rsidR="00C44E19" w:rsidRPr="0055776F" w:rsidRDefault="00C44E19" w:rsidP="007B7F7F">
                            <w:pPr>
                              <w:rPr>
                                <w:rFonts w:ascii="Arial" w:hAnsi="Arial" w:cs="Arial"/>
                                <w:sz w:val="20"/>
                                <w:szCs w:val="20"/>
                              </w:rPr>
                            </w:pPr>
                            <w:r w:rsidRPr="0055776F">
                              <w:rPr>
                                <w:rFonts w:ascii="Arial" w:hAnsi="Arial" w:cs="Arial"/>
                                <w:sz w:val="20"/>
                                <w:szCs w:val="20"/>
                              </w:rPr>
                              <w:t>│││</w:t>
                            </w:r>
                          </w:p>
                        </w:tc>
                        <w:tc>
                          <w:tcPr>
                            <w:tcW w:w="2464" w:type="dxa"/>
                          </w:tcPr>
                          <w:p w14:paraId="7BFF7971" w14:textId="77777777" w:rsidR="00C44E19" w:rsidRPr="0055776F" w:rsidRDefault="00C44E19" w:rsidP="007B7F7F">
                            <w:pPr>
                              <w:rPr>
                                <w:rFonts w:ascii="Arial" w:hAnsi="Arial" w:cs="Arial"/>
                                <w:sz w:val="20"/>
                                <w:szCs w:val="20"/>
                              </w:rPr>
                            </w:pPr>
                            <w:r>
                              <w:rPr>
                                <w:rFonts w:ascii="Arial" w:hAnsi="Arial" w:cs="Arial"/>
                                <w:sz w:val="20"/>
                                <w:szCs w:val="20"/>
                              </w:rPr>
                              <w:t>Cenzorovaná pozorování</w:t>
                            </w:r>
                          </w:p>
                        </w:tc>
                        <w:tc>
                          <w:tcPr>
                            <w:tcW w:w="851" w:type="dxa"/>
                            <w:tcBorders>
                              <w:top w:val="single" w:sz="4" w:space="0" w:color="auto"/>
                            </w:tcBorders>
                          </w:tcPr>
                          <w:p w14:paraId="12E2CC94" w14:textId="77777777" w:rsidR="00C44E19" w:rsidRPr="0055776F" w:rsidRDefault="00C44E19" w:rsidP="007B7F7F">
                            <w:pPr>
                              <w:rPr>
                                <w:rFonts w:ascii="Arial" w:hAnsi="Arial" w:cs="Arial"/>
                                <w:sz w:val="20"/>
                                <w:szCs w:val="20"/>
                              </w:rPr>
                            </w:pPr>
                          </w:p>
                        </w:tc>
                        <w:tc>
                          <w:tcPr>
                            <w:tcW w:w="709" w:type="dxa"/>
                            <w:tcBorders>
                              <w:top w:val="single" w:sz="4" w:space="0" w:color="auto"/>
                            </w:tcBorders>
                          </w:tcPr>
                          <w:p w14:paraId="21CF0C3B" w14:textId="77777777" w:rsidR="00C44E19" w:rsidRPr="0055776F" w:rsidRDefault="00C44E19" w:rsidP="007B7F7F">
                            <w:pPr>
                              <w:rPr>
                                <w:rFonts w:ascii="Arial" w:hAnsi="Arial" w:cs="Arial"/>
                                <w:sz w:val="20"/>
                                <w:szCs w:val="20"/>
                              </w:rPr>
                            </w:pPr>
                          </w:p>
                        </w:tc>
                        <w:tc>
                          <w:tcPr>
                            <w:tcW w:w="850" w:type="dxa"/>
                            <w:tcBorders>
                              <w:top w:val="single" w:sz="4" w:space="0" w:color="auto"/>
                            </w:tcBorders>
                          </w:tcPr>
                          <w:p w14:paraId="1F14EB55" w14:textId="77777777" w:rsidR="00C44E19" w:rsidRPr="0055776F" w:rsidRDefault="00C44E19" w:rsidP="007B7F7F">
                            <w:pPr>
                              <w:rPr>
                                <w:rFonts w:ascii="Arial" w:hAnsi="Arial" w:cs="Arial"/>
                                <w:sz w:val="20"/>
                                <w:szCs w:val="20"/>
                              </w:rPr>
                            </w:pPr>
                          </w:p>
                        </w:tc>
                      </w:tr>
                    </w:tbl>
                    <w:p w14:paraId="6AC9465D" w14:textId="77777777" w:rsidR="00C44E19" w:rsidRPr="00A33DBA" w:rsidRDefault="00C44E19" w:rsidP="00EA5993">
                      <w:pPr>
                        <w:rPr>
                          <w:rFonts w:ascii="Arial" w:hAnsi="Arial" w:cs="Arial"/>
                          <w:sz w:val="20"/>
                          <w:szCs w:val="20"/>
                        </w:rPr>
                      </w:pPr>
                    </w:p>
                  </w:txbxContent>
                </v:textbox>
              </v:shape>
            </w:pict>
          </mc:Fallback>
        </mc:AlternateContent>
      </w:r>
      <w:r w:rsidRPr="00F25A60">
        <w:rPr>
          <w:noProof/>
          <w:lang w:eastAsia="cs-CZ"/>
        </w:rPr>
        <w:drawing>
          <wp:inline distT="0" distB="0" distL="0" distR="0" wp14:anchorId="7EC2629C" wp14:editId="77DE272F">
            <wp:extent cx="5947410" cy="26320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2632075"/>
                    </a:xfrm>
                    <a:prstGeom prst="rect">
                      <a:avLst/>
                    </a:prstGeom>
                    <a:noFill/>
                    <a:ln>
                      <a:noFill/>
                    </a:ln>
                  </pic:spPr>
                </pic:pic>
              </a:graphicData>
            </a:graphic>
          </wp:inline>
        </w:drawing>
      </w:r>
    </w:p>
    <w:p w14:paraId="6A05DB04" w14:textId="77777777" w:rsidR="00EA5993" w:rsidRPr="00F25A60" w:rsidRDefault="001B24B9" w:rsidP="005C56E6">
      <w:pPr>
        <w:keepNext/>
        <w:keepLines/>
        <w:widowControl w:val="0"/>
        <w:tabs>
          <w:tab w:val="clear" w:pos="567"/>
        </w:tabs>
        <w:spacing w:line="240" w:lineRule="auto"/>
        <w:ind w:left="1134" w:hanging="1134"/>
        <w:rPr>
          <w:rFonts w:eastAsia="MS Mincho"/>
        </w:rPr>
      </w:pPr>
      <w:r w:rsidRPr="00F25A60">
        <w:rPr>
          <w:rFonts w:eastAsia="MS Mincho"/>
          <w:noProof/>
          <w:lang w:eastAsia="cs-CZ"/>
        </w:rPr>
        <mc:AlternateContent>
          <mc:Choice Requires="wps">
            <w:drawing>
              <wp:anchor distT="0" distB="0" distL="114300" distR="114300" simplePos="0" relativeHeight="251663360" behindDoc="0" locked="0" layoutInCell="1" allowOverlap="1" wp14:anchorId="0630A305" wp14:editId="12EAAF51">
                <wp:simplePos x="0" y="0"/>
                <wp:positionH relativeFrom="column">
                  <wp:posOffset>2112010</wp:posOffset>
                </wp:positionH>
                <wp:positionV relativeFrom="paragraph">
                  <wp:posOffset>10795</wp:posOffset>
                </wp:positionV>
                <wp:extent cx="1619250" cy="28575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857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E404F" w14:textId="77777777" w:rsidR="00C44E19" w:rsidRPr="00A33DBA" w:rsidRDefault="00C44E19" w:rsidP="00EA5993">
                            <w:pPr>
                              <w:rPr>
                                <w:rFonts w:ascii="Arial" w:hAnsi="Arial" w:cs="Arial"/>
                                <w:sz w:val="20"/>
                                <w:szCs w:val="20"/>
                              </w:rPr>
                            </w:pPr>
                            <w:r>
                              <w:rPr>
                                <w:rFonts w:ascii="Arial" w:hAnsi="Arial" w:cs="Arial"/>
                                <w:sz w:val="20"/>
                                <w:szCs w:val="20"/>
                                <w:lang w:val="de-DE"/>
                              </w:rPr>
                              <w:t>Doba přežití v měsících</w:t>
                            </w:r>
                          </w:p>
                          <w:p w14:paraId="49F5CE25" w14:textId="77777777" w:rsidR="00C44E19" w:rsidRPr="00A33DBA" w:rsidRDefault="00C44E19" w:rsidP="00EA5993">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30A305" id="_x0000_s1031" type="#_x0000_t202" style="position:absolute;left:0;text-align:left;margin-left:166.3pt;margin-top:.85pt;width:12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" stroked="f">
                <v:fill opacity="0"/>
                <v:textbox>
                  <w:txbxContent>
                    <w:p w14:paraId="19FE404F" w14:textId="77777777" w:rsidR="00C44E19" w:rsidRPr="00A33DBA" w:rsidRDefault="00C44E19" w:rsidP="00EA5993">
                      <w:pPr>
                        <w:rPr>
                          <w:rFonts w:ascii="Arial" w:hAnsi="Arial" w:cs="Arial"/>
                          <w:sz w:val="20"/>
                          <w:szCs w:val="20"/>
                        </w:rPr>
                      </w:pPr>
                      <w:r>
                        <w:rPr>
                          <w:rFonts w:ascii="Arial" w:hAnsi="Arial" w:cs="Arial"/>
                          <w:sz w:val="20"/>
                          <w:szCs w:val="20"/>
                          <w:lang w:val="de-DE"/>
                        </w:rPr>
                        <w:t>Doba přežití v měsících</w:t>
                      </w:r>
                    </w:p>
                    <w:p w14:paraId="49F5CE25" w14:textId="77777777" w:rsidR="00C44E19" w:rsidRPr="00A33DBA" w:rsidRDefault="00C44E19" w:rsidP="00EA5993">
                      <w:pPr>
                        <w:rPr>
                          <w:rFonts w:ascii="Arial" w:hAnsi="Arial" w:cs="Arial"/>
                          <w:sz w:val="20"/>
                          <w:szCs w:val="20"/>
                        </w:rPr>
                      </w:pPr>
                    </w:p>
                  </w:txbxContent>
                </v:textbox>
              </v:shape>
            </w:pict>
          </mc:Fallback>
        </mc:AlternateContent>
      </w:r>
    </w:p>
    <w:p w14:paraId="7DB018FE" w14:textId="77777777" w:rsidR="00EA5993" w:rsidRPr="00F25A60" w:rsidRDefault="00EA5993" w:rsidP="005C56E6">
      <w:pPr>
        <w:keepNext/>
        <w:keepLines/>
        <w:widowControl w:val="0"/>
        <w:spacing w:line="240" w:lineRule="auto"/>
        <w:rPr>
          <w:noProof/>
        </w:rPr>
      </w:pPr>
    </w:p>
    <w:tbl>
      <w:tblPr>
        <w:tblW w:w="10632" w:type="dxa"/>
        <w:tblInd w:w="-318" w:type="dxa"/>
        <w:tblLook w:val="04A0" w:firstRow="1" w:lastRow="0" w:firstColumn="1" w:lastColumn="0" w:noHBand="0" w:noVBand="1"/>
      </w:tblPr>
      <w:tblGrid>
        <w:gridCol w:w="450"/>
        <w:gridCol w:w="687"/>
        <w:gridCol w:w="670"/>
        <w:gridCol w:w="710"/>
        <w:gridCol w:w="717"/>
        <w:gridCol w:w="691"/>
        <w:gridCol w:w="770"/>
        <w:gridCol w:w="779"/>
        <w:gridCol w:w="794"/>
        <w:gridCol w:w="653"/>
        <w:gridCol w:w="630"/>
        <w:gridCol w:w="643"/>
        <w:gridCol w:w="670"/>
        <w:gridCol w:w="683"/>
        <w:gridCol w:w="558"/>
        <w:gridCol w:w="527"/>
      </w:tblGrid>
      <w:tr w:rsidR="00EA5993" w:rsidRPr="00F25A60" w14:paraId="29040DB5" w14:textId="77777777" w:rsidTr="00CD5C21">
        <w:tc>
          <w:tcPr>
            <w:tcW w:w="10632" w:type="dxa"/>
            <w:gridSpan w:val="16"/>
          </w:tcPr>
          <w:p w14:paraId="67BBC1BB" w14:textId="77777777" w:rsidR="00EA5993" w:rsidRPr="00F25A60" w:rsidRDefault="00EA5993" w:rsidP="005C56E6">
            <w:pPr>
              <w:keepNext/>
              <w:keepLines/>
              <w:widowControl w:val="0"/>
              <w:spacing w:line="240" w:lineRule="auto"/>
              <w:ind w:left="-27"/>
              <w:rPr>
                <w:rFonts w:ascii="Arial" w:hAnsi="Arial" w:cs="Arial"/>
                <w:sz w:val="16"/>
                <w:szCs w:val="16"/>
              </w:rPr>
            </w:pPr>
            <w:r w:rsidRPr="00F25A60">
              <w:rPr>
                <w:rFonts w:ascii="Arial" w:hAnsi="Arial" w:cs="Arial"/>
                <w:sz w:val="20"/>
                <w:szCs w:val="20"/>
              </w:rPr>
              <w:t>V riziku: Události</w:t>
            </w:r>
          </w:p>
        </w:tc>
      </w:tr>
      <w:tr w:rsidR="00EA5993" w:rsidRPr="00F25A60" w14:paraId="4D735963" w14:textId="77777777" w:rsidTr="00CD5C21">
        <w:tc>
          <w:tcPr>
            <w:tcW w:w="450" w:type="dxa"/>
          </w:tcPr>
          <w:p w14:paraId="1B8EAC60" w14:textId="77777777" w:rsidR="00EA5993" w:rsidRPr="00F25A60" w:rsidRDefault="00EA5993" w:rsidP="005C56E6">
            <w:pPr>
              <w:keepNext/>
              <w:keepLines/>
              <w:widowControl w:val="0"/>
              <w:spacing w:line="240" w:lineRule="auto"/>
              <w:rPr>
                <w:sz w:val="20"/>
                <w:szCs w:val="20"/>
              </w:rPr>
            </w:pPr>
            <w:r w:rsidRPr="00F25A60">
              <w:rPr>
                <w:sz w:val="20"/>
                <w:szCs w:val="20"/>
              </w:rPr>
              <w:t>(1)</w:t>
            </w:r>
          </w:p>
        </w:tc>
        <w:tc>
          <w:tcPr>
            <w:tcW w:w="687" w:type="dxa"/>
          </w:tcPr>
          <w:p w14:paraId="4B77ADA0" w14:textId="77777777" w:rsidR="00EA5993" w:rsidRPr="00F25A60" w:rsidRDefault="00EA5993" w:rsidP="005C56E6">
            <w:pPr>
              <w:keepNext/>
              <w:keepLines/>
              <w:widowControl w:val="0"/>
              <w:spacing w:line="240" w:lineRule="auto"/>
              <w:ind w:left="-45"/>
              <w:rPr>
                <w:sz w:val="20"/>
                <w:szCs w:val="20"/>
              </w:rPr>
            </w:pPr>
            <w:r w:rsidRPr="00F25A60">
              <w:rPr>
                <w:sz w:val="20"/>
                <w:szCs w:val="20"/>
              </w:rPr>
              <w:t>199:0</w:t>
            </w:r>
          </w:p>
        </w:tc>
        <w:tc>
          <w:tcPr>
            <w:tcW w:w="670" w:type="dxa"/>
          </w:tcPr>
          <w:p w14:paraId="494CA94B" w14:textId="77777777" w:rsidR="00EA5993" w:rsidRPr="00F25A60" w:rsidRDefault="00EA5993" w:rsidP="005C56E6">
            <w:pPr>
              <w:keepNext/>
              <w:keepLines/>
              <w:widowControl w:val="0"/>
              <w:spacing w:line="240" w:lineRule="auto"/>
              <w:ind w:left="-45"/>
              <w:rPr>
                <w:sz w:val="20"/>
                <w:szCs w:val="20"/>
              </w:rPr>
            </w:pPr>
            <w:r w:rsidRPr="00F25A60">
              <w:rPr>
                <w:sz w:val="20"/>
                <w:szCs w:val="20"/>
              </w:rPr>
              <w:t>190:2</w:t>
            </w:r>
          </w:p>
        </w:tc>
        <w:tc>
          <w:tcPr>
            <w:tcW w:w="710" w:type="dxa"/>
          </w:tcPr>
          <w:p w14:paraId="1D0777BE" w14:textId="77777777" w:rsidR="00EA5993" w:rsidRPr="00F25A60" w:rsidRDefault="00EA5993" w:rsidP="005C56E6">
            <w:pPr>
              <w:keepNext/>
              <w:keepLines/>
              <w:widowControl w:val="0"/>
              <w:spacing w:line="240" w:lineRule="auto"/>
              <w:ind w:left="-45"/>
              <w:rPr>
                <w:sz w:val="20"/>
                <w:szCs w:val="20"/>
              </w:rPr>
            </w:pPr>
            <w:r w:rsidRPr="00F25A60">
              <w:rPr>
                <w:sz w:val="20"/>
                <w:szCs w:val="20"/>
              </w:rPr>
              <w:t>188:2</w:t>
            </w:r>
          </w:p>
        </w:tc>
        <w:tc>
          <w:tcPr>
            <w:tcW w:w="717" w:type="dxa"/>
          </w:tcPr>
          <w:p w14:paraId="4289712A" w14:textId="77777777" w:rsidR="00EA5993" w:rsidRPr="00F25A60" w:rsidRDefault="00EA5993" w:rsidP="005C56E6">
            <w:pPr>
              <w:keepNext/>
              <w:keepLines/>
              <w:widowControl w:val="0"/>
              <w:spacing w:line="240" w:lineRule="auto"/>
              <w:ind w:left="-45"/>
              <w:rPr>
                <w:sz w:val="20"/>
                <w:szCs w:val="20"/>
              </w:rPr>
            </w:pPr>
            <w:r w:rsidRPr="00F25A60">
              <w:rPr>
                <w:sz w:val="20"/>
                <w:szCs w:val="20"/>
              </w:rPr>
              <w:t>183:6</w:t>
            </w:r>
          </w:p>
        </w:tc>
        <w:tc>
          <w:tcPr>
            <w:tcW w:w="691" w:type="dxa"/>
          </w:tcPr>
          <w:p w14:paraId="2DC73A7E" w14:textId="77777777" w:rsidR="00EA5993" w:rsidRPr="00F25A60" w:rsidRDefault="00EA5993" w:rsidP="005C56E6">
            <w:pPr>
              <w:keepNext/>
              <w:keepLines/>
              <w:widowControl w:val="0"/>
              <w:spacing w:line="240" w:lineRule="auto"/>
              <w:ind w:left="-45"/>
              <w:rPr>
                <w:sz w:val="20"/>
                <w:szCs w:val="20"/>
              </w:rPr>
            </w:pPr>
            <w:r w:rsidRPr="00F25A60">
              <w:rPr>
                <w:sz w:val="20"/>
                <w:szCs w:val="20"/>
              </w:rPr>
              <w:t>176:8</w:t>
            </w:r>
          </w:p>
        </w:tc>
        <w:tc>
          <w:tcPr>
            <w:tcW w:w="770" w:type="dxa"/>
          </w:tcPr>
          <w:p w14:paraId="4F1BAC45" w14:textId="77777777" w:rsidR="00EA5993" w:rsidRPr="00F25A60" w:rsidRDefault="00EA5993" w:rsidP="005C56E6">
            <w:pPr>
              <w:keepNext/>
              <w:keepLines/>
              <w:widowControl w:val="0"/>
              <w:spacing w:line="240" w:lineRule="auto"/>
              <w:ind w:left="-45"/>
              <w:rPr>
                <w:sz w:val="20"/>
                <w:szCs w:val="20"/>
              </w:rPr>
            </w:pPr>
            <w:r w:rsidRPr="00F25A60">
              <w:rPr>
                <w:sz w:val="20"/>
                <w:szCs w:val="20"/>
              </w:rPr>
              <w:t>156:10</w:t>
            </w:r>
          </w:p>
        </w:tc>
        <w:tc>
          <w:tcPr>
            <w:tcW w:w="779" w:type="dxa"/>
          </w:tcPr>
          <w:p w14:paraId="73ACAB41" w14:textId="77777777" w:rsidR="00EA5993" w:rsidRPr="00F25A60" w:rsidRDefault="00EA5993" w:rsidP="005C56E6">
            <w:pPr>
              <w:keepNext/>
              <w:keepLines/>
              <w:widowControl w:val="0"/>
              <w:spacing w:line="240" w:lineRule="auto"/>
              <w:ind w:left="-45"/>
              <w:rPr>
                <w:sz w:val="20"/>
                <w:szCs w:val="20"/>
              </w:rPr>
            </w:pPr>
            <w:r w:rsidRPr="00F25A60">
              <w:rPr>
                <w:sz w:val="20"/>
                <w:szCs w:val="20"/>
              </w:rPr>
              <w:t>140:11</w:t>
            </w:r>
          </w:p>
        </w:tc>
        <w:tc>
          <w:tcPr>
            <w:tcW w:w="794" w:type="dxa"/>
          </w:tcPr>
          <w:p w14:paraId="4232D4CC" w14:textId="77777777" w:rsidR="00EA5993" w:rsidRPr="00F25A60" w:rsidRDefault="00EA5993" w:rsidP="005C56E6">
            <w:pPr>
              <w:keepNext/>
              <w:keepLines/>
              <w:widowControl w:val="0"/>
              <w:spacing w:line="240" w:lineRule="auto"/>
              <w:ind w:left="-45"/>
              <w:rPr>
                <w:sz w:val="20"/>
                <w:szCs w:val="20"/>
              </w:rPr>
            </w:pPr>
            <w:r w:rsidRPr="00F25A60">
              <w:rPr>
                <w:sz w:val="20"/>
                <w:szCs w:val="20"/>
              </w:rPr>
              <w:t>105:14</w:t>
            </w:r>
          </w:p>
        </w:tc>
        <w:tc>
          <w:tcPr>
            <w:tcW w:w="653" w:type="dxa"/>
          </w:tcPr>
          <w:p w14:paraId="331A7D70" w14:textId="77777777" w:rsidR="00EA5993" w:rsidRPr="00F25A60" w:rsidRDefault="00EA5993" w:rsidP="005C56E6">
            <w:pPr>
              <w:keepNext/>
              <w:keepLines/>
              <w:widowControl w:val="0"/>
              <w:spacing w:line="240" w:lineRule="auto"/>
              <w:ind w:left="-45"/>
              <w:rPr>
                <w:sz w:val="20"/>
                <w:szCs w:val="20"/>
              </w:rPr>
            </w:pPr>
            <w:r w:rsidRPr="00F25A60">
              <w:rPr>
                <w:sz w:val="20"/>
                <w:szCs w:val="20"/>
              </w:rPr>
              <w:t>87:18</w:t>
            </w:r>
          </w:p>
        </w:tc>
        <w:tc>
          <w:tcPr>
            <w:tcW w:w="630" w:type="dxa"/>
          </w:tcPr>
          <w:p w14:paraId="1A4AF7AC" w14:textId="77777777" w:rsidR="00EA5993" w:rsidRPr="00F25A60" w:rsidRDefault="00EA5993" w:rsidP="005C56E6">
            <w:pPr>
              <w:keepNext/>
              <w:keepLines/>
              <w:widowControl w:val="0"/>
              <w:spacing w:line="240" w:lineRule="auto"/>
              <w:ind w:left="-45"/>
              <w:rPr>
                <w:sz w:val="20"/>
                <w:szCs w:val="20"/>
              </w:rPr>
            </w:pPr>
            <w:r w:rsidRPr="00F25A60">
              <w:rPr>
                <w:sz w:val="20"/>
                <w:szCs w:val="20"/>
              </w:rPr>
              <w:t>64:22</w:t>
            </w:r>
          </w:p>
        </w:tc>
        <w:tc>
          <w:tcPr>
            <w:tcW w:w="643" w:type="dxa"/>
          </w:tcPr>
          <w:p w14:paraId="490C4DFC" w14:textId="77777777" w:rsidR="00EA5993" w:rsidRPr="00F25A60" w:rsidRDefault="00EA5993" w:rsidP="005C56E6">
            <w:pPr>
              <w:keepNext/>
              <w:keepLines/>
              <w:widowControl w:val="0"/>
              <w:spacing w:line="240" w:lineRule="auto"/>
              <w:ind w:left="-45"/>
              <w:rPr>
                <w:sz w:val="20"/>
                <w:szCs w:val="20"/>
              </w:rPr>
            </w:pPr>
            <w:r w:rsidRPr="00F25A60">
              <w:rPr>
                <w:sz w:val="20"/>
                <w:szCs w:val="20"/>
              </w:rPr>
              <w:t>46:23</w:t>
            </w:r>
          </w:p>
        </w:tc>
        <w:tc>
          <w:tcPr>
            <w:tcW w:w="670" w:type="dxa"/>
          </w:tcPr>
          <w:p w14:paraId="7818A7D7" w14:textId="77777777" w:rsidR="00EA5993" w:rsidRPr="00F25A60" w:rsidRDefault="00EA5993" w:rsidP="005C56E6">
            <w:pPr>
              <w:keepNext/>
              <w:keepLines/>
              <w:widowControl w:val="0"/>
              <w:spacing w:line="240" w:lineRule="auto"/>
              <w:ind w:left="-45"/>
              <w:rPr>
                <w:sz w:val="20"/>
                <w:szCs w:val="20"/>
              </w:rPr>
            </w:pPr>
            <w:r w:rsidRPr="00F25A60">
              <w:rPr>
                <w:sz w:val="20"/>
                <w:szCs w:val="20"/>
              </w:rPr>
              <w:t>27:25</w:t>
            </w:r>
          </w:p>
        </w:tc>
        <w:tc>
          <w:tcPr>
            <w:tcW w:w="683" w:type="dxa"/>
          </w:tcPr>
          <w:p w14:paraId="64EBE780" w14:textId="77777777" w:rsidR="00EA5993" w:rsidRPr="00F25A60" w:rsidRDefault="00EA5993" w:rsidP="005C56E6">
            <w:pPr>
              <w:keepNext/>
              <w:keepLines/>
              <w:widowControl w:val="0"/>
              <w:spacing w:line="240" w:lineRule="auto"/>
              <w:ind w:left="-45"/>
              <w:rPr>
                <w:sz w:val="20"/>
                <w:szCs w:val="20"/>
              </w:rPr>
            </w:pPr>
            <w:r w:rsidRPr="00F25A60">
              <w:rPr>
                <w:sz w:val="20"/>
                <w:szCs w:val="20"/>
              </w:rPr>
              <w:t>20:25</w:t>
            </w:r>
          </w:p>
        </w:tc>
        <w:tc>
          <w:tcPr>
            <w:tcW w:w="558" w:type="dxa"/>
          </w:tcPr>
          <w:p w14:paraId="491D1834" w14:textId="77777777" w:rsidR="00EA5993" w:rsidRPr="00F25A60" w:rsidRDefault="00EA5993" w:rsidP="005C56E6">
            <w:pPr>
              <w:keepNext/>
              <w:keepLines/>
              <w:widowControl w:val="0"/>
              <w:spacing w:line="240" w:lineRule="auto"/>
              <w:ind w:left="-45"/>
              <w:rPr>
                <w:sz w:val="20"/>
                <w:szCs w:val="20"/>
              </w:rPr>
            </w:pPr>
            <w:r w:rsidRPr="00F25A60">
              <w:rPr>
                <w:sz w:val="20"/>
                <w:szCs w:val="20"/>
              </w:rPr>
              <w:t>2:25</w:t>
            </w:r>
          </w:p>
        </w:tc>
        <w:tc>
          <w:tcPr>
            <w:tcW w:w="527" w:type="dxa"/>
          </w:tcPr>
          <w:p w14:paraId="7C3662A5" w14:textId="77777777" w:rsidR="00EA5993" w:rsidRPr="00F25A60" w:rsidRDefault="00EA5993" w:rsidP="005C56E6">
            <w:pPr>
              <w:keepNext/>
              <w:keepLines/>
              <w:widowControl w:val="0"/>
              <w:spacing w:line="240" w:lineRule="auto"/>
              <w:ind w:left="-45"/>
              <w:rPr>
                <w:sz w:val="20"/>
                <w:szCs w:val="20"/>
              </w:rPr>
            </w:pPr>
            <w:r w:rsidRPr="00F25A60">
              <w:rPr>
                <w:sz w:val="20"/>
                <w:szCs w:val="20"/>
              </w:rPr>
              <w:t>0:25</w:t>
            </w:r>
          </w:p>
        </w:tc>
      </w:tr>
      <w:tr w:rsidR="00EA5993" w:rsidRPr="00F25A60" w14:paraId="654115CA" w14:textId="77777777" w:rsidTr="00CD5C21">
        <w:tc>
          <w:tcPr>
            <w:tcW w:w="450" w:type="dxa"/>
          </w:tcPr>
          <w:p w14:paraId="5D391822" w14:textId="77777777" w:rsidR="00EA5993" w:rsidRPr="00F25A60" w:rsidRDefault="00EA5993" w:rsidP="005C56E6">
            <w:pPr>
              <w:keepNext/>
              <w:keepLines/>
              <w:widowControl w:val="0"/>
              <w:spacing w:line="240" w:lineRule="auto"/>
              <w:rPr>
                <w:sz w:val="20"/>
                <w:szCs w:val="20"/>
              </w:rPr>
            </w:pPr>
            <w:r w:rsidRPr="00F25A60">
              <w:rPr>
                <w:sz w:val="20"/>
                <w:szCs w:val="20"/>
              </w:rPr>
              <w:t>(2)</w:t>
            </w:r>
          </w:p>
        </w:tc>
        <w:tc>
          <w:tcPr>
            <w:tcW w:w="687" w:type="dxa"/>
          </w:tcPr>
          <w:p w14:paraId="725FC324" w14:textId="77777777" w:rsidR="00EA5993" w:rsidRPr="00F25A60" w:rsidRDefault="00EA5993" w:rsidP="005C56E6">
            <w:pPr>
              <w:keepNext/>
              <w:keepLines/>
              <w:widowControl w:val="0"/>
              <w:spacing w:line="240" w:lineRule="auto"/>
              <w:ind w:left="-45"/>
              <w:rPr>
                <w:sz w:val="20"/>
                <w:szCs w:val="20"/>
              </w:rPr>
            </w:pPr>
            <w:r w:rsidRPr="00F25A60">
              <w:rPr>
                <w:sz w:val="20"/>
                <w:szCs w:val="20"/>
              </w:rPr>
              <w:t>198:0</w:t>
            </w:r>
          </w:p>
        </w:tc>
        <w:tc>
          <w:tcPr>
            <w:tcW w:w="670" w:type="dxa"/>
          </w:tcPr>
          <w:p w14:paraId="5ECE2068" w14:textId="77777777" w:rsidR="00EA5993" w:rsidRPr="00F25A60" w:rsidRDefault="00EA5993" w:rsidP="005C56E6">
            <w:pPr>
              <w:keepNext/>
              <w:keepLines/>
              <w:widowControl w:val="0"/>
              <w:spacing w:line="240" w:lineRule="auto"/>
              <w:ind w:left="-45"/>
              <w:rPr>
                <w:sz w:val="20"/>
                <w:szCs w:val="20"/>
              </w:rPr>
            </w:pPr>
            <w:r w:rsidRPr="00F25A60">
              <w:rPr>
                <w:sz w:val="20"/>
                <w:szCs w:val="20"/>
              </w:rPr>
              <w:t>196:0</w:t>
            </w:r>
          </w:p>
        </w:tc>
        <w:tc>
          <w:tcPr>
            <w:tcW w:w="710" w:type="dxa"/>
          </w:tcPr>
          <w:p w14:paraId="24BE1804" w14:textId="77777777" w:rsidR="00EA5993" w:rsidRPr="00F25A60" w:rsidRDefault="00EA5993" w:rsidP="005C56E6">
            <w:pPr>
              <w:keepNext/>
              <w:keepLines/>
              <w:widowControl w:val="0"/>
              <w:spacing w:line="240" w:lineRule="auto"/>
              <w:ind w:left="-45"/>
              <w:rPr>
                <w:sz w:val="20"/>
                <w:szCs w:val="20"/>
              </w:rPr>
            </w:pPr>
            <w:r w:rsidRPr="00F25A60">
              <w:rPr>
                <w:sz w:val="20"/>
                <w:szCs w:val="20"/>
              </w:rPr>
              <w:t>192:0</w:t>
            </w:r>
          </w:p>
        </w:tc>
        <w:tc>
          <w:tcPr>
            <w:tcW w:w="717" w:type="dxa"/>
          </w:tcPr>
          <w:p w14:paraId="2BAC09F3" w14:textId="77777777" w:rsidR="00EA5993" w:rsidRPr="00F25A60" w:rsidRDefault="00EA5993" w:rsidP="005C56E6">
            <w:pPr>
              <w:keepNext/>
              <w:keepLines/>
              <w:widowControl w:val="0"/>
              <w:spacing w:line="240" w:lineRule="auto"/>
              <w:ind w:left="-45"/>
              <w:rPr>
                <w:sz w:val="20"/>
                <w:szCs w:val="20"/>
              </w:rPr>
            </w:pPr>
            <w:r w:rsidRPr="00F25A60">
              <w:rPr>
                <w:sz w:val="20"/>
                <w:szCs w:val="20"/>
              </w:rPr>
              <w:t>187:4</w:t>
            </w:r>
          </w:p>
        </w:tc>
        <w:tc>
          <w:tcPr>
            <w:tcW w:w="691" w:type="dxa"/>
          </w:tcPr>
          <w:p w14:paraId="02068779" w14:textId="77777777" w:rsidR="00EA5993" w:rsidRPr="00F25A60" w:rsidRDefault="00EA5993" w:rsidP="005C56E6">
            <w:pPr>
              <w:keepNext/>
              <w:keepLines/>
              <w:widowControl w:val="0"/>
              <w:spacing w:line="240" w:lineRule="auto"/>
              <w:ind w:left="-45"/>
              <w:rPr>
                <w:sz w:val="20"/>
                <w:szCs w:val="20"/>
              </w:rPr>
            </w:pPr>
            <w:r w:rsidRPr="00F25A60">
              <w:rPr>
                <w:sz w:val="20"/>
                <w:szCs w:val="20"/>
              </w:rPr>
              <w:t>184:5</w:t>
            </w:r>
          </w:p>
        </w:tc>
        <w:tc>
          <w:tcPr>
            <w:tcW w:w="770" w:type="dxa"/>
          </w:tcPr>
          <w:p w14:paraId="4F87D86A" w14:textId="77777777" w:rsidR="00EA5993" w:rsidRPr="00F25A60" w:rsidRDefault="00EA5993" w:rsidP="005C56E6">
            <w:pPr>
              <w:keepNext/>
              <w:keepLines/>
              <w:widowControl w:val="0"/>
              <w:spacing w:line="240" w:lineRule="auto"/>
              <w:ind w:left="-45"/>
              <w:rPr>
                <w:sz w:val="20"/>
                <w:szCs w:val="20"/>
              </w:rPr>
            </w:pPr>
            <w:r w:rsidRPr="00F25A60">
              <w:rPr>
                <w:sz w:val="20"/>
                <w:szCs w:val="20"/>
              </w:rPr>
              <w:t>164:7</w:t>
            </w:r>
          </w:p>
        </w:tc>
        <w:tc>
          <w:tcPr>
            <w:tcW w:w="779" w:type="dxa"/>
          </w:tcPr>
          <w:p w14:paraId="298641D7" w14:textId="77777777" w:rsidR="00EA5993" w:rsidRPr="00F25A60" w:rsidRDefault="00EA5993" w:rsidP="005C56E6">
            <w:pPr>
              <w:keepNext/>
              <w:keepLines/>
              <w:widowControl w:val="0"/>
              <w:spacing w:line="240" w:lineRule="auto"/>
              <w:ind w:left="-45"/>
              <w:rPr>
                <w:sz w:val="20"/>
                <w:szCs w:val="20"/>
              </w:rPr>
            </w:pPr>
            <w:r w:rsidRPr="00F25A60">
              <w:rPr>
                <w:sz w:val="20"/>
                <w:szCs w:val="20"/>
              </w:rPr>
              <w:t>152:7</w:t>
            </w:r>
          </w:p>
        </w:tc>
        <w:tc>
          <w:tcPr>
            <w:tcW w:w="794" w:type="dxa"/>
          </w:tcPr>
          <w:p w14:paraId="1E988BBB" w14:textId="77777777" w:rsidR="00EA5993" w:rsidRPr="00F25A60" w:rsidRDefault="00EA5993" w:rsidP="005C56E6">
            <w:pPr>
              <w:keepNext/>
              <w:keepLines/>
              <w:widowControl w:val="0"/>
              <w:spacing w:line="240" w:lineRule="auto"/>
              <w:ind w:left="-45"/>
              <w:rPr>
                <w:sz w:val="20"/>
                <w:szCs w:val="20"/>
              </w:rPr>
            </w:pPr>
            <w:r w:rsidRPr="00F25A60">
              <w:rPr>
                <w:sz w:val="20"/>
                <w:szCs w:val="20"/>
              </w:rPr>
              <w:t>119:8</w:t>
            </w:r>
          </w:p>
        </w:tc>
        <w:tc>
          <w:tcPr>
            <w:tcW w:w="653" w:type="dxa"/>
          </w:tcPr>
          <w:p w14:paraId="5D35485E" w14:textId="77777777" w:rsidR="00EA5993" w:rsidRPr="00F25A60" w:rsidRDefault="00EA5993" w:rsidP="005C56E6">
            <w:pPr>
              <w:keepNext/>
              <w:keepLines/>
              <w:widowControl w:val="0"/>
              <w:spacing w:line="240" w:lineRule="auto"/>
              <w:ind w:left="-45"/>
              <w:rPr>
                <w:sz w:val="20"/>
                <w:szCs w:val="20"/>
              </w:rPr>
            </w:pPr>
            <w:r w:rsidRPr="00F25A60">
              <w:rPr>
                <w:sz w:val="20"/>
                <w:szCs w:val="20"/>
              </w:rPr>
              <w:t>100:8</w:t>
            </w:r>
          </w:p>
        </w:tc>
        <w:tc>
          <w:tcPr>
            <w:tcW w:w="630" w:type="dxa"/>
          </w:tcPr>
          <w:p w14:paraId="60262A45" w14:textId="77777777" w:rsidR="00EA5993" w:rsidRPr="00F25A60" w:rsidRDefault="00EA5993" w:rsidP="005C56E6">
            <w:pPr>
              <w:keepNext/>
              <w:keepLines/>
              <w:widowControl w:val="0"/>
              <w:spacing w:line="240" w:lineRule="auto"/>
              <w:ind w:left="-45"/>
              <w:rPr>
                <w:sz w:val="20"/>
                <w:szCs w:val="20"/>
              </w:rPr>
            </w:pPr>
            <w:r w:rsidRPr="00F25A60">
              <w:rPr>
                <w:sz w:val="20"/>
                <w:szCs w:val="20"/>
              </w:rPr>
              <w:t>76:10</w:t>
            </w:r>
          </w:p>
        </w:tc>
        <w:tc>
          <w:tcPr>
            <w:tcW w:w="643" w:type="dxa"/>
          </w:tcPr>
          <w:p w14:paraId="33307707" w14:textId="77777777" w:rsidR="00EA5993" w:rsidRPr="00F25A60" w:rsidRDefault="00EA5993" w:rsidP="005C56E6">
            <w:pPr>
              <w:keepNext/>
              <w:keepLines/>
              <w:widowControl w:val="0"/>
              <w:spacing w:line="240" w:lineRule="auto"/>
              <w:ind w:left="-45"/>
              <w:rPr>
                <w:sz w:val="20"/>
                <w:szCs w:val="20"/>
              </w:rPr>
            </w:pPr>
            <w:r w:rsidRPr="00F25A60">
              <w:rPr>
                <w:sz w:val="20"/>
                <w:szCs w:val="20"/>
              </w:rPr>
              <w:t>56:11</w:t>
            </w:r>
          </w:p>
        </w:tc>
        <w:tc>
          <w:tcPr>
            <w:tcW w:w="670" w:type="dxa"/>
          </w:tcPr>
          <w:p w14:paraId="655318D7" w14:textId="77777777" w:rsidR="00EA5993" w:rsidRPr="00F25A60" w:rsidRDefault="00EA5993" w:rsidP="005C56E6">
            <w:pPr>
              <w:keepNext/>
              <w:keepLines/>
              <w:widowControl w:val="0"/>
              <w:spacing w:line="240" w:lineRule="auto"/>
              <w:ind w:left="-45"/>
              <w:rPr>
                <w:sz w:val="20"/>
                <w:szCs w:val="20"/>
              </w:rPr>
            </w:pPr>
            <w:r w:rsidRPr="00F25A60">
              <w:rPr>
                <w:sz w:val="20"/>
                <w:szCs w:val="20"/>
              </w:rPr>
              <w:t>31:11</w:t>
            </w:r>
          </w:p>
        </w:tc>
        <w:tc>
          <w:tcPr>
            <w:tcW w:w="683" w:type="dxa"/>
          </w:tcPr>
          <w:p w14:paraId="3FECCD04" w14:textId="77777777" w:rsidR="00EA5993" w:rsidRPr="00F25A60" w:rsidRDefault="00EA5993" w:rsidP="005C56E6">
            <w:pPr>
              <w:keepNext/>
              <w:keepLines/>
              <w:widowControl w:val="0"/>
              <w:spacing w:line="240" w:lineRule="auto"/>
              <w:ind w:left="-45"/>
              <w:rPr>
                <w:sz w:val="20"/>
                <w:szCs w:val="20"/>
              </w:rPr>
            </w:pPr>
            <w:r w:rsidRPr="00F25A60">
              <w:rPr>
                <w:sz w:val="20"/>
                <w:szCs w:val="20"/>
              </w:rPr>
              <w:t>13:12</w:t>
            </w:r>
          </w:p>
        </w:tc>
        <w:tc>
          <w:tcPr>
            <w:tcW w:w="558" w:type="dxa"/>
          </w:tcPr>
          <w:p w14:paraId="7A81F548" w14:textId="77777777" w:rsidR="00EA5993" w:rsidRPr="00F25A60" w:rsidRDefault="00EA5993" w:rsidP="005C56E6">
            <w:pPr>
              <w:keepNext/>
              <w:keepLines/>
              <w:widowControl w:val="0"/>
              <w:spacing w:line="240" w:lineRule="auto"/>
              <w:ind w:left="-45"/>
              <w:rPr>
                <w:sz w:val="20"/>
                <w:szCs w:val="20"/>
              </w:rPr>
            </w:pPr>
            <w:r w:rsidRPr="00F25A60">
              <w:rPr>
                <w:sz w:val="20"/>
                <w:szCs w:val="20"/>
              </w:rPr>
              <w:t>0:12</w:t>
            </w:r>
          </w:p>
        </w:tc>
        <w:tc>
          <w:tcPr>
            <w:tcW w:w="527" w:type="dxa"/>
          </w:tcPr>
          <w:p w14:paraId="66ABBB66" w14:textId="77777777" w:rsidR="00EA5993" w:rsidRPr="00F25A60" w:rsidRDefault="00EA5993" w:rsidP="005C56E6">
            <w:pPr>
              <w:keepNext/>
              <w:keepLines/>
              <w:widowControl w:val="0"/>
              <w:spacing w:line="240" w:lineRule="auto"/>
              <w:ind w:left="-45"/>
              <w:rPr>
                <w:sz w:val="20"/>
                <w:szCs w:val="20"/>
              </w:rPr>
            </w:pPr>
          </w:p>
        </w:tc>
      </w:tr>
    </w:tbl>
    <w:p w14:paraId="0CEDC924" w14:textId="77777777" w:rsidR="00EA5993" w:rsidRPr="00F25A60" w:rsidRDefault="00EA5993" w:rsidP="005C56E6">
      <w:pPr>
        <w:pStyle w:val="EndnoteText"/>
        <w:widowControl w:val="0"/>
        <w:tabs>
          <w:tab w:val="clear" w:pos="567"/>
        </w:tabs>
        <w:rPr>
          <w:color w:val="000000"/>
        </w:rPr>
      </w:pPr>
    </w:p>
    <w:p w14:paraId="194A2CFE" w14:textId="77777777" w:rsidR="00EA5993" w:rsidRPr="00F25A60" w:rsidRDefault="00EA5993" w:rsidP="0048111F">
      <w:pPr>
        <w:pStyle w:val="EndnoteText"/>
        <w:tabs>
          <w:tab w:val="clear" w:pos="567"/>
        </w:tabs>
        <w:rPr>
          <w:rFonts w:eastAsia="MS Mincho"/>
          <w:color w:val="000000"/>
        </w:rPr>
      </w:pPr>
      <w:r w:rsidRPr="00F25A60">
        <w:rPr>
          <w:color w:val="000000"/>
        </w:rPr>
        <w:t>U pediatrických pacientů s c-Kit pozitivním GIST nebyly provedeny kontrolované klinické studie. V 7 publikacích bylo hlášeno sedmnáct (17) pacientů s GIST (s Kit nebo bez Kit a s mutacemi PDGFR nebo bez mutací PDGFR). Věk těchto pacientů se pohyboval v rozmezí 8 až 18 let a imatinib byl podáván adjuvantně i pro metastatické onemocnění v dávkách v rozmezí 300 až 800 mg denně. U většiny léčených pacientů s GIST nebyla k dispozici data potvrzující c-kit nebo mutace PDGFR, což mohlo vést k různým klinickým výsledkům.</w:t>
      </w:r>
    </w:p>
    <w:p w14:paraId="4DACC79E" w14:textId="77777777" w:rsidR="00EA5993" w:rsidRPr="00F25A60" w:rsidRDefault="00EA5993" w:rsidP="0048111F">
      <w:pPr>
        <w:pStyle w:val="EndnoteText"/>
        <w:tabs>
          <w:tab w:val="clear" w:pos="567"/>
        </w:tabs>
        <w:rPr>
          <w:rFonts w:eastAsia="MS Mincho"/>
          <w:color w:val="000000"/>
          <w:u w:val="single"/>
        </w:rPr>
      </w:pPr>
    </w:p>
    <w:p w14:paraId="7872CCD7" w14:textId="2AB30F0D" w:rsidR="00EA5993" w:rsidRPr="00F25A60" w:rsidRDefault="00EA5993" w:rsidP="0048111F">
      <w:pPr>
        <w:pStyle w:val="EndnoteText"/>
        <w:keepNext/>
        <w:tabs>
          <w:tab w:val="clear" w:pos="567"/>
        </w:tabs>
        <w:rPr>
          <w:rFonts w:eastAsia="MS Mincho"/>
          <w:color w:val="000000"/>
          <w:u w:val="single"/>
        </w:rPr>
      </w:pPr>
      <w:r w:rsidRPr="00F25A60">
        <w:rPr>
          <w:rFonts w:eastAsia="MS Mincho"/>
          <w:color w:val="000000"/>
          <w:u w:val="single"/>
        </w:rPr>
        <w:t>Klinické studie u DFSP</w:t>
      </w:r>
    </w:p>
    <w:p w14:paraId="325522B7" w14:textId="77777777" w:rsidR="00DF45EE" w:rsidRPr="00F25A60" w:rsidRDefault="00DF45EE" w:rsidP="0048111F">
      <w:pPr>
        <w:pStyle w:val="EndnoteText"/>
        <w:keepNext/>
        <w:tabs>
          <w:tab w:val="clear" w:pos="567"/>
        </w:tabs>
        <w:rPr>
          <w:rFonts w:eastAsia="MS Mincho"/>
          <w:color w:val="000000"/>
        </w:rPr>
      </w:pPr>
    </w:p>
    <w:p w14:paraId="67294924" w14:textId="47A454A3" w:rsidR="00EA5993" w:rsidRPr="00F25A60" w:rsidRDefault="00EA5993" w:rsidP="0048111F">
      <w:pPr>
        <w:pStyle w:val="EndnoteText"/>
        <w:tabs>
          <w:tab w:val="clear" w:pos="567"/>
        </w:tabs>
        <w:rPr>
          <w:color w:val="000000"/>
        </w:rPr>
      </w:pPr>
      <w:r w:rsidRPr="00F25A60">
        <w:rPr>
          <w:rFonts w:eastAsia="MS Mincho"/>
          <w:color w:val="000000"/>
        </w:rPr>
        <w:t>Byla provedena otevřená, multicentrická klinická studie fáze II (studie B2225) zahrnující 12 pacientů s DFSP léčených Glivecem 800 mg denně. Věk pacientů s DFSP byl v rozmezí 23 až 75 </w:t>
      </w:r>
      <w:r w:rsidR="004F264F" w:rsidRPr="00F25A60">
        <w:rPr>
          <w:rFonts w:eastAsia="MS Mincho"/>
          <w:color w:val="000000"/>
        </w:rPr>
        <w:t>let</w:t>
      </w:r>
      <w:r w:rsidRPr="00F25A60">
        <w:rPr>
          <w:rFonts w:eastAsia="MS Mincho"/>
          <w:color w:val="000000"/>
        </w:rPr>
        <w:t>; DFSP byl metastatický, lokálně recidivující po primárním chirurgickém vynětí a v době zařazení do studie vyhodnocen jako inoperabilní.</w:t>
      </w:r>
      <w:r w:rsidR="00A12785" w:rsidRPr="00F25A60">
        <w:rPr>
          <w:rFonts w:eastAsia="MS Mincho"/>
          <w:color w:val="000000"/>
        </w:rPr>
        <w:t xml:space="preserve"> </w:t>
      </w:r>
      <w:r w:rsidRPr="00F25A60">
        <w:rPr>
          <w:rFonts w:eastAsia="MS Mincho"/>
          <w:color w:val="000000"/>
        </w:rPr>
        <w:t xml:space="preserve">Primární důkaz účinnosti byl založen na </w:t>
      </w:r>
      <w:r w:rsidR="004F264F" w:rsidRPr="00F25A60">
        <w:rPr>
          <w:rFonts w:eastAsia="MS Mincho"/>
          <w:color w:val="000000"/>
        </w:rPr>
        <w:t>výskytu</w:t>
      </w:r>
      <w:r w:rsidRPr="00F25A60">
        <w:rPr>
          <w:rFonts w:eastAsia="MS Mincho"/>
          <w:color w:val="000000"/>
        </w:rPr>
        <w:t xml:space="preserve"> objektivní odpovědi. Z 12 zařazených pacientů jich 9 odpovědělo: 1 kompletně a 8 parciálně. Tři pacienti s parciální odpovědí byli následně po provedené operaci interpretováni jako bez známek onemocnění. Medián doby trvání léčby ve studii B2225 byl 6,2 měsíce, s maximem doby trvání 24,3 měsíců. Dalších 6 pacientů s DFSP léčených Glivecem bylo publikováno v 5 kazuistikách, věk těchto pacientů byl v</w:t>
      </w:r>
      <w:ins w:id="372" w:author="Author">
        <w:r w:rsidR="009274D5" w:rsidRPr="00F25A60">
          <w:rPr>
            <w:color w:val="000000"/>
          </w:rPr>
          <w:t> </w:t>
        </w:r>
      </w:ins>
      <w:del w:id="373" w:author="Author">
        <w:r w:rsidRPr="00F25A60" w:rsidDel="009274D5">
          <w:rPr>
            <w:rFonts w:eastAsia="MS Mincho"/>
            <w:color w:val="000000"/>
          </w:rPr>
          <w:delText xml:space="preserve"> </w:delText>
        </w:r>
      </w:del>
      <w:r w:rsidRPr="00F25A60">
        <w:rPr>
          <w:rFonts w:eastAsia="MS Mincho"/>
          <w:color w:val="000000"/>
        </w:rPr>
        <w:t xml:space="preserve">rozmezí 18 měsíců až 49 let. Dospělí pacienti uvedení v publikované literatuře byli léčeni dávkou Glivecu buď 400 mg (4 případy) nebo 800 mg (1 případ) denně. Odpovědělo pět pacientů, 3 kompletně a 2 parciálně. Medián doby trvání léčby v publikované literatuře je v rozmezí 4 týdnů až více než 20 měsíců. Translokace </w:t>
      </w:r>
      <w:r w:rsidRPr="00F25A60">
        <w:rPr>
          <w:color w:val="000000"/>
        </w:rPr>
        <w:t>t</w:t>
      </w:r>
      <w:r w:rsidR="00435A80" w:rsidRPr="00F25A60">
        <w:rPr>
          <w:color w:val="000000"/>
        </w:rPr>
        <w:t xml:space="preserve"> </w:t>
      </w:r>
      <w:r w:rsidRPr="00F25A60">
        <w:rPr>
          <w:color w:val="000000"/>
        </w:rPr>
        <w:t>(17:22)[(q22:q13)] nebo její genový produkt byl přítomen téměř u všech pacientů odpovídajících na léčbu Glivecem.</w:t>
      </w:r>
    </w:p>
    <w:p w14:paraId="35E7DFCB" w14:textId="77777777" w:rsidR="00EA5993" w:rsidRPr="00F25A60" w:rsidRDefault="00EA5993" w:rsidP="0048111F">
      <w:pPr>
        <w:pStyle w:val="EndnoteText"/>
        <w:tabs>
          <w:tab w:val="clear" w:pos="567"/>
        </w:tabs>
        <w:rPr>
          <w:color w:val="000000"/>
        </w:rPr>
      </w:pPr>
    </w:p>
    <w:p w14:paraId="1B812FF0" w14:textId="77777777" w:rsidR="00EA5993" w:rsidRPr="00F25A60" w:rsidRDefault="00EA5993" w:rsidP="0048111F">
      <w:pPr>
        <w:pStyle w:val="EndnoteText"/>
        <w:tabs>
          <w:tab w:val="clear" w:pos="567"/>
        </w:tabs>
        <w:rPr>
          <w:color w:val="000000"/>
        </w:rPr>
      </w:pPr>
      <w:r w:rsidRPr="00F25A60">
        <w:rPr>
          <w:color w:val="000000"/>
        </w:rPr>
        <w:t>U pediatrických pacientů s DFSP nebyly provedeny kontrolované klinické studie. Ve 3 publikacích bylo hlášeno pět (5) pacientů s DFSP a přestavbou PDGFR genu. Věk pacientů se pohyboval od narození do 14 let a imatinib byl podáván v dávce 50 mg denně nebo v dávkách v rozmezí 400 až 520 mg/</w:t>
      </w:r>
      <w:r w:rsidRPr="00F25A60">
        <w:rPr>
          <w:color w:val="000000"/>
          <w:lang w:eastAsia="ja-JP"/>
        </w:rPr>
        <w:t>m</w:t>
      </w:r>
      <w:r w:rsidRPr="00F25A60">
        <w:rPr>
          <w:color w:val="000000"/>
          <w:vertAlign w:val="superscript"/>
          <w:lang w:eastAsia="ja-JP"/>
        </w:rPr>
        <w:t>2</w:t>
      </w:r>
      <w:r w:rsidRPr="00F25A60">
        <w:rPr>
          <w:color w:val="000000"/>
        </w:rPr>
        <w:t xml:space="preserve"> denně. Všichni pacienti dosáhli částečné a/nebo kompletní odpovědi.</w:t>
      </w:r>
    </w:p>
    <w:p w14:paraId="4618BEB6" w14:textId="77777777" w:rsidR="00EA5993" w:rsidRPr="00F25A60" w:rsidRDefault="00EA5993" w:rsidP="0048111F">
      <w:pPr>
        <w:pStyle w:val="EndnoteText"/>
        <w:tabs>
          <w:tab w:val="clear" w:pos="567"/>
        </w:tabs>
        <w:rPr>
          <w:color w:val="000000"/>
        </w:rPr>
      </w:pPr>
    </w:p>
    <w:p w14:paraId="3E59329F" w14:textId="77777777" w:rsidR="00D94F95" w:rsidRPr="00F25A60" w:rsidRDefault="00D94F95" w:rsidP="0048111F">
      <w:pPr>
        <w:keepNext/>
        <w:tabs>
          <w:tab w:val="clear" w:pos="567"/>
        </w:tabs>
        <w:spacing w:line="240" w:lineRule="auto"/>
        <w:ind w:left="567" w:hanging="567"/>
        <w:rPr>
          <w:color w:val="000000"/>
        </w:rPr>
      </w:pPr>
      <w:r w:rsidRPr="00F25A60">
        <w:rPr>
          <w:b/>
          <w:bCs/>
          <w:color w:val="000000"/>
        </w:rPr>
        <w:lastRenderedPageBreak/>
        <w:t>5.2</w:t>
      </w:r>
      <w:r w:rsidRPr="00F25A60">
        <w:rPr>
          <w:b/>
          <w:bCs/>
          <w:color w:val="000000"/>
        </w:rPr>
        <w:tab/>
        <w:t>Farmakokinetické vlastnosti</w:t>
      </w:r>
    </w:p>
    <w:p w14:paraId="7EF7C3D1" w14:textId="77777777" w:rsidR="00D94F95" w:rsidRPr="00F25A60" w:rsidRDefault="00D94F95" w:rsidP="0048111F">
      <w:pPr>
        <w:pStyle w:val="EndnoteText"/>
        <w:keepNext/>
        <w:tabs>
          <w:tab w:val="clear" w:pos="567"/>
        </w:tabs>
        <w:rPr>
          <w:color w:val="000000"/>
        </w:rPr>
      </w:pPr>
    </w:p>
    <w:p w14:paraId="022022C3" w14:textId="7BF76D65" w:rsidR="00D94F95" w:rsidRPr="00F25A60" w:rsidRDefault="00D94F95" w:rsidP="0048111F">
      <w:pPr>
        <w:pStyle w:val="EndnoteText"/>
        <w:keepNext/>
        <w:tabs>
          <w:tab w:val="clear" w:pos="567"/>
        </w:tabs>
        <w:rPr>
          <w:color w:val="000000"/>
          <w:u w:val="single"/>
        </w:rPr>
      </w:pPr>
      <w:r w:rsidRPr="00F25A60">
        <w:rPr>
          <w:color w:val="000000"/>
          <w:u w:val="single"/>
        </w:rPr>
        <w:t>Farmakokinetika Glivecu</w:t>
      </w:r>
    </w:p>
    <w:p w14:paraId="5E2CC4A9" w14:textId="77777777" w:rsidR="00DF45EE" w:rsidRPr="00F25A60" w:rsidRDefault="00DF45EE" w:rsidP="0048111F">
      <w:pPr>
        <w:pStyle w:val="EndnoteText"/>
        <w:keepNext/>
        <w:tabs>
          <w:tab w:val="clear" w:pos="567"/>
        </w:tabs>
        <w:rPr>
          <w:color w:val="000000"/>
        </w:rPr>
      </w:pPr>
    </w:p>
    <w:p w14:paraId="25E253CE" w14:textId="77777777" w:rsidR="00D94F95" w:rsidRPr="00F25A60" w:rsidRDefault="00D94F95" w:rsidP="0048111F">
      <w:pPr>
        <w:pStyle w:val="EndnoteText"/>
        <w:tabs>
          <w:tab w:val="clear" w:pos="567"/>
        </w:tabs>
        <w:rPr>
          <w:color w:val="000000"/>
        </w:rPr>
      </w:pPr>
      <w:r w:rsidRPr="00F25A60">
        <w:rPr>
          <w:color w:val="000000"/>
        </w:rPr>
        <w:t>Farmakokinetika Glivecu byla hodnocena v rozmezí dávek 25 až 1 000 mg. Farmakokinetický profil léku v plazmě byl analyzován 1.</w:t>
      </w:r>
      <w:r w:rsidR="003A2308" w:rsidRPr="00F25A60">
        <w:rPr>
          <w:color w:val="000000"/>
        </w:rPr>
        <w:t xml:space="preserve"> a </w:t>
      </w:r>
      <w:r w:rsidRPr="00F25A60">
        <w:rPr>
          <w:color w:val="000000"/>
        </w:rPr>
        <w:t>7. nebo 28. den, kdy koncentrace v plazmě dosáhla rovnovážného stavu.</w:t>
      </w:r>
    </w:p>
    <w:p w14:paraId="76B5CBD1" w14:textId="77777777" w:rsidR="00D94F95" w:rsidRPr="00F25A60" w:rsidRDefault="00D94F95" w:rsidP="0048111F">
      <w:pPr>
        <w:pStyle w:val="EndnoteText"/>
        <w:tabs>
          <w:tab w:val="clear" w:pos="567"/>
        </w:tabs>
        <w:rPr>
          <w:color w:val="000000"/>
        </w:rPr>
      </w:pPr>
    </w:p>
    <w:p w14:paraId="37591ACB" w14:textId="0BB37F92" w:rsidR="00D97A44" w:rsidRPr="00F25A60" w:rsidRDefault="00D97A44" w:rsidP="0048111F">
      <w:pPr>
        <w:pStyle w:val="EndnoteText"/>
        <w:keepNext/>
        <w:tabs>
          <w:tab w:val="clear" w:pos="567"/>
        </w:tabs>
        <w:rPr>
          <w:color w:val="000000"/>
          <w:u w:val="single"/>
        </w:rPr>
      </w:pPr>
      <w:r w:rsidRPr="00F25A60">
        <w:rPr>
          <w:color w:val="000000"/>
          <w:u w:val="single"/>
        </w:rPr>
        <w:t>Absorpce</w:t>
      </w:r>
    </w:p>
    <w:p w14:paraId="0031A922" w14:textId="77777777" w:rsidR="00DF45EE" w:rsidRPr="00F25A60" w:rsidRDefault="00DF45EE" w:rsidP="0048111F">
      <w:pPr>
        <w:pStyle w:val="EndnoteText"/>
        <w:keepNext/>
        <w:tabs>
          <w:tab w:val="clear" w:pos="567"/>
        </w:tabs>
        <w:rPr>
          <w:color w:val="000000"/>
        </w:rPr>
      </w:pPr>
    </w:p>
    <w:p w14:paraId="7065BFF9" w14:textId="77777777" w:rsidR="00D97A44" w:rsidRPr="00F25A60" w:rsidRDefault="00D97A44" w:rsidP="0048111F">
      <w:pPr>
        <w:pStyle w:val="EndnoteText"/>
        <w:tabs>
          <w:tab w:val="clear" w:pos="567"/>
        </w:tabs>
        <w:rPr>
          <w:color w:val="000000"/>
        </w:rPr>
      </w:pPr>
      <w:r w:rsidRPr="00F25A60">
        <w:rPr>
          <w:color w:val="000000"/>
        </w:rPr>
        <w:t>Průměrná absolutní biologická dostupnost imatinibu byla 98</w:t>
      </w:r>
      <w:r w:rsidR="00FC57C0" w:rsidRPr="00F25A60">
        <w:rPr>
          <w:color w:val="000000"/>
        </w:rPr>
        <w:t> </w:t>
      </w:r>
      <w:r w:rsidRPr="00F25A60">
        <w:rPr>
          <w:color w:val="000000"/>
        </w:rPr>
        <w:t xml:space="preserve">%. Po perorálním podání byla mezi pacienty vysoká variabilita v hladinách </w:t>
      </w:r>
      <w:r w:rsidR="00E9090F" w:rsidRPr="00F25A60">
        <w:rPr>
          <w:color w:val="000000"/>
        </w:rPr>
        <w:t xml:space="preserve">AUC </w:t>
      </w:r>
      <w:r w:rsidRPr="00F25A60">
        <w:rPr>
          <w:color w:val="000000"/>
        </w:rPr>
        <w:t xml:space="preserve">imatinibu v plazmě. Při podání léku s tučným jídlem, byla </w:t>
      </w:r>
      <w:r w:rsidR="003A2308" w:rsidRPr="00F25A60">
        <w:rPr>
          <w:color w:val="000000"/>
        </w:rPr>
        <w:t xml:space="preserve">rychlost </w:t>
      </w:r>
      <w:r w:rsidRPr="00F25A60">
        <w:rPr>
          <w:color w:val="000000"/>
        </w:rPr>
        <w:t>absorpce imatinibu snížena jen minimálně (11</w:t>
      </w:r>
      <w:r w:rsidR="00FC57C0" w:rsidRPr="00F25A60">
        <w:rPr>
          <w:color w:val="000000"/>
        </w:rPr>
        <w:t> </w:t>
      </w:r>
      <w:r w:rsidRPr="00F25A60">
        <w:rPr>
          <w:color w:val="000000"/>
        </w:rPr>
        <w:t>% snížení C</w:t>
      </w:r>
      <w:r w:rsidRPr="00F25A60">
        <w:rPr>
          <w:color w:val="000000"/>
          <w:vertAlign w:val="subscript"/>
        </w:rPr>
        <w:t>max</w:t>
      </w:r>
      <w:r w:rsidRPr="00F25A60">
        <w:rPr>
          <w:color w:val="000000"/>
        </w:rPr>
        <w:t xml:space="preserve"> a prodloužení t</w:t>
      </w:r>
      <w:r w:rsidRPr="00F25A60">
        <w:rPr>
          <w:color w:val="000000"/>
          <w:vertAlign w:val="subscript"/>
        </w:rPr>
        <w:t>max</w:t>
      </w:r>
      <w:r w:rsidRPr="00F25A60">
        <w:rPr>
          <w:color w:val="000000"/>
        </w:rPr>
        <w:t xml:space="preserve"> o 1,5 h), s malým zmenšením AUC (7,4</w:t>
      </w:r>
      <w:r w:rsidR="00FC57C0" w:rsidRPr="00F25A60">
        <w:rPr>
          <w:color w:val="000000"/>
        </w:rPr>
        <w:t> </w:t>
      </w:r>
      <w:r w:rsidRPr="00F25A60">
        <w:rPr>
          <w:color w:val="000000"/>
        </w:rPr>
        <w:t>%), ve srovnání s podáním nalačno. Ovlivnění absorpce léku předchozí gastrointestinální operací nebylo studováno.</w:t>
      </w:r>
    </w:p>
    <w:p w14:paraId="0A82B8AF" w14:textId="77777777" w:rsidR="00D97A44" w:rsidRPr="00F25A60" w:rsidRDefault="00D97A44" w:rsidP="0048111F">
      <w:pPr>
        <w:pStyle w:val="EndnoteText"/>
        <w:tabs>
          <w:tab w:val="clear" w:pos="567"/>
        </w:tabs>
        <w:rPr>
          <w:color w:val="000000"/>
        </w:rPr>
      </w:pPr>
    </w:p>
    <w:p w14:paraId="53F3C38D" w14:textId="1EE44403" w:rsidR="00D94F95" w:rsidRPr="00F25A60" w:rsidRDefault="00D94F95" w:rsidP="0048111F">
      <w:pPr>
        <w:pStyle w:val="EndnoteText"/>
        <w:keepNext/>
        <w:tabs>
          <w:tab w:val="clear" w:pos="567"/>
        </w:tabs>
        <w:rPr>
          <w:color w:val="000000"/>
          <w:u w:val="single"/>
        </w:rPr>
      </w:pPr>
      <w:r w:rsidRPr="00F25A60">
        <w:rPr>
          <w:color w:val="000000"/>
          <w:u w:val="single"/>
        </w:rPr>
        <w:t>Distribuce</w:t>
      </w:r>
    </w:p>
    <w:p w14:paraId="3611D6AC" w14:textId="77777777" w:rsidR="00DF45EE" w:rsidRPr="00F25A60" w:rsidRDefault="00DF45EE" w:rsidP="0048111F">
      <w:pPr>
        <w:pStyle w:val="EndnoteText"/>
        <w:keepNext/>
        <w:tabs>
          <w:tab w:val="clear" w:pos="567"/>
        </w:tabs>
        <w:rPr>
          <w:color w:val="000000"/>
        </w:rPr>
      </w:pPr>
    </w:p>
    <w:p w14:paraId="49A1D7FB" w14:textId="77777777" w:rsidR="00D94F95" w:rsidRPr="00F25A60" w:rsidRDefault="00D94F95" w:rsidP="0048111F">
      <w:pPr>
        <w:pStyle w:val="EndnoteText"/>
        <w:tabs>
          <w:tab w:val="clear" w:pos="567"/>
        </w:tabs>
        <w:rPr>
          <w:color w:val="000000"/>
        </w:rPr>
      </w:pPr>
      <w:r w:rsidRPr="00F25A60">
        <w:rPr>
          <w:color w:val="000000"/>
        </w:rPr>
        <w:t xml:space="preserve">V klinicky relevantních koncentracích imatinibu došlo v pokusech </w:t>
      </w:r>
      <w:r w:rsidRPr="00F25A60">
        <w:rPr>
          <w:i/>
          <w:iCs/>
          <w:color w:val="000000"/>
        </w:rPr>
        <w:t xml:space="preserve">in vitro </w:t>
      </w:r>
      <w:r w:rsidRPr="00F25A60">
        <w:rPr>
          <w:color w:val="000000"/>
        </w:rPr>
        <w:t>k vazbě na plazmatické proteiny přibližně v</w:t>
      </w:r>
      <w:r w:rsidR="00FC57C0" w:rsidRPr="00F25A60">
        <w:rPr>
          <w:color w:val="000000"/>
        </w:rPr>
        <w:t> </w:t>
      </w:r>
      <w:r w:rsidRPr="00F25A60">
        <w:rPr>
          <w:color w:val="000000"/>
        </w:rPr>
        <w:t>95</w:t>
      </w:r>
      <w:r w:rsidR="00FC57C0" w:rsidRPr="00F25A60">
        <w:rPr>
          <w:color w:val="000000"/>
        </w:rPr>
        <w:t> </w:t>
      </w:r>
      <w:r w:rsidRPr="00F25A60">
        <w:rPr>
          <w:color w:val="000000"/>
        </w:rPr>
        <w:t>%, převážně na albumin a alfa-1- kyselý-glykoprotein, s malou vazbou na lipoproteiny.</w:t>
      </w:r>
    </w:p>
    <w:p w14:paraId="60E79744" w14:textId="77777777" w:rsidR="00D94F95" w:rsidRPr="00F25A60" w:rsidRDefault="00D94F95" w:rsidP="0048111F">
      <w:pPr>
        <w:pStyle w:val="EndnoteText"/>
        <w:tabs>
          <w:tab w:val="clear" w:pos="567"/>
        </w:tabs>
        <w:rPr>
          <w:color w:val="000000"/>
        </w:rPr>
      </w:pPr>
    </w:p>
    <w:p w14:paraId="2FA2F8CD" w14:textId="26A2A78F" w:rsidR="00D94F95" w:rsidRPr="00F25A60" w:rsidRDefault="0020295F" w:rsidP="0048111F">
      <w:pPr>
        <w:pStyle w:val="EndnoteText"/>
        <w:keepNext/>
        <w:tabs>
          <w:tab w:val="clear" w:pos="567"/>
        </w:tabs>
        <w:rPr>
          <w:color w:val="000000"/>
          <w:u w:val="single"/>
        </w:rPr>
      </w:pPr>
      <w:r w:rsidRPr="00F25A60">
        <w:rPr>
          <w:color w:val="000000"/>
          <w:u w:val="single"/>
        </w:rPr>
        <w:t>Biotransformace</w:t>
      </w:r>
    </w:p>
    <w:p w14:paraId="4902E18E" w14:textId="77777777" w:rsidR="00DF45EE" w:rsidRPr="00F25A60" w:rsidRDefault="00DF45EE" w:rsidP="0048111F">
      <w:pPr>
        <w:pStyle w:val="EndnoteText"/>
        <w:keepNext/>
        <w:tabs>
          <w:tab w:val="clear" w:pos="567"/>
        </w:tabs>
        <w:rPr>
          <w:color w:val="000000"/>
        </w:rPr>
      </w:pPr>
    </w:p>
    <w:p w14:paraId="1A2F95EF" w14:textId="77777777" w:rsidR="00D94F95" w:rsidRPr="00F25A60" w:rsidRDefault="00D94F95" w:rsidP="0048111F">
      <w:pPr>
        <w:pStyle w:val="EndnoteText"/>
        <w:tabs>
          <w:tab w:val="clear" w:pos="567"/>
        </w:tabs>
        <w:rPr>
          <w:color w:val="000000"/>
        </w:rPr>
      </w:pPr>
      <w:r w:rsidRPr="00F25A60">
        <w:rPr>
          <w:color w:val="000000"/>
        </w:rPr>
        <w:t xml:space="preserve">Hlavním cirkulujícím metabolitem je u člověka N-demethylovaný derivát piperazinu, který měl </w:t>
      </w:r>
      <w:r w:rsidRPr="00F25A60">
        <w:rPr>
          <w:i/>
          <w:iCs/>
          <w:color w:val="000000"/>
        </w:rPr>
        <w:t>in vitro</w:t>
      </w:r>
      <w:r w:rsidRPr="00F25A60">
        <w:rPr>
          <w:color w:val="000000"/>
        </w:rPr>
        <w:t xml:space="preserve"> podobnou účinnost jako mateřská látka. Zjištěná plazmatická AUC tohoto metabolitu byla pouze 16</w:t>
      </w:r>
      <w:r w:rsidR="00FC57C0" w:rsidRPr="00F25A60">
        <w:rPr>
          <w:color w:val="000000"/>
        </w:rPr>
        <w:t> </w:t>
      </w:r>
      <w:r w:rsidRPr="00F25A60">
        <w:rPr>
          <w:color w:val="000000"/>
        </w:rPr>
        <w:t>% AUC imatinibu. Vazba N-demetylovaného metabolitu na plazmatické bílkoviny je podobná vazebné schopnosti mateřské látky.</w:t>
      </w:r>
    </w:p>
    <w:p w14:paraId="2E97B3EA" w14:textId="77777777" w:rsidR="00D94F95" w:rsidRPr="00F25A60" w:rsidRDefault="00D94F95" w:rsidP="0048111F">
      <w:pPr>
        <w:pStyle w:val="EndnoteText"/>
        <w:tabs>
          <w:tab w:val="clear" w:pos="567"/>
        </w:tabs>
        <w:rPr>
          <w:color w:val="000000"/>
        </w:rPr>
      </w:pPr>
    </w:p>
    <w:p w14:paraId="0CDDD36E" w14:textId="77777777" w:rsidR="00D94F95" w:rsidRPr="00F25A60" w:rsidRDefault="00D94F95" w:rsidP="0048111F">
      <w:pPr>
        <w:pStyle w:val="EndnoteText"/>
        <w:tabs>
          <w:tab w:val="clear" w:pos="567"/>
        </w:tabs>
      </w:pPr>
      <w:r w:rsidRPr="00F25A60">
        <w:t>Imatinib a N-demethylovaný metabolit činily dohromady přibližně 65</w:t>
      </w:r>
      <w:r w:rsidR="00FC57C0" w:rsidRPr="00F25A60">
        <w:t> </w:t>
      </w:r>
      <w:r w:rsidRPr="00F25A60">
        <w:t>% cirkulující radioaktivity (AUC</w:t>
      </w:r>
      <w:r w:rsidRPr="00F25A60">
        <w:rPr>
          <w:vertAlign w:val="subscript"/>
        </w:rPr>
        <w:t>(0-48h)</w:t>
      </w:r>
      <w:r w:rsidRPr="00F25A60">
        <w:t>). Zbývající cirkulující radioaktivita byla tvořena množstvím minoritních metabolitů.</w:t>
      </w:r>
    </w:p>
    <w:p w14:paraId="3504D803" w14:textId="77777777" w:rsidR="00D94F95" w:rsidRPr="00F25A60" w:rsidRDefault="00D94F95" w:rsidP="0048111F">
      <w:pPr>
        <w:pStyle w:val="EndnoteText"/>
      </w:pPr>
    </w:p>
    <w:p w14:paraId="15DFB5A5" w14:textId="77777777" w:rsidR="00D94F95" w:rsidRPr="00F25A60" w:rsidRDefault="00D94F95" w:rsidP="0048111F">
      <w:pPr>
        <w:pStyle w:val="Text"/>
        <w:spacing w:before="0"/>
        <w:jc w:val="left"/>
        <w:rPr>
          <w:color w:val="000000"/>
          <w:sz w:val="22"/>
          <w:szCs w:val="22"/>
          <w:lang w:val="cs-CZ"/>
        </w:rPr>
      </w:pPr>
      <w:r w:rsidRPr="00F25A60">
        <w:rPr>
          <w:color w:val="000000"/>
          <w:sz w:val="22"/>
          <w:szCs w:val="22"/>
          <w:lang w:val="cs-CZ"/>
        </w:rPr>
        <w:t xml:space="preserve">Výsledky studií </w:t>
      </w:r>
      <w:r w:rsidRPr="00F25A60">
        <w:rPr>
          <w:i/>
          <w:iCs/>
          <w:color w:val="000000"/>
          <w:sz w:val="22"/>
          <w:szCs w:val="22"/>
          <w:lang w:val="cs-CZ"/>
        </w:rPr>
        <w:t>in vitro</w:t>
      </w:r>
      <w:r w:rsidRPr="00F25A60">
        <w:rPr>
          <w:color w:val="000000"/>
          <w:sz w:val="22"/>
          <w:szCs w:val="22"/>
          <w:lang w:val="cs-CZ"/>
        </w:rPr>
        <w:t xml:space="preserve"> ukázaly, že CYP3A4 je u </w:t>
      </w:r>
      <w:r w:rsidR="003A2308" w:rsidRPr="00F25A60">
        <w:rPr>
          <w:color w:val="000000"/>
          <w:sz w:val="22"/>
          <w:szCs w:val="22"/>
          <w:lang w:val="cs-CZ"/>
        </w:rPr>
        <w:t xml:space="preserve">člověka </w:t>
      </w:r>
      <w:r w:rsidRPr="00F25A60">
        <w:rPr>
          <w:color w:val="000000"/>
          <w:sz w:val="22"/>
          <w:szCs w:val="22"/>
          <w:lang w:val="cs-CZ"/>
        </w:rPr>
        <w:t>hlavním enzymem cytochromu P450, který katalyzuje biotransformaci imatinibu. Z řady potenciálně souběžně podávaných léků (paracetamol, aciklovir, alopurinol, amfotericin, cytarabin, eryt</w:t>
      </w:r>
      <w:r w:rsidR="003A2308" w:rsidRPr="00F25A60">
        <w:rPr>
          <w:color w:val="000000"/>
          <w:sz w:val="22"/>
          <w:szCs w:val="22"/>
          <w:lang w:val="cs-CZ"/>
        </w:rPr>
        <w:t>h</w:t>
      </w:r>
      <w:r w:rsidRPr="00F25A60">
        <w:rPr>
          <w:color w:val="000000"/>
          <w:sz w:val="22"/>
          <w:szCs w:val="22"/>
          <w:lang w:val="cs-CZ"/>
        </w:rPr>
        <w:t>romycin, flukonazol, hydroxyurea, norfloxacin, penicilin V) pouze eryt</w:t>
      </w:r>
      <w:r w:rsidR="003A2308" w:rsidRPr="00F25A60">
        <w:rPr>
          <w:color w:val="000000"/>
          <w:sz w:val="22"/>
          <w:szCs w:val="22"/>
          <w:lang w:val="cs-CZ"/>
        </w:rPr>
        <w:t>h</w:t>
      </w:r>
      <w:r w:rsidRPr="00F25A60">
        <w:rPr>
          <w:color w:val="000000"/>
          <w:sz w:val="22"/>
          <w:szCs w:val="22"/>
          <w:lang w:val="cs-CZ"/>
        </w:rPr>
        <w:t>romycin (IC</w:t>
      </w:r>
      <w:r w:rsidRPr="00F25A60">
        <w:rPr>
          <w:color w:val="000000"/>
          <w:sz w:val="22"/>
          <w:szCs w:val="22"/>
          <w:vertAlign w:val="subscript"/>
          <w:lang w:val="cs-CZ"/>
        </w:rPr>
        <w:t>50</w:t>
      </w:r>
      <w:r w:rsidRPr="00F25A60">
        <w:rPr>
          <w:color w:val="000000"/>
          <w:sz w:val="22"/>
          <w:szCs w:val="22"/>
          <w:lang w:val="cs-CZ"/>
        </w:rPr>
        <w:t xml:space="preserve"> 50 µM) a flukonazol (IC</w:t>
      </w:r>
      <w:r w:rsidRPr="00F25A60">
        <w:rPr>
          <w:color w:val="000000"/>
          <w:sz w:val="22"/>
          <w:szCs w:val="22"/>
          <w:vertAlign w:val="subscript"/>
          <w:lang w:val="cs-CZ"/>
        </w:rPr>
        <w:t>50</w:t>
      </w:r>
      <w:r w:rsidRPr="00F25A60">
        <w:rPr>
          <w:color w:val="000000"/>
          <w:sz w:val="22"/>
          <w:szCs w:val="22"/>
          <w:lang w:val="cs-CZ"/>
        </w:rPr>
        <w:t xml:space="preserve"> 118 µM) inhibovaly metabolismus imatinibu v rozsahu, který by mohl být klinicky významný.</w:t>
      </w:r>
    </w:p>
    <w:p w14:paraId="42484A84" w14:textId="77777777" w:rsidR="00D94F95" w:rsidRPr="00F25A60" w:rsidRDefault="00D94F95" w:rsidP="0048111F">
      <w:pPr>
        <w:pStyle w:val="Text"/>
        <w:spacing w:before="0"/>
        <w:jc w:val="left"/>
        <w:rPr>
          <w:color w:val="000000"/>
          <w:sz w:val="22"/>
          <w:szCs w:val="22"/>
          <w:lang w:val="cs-CZ"/>
        </w:rPr>
      </w:pPr>
    </w:p>
    <w:p w14:paraId="6A5F800B" w14:textId="77777777" w:rsidR="00D94F95" w:rsidRPr="00F25A60" w:rsidRDefault="00D94F95" w:rsidP="0048111F">
      <w:pPr>
        <w:pStyle w:val="Text"/>
        <w:spacing w:before="0"/>
        <w:jc w:val="left"/>
        <w:rPr>
          <w:color w:val="000000"/>
          <w:sz w:val="22"/>
          <w:szCs w:val="22"/>
          <w:lang w:val="cs-CZ"/>
        </w:rPr>
      </w:pPr>
      <w:r w:rsidRPr="00F25A60">
        <w:rPr>
          <w:i/>
          <w:iCs/>
          <w:color w:val="000000"/>
          <w:sz w:val="22"/>
          <w:szCs w:val="22"/>
          <w:lang w:val="cs-CZ"/>
        </w:rPr>
        <w:t>In vitro</w:t>
      </w:r>
      <w:r w:rsidRPr="00F25A60">
        <w:rPr>
          <w:color w:val="000000"/>
          <w:sz w:val="22"/>
          <w:szCs w:val="22"/>
          <w:lang w:val="cs-CZ"/>
        </w:rPr>
        <w:t xml:space="preserve"> bylo zjištěno, že imatinib je kompetitivním inhibitorem markrových substrátů pro CYP2C9, CYP2D6 a CYP3A4/5. K</w:t>
      </w:r>
      <w:r w:rsidRPr="00F25A60">
        <w:rPr>
          <w:color w:val="000000"/>
          <w:sz w:val="22"/>
          <w:szCs w:val="22"/>
          <w:vertAlign w:val="subscript"/>
          <w:lang w:val="cs-CZ"/>
        </w:rPr>
        <w:t>i</w:t>
      </w:r>
      <w:r w:rsidRPr="00F25A60">
        <w:rPr>
          <w:color w:val="000000"/>
          <w:sz w:val="22"/>
          <w:szCs w:val="22"/>
          <w:lang w:val="cs-CZ"/>
        </w:rPr>
        <w:t xml:space="preserve"> hodnoty v lidských jaterních mikrosomech byly 27, </w:t>
      </w:r>
      <w:smartTag w:uri="urn:schemas-microsoft-com:office:smarttags" w:element="metricconverter">
        <w:smartTagPr>
          <w:attr w:name="ProductID" w:val="7,5 a"/>
        </w:smartTagPr>
        <w:r w:rsidRPr="00F25A60">
          <w:rPr>
            <w:color w:val="000000"/>
            <w:sz w:val="22"/>
            <w:szCs w:val="22"/>
            <w:lang w:val="cs-CZ"/>
          </w:rPr>
          <w:t>7,5 a</w:t>
        </w:r>
      </w:smartTag>
      <w:r w:rsidRPr="00F25A60">
        <w:rPr>
          <w:color w:val="000000"/>
          <w:sz w:val="22"/>
          <w:szCs w:val="22"/>
          <w:lang w:val="cs-CZ"/>
        </w:rPr>
        <w:t xml:space="preserve"> 7,9 </w:t>
      </w:r>
      <w:r w:rsidRPr="00F25A60">
        <w:rPr>
          <w:rFonts w:ascii="Symbol" w:hAnsi="Symbol"/>
          <w:color w:val="000000"/>
          <w:sz w:val="22"/>
          <w:szCs w:val="22"/>
          <w:lang w:val="cs-CZ"/>
        </w:rPr>
        <w:t></w:t>
      </w:r>
      <w:r w:rsidRPr="00F25A60">
        <w:rPr>
          <w:color w:val="000000"/>
          <w:sz w:val="22"/>
          <w:szCs w:val="22"/>
          <w:lang w:val="cs-CZ"/>
        </w:rPr>
        <w:t>mol/l. Maximální plazmatické koncentrace imatinibu u pacientů jsou 2–4 </w:t>
      </w:r>
      <w:r w:rsidRPr="00F25A60">
        <w:rPr>
          <w:rFonts w:ascii="Symbol" w:hAnsi="Symbol"/>
          <w:color w:val="000000"/>
          <w:sz w:val="22"/>
          <w:szCs w:val="22"/>
          <w:lang w:val="cs-CZ"/>
        </w:rPr>
        <w:t></w:t>
      </w:r>
      <w:r w:rsidRPr="00F25A60">
        <w:rPr>
          <w:color w:val="000000"/>
          <w:sz w:val="22"/>
          <w:szCs w:val="22"/>
          <w:lang w:val="cs-CZ"/>
        </w:rPr>
        <w:t>mol/l, tudíž je možná inhibice metabolismu zprostředkovaného CYP2D6 a/nebo CYP3A4/5 souběžně podávaných léků. Imatinib neinterferuje s biotran</w:t>
      </w:r>
      <w:r w:rsidR="003A2308" w:rsidRPr="00F25A60">
        <w:rPr>
          <w:color w:val="000000"/>
          <w:sz w:val="22"/>
          <w:szCs w:val="22"/>
          <w:lang w:val="cs-CZ"/>
        </w:rPr>
        <w:t>s</w:t>
      </w:r>
      <w:r w:rsidRPr="00F25A60">
        <w:rPr>
          <w:color w:val="000000"/>
          <w:sz w:val="22"/>
          <w:szCs w:val="22"/>
          <w:lang w:val="cs-CZ"/>
        </w:rPr>
        <w:t>formací fluoruracilu, ale inhibuje metabolismus paklitaxelu, což je výsledkem kompetitivní inhibice CYP2C8 (K</w:t>
      </w:r>
      <w:r w:rsidRPr="00F25A60">
        <w:rPr>
          <w:color w:val="000000"/>
          <w:sz w:val="22"/>
          <w:szCs w:val="22"/>
          <w:vertAlign w:val="subscript"/>
          <w:lang w:val="cs-CZ"/>
        </w:rPr>
        <w:t>i</w:t>
      </w:r>
      <w:r w:rsidRPr="00F25A60">
        <w:rPr>
          <w:color w:val="000000"/>
          <w:sz w:val="22"/>
          <w:szCs w:val="22"/>
          <w:lang w:val="cs-CZ"/>
        </w:rPr>
        <w:t xml:space="preserve"> = 34,7 µM). Odpovídající hodnota K</w:t>
      </w:r>
      <w:r w:rsidRPr="00F25A60">
        <w:rPr>
          <w:color w:val="000000"/>
          <w:sz w:val="22"/>
          <w:szCs w:val="22"/>
          <w:vertAlign w:val="subscript"/>
          <w:lang w:val="cs-CZ"/>
        </w:rPr>
        <w:t>i</w:t>
      </w:r>
      <w:r w:rsidRPr="00F25A60">
        <w:rPr>
          <w:color w:val="000000"/>
          <w:sz w:val="22"/>
          <w:szCs w:val="22"/>
          <w:lang w:val="cs-CZ"/>
        </w:rPr>
        <w:t xml:space="preserve"> je daleko vyšší než očekávané plazmatické hladiny imatinibu u pacientů a tudíž se neočekávají interakce při souběžném podávání fluoruracilu nebo paklitaxelu a imatinibu.</w:t>
      </w:r>
    </w:p>
    <w:p w14:paraId="6CC01AE2" w14:textId="77777777" w:rsidR="00D94F95" w:rsidRPr="00F25A60" w:rsidRDefault="00D94F95" w:rsidP="0048111F">
      <w:pPr>
        <w:pStyle w:val="EndnoteText"/>
        <w:tabs>
          <w:tab w:val="clear" w:pos="567"/>
        </w:tabs>
        <w:rPr>
          <w:color w:val="000000"/>
        </w:rPr>
      </w:pPr>
    </w:p>
    <w:p w14:paraId="20D437BB" w14:textId="62D6416E" w:rsidR="0020295F" w:rsidRPr="00F25A60" w:rsidRDefault="0020295F" w:rsidP="0048111F">
      <w:pPr>
        <w:pStyle w:val="EndnoteText"/>
        <w:keepNext/>
        <w:tabs>
          <w:tab w:val="clear" w:pos="567"/>
        </w:tabs>
        <w:rPr>
          <w:color w:val="000000"/>
          <w:u w:val="single"/>
        </w:rPr>
      </w:pPr>
      <w:r w:rsidRPr="00F25A60">
        <w:rPr>
          <w:color w:val="000000"/>
          <w:u w:val="single"/>
        </w:rPr>
        <w:t>Eliminace</w:t>
      </w:r>
    </w:p>
    <w:p w14:paraId="2726C03A" w14:textId="77777777" w:rsidR="00DF45EE" w:rsidRPr="00F25A60" w:rsidRDefault="00DF45EE" w:rsidP="0048111F">
      <w:pPr>
        <w:pStyle w:val="EndnoteText"/>
        <w:keepNext/>
        <w:tabs>
          <w:tab w:val="clear" w:pos="567"/>
        </w:tabs>
        <w:rPr>
          <w:color w:val="000000"/>
        </w:rPr>
      </w:pPr>
    </w:p>
    <w:p w14:paraId="086ABC81" w14:textId="77777777" w:rsidR="00D94F95" w:rsidRPr="00F25A60" w:rsidRDefault="00D94F95" w:rsidP="0048111F">
      <w:pPr>
        <w:pStyle w:val="EndnoteText"/>
        <w:tabs>
          <w:tab w:val="clear" w:pos="567"/>
        </w:tabs>
        <w:rPr>
          <w:color w:val="000000"/>
        </w:rPr>
      </w:pPr>
      <w:r w:rsidRPr="00F25A60">
        <w:rPr>
          <w:color w:val="000000"/>
        </w:rPr>
        <w:t>Na základě sledování vylučování radioaktivní</w:t>
      </w:r>
      <w:r w:rsidR="003A2308" w:rsidRPr="00F25A60">
        <w:rPr>
          <w:color w:val="000000"/>
        </w:rPr>
        <w:t>(</w:t>
      </w:r>
      <w:r w:rsidRPr="00F25A60">
        <w:rPr>
          <w:color w:val="000000"/>
        </w:rPr>
        <w:t>ch</w:t>
      </w:r>
      <w:r w:rsidR="003A2308" w:rsidRPr="00F25A60">
        <w:rPr>
          <w:color w:val="000000"/>
        </w:rPr>
        <w:t>)</w:t>
      </w:r>
      <w:r w:rsidRPr="00F25A60">
        <w:rPr>
          <w:color w:val="000000"/>
        </w:rPr>
        <w:t xml:space="preserve"> sloučenin(y) po perorálním podání </w:t>
      </w:r>
      <w:r w:rsidRPr="00F25A60">
        <w:rPr>
          <w:color w:val="000000"/>
          <w:vertAlign w:val="superscript"/>
        </w:rPr>
        <w:t>14</w:t>
      </w:r>
      <w:r w:rsidRPr="00F25A60">
        <w:rPr>
          <w:color w:val="000000"/>
        </w:rPr>
        <w:t>C-značeného imatinibu bylo přibližně 81</w:t>
      </w:r>
      <w:r w:rsidR="00FC57C0" w:rsidRPr="00F25A60">
        <w:rPr>
          <w:color w:val="000000"/>
        </w:rPr>
        <w:t> </w:t>
      </w:r>
      <w:r w:rsidRPr="00F25A60">
        <w:rPr>
          <w:color w:val="000000"/>
        </w:rPr>
        <w:t>% dávky nalezeno v průběhu 7 dnů ve stolici (68</w:t>
      </w:r>
      <w:r w:rsidR="00FC57C0" w:rsidRPr="00F25A60">
        <w:rPr>
          <w:color w:val="000000"/>
        </w:rPr>
        <w:t> </w:t>
      </w:r>
      <w:r w:rsidRPr="00F25A60">
        <w:rPr>
          <w:color w:val="000000"/>
        </w:rPr>
        <w:t>% dávky) a v moči (13</w:t>
      </w:r>
      <w:r w:rsidR="00FC57C0" w:rsidRPr="00F25A60">
        <w:rPr>
          <w:color w:val="000000"/>
        </w:rPr>
        <w:t> </w:t>
      </w:r>
      <w:r w:rsidRPr="00F25A60">
        <w:rPr>
          <w:color w:val="000000"/>
        </w:rPr>
        <w:t>% dávky). V nezměněné formě bylo vyloučeno 25</w:t>
      </w:r>
      <w:r w:rsidR="00FC57C0" w:rsidRPr="00F25A60">
        <w:rPr>
          <w:color w:val="000000"/>
        </w:rPr>
        <w:t> </w:t>
      </w:r>
      <w:r w:rsidRPr="00F25A60">
        <w:rPr>
          <w:color w:val="000000"/>
        </w:rPr>
        <w:t>% dávky (5</w:t>
      </w:r>
      <w:r w:rsidR="00FC57C0" w:rsidRPr="00F25A60">
        <w:rPr>
          <w:color w:val="000000"/>
        </w:rPr>
        <w:t> </w:t>
      </w:r>
      <w:r w:rsidRPr="00F25A60">
        <w:rPr>
          <w:color w:val="000000"/>
        </w:rPr>
        <w:t>% močí, 20</w:t>
      </w:r>
      <w:r w:rsidR="00FC57C0" w:rsidRPr="00F25A60">
        <w:rPr>
          <w:color w:val="000000"/>
        </w:rPr>
        <w:t> </w:t>
      </w:r>
      <w:r w:rsidRPr="00F25A60">
        <w:rPr>
          <w:color w:val="000000"/>
        </w:rPr>
        <w:t>% stolicí), zbytek činily metabolity.</w:t>
      </w:r>
    </w:p>
    <w:p w14:paraId="01CE63DA" w14:textId="77777777" w:rsidR="00D94F95" w:rsidRPr="00F25A60" w:rsidRDefault="00D94F95" w:rsidP="0048111F">
      <w:pPr>
        <w:pStyle w:val="EndnoteText"/>
        <w:tabs>
          <w:tab w:val="clear" w:pos="567"/>
        </w:tabs>
        <w:rPr>
          <w:color w:val="000000"/>
        </w:rPr>
      </w:pPr>
    </w:p>
    <w:p w14:paraId="65D96481" w14:textId="50990B00" w:rsidR="00D94F95" w:rsidRPr="00F25A60" w:rsidRDefault="00D94F95" w:rsidP="0048111F">
      <w:pPr>
        <w:pStyle w:val="EndnoteText"/>
        <w:keepNext/>
        <w:tabs>
          <w:tab w:val="clear" w:pos="567"/>
        </w:tabs>
        <w:rPr>
          <w:color w:val="000000"/>
          <w:u w:val="single"/>
        </w:rPr>
      </w:pPr>
      <w:r w:rsidRPr="00F25A60">
        <w:rPr>
          <w:color w:val="000000"/>
          <w:u w:val="single"/>
        </w:rPr>
        <w:lastRenderedPageBreak/>
        <w:t>Farmakokinetika v</w:t>
      </w:r>
      <w:r w:rsidR="00DF45EE" w:rsidRPr="00F25A60">
        <w:rPr>
          <w:color w:val="000000"/>
          <w:u w:val="single"/>
        </w:rPr>
        <w:t> </w:t>
      </w:r>
      <w:r w:rsidRPr="00F25A60">
        <w:rPr>
          <w:color w:val="000000"/>
          <w:u w:val="single"/>
        </w:rPr>
        <w:t>plazmě</w:t>
      </w:r>
    </w:p>
    <w:p w14:paraId="0E9DB20B" w14:textId="77777777" w:rsidR="00DF45EE" w:rsidRPr="00F25A60" w:rsidRDefault="00DF45EE" w:rsidP="0048111F">
      <w:pPr>
        <w:pStyle w:val="EndnoteText"/>
        <w:keepNext/>
        <w:tabs>
          <w:tab w:val="clear" w:pos="567"/>
        </w:tabs>
        <w:rPr>
          <w:color w:val="000000"/>
        </w:rPr>
      </w:pPr>
    </w:p>
    <w:p w14:paraId="5FF19F8D" w14:textId="77777777" w:rsidR="00D94F95" w:rsidRPr="00F25A60" w:rsidRDefault="00D94F95" w:rsidP="0048111F">
      <w:pPr>
        <w:pStyle w:val="EndnoteText"/>
        <w:tabs>
          <w:tab w:val="clear" w:pos="567"/>
        </w:tabs>
        <w:rPr>
          <w:color w:val="000000"/>
        </w:rPr>
      </w:pPr>
      <w:r w:rsidRPr="00F25A60">
        <w:rPr>
          <w:color w:val="000000"/>
        </w:rPr>
        <w:t>Po perorálním podání zdravým dobrovolníkům byl t</w:t>
      </w:r>
      <w:r w:rsidRPr="00F25A60">
        <w:rPr>
          <w:color w:val="000000"/>
          <w:vertAlign w:val="subscript"/>
        </w:rPr>
        <w:t>½</w:t>
      </w:r>
      <w:r w:rsidRPr="00F25A60">
        <w:rPr>
          <w:color w:val="000000"/>
        </w:rPr>
        <w:t xml:space="preserve"> přibližně 18 hodin, to znamená, že podávání jednou denně je dostačující. Zvyšování průměrné hodnoty AUC se stoupající dávkou bylo lineární a závislé na dávce v rozmezí dávek 25–1 000 mg imatinibu po perorálním podání. Po opakovaném podání nebyly při dávkování jednou denně nalezeny změny v kinetice imatinibu a akumulace v rovnovážném stavu činila 1,5–2,5násobek.</w:t>
      </w:r>
    </w:p>
    <w:p w14:paraId="5382CA46" w14:textId="77777777" w:rsidR="00D94F95" w:rsidRPr="00F25A60" w:rsidRDefault="00D94F95" w:rsidP="0048111F">
      <w:pPr>
        <w:pStyle w:val="EndnoteText"/>
        <w:tabs>
          <w:tab w:val="clear" w:pos="567"/>
        </w:tabs>
        <w:rPr>
          <w:color w:val="000000"/>
        </w:rPr>
      </w:pPr>
    </w:p>
    <w:p w14:paraId="5B96C867" w14:textId="1A47EA60" w:rsidR="00D94F95" w:rsidRPr="00F25A60" w:rsidRDefault="00D94F95" w:rsidP="0048111F">
      <w:pPr>
        <w:pStyle w:val="EndnoteText"/>
        <w:keepNext/>
        <w:tabs>
          <w:tab w:val="clear" w:pos="567"/>
        </w:tabs>
        <w:rPr>
          <w:color w:val="000000"/>
          <w:u w:val="single"/>
        </w:rPr>
      </w:pPr>
      <w:r w:rsidRPr="00F25A60">
        <w:rPr>
          <w:color w:val="000000"/>
          <w:u w:val="single"/>
        </w:rPr>
        <w:t>Farmakokinetika u pacientů s</w:t>
      </w:r>
      <w:r w:rsidR="00DF45EE" w:rsidRPr="00F25A60">
        <w:rPr>
          <w:color w:val="000000"/>
          <w:u w:val="single"/>
        </w:rPr>
        <w:t> </w:t>
      </w:r>
      <w:r w:rsidRPr="00F25A60">
        <w:rPr>
          <w:color w:val="000000"/>
          <w:u w:val="single"/>
        </w:rPr>
        <w:t>GIST</w:t>
      </w:r>
    </w:p>
    <w:p w14:paraId="233FA998" w14:textId="77777777" w:rsidR="00DF45EE" w:rsidRPr="00F25A60" w:rsidRDefault="00DF45EE" w:rsidP="0048111F">
      <w:pPr>
        <w:pStyle w:val="EndnoteText"/>
        <w:keepNext/>
        <w:tabs>
          <w:tab w:val="clear" w:pos="567"/>
        </w:tabs>
        <w:rPr>
          <w:color w:val="000000"/>
        </w:rPr>
      </w:pPr>
    </w:p>
    <w:p w14:paraId="4293039D" w14:textId="77777777" w:rsidR="00D94F95" w:rsidRPr="00F25A60" w:rsidRDefault="00D94F95" w:rsidP="0048111F">
      <w:pPr>
        <w:pStyle w:val="Text"/>
        <w:spacing w:before="0"/>
        <w:jc w:val="left"/>
        <w:rPr>
          <w:color w:val="000000"/>
          <w:sz w:val="22"/>
          <w:szCs w:val="22"/>
          <w:lang w:val="cs-CZ"/>
        </w:rPr>
      </w:pPr>
      <w:r w:rsidRPr="00F25A60">
        <w:rPr>
          <w:color w:val="000000"/>
          <w:sz w:val="22"/>
          <w:szCs w:val="22"/>
          <w:lang w:val="cs-CZ"/>
        </w:rPr>
        <w:t>U pacientů s GIST byla v rovnovážném stavu při stejné dávce (400 mg denně) 1,5krát vyšší expozice než ta, která byla pozorována u pacientů s CML. Na základě předběžné analýzy farmakokinetiky v populaci pacientů s GIST zde byly nalezeny tři proměnné (albumin, bílé krvinky a bilirubin), které měly statisticky významnou souvislost s farmakokinetikou imatinibu. Snížení hodnot albuminu bylo příčinou poklesu clearance (CL/f); a vyšší hodnoty počtu bílých krvinek vedly ke snížení CL/f. Tato souvislost však není dostatečně výrazná, aby opravňovala k úpravě dávkování. V této skupině pacientů by mohla přítomnost metastáz v játrech mít za následek jaterní insuficienci a redukci metabolismu.</w:t>
      </w:r>
    </w:p>
    <w:p w14:paraId="1CFE82F7" w14:textId="77777777" w:rsidR="00D94F95" w:rsidRPr="00F25A60" w:rsidRDefault="00D94F95" w:rsidP="0048111F">
      <w:pPr>
        <w:pStyle w:val="EndnoteText"/>
        <w:tabs>
          <w:tab w:val="clear" w:pos="567"/>
        </w:tabs>
        <w:rPr>
          <w:color w:val="000000"/>
        </w:rPr>
      </w:pPr>
    </w:p>
    <w:p w14:paraId="6AF30AE8" w14:textId="0A434620" w:rsidR="00D94F95" w:rsidRPr="00F25A60" w:rsidRDefault="00D94F95" w:rsidP="0048111F">
      <w:pPr>
        <w:pStyle w:val="EndnoteText"/>
        <w:keepNext/>
        <w:tabs>
          <w:tab w:val="clear" w:pos="567"/>
        </w:tabs>
        <w:rPr>
          <w:color w:val="000000"/>
          <w:u w:val="single"/>
        </w:rPr>
      </w:pPr>
      <w:r w:rsidRPr="00F25A60">
        <w:rPr>
          <w:color w:val="000000"/>
          <w:u w:val="single"/>
        </w:rPr>
        <w:t>Populační farmakokinetika</w:t>
      </w:r>
    </w:p>
    <w:p w14:paraId="51E5ED06" w14:textId="77777777" w:rsidR="00DF45EE" w:rsidRPr="00F25A60" w:rsidRDefault="00DF45EE" w:rsidP="0048111F">
      <w:pPr>
        <w:pStyle w:val="EndnoteText"/>
        <w:keepNext/>
        <w:tabs>
          <w:tab w:val="clear" w:pos="567"/>
        </w:tabs>
        <w:rPr>
          <w:color w:val="000000"/>
        </w:rPr>
      </w:pPr>
    </w:p>
    <w:p w14:paraId="08F64392" w14:textId="77777777" w:rsidR="00D94F95" w:rsidRPr="00F25A60" w:rsidRDefault="00D94F95" w:rsidP="0048111F">
      <w:pPr>
        <w:pStyle w:val="EndnoteText"/>
        <w:tabs>
          <w:tab w:val="clear" w:pos="567"/>
        </w:tabs>
        <w:rPr>
          <w:color w:val="000000"/>
        </w:rPr>
      </w:pPr>
      <w:r w:rsidRPr="00F25A60">
        <w:rPr>
          <w:color w:val="000000"/>
        </w:rPr>
        <w:t>Na základě analýzy farmakokinetiky v populaci pacientů s CML bylo zjištěno, že věk jen málo ovlivnil distribuční objem (12</w:t>
      </w:r>
      <w:r w:rsidR="00FC57C0" w:rsidRPr="00F25A60">
        <w:rPr>
          <w:color w:val="000000"/>
        </w:rPr>
        <w:t> </w:t>
      </w:r>
      <w:r w:rsidRPr="00F25A60">
        <w:rPr>
          <w:color w:val="000000"/>
        </w:rPr>
        <w:t xml:space="preserve">% zvýšení u pacientů starších &gt; 65 let). Tyto změny nejsou považovány za klinicky významné. Vliv tělesné hmotnosti na clearance imatinibu je následující: u pacientů s tělesnou hmotností </w:t>
      </w:r>
      <w:smartTag w:uri="urn:schemas-microsoft-com:office:smarttags" w:element="metricconverter">
        <w:smartTagPr>
          <w:attr w:name="ProductID" w:val="50ﾠkg"/>
        </w:smartTagPr>
        <w:r w:rsidRPr="00F25A60">
          <w:rPr>
            <w:color w:val="000000"/>
          </w:rPr>
          <w:t>50 kg</w:t>
        </w:r>
      </w:smartTag>
      <w:r w:rsidRPr="00F25A60">
        <w:rPr>
          <w:color w:val="000000"/>
        </w:rPr>
        <w:t xml:space="preserve"> je možné očekávat průměrnou clearance 8,5 l/h, zatímco u pacientů vážících </w:t>
      </w:r>
      <w:smartTag w:uri="urn:schemas-microsoft-com:office:smarttags" w:element="metricconverter">
        <w:smartTagPr>
          <w:attr w:name="ProductID" w:val="100ﾠkg"/>
        </w:smartTagPr>
        <w:r w:rsidRPr="00F25A60">
          <w:rPr>
            <w:color w:val="000000"/>
          </w:rPr>
          <w:t>100 kg</w:t>
        </w:r>
      </w:smartTag>
      <w:r w:rsidRPr="00F25A60">
        <w:rPr>
          <w:color w:val="000000"/>
        </w:rPr>
        <w:t xml:space="preserve"> clearance stoupne na 11,8 l/h. Tyto změny nejsou dostačující, aby opravňovaly k úpravě dávkování podle </w:t>
      </w:r>
      <w:r w:rsidR="003A2308" w:rsidRPr="00F25A60">
        <w:rPr>
          <w:color w:val="000000"/>
        </w:rPr>
        <w:t xml:space="preserve">tělesné </w:t>
      </w:r>
      <w:r w:rsidRPr="00F25A60">
        <w:rPr>
          <w:color w:val="000000"/>
        </w:rPr>
        <w:t>hmotnosti. V kinetice imatinibu není rozdíl mezi muži a ženami.</w:t>
      </w:r>
    </w:p>
    <w:p w14:paraId="6A8AF10F" w14:textId="77777777" w:rsidR="00D94F95" w:rsidRPr="00F25A60" w:rsidRDefault="00D94F95" w:rsidP="0048111F">
      <w:pPr>
        <w:pStyle w:val="EndnoteText"/>
        <w:tabs>
          <w:tab w:val="clear" w:pos="567"/>
        </w:tabs>
        <w:rPr>
          <w:color w:val="000000"/>
        </w:rPr>
      </w:pPr>
    </w:p>
    <w:p w14:paraId="6F4EAF0D" w14:textId="57AAC36E" w:rsidR="00D94F95" w:rsidRPr="00F25A60" w:rsidRDefault="00D94F95" w:rsidP="0048111F">
      <w:pPr>
        <w:pStyle w:val="EndnoteText"/>
        <w:keepNext/>
        <w:tabs>
          <w:tab w:val="clear" w:pos="567"/>
        </w:tabs>
        <w:rPr>
          <w:color w:val="000000"/>
          <w:u w:val="single"/>
        </w:rPr>
      </w:pPr>
      <w:r w:rsidRPr="00F25A60">
        <w:rPr>
          <w:color w:val="000000"/>
          <w:u w:val="single"/>
        </w:rPr>
        <w:t>Farmakokinetika u dětí</w:t>
      </w:r>
    </w:p>
    <w:p w14:paraId="4D183843" w14:textId="77777777" w:rsidR="00DF45EE" w:rsidRPr="00F25A60" w:rsidRDefault="00DF45EE" w:rsidP="0048111F">
      <w:pPr>
        <w:pStyle w:val="EndnoteText"/>
        <w:keepNext/>
        <w:tabs>
          <w:tab w:val="clear" w:pos="567"/>
        </w:tabs>
        <w:rPr>
          <w:color w:val="000000"/>
        </w:rPr>
      </w:pPr>
    </w:p>
    <w:p w14:paraId="389E876D" w14:textId="77777777" w:rsidR="00D94F95" w:rsidRPr="00F25A60" w:rsidRDefault="00D94F95" w:rsidP="0048111F">
      <w:pPr>
        <w:pStyle w:val="EndnoteText"/>
        <w:rPr>
          <w:color w:val="000000"/>
        </w:rPr>
      </w:pPr>
      <w:r w:rsidRPr="00F25A60">
        <w:rPr>
          <w:color w:val="000000"/>
        </w:rPr>
        <w:t xml:space="preserve">Obdobně jako u dospělých pacientů byl imatinib po perorálním podání rychle absorbován i u </w:t>
      </w:r>
      <w:r w:rsidR="003A2308" w:rsidRPr="00F25A60">
        <w:rPr>
          <w:color w:val="000000"/>
        </w:rPr>
        <w:t xml:space="preserve">pediatrických </w:t>
      </w:r>
      <w:r w:rsidRPr="00F25A60">
        <w:rPr>
          <w:color w:val="000000"/>
        </w:rPr>
        <w:t xml:space="preserve">pacientů ve studii fáze I i fáze II. Dávkami </w:t>
      </w:r>
      <w:smartTag w:uri="urn:schemas-microsoft-com:office:smarttags" w:element="metricconverter">
        <w:smartTagPr>
          <w:attr w:name="ProductID" w:val="260 a"/>
        </w:smartTagPr>
        <w:r w:rsidRPr="00F25A60">
          <w:rPr>
            <w:color w:val="000000"/>
          </w:rPr>
          <w:t>260 a</w:t>
        </w:r>
      </w:smartTag>
      <w:r w:rsidRPr="00F25A60">
        <w:rPr>
          <w:color w:val="000000"/>
        </w:rPr>
        <w:t xml:space="preserve"> 340 mg/m</w:t>
      </w:r>
      <w:r w:rsidRPr="00F25A60">
        <w:rPr>
          <w:color w:val="000000"/>
          <w:vertAlign w:val="superscript"/>
        </w:rPr>
        <w:t>2</w:t>
      </w:r>
      <w:r w:rsidRPr="00F25A60">
        <w:rPr>
          <w:color w:val="000000"/>
        </w:rPr>
        <w:t>/den bylo u dětí dosaženo stejné účinnosti jako u dospělých dávkami 400 mg a 600 mg. Při srovnání AUC</w:t>
      </w:r>
      <w:r w:rsidRPr="00F25A60">
        <w:rPr>
          <w:color w:val="000000"/>
          <w:vertAlign w:val="subscript"/>
        </w:rPr>
        <w:t>(0-24)</w:t>
      </w:r>
      <w:r w:rsidRPr="00F25A60">
        <w:rPr>
          <w:color w:val="000000"/>
        </w:rPr>
        <w:t xml:space="preserve"> 8. den s 1. dnem při dávce 340 mg/m</w:t>
      </w:r>
      <w:r w:rsidRPr="00F25A60">
        <w:rPr>
          <w:color w:val="000000"/>
          <w:vertAlign w:val="superscript"/>
        </w:rPr>
        <w:t>2</w:t>
      </w:r>
      <w:r w:rsidRPr="00F25A60">
        <w:rPr>
          <w:color w:val="000000"/>
        </w:rPr>
        <w:t>/den hladina ukázala 1,7násobnou akumulaci léku po opakovaném podávání jednou denně.</w:t>
      </w:r>
    </w:p>
    <w:p w14:paraId="34BE2442" w14:textId="77777777" w:rsidR="00A44EA7" w:rsidRPr="00F25A60" w:rsidRDefault="00A44EA7" w:rsidP="0048111F">
      <w:pPr>
        <w:pStyle w:val="EndnoteText"/>
        <w:rPr>
          <w:color w:val="000000"/>
        </w:rPr>
      </w:pPr>
    </w:p>
    <w:p w14:paraId="7D81D2A3" w14:textId="77777777" w:rsidR="00A44EA7" w:rsidRPr="00F25A60" w:rsidRDefault="00A44EA7" w:rsidP="0048111F">
      <w:pPr>
        <w:pStyle w:val="EndnoteText"/>
        <w:rPr>
          <w:color w:val="000000"/>
        </w:rPr>
      </w:pPr>
      <w:r w:rsidRPr="00F25A60">
        <w:rPr>
          <w:color w:val="000000"/>
        </w:rPr>
        <w:t>Na základě poolovaných farmakokinetických analýz populací pediatrických pacientů s hematologickými poruchami (CML, Ph+ALL, nebo jinými hematologickými poruchami léčenými imatinibem) roste clearance imatinibu se zvyšujícím se povrchem těla (BSA). Po úpravě vlivu BSA neměly další demografické ukazatele, jako je věk, tělesná hmotnost a body mass index, klinicky významný vliv na expozici imatinibem. Analýzy potvrdily, že expozice imatinibem u pediatrických pacientů užívajících 260 mg/m</w:t>
      </w:r>
      <w:r w:rsidRPr="00F25A60">
        <w:rPr>
          <w:color w:val="000000"/>
          <w:vertAlign w:val="superscript"/>
        </w:rPr>
        <w:t>2</w:t>
      </w:r>
      <w:r w:rsidRPr="00F25A60">
        <w:rPr>
          <w:color w:val="000000"/>
        </w:rPr>
        <w:t xml:space="preserve"> jednou denně (nepřevyšující 400 mg jednou denně) nebo 340 mg/m</w:t>
      </w:r>
      <w:r w:rsidRPr="00F25A60">
        <w:rPr>
          <w:color w:val="000000"/>
          <w:vertAlign w:val="superscript"/>
        </w:rPr>
        <w:t>2</w:t>
      </w:r>
      <w:r w:rsidRPr="00F25A60">
        <w:rPr>
          <w:color w:val="000000"/>
        </w:rPr>
        <w:t xml:space="preserve"> jednou denně (nepřevyšující 600 mg jednou denně) byly podobné jako u dospělých pacientů, kteří užívali imatinib v dávce 400 mg nebo 600 mg jednou denně.</w:t>
      </w:r>
    </w:p>
    <w:p w14:paraId="787AAF2C" w14:textId="77777777" w:rsidR="00D94F95" w:rsidRPr="00F25A60" w:rsidRDefault="00D94F95" w:rsidP="0048111F">
      <w:pPr>
        <w:pStyle w:val="EndnoteText"/>
        <w:tabs>
          <w:tab w:val="clear" w:pos="567"/>
        </w:tabs>
        <w:rPr>
          <w:color w:val="000000"/>
        </w:rPr>
      </w:pPr>
    </w:p>
    <w:p w14:paraId="159F23D9" w14:textId="7A8F58BB" w:rsidR="00D94F95" w:rsidRPr="00F25A60" w:rsidRDefault="003A2308" w:rsidP="0048111F">
      <w:pPr>
        <w:pStyle w:val="EndnoteText"/>
        <w:keepNext/>
        <w:tabs>
          <w:tab w:val="clear" w:pos="567"/>
        </w:tabs>
        <w:rPr>
          <w:color w:val="000000"/>
          <w:u w:val="single"/>
        </w:rPr>
      </w:pPr>
      <w:r w:rsidRPr="00F25A60">
        <w:rPr>
          <w:color w:val="000000"/>
          <w:u w:val="single"/>
        </w:rPr>
        <w:t xml:space="preserve">Porucha </w:t>
      </w:r>
      <w:r w:rsidR="00D94F95" w:rsidRPr="00F25A60">
        <w:rPr>
          <w:color w:val="000000"/>
          <w:u w:val="single"/>
        </w:rPr>
        <w:t>funkce orgánů</w:t>
      </w:r>
    </w:p>
    <w:p w14:paraId="684BFAD6" w14:textId="77777777" w:rsidR="00DF45EE" w:rsidRPr="00F25A60" w:rsidRDefault="00DF45EE" w:rsidP="0048111F">
      <w:pPr>
        <w:pStyle w:val="EndnoteText"/>
        <w:keepNext/>
        <w:tabs>
          <w:tab w:val="clear" w:pos="567"/>
        </w:tabs>
        <w:rPr>
          <w:color w:val="000000"/>
        </w:rPr>
      </w:pPr>
    </w:p>
    <w:p w14:paraId="152EEEDC" w14:textId="3C7A51AA" w:rsidR="00D94F95" w:rsidRPr="00F25A60" w:rsidRDefault="00D94F95" w:rsidP="0048111F">
      <w:pPr>
        <w:pStyle w:val="EndnoteText"/>
        <w:tabs>
          <w:tab w:val="clear" w:pos="567"/>
        </w:tabs>
        <w:rPr>
          <w:color w:val="000000"/>
        </w:rPr>
      </w:pPr>
      <w:r w:rsidRPr="00F25A60">
        <w:rPr>
          <w:color w:val="000000"/>
        </w:rPr>
        <w:t xml:space="preserve">Imatinib a jeho metabolity nejsou ve významném množství vylučovány ledvinami. U pacientů s </w:t>
      </w:r>
      <w:r w:rsidR="003A2308" w:rsidRPr="00F25A60">
        <w:rPr>
          <w:color w:val="000000"/>
        </w:rPr>
        <w:t>lehkou</w:t>
      </w:r>
      <w:r w:rsidRPr="00F25A60">
        <w:rPr>
          <w:color w:val="000000"/>
        </w:rPr>
        <w:t xml:space="preserve"> a středně </w:t>
      </w:r>
      <w:r w:rsidR="003A2308" w:rsidRPr="00F25A60">
        <w:rPr>
          <w:color w:val="000000"/>
        </w:rPr>
        <w:t>těžkou poruchou funkce ledvin</w:t>
      </w:r>
      <w:r w:rsidRPr="00F25A60">
        <w:rPr>
          <w:color w:val="000000"/>
        </w:rPr>
        <w:t xml:space="preserve"> se ukázalo, že mají vyšší plazmatickou expozici než pacienti s normální funkcí ledvin. Zvýšení je přibližně 1,5- až 2násobné, což odpovídá 1,5násobku zvýšení plazmatického AGP, na který se imatinib silně váže. Clearance volného imatinibu je pravděpodobně obdobná u pacientů s</w:t>
      </w:r>
      <w:r w:rsidR="003A2308" w:rsidRPr="00F25A60">
        <w:rPr>
          <w:color w:val="000000"/>
        </w:rPr>
        <w:t> poruchou funkce ledvin</w:t>
      </w:r>
      <w:r w:rsidRPr="00F25A60">
        <w:rPr>
          <w:color w:val="000000"/>
        </w:rPr>
        <w:t xml:space="preserve"> a u pacientů s normální funkcí ledvin vzhledem k tomu, že vylučování ledvinami představuje pouze vedlejší cestu eliminace imatinibu (viz bod</w:t>
      </w:r>
      <w:r w:rsidR="003A2308" w:rsidRPr="00F25A60">
        <w:rPr>
          <w:color w:val="000000"/>
        </w:rPr>
        <w:t>y</w:t>
      </w:r>
      <w:ins w:id="374" w:author="Author">
        <w:r w:rsidR="00DE279B" w:rsidRPr="00F25A60">
          <w:rPr>
            <w:color w:val="000000"/>
          </w:rPr>
          <w:t> </w:t>
        </w:r>
      </w:ins>
      <w:del w:id="375" w:author="Author">
        <w:r w:rsidRPr="00F25A60" w:rsidDel="00DE279B">
          <w:rPr>
            <w:color w:val="000000"/>
          </w:rPr>
          <w:delText xml:space="preserve"> </w:delText>
        </w:r>
      </w:del>
      <w:smartTag w:uri="urn:schemas-microsoft-com:office:smarttags" w:element="metricconverter">
        <w:smartTagPr>
          <w:attr w:name="ProductID" w:val="4.2 a"/>
        </w:smartTagPr>
        <w:r w:rsidRPr="00F25A60">
          <w:rPr>
            <w:color w:val="000000"/>
          </w:rPr>
          <w:t>4.2 a</w:t>
        </w:r>
      </w:smartTag>
      <w:r w:rsidRPr="00F25A60">
        <w:rPr>
          <w:color w:val="000000"/>
        </w:rPr>
        <w:t xml:space="preserve"> 4.4).</w:t>
      </w:r>
    </w:p>
    <w:p w14:paraId="448E3C26" w14:textId="77777777" w:rsidR="00D94F95" w:rsidRPr="00F25A60" w:rsidRDefault="00D94F95" w:rsidP="0048111F">
      <w:pPr>
        <w:pStyle w:val="EndnoteText"/>
        <w:tabs>
          <w:tab w:val="clear" w:pos="567"/>
        </w:tabs>
        <w:rPr>
          <w:color w:val="000000"/>
        </w:rPr>
      </w:pPr>
    </w:p>
    <w:p w14:paraId="1FA6498F" w14:textId="6C8BBD1F" w:rsidR="00D94F95" w:rsidRPr="00F25A60" w:rsidRDefault="00D94F95" w:rsidP="0048111F">
      <w:pPr>
        <w:pStyle w:val="EndnoteText"/>
        <w:tabs>
          <w:tab w:val="clear" w:pos="567"/>
        </w:tabs>
        <w:rPr>
          <w:color w:val="000000"/>
        </w:rPr>
      </w:pPr>
      <w:r w:rsidRPr="00F25A60">
        <w:rPr>
          <w:color w:val="000000"/>
        </w:rPr>
        <w:t>Ačkoli výsledky farmakokinetických analýz ukázaly, že je zde značný rozdíl mezi jedinci, střední expozice imatinibu se nezvýšila u pacientů s různými stupni dysfunkce jater ve srovnání s pacienty s normální funkcí jater (viz body</w:t>
      </w:r>
      <w:ins w:id="376" w:author="Author">
        <w:r w:rsidR="00DE279B" w:rsidRPr="00F25A60">
          <w:rPr>
            <w:color w:val="000000"/>
          </w:rPr>
          <w:t> </w:t>
        </w:r>
      </w:ins>
      <w:del w:id="377" w:author="Author">
        <w:r w:rsidRPr="00F25A60" w:rsidDel="00DE279B">
          <w:rPr>
            <w:color w:val="000000"/>
          </w:rPr>
          <w:delText xml:space="preserve"> </w:delText>
        </w:r>
      </w:del>
      <w:r w:rsidRPr="00F25A60">
        <w:rPr>
          <w:color w:val="000000"/>
        </w:rPr>
        <w:t xml:space="preserve">4.2, </w:t>
      </w:r>
      <w:smartTag w:uri="urn:schemas-microsoft-com:office:smarttags" w:element="metricconverter">
        <w:smartTagPr>
          <w:attr w:name="ProductID" w:val="4.4 a"/>
        </w:smartTagPr>
        <w:r w:rsidRPr="00F25A60">
          <w:rPr>
            <w:color w:val="000000"/>
          </w:rPr>
          <w:t>4.4 a</w:t>
        </w:r>
      </w:smartTag>
      <w:r w:rsidRPr="00F25A60">
        <w:rPr>
          <w:color w:val="000000"/>
        </w:rPr>
        <w:t xml:space="preserve"> 4.8).</w:t>
      </w:r>
    </w:p>
    <w:p w14:paraId="4960BEED" w14:textId="77777777" w:rsidR="00D94F95" w:rsidRPr="00F25A60" w:rsidRDefault="00D94F95" w:rsidP="0048111F">
      <w:pPr>
        <w:pStyle w:val="EndnoteText"/>
        <w:tabs>
          <w:tab w:val="clear" w:pos="567"/>
        </w:tabs>
        <w:rPr>
          <w:color w:val="000000"/>
        </w:rPr>
      </w:pPr>
    </w:p>
    <w:p w14:paraId="1F896AFB" w14:textId="77777777" w:rsidR="00D94F95" w:rsidRPr="00F25A60" w:rsidRDefault="00D94F95" w:rsidP="0048111F">
      <w:pPr>
        <w:keepNext/>
        <w:tabs>
          <w:tab w:val="clear" w:pos="567"/>
        </w:tabs>
        <w:spacing w:line="240" w:lineRule="auto"/>
        <w:ind w:left="567" w:hanging="567"/>
        <w:rPr>
          <w:b/>
          <w:bCs/>
          <w:color w:val="000000"/>
        </w:rPr>
      </w:pPr>
      <w:r w:rsidRPr="00F25A60">
        <w:rPr>
          <w:b/>
          <w:bCs/>
          <w:color w:val="000000"/>
        </w:rPr>
        <w:t>5.3</w:t>
      </w:r>
      <w:r w:rsidRPr="00F25A60">
        <w:rPr>
          <w:b/>
          <w:bCs/>
          <w:color w:val="000000"/>
        </w:rPr>
        <w:tab/>
        <w:t>Předklinické údaje vztahující se k bezpečnosti</w:t>
      </w:r>
    </w:p>
    <w:p w14:paraId="75D9F3B3" w14:textId="77777777" w:rsidR="00D94F95" w:rsidRPr="00F25A60" w:rsidRDefault="00D94F95" w:rsidP="0048111F">
      <w:pPr>
        <w:pStyle w:val="EndnoteText"/>
        <w:keepNext/>
        <w:tabs>
          <w:tab w:val="clear" w:pos="567"/>
        </w:tabs>
        <w:rPr>
          <w:color w:val="000000"/>
        </w:rPr>
      </w:pPr>
    </w:p>
    <w:p w14:paraId="45671609" w14:textId="77777777" w:rsidR="00D94F95" w:rsidRPr="00F25A60" w:rsidRDefault="00D94F95" w:rsidP="0048111F">
      <w:pPr>
        <w:tabs>
          <w:tab w:val="clear" w:pos="567"/>
        </w:tabs>
        <w:spacing w:line="240" w:lineRule="auto"/>
        <w:rPr>
          <w:color w:val="000000"/>
        </w:rPr>
      </w:pPr>
      <w:r w:rsidRPr="00F25A60">
        <w:rPr>
          <w:color w:val="000000"/>
        </w:rPr>
        <w:t>Předklinický profil bezpečnosti imatinibu byl stanoven na potkanech, psech, opicích a králících.</w:t>
      </w:r>
    </w:p>
    <w:p w14:paraId="1EC5226D" w14:textId="77777777" w:rsidR="00D94F95" w:rsidRPr="00F25A60" w:rsidRDefault="00D94F95" w:rsidP="0048111F">
      <w:pPr>
        <w:tabs>
          <w:tab w:val="clear" w:pos="567"/>
        </w:tabs>
        <w:spacing w:line="240" w:lineRule="auto"/>
        <w:rPr>
          <w:color w:val="000000"/>
        </w:rPr>
      </w:pPr>
    </w:p>
    <w:p w14:paraId="0BC66A32" w14:textId="77777777" w:rsidR="00D94F95" w:rsidRPr="00F25A60" w:rsidRDefault="00D94F95" w:rsidP="0048111F">
      <w:pPr>
        <w:pStyle w:val="Text"/>
        <w:spacing w:before="0"/>
        <w:jc w:val="left"/>
        <w:rPr>
          <w:color w:val="000000"/>
          <w:sz w:val="22"/>
          <w:szCs w:val="22"/>
          <w:lang w:val="cs-CZ"/>
        </w:rPr>
      </w:pPr>
      <w:r w:rsidRPr="00F25A60">
        <w:rPr>
          <w:color w:val="000000"/>
          <w:sz w:val="22"/>
          <w:szCs w:val="22"/>
          <w:lang w:val="cs-CZ"/>
        </w:rPr>
        <w:t>Při studiu toxicity po opakovaném podání byly pozorovány mírné až středně závažné hematologické změny u potkanů, psů, a opic doprovázené změnami v kostní dřeni u potkanů a psů.</w:t>
      </w:r>
    </w:p>
    <w:p w14:paraId="55E4B54A" w14:textId="77777777" w:rsidR="00D94F95" w:rsidRPr="00F25A60" w:rsidRDefault="00D94F95" w:rsidP="0048111F">
      <w:pPr>
        <w:pStyle w:val="Text"/>
        <w:spacing w:before="0"/>
        <w:jc w:val="left"/>
        <w:rPr>
          <w:color w:val="000000"/>
          <w:sz w:val="22"/>
          <w:szCs w:val="22"/>
          <w:lang w:val="cs-CZ"/>
        </w:rPr>
      </w:pPr>
    </w:p>
    <w:p w14:paraId="420BA968" w14:textId="77777777" w:rsidR="00D94F95" w:rsidRPr="00F25A60" w:rsidRDefault="00D94F95" w:rsidP="0048111F">
      <w:pPr>
        <w:pStyle w:val="Text"/>
        <w:spacing w:before="0"/>
        <w:jc w:val="left"/>
        <w:rPr>
          <w:color w:val="000000"/>
          <w:sz w:val="22"/>
          <w:szCs w:val="22"/>
          <w:lang w:val="cs-CZ"/>
        </w:rPr>
      </w:pPr>
      <w:r w:rsidRPr="00F25A60">
        <w:rPr>
          <w:color w:val="000000"/>
          <w:sz w:val="22"/>
          <w:szCs w:val="22"/>
          <w:lang w:val="cs-CZ"/>
        </w:rPr>
        <w:t>U potkanů a psů byly cílovým orgánem játra. U obou druhů zvířat bylo pozorováno mírné až středn</w:t>
      </w:r>
      <w:r w:rsidR="005A42AC" w:rsidRPr="00F25A60">
        <w:rPr>
          <w:color w:val="000000"/>
          <w:sz w:val="22"/>
          <w:szCs w:val="22"/>
          <w:lang w:val="cs-CZ"/>
        </w:rPr>
        <w:t>ě</w:t>
      </w:r>
      <w:r w:rsidRPr="00F25A60">
        <w:rPr>
          <w:color w:val="000000"/>
          <w:sz w:val="22"/>
          <w:szCs w:val="22"/>
          <w:lang w:val="cs-CZ"/>
        </w:rPr>
        <w:t xml:space="preserve"> </w:t>
      </w:r>
      <w:r w:rsidR="005A42AC" w:rsidRPr="00F25A60">
        <w:rPr>
          <w:color w:val="000000"/>
          <w:sz w:val="22"/>
          <w:szCs w:val="22"/>
          <w:lang w:val="cs-CZ"/>
        </w:rPr>
        <w:t xml:space="preserve">výrazné </w:t>
      </w:r>
      <w:r w:rsidRPr="00F25A60">
        <w:rPr>
          <w:color w:val="000000"/>
          <w:sz w:val="22"/>
          <w:szCs w:val="22"/>
          <w:lang w:val="cs-CZ"/>
        </w:rPr>
        <w:t xml:space="preserve">zvýšení transamináz a mírný pokles cholesterolu, triglyceridů, celkových proteinů a hladiny albuminu. V játrech potkanů nebyly nalezeny žádné histopatologické změny. Závažné toxické změny se zvýšením jaterních enzymů, hepatocelulární nekrózou, nekrózou žlučových cest a hyperplazií žlučovodu byly pozorovány u psů léčených po </w:t>
      </w:r>
      <w:r w:rsidR="005A42AC" w:rsidRPr="00F25A60">
        <w:rPr>
          <w:color w:val="000000"/>
          <w:sz w:val="22"/>
          <w:szCs w:val="22"/>
          <w:lang w:val="cs-CZ"/>
        </w:rPr>
        <w:t xml:space="preserve">dobu </w:t>
      </w:r>
      <w:r w:rsidRPr="00F25A60">
        <w:rPr>
          <w:color w:val="000000"/>
          <w:sz w:val="22"/>
          <w:szCs w:val="22"/>
          <w:lang w:val="cs-CZ"/>
        </w:rPr>
        <w:t>2 týdn</w:t>
      </w:r>
      <w:r w:rsidR="005A42AC" w:rsidRPr="00F25A60">
        <w:rPr>
          <w:color w:val="000000"/>
          <w:sz w:val="22"/>
          <w:szCs w:val="22"/>
          <w:lang w:val="cs-CZ"/>
        </w:rPr>
        <w:t>ů</w:t>
      </w:r>
      <w:r w:rsidRPr="00F25A60">
        <w:rPr>
          <w:color w:val="000000"/>
          <w:sz w:val="22"/>
          <w:szCs w:val="22"/>
          <w:lang w:val="cs-CZ"/>
        </w:rPr>
        <w:t>.</w:t>
      </w:r>
    </w:p>
    <w:p w14:paraId="546EC63C" w14:textId="77777777" w:rsidR="00D94F95" w:rsidRPr="00F25A60" w:rsidRDefault="00D94F95" w:rsidP="0048111F">
      <w:pPr>
        <w:pStyle w:val="Text"/>
        <w:spacing w:before="0"/>
        <w:rPr>
          <w:color w:val="000000"/>
          <w:sz w:val="22"/>
          <w:szCs w:val="22"/>
          <w:lang w:val="cs-CZ"/>
        </w:rPr>
      </w:pPr>
    </w:p>
    <w:p w14:paraId="38B7C244" w14:textId="77777777" w:rsidR="00D94F95" w:rsidRPr="00F25A60" w:rsidRDefault="00D94F95" w:rsidP="0048111F">
      <w:pPr>
        <w:pStyle w:val="Text"/>
        <w:spacing w:before="0"/>
        <w:jc w:val="left"/>
        <w:rPr>
          <w:color w:val="000000"/>
          <w:sz w:val="22"/>
          <w:szCs w:val="22"/>
          <w:lang w:val="cs-CZ"/>
        </w:rPr>
      </w:pPr>
      <w:r w:rsidRPr="00F25A60">
        <w:rPr>
          <w:color w:val="000000"/>
          <w:sz w:val="22"/>
          <w:szCs w:val="22"/>
          <w:lang w:val="cs-CZ"/>
        </w:rPr>
        <w:t>U opic byla po dvou týdnech léčby pozorována nefrotoxicita, s ložiskovou mineralizací a dilatací renálních tubulů a tubulární nefrózou. U několika zvířat bylo pozorováno zvýšení urey (BUN) a kreatininu</w:t>
      </w:r>
      <w:r w:rsidR="005A42AC" w:rsidRPr="00F25A60">
        <w:rPr>
          <w:color w:val="000000"/>
          <w:sz w:val="22"/>
          <w:szCs w:val="22"/>
          <w:lang w:val="cs-CZ"/>
        </w:rPr>
        <w:t xml:space="preserve"> v krvi</w:t>
      </w:r>
      <w:r w:rsidRPr="00F25A60">
        <w:rPr>
          <w:color w:val="000000"/>
          <w:sz w:val="22"/>
          <w:szCs w:val="22"/>
          <w:lang w:val="cs-CZ"/>
        </w:rPr>
        <w:t xml:space="preserve">. U potkanů byla po dávkách </w:t>
      </w:r>
      <w:r w:rsidRPr="00F25A60">
        <w:rPr>
          <w:rFonts w:ascii="Symbol" w:hAnsi="Symbol"/>
          <w:color w:val="000000"/>
          <w:sz w:val="22"/>
          <w:szCs w:val="22"/>
          <w:lang w:val="cs-CZ"/>
        </w:rPr>
        <w:t></w:t>
      </w:r>
      <w:r w:rsidRPr="00F25A60">
        <w:rPr>
          <w:color w:val="000000"/>
          <w:sz w:val="22"/>
          <w:szCs w:val="22"/>
          <w:lang w:val="cs-CZ"/>
        </w:rPr>
        <w:t> 6 mg/kg ve 13týdenní studii pozorována hyperplazie přechodového epitelu renální papily a močového měchýře, beze změn parametrů v séru nebo moči. Při chronické léčbě imatinibem byl pozorován četnější výskyt oportunních infekcí.</w:t>
      </w:r>
    </w:p>
    <w:p w14:paraId="7CA475B4" w14:textId="77777777" w:rsidR="00D94F95" w:rsidRPr="00F25A60" w:rsidRDefault="00D94F95" w:rsidP="0048111F">
      <w:pPr>
        <w:pStyle w:val="Text"/>
        <w:spacing w:before="0"/>
        <w:jc w:val="left"/>
        <w:rPr>
          <w:color w:val="000000"/>
          <w:sz w:val="22"/>
          <w:szCs w:val="22"/>
          <w:lang w:val="cs-CZ"/>
        </w:rPr>
      </w:pPr>
    </w:p>
    <w:p w14:paraId="4C4473C6" w14:textId="77777777" w:rsidR="00D94F95" w:rsidRPr="00F25A60" w:rsidRDefault="00D94F95" w:rsidP="0048111F">
      <w:pPr>
        <w:pStyle w:val="Text"/>
        <w:spacing w:before="0"/>
        <w:jc w:val="left"/>
        <w:rPr>
          <w:color w:val="000000"/>
          <w:sz w:val="22"/>
          <w:szCs w:val="22"/>
          <w:lang w:val="cs-CZ"/>
        </w:rPr>
      </w:pPr>
      <w:r w:rsidRPr="00F25A60">
        <w:rPr>
          <w:color w:val="000000"/>
          <w:sz w:val="22"/>
          <w:szCs w:val="22"/>
          <w:lang w:val="cs-CZ"/>
        </w:rPr>
        <w:t xml:space="preserve">Ve 39týdenní studii u opic nebyla při nejnižší dávce 15 mg/kg, odpovídající přibližně jedné třetině maximální dávky 800 mg </w:t>
      </w:r>
      <w:r w:rsidR="005A42AC" w:rsidRPr="00F25A60">
        <w:rPr>
          <w:color w:val="000000"/>
          <w:sz w:val="22"/>
          <w:szCs w:val="22"/>
          <w:lang w:val="cs-CZ"/>
        </w:rPr>
        <w:t xml:space="preserve">u člověka </w:t>
      </w:r>
      <w:r w:rsidRPr="00F25A60">
        <w:rPr>
          <w:color w:val="000000"/>
          <w:sz w:val="22"/>
          <w:szCs w:val="22"/>
          <w:lang w:val="cs-CZ"/>
        </w:rPr>
        <w:t xml:space="preserve">stanovené podle tělesného povrchu, stanovena hladina bez nežádoucích účinků -NOAEL (No Observed Adverse Effect Level). U těchto zvířat došlo ke zhoršení normálně </w:t>
      </w:r>
      <w:r w:rsidR="005A42AC" w:rsidRPr="00F25A60">
        <w:rPr>
          <w:color w:val="000000"/>
          <w:sz w:val="22"/>
          <w:szCs w:val="22"/>
          <w:lang w:val="cs-CZ"/>
        </w:rPr>
        <w:t>suprimované</w:t>
      </w:r>
      <w:r w:rsidRPr="00F25A60">
        <w:rPr>
          <w:color w:val="000000"/>
          <w:sz w:val="22"/>
          <w:szCs w:val="22"/>
          <w:lang w:val="cs-CZ"/>
        </w:rPr>
        <w:t xml:space="preserve"> malárie.</w:t>
      </w:r>
    </w:p>
    <w:p w14:paraId="791A56A8" w14:textId="77777777" w:rsidR="00D94F95" w:rsidRPr="00F25A60" w:rsidRDefault="00D94F95" w:rsidP="0048111F">
      <w:pPr>
        <w:pStyle w:val="Text"/>
        <w:spacing w:before="0"/>
        <w:jc w:val="left"/>
        <w:rPr>
          <w:color w:val="000000"/>
          <w:sz w:val="22"/>
          <w:szCs w:val="22"/>
          <w:lang w:val="cs-CZ"/>
        </w:rPr>
      </w:pPr>
    </w:p>
    <w:p w14:paraId="027B622C" w14:textId="77777777" w:rsidR="00D94F95" w:rsidRPr="00F25A60" w:rsidRDefault="00D94F95" w:rsidP="0048111F">
      <w:pPr>
        <w:pStyle w:val="Text"/>
        <w:spacing w:before="0"/>
        <w:jc w:val="left"/>
        <w:rPr>
          <w:color w:val="000000"/>
          <w:sz w:val="22"/>
          <w:szCs w:val="22"/>
          <w:lang w:val="cs-CZ"/>
        </w:rPr>
      </w:pPr>
      <w:r w:rsidRPr="00F25A60">
        <w:rPr>
          <w:color w:val="000000"/>
          <w:sz w:val="22"/>
          <w:szCs w:val="22"/>
          <w:lang w:val="cs-CZ"/>
        </w:rPr>
        <w:t xml:space="preserve">Ve studiích </w:t>
      </w:r>
      <w:r w:rsidRPr="00F25A60">
        <w:rPr>
          <w:i/>
          <w:iCs/>
          <w:color w:val="000000"/>
          <w:sz w:val="22"/>
          <w:szCs w:val="22"/>
          <w:lang w:val="cs-CZ"/>
        </w:rPr>
        <w:t>in vitro</w:t>
      </w:r>
      <w:r w:rsidRPr="00F25A60">
        <w:rPr>
          <w:color w:val="000000"/>
          <w:sz w:val="22"/>
          <w:szCs w:val="22"/>
          <w:lang w:val="cs-CZ"/>
        </w:rPr>
        <w:t xml:space="preserve"> na bakteriálních buňkách (Amesův test), na savčích buňkách (myší lymfomové buňky) ani ve studiích </w:t>
      </w:r>
      <w:r w:rsidRPr="00F25A60">
        <w:rPr>
          <w:i/>
          <w:iCs/>
          <w:color w:val="000000"/>
          <w:sz w:val="22"/>
          <w:szCs w:val="22"/>
          <w:lang w:val="cs-CZ"/>
        </w:rPr>
        <w:t xml:space="preserve">in vivo </w:t>
      </w:r>
      <w:r w:rsidRPr="00F25A60">
        <w:rPr>
          <w:iCs/>
          <w:color w:val="000000"/>
          <w:sz w:val="22"/>
          <w:szCs w:val="22"/>
          <w:lang w:val="cs-CZ"/>
        </w:rPr>
        <w:t>u</w:t>
      </w:r>
      <w:r w:rsidRPr="00F25A60">
        <w:rPr>
          <w:color w:val="000000"/>
          <w:sz w:val="22"/>
          <w:szCs w:val="22"/>
          <w:lang w:val="cs-CZ"/>
        </w:rPr>
        <w:t> </w:t>
      </w:r>
      <w:r w:rsidRPr="00F25A60">
        <w:rPr>
          <w:iCs/>
          <w:color w:val="000000"/>
          <w:sz w:val="22"/>
          <w:szCs w:val="22"/>
          <w:lang w:val="cs-CZ"/>
        </w:rPr>
        <w:t xml:space="preserve">potkanů </w:t>
      </w:r>
      <w:r w:rsidRPr="00F25A60">
        <w:rPr>
          <w:color w:val="000000"/>
          <w:sz w:val="22"/>
          <w:szCs w:val="22"/>
          <w:lang w:val="cs-CZ"/>
        </w:rPr>
        <w:t xml:space="preserve">mikronukleárním testem nebyla zjištěna genotoxicita imatinibu. Pozitivní genotoxický účinek imatinibu byl zjištěn v testu </w:t>
      </w:r>
      <w:r w:rsidRPr="00F25A60">
        <w:rPr>
          <w:i/>
          <w:iCs/>
          <w:color w:val="000000"/>
          <w:sz w:val="22"/>
          <w:szCs w:val="22"/>
          <w:lang w:val="cs-CZ"/>
        </w:rPr>
        <w:t xml:space="preserve">in vitro </w:t>
      </w:r>
      <w:r w:rsidRPr="00F25A60">
        <w:rPr>
          <w:color w:val="000000"/>
          <w:sz w:val="22"/>
          <w:szCs w:val="22"/>
          <w:lang w:val="cs-CZ"/>
        </w:rPr>
        <w:t xml:space="preserve">na savčích buňkách (ovariální buňky křečka čínského) na klastogenitu (chromozomální aberaci) za přítomnosti metabolické aktivace. Dva meziprodukty výrobního procesu, které jsou také přítomny ve finálním </w:t>
      </w:r>
      <w:r w:rsidR="005A42AC" w:rsidRPr="00F25A60">
        <w:rPr>
          <w:color w:val="000000"/>
          <w:sz w:val="22"/>
          <w:szCs w:val="22"/>
          <w:lang w:val="cs-CZ"/>
        </w:rPr>
        <w:t>přípravku</w:t>
      </w:r>
      <w:r w:rsidRPr="00F25A60">
        <w:rPr>
          <w:color w:val="000000"/>
          <w:sz w:val="22"/>
          <w:szCs w:val="22"/>
          <w:lang w:val="cs-CZ"/>
        </w:rPr>
        <w:t>, měly pozitivní Amesův test na mutagenitu. Jeden z těchto meziproduktů byl také pozitivní při testování na myších lymfomových buňkách.</w:t>
      </w:r>
    </w:p>
    <w:p w14:paraId="5271DE44" w14:textId="77777777" w:rsidR="00D94F95" w:rsidRPr="00F25A60" w:rsidRDefault="00D94F95" w:rsidP="0048111F">
      <w:pPr>
        <w:pStyle w:val="Text"/>
        <w:spacing w:before="0"/>
        <w:jc w:val="left"/>
        <w:rPr>
          <w:color w:val="000000"/>
          <w:sz w:val="22"/>
          <w:szCs w:val="22"/>
          <w:lang w:val="cs-CZ"/>
        </w:rPr>
      </w:pPr>
    </w:p>
    <w:p w14:paraId="7568BDF4" w14:textId="77777777" w:rsidR="00D94F95" w:rsidRPr="00F25A60" w:rsidRDefault="00D94F95" w:rsidP="0048111F">
      <w:pPr>
        <w:pStyle w:val="Text"/>
        <w:spacing w:before="0"/>
        <w:jc w:val="left"/>
        <w:rPr>
          <w:color w:val="000000"/>
          <w:sz w:val="22"/>
          <w:szCs w:val="22"/>
          <w:lang w:val="cs-CZ"/>
        </w:rPr>
      </w:pPr>
      <w:r w:rsidRPr="00F25A60">
        <w:rPr>
          <w:color w:val="000000"/>
          <w:sz w:val="22"/>
          <w:szCs w:val="22"/>
          <w:lang w:val="cs-CZ"/>
        </w:rPr>
        <w:t xml:space="preserve">Ve studii fertility byla potkaním samcům po dobu 70 dnů před připuštěním podávána dávka 60 mg/kg, která přibližně odpovídá maximální klinické dávce 800 mg/den, stanovené podle tělesného povrchu. Byl zjištěn úbytek hmotnosti varlat a nadvarlat a sníženo procento pohyblivých spermií. Tento účinek nebyl pozorován při dávce ≤ 20 mg/kg. Mírné až střední snížení spermatogeneze bylo také pozorováno u psů po perorálních dávkách </w:t>
      </w:r>
      <w:r w:rsidRPr="00F25A60">
        <w:rPr>
          <w:rFonts w:ascii="Symbol" w:hAnsi="Symbol"/>
          <w:color w:val="000000"/>
          <w:sz w:val="22"/>
          <w:szCs w:val="22"/>
          <w:lang w:val="cs-CZ"/>
        </w:rPr>
        <w:t></w:t>
      </w:r>
      <w:r w:rsidRPr="00F25A60">
        <w:rPr>
          <w:color w:val="000000"/>
          <w:sz w:val="22"/>
          <w:szCs w:val="22"/>
          <w:lang w:val="cs-CZ"/>
        </w:rPr>
        <w:t> 30 mg/kg. Pokud byl imatinib podáván samicím potkanů 14 dnů před připuštěním a až do 6. dne březosti nebylo ovlivněno ani zabřeznutí ani počet březích samic. Po podávání dávky 60 mg/kg, došlo u samic potkanů k významným postimplantačním ztrátám plodů a snížení počtu živých plodů. Tento účinek nebyl pozorován v dávkách ≤ 20 mg/kg.</w:t>
      </w:r>
    </w:p>
    <w:p w14:paraId="4E4C3605" w14:textId="77777777" w:rsidR="00D94F95" w:rsidRPr="00F25A60" w:rsidRDefault="00D94F95" w:rsidP="0048111F">
      <w:pPr>
        <w:pStyle w:val="Text"/>
        <w:spacing w:before="0"/>
        <w:jc w:val="left"/>
        <w:rPr>
          <w:color w:val="000000"/>
          <w:sz w:val="22"/>
          <w:szCs w:val="22"/>
          <w:lang w:val="cs-CZ"/>
        </w:rPr>
      </w:pPr>
    </w:p>
    <w:p w14:paraId="5CC14BBC" w14:textId="77777777" w:rsidR="00D94F95" w:rsidRPr="00F25A60" w:rsidRDefault="00D94F95" w:rsidP="0048111F">
      <w:pPr>
        <w:pStyle w:val="Text"/>
        <w:spacing w:before="0"/>
        <w:jc w:val="left"/>
        <w:rPr>
          <w:color w:val="000000"/>
          <w:sz w:val="22"/>
          <w:szCs w:val="22"/>
          <w:lang w:val="cs-CZ"/>
        </w:rPr>
      </w:pPr>
      <w:r w:rsidRPr="00F25A60">
        <w:rPr>
          <w:color w:val="000000"/>
          <w:sz w:val="22"/>
          <w:szCs w:val="22"/>
          <w:lang w:val="cs-CZ"/>
        </w:rPr>
        <w:t>Ve studii pre a postnatálního vývoje u potkanů po perorálním podání 45 mg/kg/den byl 14. nebo 15. den zabřeznutí pozorován rudý výtok z vagíny. Při stejné dávce stoupnul počet mrtvě narozených mláďat stejně jako počet uhynulých po narození mezi 0. až 4. dnem. U mláďat z vrhu F</w:t>
      </w:r>
      <w:r w:rsidRPr="00F25A60">
        <w:rPr>
          <w:color w:val="000000"/>
          <w:sz w:val="22"/>
          <w:szCs w:val="22"/>
          <w:vertAlign w:val="subscript"/>
          <w:lang w:val="cs-CZ"/>
        </w:rPr>
        <w:t>1</w:t>
      </w:r>
      <w:r w:rsidRPr="00F25A60">
        <w:rPr>
          <w:color w:val="000000"/>
          <w:sz w:val="22"/>
          <w:szCs w:val="22"/>
          <w:lang w:val="cs-CZ"/>
        </w:rPr>
        <w:t>, byla při stejné dávce nižší průměrná tělesná hmotnost od narození až do usmrcení a počet mláďat ve vrhu byl také snížen. Fertilita F</w:t>
      </w:r>
      <w:r w:rsidRPr="00F25A60">
        <w:rPr>
          <w:color w:val="000000"/>
          <w:sz w:val="22"/>
          <w:szCs w:val="22"/>
          <w:vertAlign w:val="subscript"/>
          <w:lang w:val="cs-CZ"/>
        </w:rPr>
        <w:t>1</w:t>
      </w:r>
      <w:r w:rsidRPr="00F25A60">
        <w:rPr>
          <w:color w:val="000000"/>
          <w:sz w:val="22"/>
          <w:szCs w:val="22"/>
          <w:lang w:val="cs-CZ"/>
        </w:rPr>
        <w:t xml:space="preserve"> nebyla ovlivněna po dávce 45 mg/kg/den, zatímco počet resorbovaných plodů stoupl a klesl počet živě narozených mláďat. Dle hodnocení No Observed Effect Level (NOEL) byla pro mateřská zvířata a F</w:t>
      </w:r>
      <w:r w:rsidRPr="00F25A60">
        <w:rPr>
          <w:color w:val="000000"/>
          <w:sz w:val="22"/>
          <w:szCs w:val="22"/>
          <w:vertAlign w:val="subscript"/>
          <w:lang w:val="cs-CZ"/>
        </w:rPr>
        <w:t>1</w:t>
      </w:r>
      <w:r w:rsidRPr="00F25A60">
        <w:rPr>
          <w:color w:val="000000"/>
          <w:sz w:val="22"/>
          <w:szCs w:val="22"/>
          <w:lang w:val="cs-CZ"/>
        </w:rPr>
        <w:t xml:space="preserve"> generaci mláďat bezpečná dávka 15 mg/kg/den (jedna čtvrtina maximální dávky 800 mg</w:t>
      </w:r>
      <w:r w:rsidR="005A42AC" w:rsidRPr="00F25A60">
        <w:rPr>
          <w:color w:val="000000"/>
          <w:sz w:val="22"/>
          <w:szCs w:val="22"/>
          <w:lang w:val="cs-CZ"/>
        </w:rPr>
        <w:t xml:space="preserve"> u člověka</w:t>
      </w:r>
      <w:r w:rsidRPr="00F25A60">
        <w:rPr>
          <w:color w:val="000000"/>
          <w:sz w:val="22"/>
          <w:szCs w:val="22"/>
          <w:lang w:val="cs-CZ"/>
        </w:rPr>
        <w:t>).</w:t>
      </w:r>
    </w:p>
    <w:p w14:paraId="7E83570A" w14:textId="77777777" w:rsidR="00D94F95" w:rsidRPr="00F25A60" w:rsidRDefault="00D94F95" w:rsidP="0048111F">
      <w:pPr>
        <w:pStyle w:val="Text"/>
        <w:spacing w:before="0"/>
        <w:jc w:val="left"/>
        <w:rPr>
          <w:color w:val="000000"/>
          <w:sz w:val="22"/>
          <w:szCs w:val="22"/>
          <w:lang w:val="cs-CZ"/>
        </w:rPr>
      </w:pPr>
    </w:p>
    <w:p w14:paraId="0FAF227B" w14:textId="77777777" w:rsidR="00D94F95" w:rsidRPr="00F25A60" w:rsidRDefault="00D94F95" w:rsidP="0048111F">
      <w:pPr>
        <w:pStyle w:val="Text"/>
        <w:spacing w:before="0"/>
        <w:jc w:val="left"/>
        <w:rPr>
          <w:color w:val="000000"/>
          <w:sz w:val="22"/>
          <w:szCs w:val="22"/>
          <w:lang w:val="cs-CZ"/>
        </w:rPr>
      </w:pPr>
      <w:r w:rsidRPr="00F25A60">
        <w:rPr>
          <w:color w:val="000000"/>
          <w:sz w:val="22"/>
          <w:szCs w:val="22"/>
          <w:lang w:val="cs-CZ"/>
        </w:rPr>
        <w:t>Imatinib byl teratogenní, pokud byl podáván potkanům během organogeneze v dávkách ≥ 100 mg/kg, přibližně odpovídající maximální klinické dávce 800 mg/den, stanovené podle tělesného povrchu. Teratogenní účinky zahrnovaly exencefalii nebo encefalokelu, absenci nebo redukci frontálních kostí a absenci parietálních kostí. Tyto účinky nebyly pozorovány při dávkách ≤ 30 mg/kg.</w:t>
      </w:r>
    </w:p>
    <w:p w14:paraId="4CCA884C" w14:textId="77777777" w:rsidR="00797010" w:rsidRPr="00F25A60" w:rsidRDefault="00797010" w:rsidP="0048111F">
      <w:pPr>
        <w:pStyle w:val="Text"/>
        <w:spacing w:before="0"/>
        <w:jc w:val="left"/>
        <w:rPr>
          <w:color w:val="000000"/>
          <w:sz w:val="22"/>
          <w:szCs w:val="22"/>
          <w:lang w:val="cs-CZ"/>
        </w:rPr>
      </w:pPr>
    </w:p>
    <w:p w14:paraId="10DBAD9E" w14:textId="77777777" w:rsidR="00797010" w:rsidRPr="00F25A60" w:rsidRDefault="00797010" w:rsidP="0048111F">
      <w:pPr>
        <w:pStyle w:val="Text"/>
        <w:spacing w:before="0"/>
        <w:jc w:val="left"/>
        <w:rPr>
          <w:color w:val="000000"/>
          <w:sz w:val="22"/>
          <w:szCs w:val="22"/>
          <w:lang w:val="cs-CZ"/>
        </w:rPr>
      </w:pPr>
      <w:r w:rsidRPr="00F25A60">
        <w:rPr>
          <w:color w:val="000000"/>
          <w:sz w:val="22"/>
          <w:szCs w:val="22"/>
          <w:lang w:val="cs-CZ"/>
        </w:rPr>
        <w:lastRenderedPageBreak/>
        <w:t>V toxikologické studii zaměřené na juvenilní vývoj potkanů (den 10 až 70 post partum) nebyly zjištěné nové cílové orgány ve srovnání se zjištěnými cílovými orgány u dospělých potkanů. V toxikologické studii zaměřené na juvenilní jedince byly pozorovány účinky na růst, zpoždění otevření vaginy a oddělení předkožky při přibližně 0,3 až 2násobku průměrné pediatrické expozice při nejvyšší doporučené dávce 340 mg/m</w:t>
      </w:r>
      <w:r w:rsidRPr="00F25A60">
        <w:rPr>
          <w:color w:val="000000"/>
          <w:sz w:val="22"/>
          <w:szCs w:val="22"/>
          <w:vertAlign w:val="superscript"/>
          <w:lang w:val="cs-CZ"/>
        </w:rPr>
        <w:t>2</w:t>
      </w:r>
      <w:r w:rsidRPr="00F25A60">
        <w:rPr>
          <w:color w:val="000000"/>
          <w:sz w:val="22"/>
          <w:szCs w:val="22"/>
          <w:lang w:val="cs-CZ"/>
        </w:rPr>
        <w:t>. Dále byla u juvenilních zvířat (ve fázi odstavení) zjištěna mortalita při přibližně 2násobku průměrné pediatrické expozice při nejvyšší doporučené dávce 340 mg/m</w:t>
      </w:r>
      <w:r w:rsidRPr="00F25A60">
        <w:rPr>
          <w:color w:val="000000"/>
          <w:sz w:val="22"/>
          <w:szCs w:val="22"/>
          <w:vertAlign w:val="superscript"/>
          <w:lang w:val="cs-CZ"/>
        </w:rPr>
        <w:t>2</w:t>
      </w:r>
      <w:r w:rsidRPr="00F25A60">
        <w:rPr>
          <w:color w:val="000000"/>
          <w:sz w:val="22"/>
          <w:szCs w:val="22"/>
          <w:lang w:val="cs-CZ"/>
        </w:rPr>
        <w:t>.</w:t>
      </w:r>
    </w:p>
    <w:p w14:paraId="56A0505A" w14:textId="77777777" w:rsidR="00D94F95" w:rsidRPr="00F25A60" w:rsidRDefault="00D94F95" w:rsidP="0048111F">
      <w:pPr>
        <w:pStyle w:val="Text"/>
        <w:spacing w:before="0"/>
        <w:jc w:val="left"/>
        <w:rPr>
          <w:color w:val="000000"/>
          <w:sz w:val="22"/>
          <w:szCs w:val="22"/>
          <w:lang w:val="cs-CZ"/>
        </w:rPr>
      </w:pPr>
    </w:p>
    <w:p w14:paraId="5F37713F" w14:textId="77777777" w:rsidR="00D94F95" w:rsidRPr="00F25A60" w:rsidRDefault="00D94F95" w:rsidP="0048111F">
      <w:pPr>
        <w:pStyle w:val="Text"/>
        <w:spacing w:before="0"/>
        <w:jc w:val="left"/>
        <w:rPr>
          <w:color w:val="000000"/>
          <w:sz w:val="22"/>
          <w:szCs w:val="22"/>
          <w:lang w:val="cs-CZ"/>
        </w:rPr>
      </w:pPr>
      <w:r w:rsidRPr="00F25A60">
        <w:rPr>
          <w:color w:val="000000"/>
          <w:sz w:val="22"/>
          <w:szCs w:val="22"/>
          <w:lang w:val="cs-CZ"/>
        </w:rPr>
        <w:t xml:space="preserve">Výsledky 2leté studie kancerogenity u potkanů, kterým byl podáván imatinib v dávce 15, </w:t>
      </w:r>
      <w:smartTag w:uri="urn:schemas-microsoft-com:office:smarttags" w:element="metricconverter">
        <w:smartTagPr>
          <w:attr w:name="ProductID" w:val="30 a"/>
        </w:smartTagPr>
        <w:r w:rsidRPr="00F25A60">
          <w:rPr>
            <w:color w:val="000000"/>
            <w:sz w:val="22"/>
            <w:szCs w:val="22"/>
            <w:lang w:val="cs-CZ"/>
          </w:rPr>
          <w:t>30 a</w:t>
        </w:r>
      </w:smartTag>
      <w:r w:rsidRPr="00F25A60">
        <w:rPr>
          <w:color w:val="000000"/>
          <w:sz w:val="22"/>
          <w:szCs w:val="22"/>
          <w:lang w:val="cs-CZ"/>
        </w:rPr>
        <w:t xml:space="preserve"> 60 mg/kg/den ukázaly statisticky významné snížení délky života u samců při dávce 60 mg/kg/den a u samic při dávce ≥ 30 mg/kg/den. Histopatologická vyšetření jako hlavní příčinu </w:t>
      </w:r>
      <w:r w:rsidR="005A42AC" w:rsidRPr="00F25A60">
        <w:rPr>
          <w:color w:val="000000"/>
          <w:sz w:val="22"/>
          <w:szCs w:val="22"/>
          <w:lang w:val="cs-CZ"/>
        </w:rPr>
        <w:t>úmrtí</w:t>
      </w:r>
      <w:r w:rsidRPr="00F25A60">
        <w:rPr>
          <w:color w:val="000000"/>
          <w:sz w:val="22"/>
          <w:szCs w:val="22"/>
          <w:lang w:val="cs-CZ"/>
        </w:rPr>
        <w:t xml:space="preserve"> nebo důvodu pro utracení zvířat odhalily kardiomyopatii (u obou pohlaví), chronickou progresivní nefropatii (u samic) a papilomy předkožkové žlázky. Cílovými orgány, pokud se týká neoplastických změn, byly ledviny, močový měchýř, uretra, předkožková a klitoridální žlázka, tenké střevo, příštítná tělíska, nadledvinky a nesekretorická část žaludeční stěny.</w:t>
      </w:r>
    </w:p>
    <w:p w14:paraId="6D0074F2" w14:textId="77777777" w:rsidR="00D94F95" w:rsidRPr="00F25A60" w:rsidRDefault="00D94F95" w:rsidP="0048111F">
      <w:pPr>
        <w:pStyle w:val="Text"/>
        <w:spacing w:before="0"/>
        <w:jc w:val="left"/>
        <w:rPr>
          <w:color w:val="000000"/>
          <w:sz w:val="22"/>
          <w:szCs w:val="22"/>
          <w:lang w:val="cs-CZ"/>
        </w:rPr>
      </w:pPr>
    </w:p>
    <w:p w14:paraId="459359CE" w14:textId="77777777" w:rsidR="00D94F95" w:rsidRPr="00F25A60" w:rsidRDefault="00D94F95" w:rsidP="0048111F">
      <w:pPr>
        <w:pStyle w:val="Text"/>
        <w:spacing w:before="0"/>
        <w:jc w:val="left"/>
        <w:rPr>
          <w:color w:val="000000"/>
          <w:sz w:val="22"/>
          <w:szCs w:val="22"/>
          <w:lang w:val="cs-CZ"/>
        </w:rPr>
      </w:pPr>
      <w:r w:rsidRPr="00F25A60">
        <w:rPr>
          <w:color w:val="000000"/>
          <w:sz w:val="22"/>
          <w:szCs w:val="22"/>
          <w:lang w:val="cs-CZ"/>
        </w:rPr>
        <w:t xml:space="preserve">Byly zaznamenány případy vzniku papilomů/karcinomů předkožkové/klitoridální žlázky při dávce od 30 mg/kg/den a více, což </w:t>
      </w:r>
      <w:r w:rsidR="005A42AC" w:rsidRPr="00F25A60">
        <w:rPr>
          <w:color w:val="000000"/>
          <w:sz w:val="22"/>
          <w:szCs w:val="22"/>
          <w:lang w:val="cs-CZ"/>
        </w:rPr>
        <w:t>představuje</w:t>
      </w:r>
      <w:r w:rsidRPr="00F25A60">
        <w:rPr>
          <w:color w:val="000000"/>
          <w:sz w:val="22"/>
          <w:szCs w:val="22"/>
          <w:lang w:val="cs-CZ"/>
        </w:rPr>
        <w:t xml:space="preserve"> přibližně 0,5násobek dávky 400 mg/den běžně užívané u člověka (podle AUC), nebo 0,3násobek dávky 800 mg/den užívané u člověka, a 0,4násobek dávky 340 mg/m</w:t>
      </w:r>
      <w:r w:rsidRPr="00F25A60">
        <w:rPr>
          <w:color w:val="000000"/>
          <w:sz w:val="22"/>
          <w:szCs w:val="22"/>
          <w:vertAlign w:val="superscript"/>
          <w:lang w:val="cs-CZ"/>
        </w:rPr>
        <w:t>2</w:t>
      </w:r>
      <w:r w:rsidRPr="00F25A60">
        <w:rPr>
          <w:color w:val="000000"/>
          <w:sz w:val="22"/>
          <w:szCs w:val="22"/>
          <w:lang w:val="cs-CZ"/>
        </w:rPr>
        <w:t xml:space="preserve">/den u dětí (podle AUC). Dle hodnocení No Observed Effect Level (NOEL) byla bezpečná dávka 15 mg/kg/den. Renální adenom/karcinom a papilom močového měchýře a uretry, adenokarcinomy tenkého střeva, adenomy příštítných tělísek, benigní a maligní medulární tumory nadledvinek a papilomy/karcinomy nesekretorické části žaludeční stěny byly pozorovány při dávce 60 mg/kg/den, což </w:t>
      </w:r>
      <w:r w:rsidR="005A42AC" w:rsidRPr="00F25A60">
        <w:rPr>
          <w:color w:val="000000"/>
          <w:sz w:val="22"/>
          <w:szCs w:val="22"/>
          <w:lang w:val="cs-CZ"/>
        </w:rPr>
        <w:t>představuje</w:t>
      </w:r>
      <w:r w:rsidRPr="00F25A60">
        <w:rPr>
          <w:color w:val="000000"/>
          <w:sz w:val="22"/>
          <w:szCs w:val="22"/>
          <w:lang w:val="cs-CZ"/>
        </w:rPr>
        <w:t xml:space="preserve"> přibližně 1,7násobek dávky 400 mg/den běžně užívané u člověka (podle AUC) nebo dávku 800 mg/den běžně užívané u člověka, a 1,2násobek dávky 340 mg/m</w:t>
      </w:r>
      <w:r w:rsidRPr="00F25A60">
        <w:rPr>
          <w:color w:val="000000"/>
          <w:sz w:val="22"/>
          <w:szCs w:val="22"/>
          <w:vertAlign w:val="superscript"/>
          <w:lang w:val="cs-CZ"/>
        </w:rPr>
        <w:t>2</w:t>
      </w:r>
      <w:r w:rsidRPr="00F25A60">
        <w:rPr>
          <w:color w:val="000000"/>
          <w:sz w:val="22"/>
          <w:szCs w:val="22"/>
          <w:lang w:val="cs-CZ"/>
        </w:rPr>
        <w:t>/den u dětí (podle AUC). Dle hodnocení No Observed Effect Level (NOEL) byla bezpečná dávka 30 mg/kg/den.</w:t>
      </w:r>
    </w:p>
    <w:p w14:paraId="40E91146" w14:textId="77777777" w:rsidR="00D94F95" w:rsidRPr="00F25A60" w:rsidRDefault="00D94F95" w:rsidP="0048111F">
      <w:pPr>
        <w:pStyle w:val="Text"/>
        <w:spacing w:before="0"/>
        <w:jc w:val="left"/>
        <w:rPr>
          <w:color w:val="000000"/>
          <w:sz w:val="22"/>
          <w:szCs w:val="22"/>
          <w:lang w:val="cs-CZ"/>
        </w:rPr>
      </w:pPr>
    </w:p>
    <w:p w14:paraId="48487150" w14:textId="77777777" w:rsidR="00D94F95" w:rsidRPr="00F25A60" w:rsidRDefault="00D94F95" w:rsidP="0048111F">
      <w:pPr>
        <w:pStyle w:val="Text"/>
        <w:spacing w:before="0"/>
        <w:jc w:val="left"/>
        <w:rPr>
          <w:color w:val="000000"/>
          <w:sz w:val="22"/>
          <w:szCs w:val="22"/>
          <w:lang w:val="cs-CZ"/>
        </w:rPr>
      </w:pPr>
      <w:r w:rsidRPr="00F25A60">
        <w:rPr>
          <w:color w:val="000000"/>
          <w:sz w:val="22"/>
          <w:szCs w:val="22"/>
          <w:lang w:val="cs-CZ"/>
        </w:rPr>
        <w:t>Mechanismus a závažnost těchto nálezů ze studie kancerogenity u potkanů není ještě u člověka objasněn.</w:t>
      </w:r>
    </w:p>
    <w:p w14:paraId="1E2FDD76" w14:textId="77777777" w:rsidR="00D94F95" w:rsidRPr="00F25A60" w:rsidRDefault="00D94F95" w:rsidP="0048111F">
      <w:pPr>
        <w:pStyle w:val="Text"/>
        <w:spacing w:before="0"/>
        <w:jc w:val="left"/>
        <w:rPr>
          <w:color w:val="000000"/>
          <w:sz w:val="22"/>
          <w:szCs w:val="22"/>
          <w:lang w:val="cs-CZ"/>
        </w:rPr>
      </w:pPr>
    </w:p>
    <w:p w14:paraId="2D4FB1B7" w14:textId="77777777" w:rsidR="00D94F95" w:rsidRPr="00F25A60" w:rsidRDefault="00D94F95" w:rsidP="0048111F">
      <w:pPr>
        <w:pStyle w:val="Text"/>
        <w:spacing w:before="0"/>
        <w:jc w:val="left"/>
        <w:rPr>
          <w:color w:val="000000"/>
          <w:sz w:val="22"/>
          <w:szCs w:val="22"/>
          <w:lang w:val="cs-CZ"/>
        </w:rPr>
      </w:pPr>
      <w:r w:rsidRPr="00F25A60">
        <w:rPr>
          <w:color w:val="000000"/>
          <w:sz w:val="22"/>
          <w:szCs w:val="22"/>
          <w:lang w:val="cs-CZ"/>
        </w:rPr>
        <w:t>Non-neoplastické léze neprokázané v dřívějších předklinických studiích se vyskytovaly v kardiovaskulárním systému, pankreatu, endokrinních orgánech a zubech. Nejdůležitější změny zahrnovaly srdeční hypertrofii a dilataci, vedoucí k příznakům srdeční nedostatečnosti u některých zvířat.</w:t>
      </w:r>
    </w:p>
    <w:p w14:paraId="656175A5" w14:textId="77777777" w:rsidR="00D94F95" w:rsidRPr="00F25A60" w:rsidRDefault="00D94F95" w:rsidP="0048111F">
      <w:pPr>
        <w:pStyle w:val="EndnoteText"/>
        <w:tabs>
          <w:tab w:val="clear" w:pos="567"/>
        </w:tabs>
        <w:rPr>
          <w:color w:val="000000"/>
        </w:rPr>
      </w:pPr>
    </w:p>
    <w:p w14:paraId="66EB35AC" w14:textId="77777777" w:rsidR="00A44EA7" w:rsidRPr="00F25A60" w:rsidRDefault="005A42AC" w:rsidP="0048111F">
      <w:pPr>
        <w:spacing w:line="240" w:lineRule="auto"/>
        <w:rPr>
          <w:color w:val="000000"/>
        </w:rPr>
      </w:pPr>
      <w:r w:rsidRPr="00F25A60">
        <w:rPr>
          <w:bCs/>
          <w:color w:val="000000"/>
        </w:rPr>
        <w:t>Léčivá</w:t>
      </w:r>
      <w:r w:rsidR="00A44EA7" w:rsidRPr="00F25A60">
        <w:rPr>
          <w:bCs/>
          <w:color w:val="000000"/>
        </w:rPr>
        <w:t xml:space="preserve"> látka imatinib představuje environmentální ohrožení pro organismy v sedimentu.</w:t>
      </w:r>
    </w:p>
    <w:p w14:paraId="6876F58D" w14:textId="77777777" w:rsidR="00D94F95" w:rsidRPr="00F25A60" w:rsidRDefault="00D94F95" w:rsidP="0048111F">
      <w:pPr>
        <w:pStyle w:val="EndnoteText"/>
        <w:tabs>
          <w:tab w:val="clear" w:pos="567"/>
        </w:tabs>
        <w:rPr>
          <w:color w:val="000000"/>
        </w:rPr>
      </w:pPr>
    </w:p>
    <w:p w14:paraId="36B71BE8" w14:textId="77777777" w:rsidR="00A44EA7" w:rsidRPr="00F25A60" w:rsidRDefault="00A44EA7" w:rsidP="0048111F">
      <w:pPr>
        <w:pStyle w:val="EndnoteText"/>
        <w:tabs>
          <w:tab w:val="clear" w:pos="567"/>
        </w:tabs>
        <w:rPr>
          <w:color w:val="000000"/>
        </w:rPr>
      </w:pPr>
    </w:p>
    <w:p w14:paraId="29B66C86" w14:textId="77777777" w:rsidR="00D97A44" w:rsidRPr="00F25A60" w:rsidRDefault="00D97A44" w:rsidP="0048111F">
      <w:pPr>
        <w:keepNext/>
        <w:tabs>
          <w:tab w:val="clear" w:pos="567"/>
        </w:tabs>
        <w:spacing w:line="240" w:lineRule="auto"/>
        <w:ind w:left="567" w:hanging="567"/>
        <w:rPr>
          <w:b/>
          <w:bCs/>
          <w:color w:val="000000"/>
        </w:rPr>
      </w:pPr>
      <w:r w:rsidRPr="00F25A60">
        <w:rPr>
          <w:b/>
          <w:bCs/>
          <w:color w:val="000000"/>
        </w:rPr>
        <w:t>6.</w:t>
      </w:r>
      <w:r w:rsidRPr="00F25A60">
        <w:rPr>
          <w:b/>
          <w:bCs/>
          <w:color w:val="000000"/>
        </w:rPr>
        <w:tab/>
        <w:t>FARMACEUTICKÉ ÚDAJE</w:t>
      </w:r>
    </w:p>
    <w:p w14:paraId="566E10F8" w14:textId="77777777" w:rsidR="00D97A44" w:rsidRPr="00F25A60" w:rsidRDefault="00D97A44" w:rsidP="0048111F">
      <w:pPr>
        <w:pStyle w:val="EndnoteText"/>
        <w:keepNext/>
        <w:tabs>
          <w:tab w:val="clear" w:pos="567"/>
        </w:tabs>
        <w:rPr>
          <w:color w:val="000000"/>
        </w:rPr>
      </w:pPr>
    </w:p>
    <w:p w14:paraId="578DCE16" w14:textId="77777777" w:rsidR="00D97A44" w:rsidRPr="00F25A60" w:rsidRDefault="00D97A44" w:rsidP="0048111F">
      <w:pPr>
        <w:keepNext/>
        <w:tabs>
          <w:tab w:val="clear" w:pos="567"/>
        </w:tabs>
        <w:spacing w:line="240" w:lineRule="auto"/>
        <w:ind w:left="567" w:hanging="567"/>
        <w:rPr>
          <w:b/>
          <w:bCs/>
          <w:color w:val="000000"/>
        </w:rPr>
      </w:pPr>
      <w:r w:rsidRPr="00F25A60">
        <w:rPr>
          <w:b/>
          <w:bCs/>
          <w:color w:val="000000"/>
        </w:rPr>
        <w:t>6.1</w:t>
      </w:r>
      <w:r w:rsidRPr="00F25A60">
        <w:rPr>
          <w:b/>
          <w:bCs/>
          <w:color w:val="000000"/>
        </w:rPr>
        <w:tab/>
        <w:t>Seznam pomocných látek</w:t>
      </w:r>
    </w:p>
    <w:p w14:paraId="76281395" w14:textId="77777777" w:rsidR="00D97A44" w:rsidRPr="00F25A60" w:rsidRDefault="00D97A44" w:rsidP="0048111F">
      <w:pPr>
        <w:keepNext/>
        <w:tabs>
          <w:tab w:val="clear" w:pos="567"/>
        </w:tabs>
        <w:spacing w:line="240" w:lineRule="auto"/>
        <w:ind w:left="567" w:hanging="567"/>
        <w:rPr>
          <w:color w:val="000000"/>
        </w:rPr>
      </w:pPr>
    </w:p>
    <w:p w14:paraId="7A84230D" w14:textId="77777777" w:rsidR="00D97A44" w:rsidRPr="00F25A60" w:rsidRDefault="00D97A44" w:rsidP="0048111F">
      <w:pPr>
        <w:pStyle w:val="EndnoteText"/>
        <w:keepNext/>
        <w:tabs>
          <w:tab w:val="clear" w:pos="567"/>
        </w:tabs>
        <w:rPr>
          <w:color w:val="000000"/>
        </w:rPr>
      </w:pPr>
      <w:r w:rsidRPr="00F25A60">
        <w:rPr>
          <w:color w:val="000000"/>
        </w:rPr>
        <w:t>Jádro tablety:</w:t>
      </w:r>
    </w:p>
    <w:p w14:paraId="3A41A787" w14:textId="77777777" w:rsidR="00D97A44" w:rsidRPr="00F25A60" w:rsidRDefault="00D97A44" w:rsidP="0048111F">
      <w:pPr>
        <w:pStyle w:val="EndnoteText"/>
        <w:keepNext/>
        <w:tabs>
          <w:tab w:val="clear" w:pos="567"/>
        </w:tabs>
        <w:rPr>
          <w:color w:val="000000"/>
        </w:rPr>
      </w:pPr>
      <w:r w:rsidRPr="00F25A60">
        <w:rPr>
          <w:color w:val="000000"/>
        </w:rPr>
        <w:t>Mikrokrystalická celul</w:t>
      </w:r>
      <w:r w:rsidR="003B6D9C" w:rsidRPr="00F25A60">
        <w:rPr>
          <w:color w:val="000000"/>
        </w:rPr>
        <w:t>os</w:t>
      </w:r>
      <w:r w:rsidRPr="00F25A60">
        <w:rPr>
          <w:color w:val="000000"/>
        </w:rPr>
        <w:t>a</w:t>
      </w:r>
    </w:p>
    <w:p w14:paraId="03C4BEFD" w14:textId="77777777" w:rsidR="00D97A44" w:rsidRPr="00F25A60" w:rsidRDefault="00D97A44" w:rsidP="0048111F">
      <w:pPr>
        <w:pStyle w:val="EndnoteText"/>
        <w:keepNext/>
        <w:tabs>
          <w:tab w:val="clear" w:pos="567"/>
        </w:tabs>
        <w:rPr>
          <w:color w:val="000000"/>
        </w:rPr>
      </w:pPr>
      <w:r w:rsidRPr="00F25A60">
        <w:rPr>
          <w:color w:val="000000"/>
        </w:rPr>
        <w:t>Krospovidon</w:t>
      </w:r>
    </w:p>
    <w:p w14:paraId="2DDF9454" w14:textId="77777777" w:rsidR="00D97A44" w:rsidRPr="00F25A60" w:rsidRDefault="00D97A44" w:rsidP="0048111F">
      <w:pPr>
        <w:pStyle w:val="EndnoteText"/>
        <w:keepNext/>
        <w:tabs>
          <w:tab w:val="clear" w:pos="567"/>
        </w:tabs>
        <w:rPr>
          <w:color w:val="000000"/>
        </w:rPr>
      </w:pPr>
      <w:r w:rsidRPr="00F25A60">
        <w:rPr>
          <w:color w:val="000000"/>
        </w:rPr>
        <w:t>Hypromel</w:t>
      </w:r>
      <w:r w:rsidR="003B6D9C" w:rsidRPr="00F25A60">
        <w:rPr>
          <w:color w:val="000000"/>
        </w:rPr>
        <w:t>osa</w:t>
      </w:r>
    </w:p>
    <w:p w14:paraId="754A18A1" w14:textId="77777777" w:rsidR="00D97A44" w:rsidRPr="00F25A60" w:rsidRDefault="00D97A44" w:rsidP="0048111F">
      <w:pPr>
        <w:pStyle w:val="EndnoteText"/>
        <w:keepNext/>
        <w:tabs>
          <w:tab w:val="clear" w:pos="567"/>
        </w:tabs>
        <w:rPr>
          <w:color w:val="000000"/>
        </w:rPr>
      </w:pPr>
      <w:r w:rsidRPr="00F25A60">
        <w:rPr>
          <w:color w:val="000000"/>
        </w:rPr>
        <w:t>Magnesium-stearát</w:t>
      </w:r>
    </w:p>
    <w:p w14:paraId="369FC895" w14:textId="77777777" w:rsidR="00D97A44" w:rsidRPr="00F25A60" w:rsidRDefault="00166C20" w:rsidP="0048111F">
      <w:pPr>
        <w:pStyle w:val="EndnoteText"/>
        <w:tabs>
          <w:tab w:val="clear" w:pos="567"/>
        </w:tabs>
        <w:rPr>
          <w:color w:val="000000"/>
        </w:rPr>
      </w:pPr>
      <w:r w:rsidRPr="00F25A60">
        <w:rPr>
          <w:color w:val="000000"/>
        </w:rPr>
        <w:t>Koloidní b</w:t>
      </w:r>
      <w:r w:rsidR="00D97A44" w:rsidRPr="00F25A60">
        <w:rPr>
          <w:color w:val="000000"/>
        </w:rPr>
        <w:t>ezvodý oxid křemičitý</w:t>
      </w:r>
    </w:p>
    <w:p w14:paraId="2ADECBC8" w14:textId="77777777" w:rsidR="00D97A44" w:rsidRPr="00F25A60" w:rsidRDefault="00D97A44" w:rsidP="0048111F">
      <w:pPr>
        <w:tabs>
          <w:tab w:val="clear" w:pos="567"/>
        </w:tabs>
        <w:spacing w:line="240" w:lineRule="auto"/>
        <w:rPr>
          <w:color w:val="000000"/>
        </w:rPr>
      </w:pPr>
    </w:p>
    <w:p w14:paraId="403C6E5B" w14:textId="77777777" w:rsidR="00D97A44" w:rsidRPr="00F25A60" w:rsidRDefault="00D97A44" w:rsidP="0048111F">
      <w:pPr>
        <w:pStyle w:val="EndnoteText"/>
        <w:keepNext/>
        <w:tabs>
          <w:tab w:val="clear" w:pos="567"/>
        </w:tabs>
        <w:rPr>
          <w:color w:val="000000"/>
        </w:rPr>
      </w:pPr>
      <w:r w:rsidRPr="00F25A60">
        <w:rPr>
          <w:color w:val="000000"/>
        </w:rPr>
        <w:t>Potahová vrstva tablety:</w:t>
      </w:r>
    </w:p>
    <w:p w14:paraId="69626376" w14:textId="77777777" w:rsidR="00D97A44" w:rsidRPr="00F25A60" w:rsidRDefault="00D97A44" w:rsidP="0048111F">
      <w:pPr>
        <w:pStyle w:val="EndnoteText"/>
        <w:keepNext/>
        <w:tabs>
          <w:tab w:val="clear" w:pos="567"/>
        </w:tabs>
        <w:rPr>
          <w:color w:val="000000"/>
        </w:rPr>
      </w:pPr>
      <w:r w:rsidRPr="00F25A60">
        <w:rPr>
          <w:color w:val="000000"/>
        </w:rPr>
        <w:t>Červený oxid železitý (E</w:t>
      </w:r>
      <w:r w:rsidR="00A12785" w:rsidRPr="00F25A60">
        <w:rPr>
          <w:color w:val="000000"/>
        </w:rPr>
        <w:t xml:space="preserve"> </w:t>
      </w:r>
      <w:r w:rsidRPr="00F25A60">
        <w:rPr>
          <w:color w:val="000000"/>
        </w:rPr>
        <w:t>172)</w:t>
      </w:r>
    </w:p>
    <w:p w14:paraId="7E8E8DDD" w14:textId="77777777" w:rsidR="00D97A44" w:rsidRPr="00F25A60" w:rsidRDefault="00D97A44" w:rsidP="0048111F">
      <w:pPr>
        <w:keepNext/>
        <w:tabs>
          <w:tab w:val="clear" w:pos="567"/>
        </w:tabs>
        <w:spacing w:line="240" w:lineRule="auto"/>
        <w:rPr>
          <w:color w:val="000000"/>
        </w:rPr>
      </w:pPr>
      <w:r w:rsidRPr="00F25A60">
        <w:rPr>
          <w:color w:val="000000"/>
        </w:rPr>
        <w:t>Žlutý oxid železitý (E</w:t>
      </w:r>
      <w:r w:rsidR="00A12785" w:rsidRPr="00F25A60">
        <w:rPr>
          <w:color w:val="000000"/>
        </w:rPr>
        <w:t xml:space="preserve"> </w:t>
      </w:r>
      <w:r w:rsidRPr="00F25A60">
        <w:rPr>
          <w:color w:val="000000"/>
        </w:rPr>
        <w:t>172)</w:t>
      </w:r>
    </w:p>
    <w:p w14:paraId="3DE55BFC" w14:textId="77777777" w:rsidR="00D97A44" w:rsidRPr="00F25A60" w:rsidRDefault="00D97A44" w:rsidP="0048111F">
      <w:pPr>
        <w:keepNext/>
        <w:tabs>
          <w:tab w:val="clear" w:pos="567"/>
        </w:tabs>
        <w:spacing w:line="240" w:lineRule="auto"/>
        <w:rPr>
          <w:color w:val="000000"/>
        </w:rPr>
      </w:pPr>
      <w:r w:rsidRPr="00F25A60">
        <w:rPr>
          <w:color w:val="000000"/>
        </w:rPr>
        <w:t>Makrogol</w:t>
      </w:r>
    </w:p>
    <w:p w14:paraId="2306A066" w14:textId="77777777" w:rsidR="00D97A44" w:rsidRPr="00F25A60" w:rsidRDefault="00D97A44" w:rsidP="0048111F">
      <w:pPr>
        <w:keepNext/>
        <w:tabs>
          <w:tab w:val="clear" w:pos="567"/>
        </w:tabs>
        <w:spacing w:line="240" w:lineRule="auto"/>
        <w:rPr>
          <w:color w:val="000000"/>
        </w:rPr>
      </w:pPr>
      <w:r w:rsidRPr="00F25A60">
        <w:rPr>
          <w:color w:val="000000"/>
        </w:rPr>
        <w:t>Mastek</w:t>
      </w:r>
    </w:p>
    <w:p w14:paraId="50443854" w14:textId="77777777" w:rsidR="00D97A44" w:rsidRPr="00F25A60" w:rsidRDefault="00D97A44" w:rsidP="0048111F">
      <w:pPr>
        <w:tabs>
          <w:tab w:val="clear" w:pos="567"/>
        </w:tabs>
        <w:spacing w:line="240" w:lineRule="auto"/>
        <w:rPr>
          <w:color w:val="000000"/>
        </w:rPr>
      </w:pPr>
      <w:r w:rsidRPr="00F25A60">
        <w:rPr>
          <w:color w:val="000000"/>
        </w:rPr>
        <w:t>Hypromelosa</w:t>
      </w:r>
    </w:p>
    <w:p w14:paraId="6431CF19" w14:textId="77777777" w:rsidR="00D97A44" w:rsidRPr="00F25A60" w:rsidRDefault="00D97A44" w:rsidP="0048111F">
      <w:pPr>
        <w:tabs>
          <w:tab w:val="clear" w:pos="567"/>
        </w:tabs>
        <w:spacing w:line="240" w:lineRule="auto"/>
        <w:rPr>
          <w:color w:val="000000"/>
        </w:rPr>
      </w:pPr>
    </w:p>
    <w:p w14:paraId="65E2D117" w14:textId="77777777" w:rsidR="00D97A44" w:rsidRPr="00F25A60" w:rsidRDefault="00D97A44" w:rsidP="0048111F">
      <w:pPr>
        <w:keepNext/>
        <w:tabs>
          <w:tab w:val="clear" w:pos="567"/>
        </w:tabs>
        <w:spacing w:line="240" w:lineRule="auto"/>
        <w:ind w:left="567" w:hanging="567"/>
        <w:rPr>
          <w:b/>
          <w:bCs/>
          <w:color w:val="000000"/>
        </w:rPr>
      </w:pPr>
      <w:r w:rsidRPr="00F25A60">
        <w:rPr>
          <w:b/>
          <w:bCs/>
          <w:color w:val="000000"/>
        </w:rPr>
        <w:lastRenderedPageBreak/>
        <w:t>6.2</w:t>
      </w:r>
      <w:r w:rsidRPr="00F25A60">
        <w:rPr>
          <w:b/>
          <w:bCs/>
          <w:color w:val="000000"/>
        </w:rPr>
        <w:tab/>
        <w:t>Inkompatibility</w:t>
      </w:r>
    </w:p>
    <w:p w14:paraId="497C457C" w14:textId="77777777" w:rsidR="00D97A44" w:rsidRPr="00F25A60" w:rsidRDefault="00D97A44" w:rsidP="0048111F">
      <w:pPr>
        <w:keepNext/>
        <w:tabs>
          <w:tab w:val="clear" w:pos="567"/>
        </w:tabs>
        <w:spacing w:line="240" w:lineRule="auto"/>
        <w:ind w:left="567" w:hanging="567"/>
        <w:rPr>
          <w:color w:val="000000"/>
        </w:rPr>
      </w:pPr>
    </w:p>
    <w:p w14:paraId="3F826FA0" w14:textId="77777777" w:rsidR="00D97A44" w:rsidRPr="00F25A60" w:rsidRDefault="00D97A44" w:rsidP="0048111F">
      <w:pPr>
        <w:tabs>
          <w:tab w:val="clear" w:pos="567"/>
        </w:tabs>
        <w:spacing w:line="240" w:lineRule="auto"/>
        <w:rPr>
          <w:color w:val="000000"/>
        </w:rPr>
      </w:pPr>
      <w:r w:rsidRPr="00F25A60">
        <w:rPr>
          <w:color w:val="000000"/>
        </w:rPr>
        <w:t>Neuplatňuje se.</w:t>
      </w:r>
    </w:p>
    <w:p w14:paraId="0A013534" w14:textId="77777777" w:rsidR="00D97A44" w:rsidRPr="00F25A60" w:rsidRDefault="00D97A44" w:rsidP="0048111F">
      <w:pPr>
        <w:pStyle w:val="EndnoteText"/>
        <w:tabs>
          <w:tab w:val="clear" w:pos="567"/>
        </w:tabs>
        <w:rPr>
          <w:color w:val="000000"/>
        </w:rPr>
      </w:pPr>
    </w:p>
    <w:p w14:paraId="6B62CAD4" w14:textId="77777777" w:rsidR="00D97A44" w:rsidRPr="00F25A60" w:rsidRDefault="00D97A44" w:rsidP="0048111F">
      <w:pPr>
        <w:keepNext/>
        <w:tabs>
          <w:tab w:val="clear" w:pos="567"/>
        </w:tabs>
        <w:spacing w:line="240" w:lineRule="auto"/>
        <w:ind w:left="567" w:hanging="567"/>
        <w:rPr>
          <w:b/>
          <w:bCs/>
          <w:color w:val="000000"/>
        </w:rPr>
      </w:pPr>
      <w:r w:rsidRPr="00F25A60">
        <w:rPr>
          <w:b/>
          <w:bCs/>
          <w:color w:val="000000"/>
        </w:rPr>
        <w:t>6.3</w:t>
      </w:r>
      <w:r w:rsidRPr="00F25A60">
        <w:rPr>
          <w:b/>
          <w:bCs/>
          <w:color w:val="000000"/>
        </w:rPr>
        <w:tab/>
        <w:t>Doba použitelnosti</w:t>
      </w:r>
    </w:p>
    <w:p w14:paraId="480C1709" w14:textId="77777777" w:rsidR="00D97A44" w:rsidRPr="00F25A60" w:rsidRDefault="00D97A44" w:rsidP="0048111F">
      <w:pPr>
        <w:keepNext/>
        <w:tabs>
          <w:tab w:val="clear" w:pos="567"/>
        </w:tabs>
        <w:spacing w:line="240" w:lineRule="auto"/>
        <w:rPr>
          <w:color w:val="000000"/>
        </w:rPr>
      </w:pPr>
    </w:p>
    <w:p w14:paraId="12DC7D07" w14:textId="77777777" w:rsidR="00D97A44" w:rsidRPr="00F25A60" w:rsidRDefault="00D97A44" w:rsidP="0048111F">
      <w:pPr>
        <w:pStyle w:val="EndnoteText"/>
        <w:tabs>
          <w:tab w:val="clear" w:pos="567"/>
        </w:tabs>
        <w:rPr>
          <w:color w:val="000000"/>
        </w:rPr>
      </w:pPr>
      <w:r w:rsidRPr="00F25A60">
        <w:rPr>
          <w:color w:val="000000"/>
        </w:rPr>
        <w:t>3 roky</w:t>
      </w:r>
    </w:p>
    <w:p w14:paraId="2FB53755" w14:textId="77777777" w:rsidR="00D97A44" w:rsidRPr="00F25A60" w:rsidRDefault="00D97A44" w:rsidP="0048111F">
      <w:pPr>
        <w:pStyle w:val="EndnoteText"/>
        <w:tabs>
          <w:tab w:val="clear" w:pos="567"/>
        </w:tabs>
        <w:rPr>
          <w:color w:val="000000"/>
        </w:rPr>
      </w:pPr>
    </w:p>
    <w:p w14:paraId="56187DC9" w14:textId="77777777" w:rsidR="00D97A44" w:rsidRPr="00F25A60" w:rsidRDefault="00D97A44" w:rsidP="0048111F">
      <w:pPr>
        <w:keepNext/>
        <w:tabs>
          <w:tab w:val="clear" w:pos="567"/>
        </w:tabs>
        <w:spacing w:line="240" w:lineRule="auto"/>
        <w:ind w:left="567" w:hanging="567"/>
        <w:rPr>
          <w:b/>
          <w:bCs/>
          <w:color w:val="000000"/>
        </w:rPr>
      </w:pPr>
      <w:r w:rsidRPr="00F25A60">
        <w:rPr>
          <w:b/>
          <w:bCs/>
          <w:color w:val="000000"/>
        </w:rPr>
        <w:t>6.4</w:t>
      </w:r>
      <w:r w:rsidRPr="00F25A60">
        <w:rPr>
          <w:b/>
          <w:bCs/>
          <w:color w:val="000000"/>
        </w:rPr>
        <w:tab/>
        <w:t>Zvláštní opatření pro uchovávání</w:t>
      </w:r>
    </w:p>
    <w:p w14:paraId="049E73EC" w14:textId="57C2924E" w:rsidR="00D97A44" w:rsidRPr="00F25A60" w:rsidRDefault="00D97A44" w:rsidP="0048111F">
      <w:pPr>
        <w:keepNext/>
        <w:tabs>
          <w:tab w:val="clear" w:pos="567"/>
        </w:tabs>
        <w:spacing w:line="240" w:lineRule="auto"/>
        <w:rPr>
          <w:color w:val="000000"/>
        </w:rPr>
      </w:pPr>
    </w:p>
    <w:p w14:paraId="5E7393E0" w14:textId="2884B47A" w:rsidR="00120D89" w:rsidRPr="00F25A60" w:rsidRDefault="00120D89" w:rsidP="0048111F">
      <w:pPr>
        <w:keepNext/>
        <w:tabs>
          <w:tab w:val="clear" w:pos="567"/>
        </w:tabs>
        <w:spacing w:line="240" w:lineRule="auto"/>
        <w:rPr>
          <w:color w:val="000000"/>
          <w:u w:val="single"/>
        </w:rPr>
      </w:pPr>
      <w:r w:rsidRPr="00F25A60">
        <w:rPr>
          <w:color w:val="000000"/>
          <w:u w:val="single"/>
        </w:rPr>
        <w:t>Glivec 100 mg potahované tablety</w:t>
      </w:r>
    </w:p>
    <w:p w14:paraId="060C723B" w14:textId="77777777" w:rsidR="00120D89" w:rsidRPr="00F25A60" w:rsidRDefault="00120D89" w:rsidP="0048111F">
      <w:pPr>
        <w:keepNext/>
        <w:tabs>
          <w:tab w:val="clear" w:pos="567"/>
        </w:tabs>
        <w:spacing w:line="240" w:lineRule="auto"/>
        <w:rPr>
          <w:color w:val="000000"/>
        </w:rPr>
      </w:pPr>
    </w:p>
    <w:p w14:paraId="4DD1C76D" w14:textId="77777777" w:rsidR="00D97A44" w:rsidRPr="00F25A60" w:rsidRDefault="00D97A44" w:rsidP="0048111F">
      <w:pPr>
        <w:tabs>
          <w:tab w:val="clear" w:pos="567"/>
        </w:tabs>
        <w:spacing w:line="240" w:lineRule="auto"/>
        <w:rPr>
          <w:color w:val="000000"/>
        </w:rPr>
      </w:pPr>
      <w:r w:rsidRPr="00F25A60">
        <w:rPr>
          <w:color w:val="000000"/>
        </w:rPr>
        <w:t>Neuchovávejte při teplotě nad 30</w:t>
      </w:r>
      <w:r w:rsidR="005A42AC" w:rsidRPr="00F25A60">
        <w:rPr>
          <w:color w:val="000000"/>
        </w:rPr>
        <w:t> </w:t>
      </w:r>
      <w:r w:rsidRPr="00F25A60">
        <w:rPr>
          <w:rFonts w:ascii="Symbol" w:hAnsi="Symbol"/>
          <w:color w:val="000000"/>
        </w:rPr>
        <w:t></w:t>
      </w:r>
      <w:r w:rsidRPr="00F25A60">
        <w:rPr>
          <w:color w:val="000000"/>
        </w:rPr>
        <w:t>C.</w:t>
      </w:r>
    </w:p>
    <w:p w14:paraId="03DC7E43" w14:textId="1E77210D" w:rsidR="00D97A44" w:rsidRPr="00F25A60" w:rsidRDefault="00D97A44" w:rsidP="0048111F">
      <w:pPr>
        <w:tabs>
          <w:tab w:val="clear" w:pos="567"/>
        </w:tabs>
        <w:spacing w:line="240" w:lineRule="auto"/>
        <w:rPr>
          <w:color w:val="000000"/>
        </w:rPr>
      </w:pPr>
    </w:p>
    <w:p w14:paraId="5B3BB016" w14:textId="668C33F0" w:rsidR="00120D89" w:rsidRPr="00F25A60" w:rsidRDefault="00120D89" w:rsidP="0048111F">
      <w:pPr>
        <w:keepNext/>
        <w:keepLines/>
        <w:tabs>
          <w:tab w:val="clear" w:pos="567"/>
        </w:tabs>
        <w:spacing w:line="240" w:lineRule="auto"/>
        <w:rPr>
          <w:color w:val="000000"/>
          <w:u w:val="single"/>
        </w:rPr>
      </w:pPr>
      <w:r w:rsidRPr="00F25A60">
        <w:rPr>
          <w:color w:val="000000"/>
          <w:u w:val="single"/>
        </w:rPr>
        <w:t>Glivec 400 mg potahované tablety</w:t>
      </w:r>
    </w:p>
    <w:p w14:paraId="2BB15CF9" w14:textId="61248EDD" w:rsidR="00120D89" w:rsidRPr="00F25A60" w:rsidRDefault="00120D89" w:rsidP="0048111F">
      <w:pPr>
        <w:keepNext/>
        <w:keepLines/>
        <w:tabs>
          <w:tab w:val="clear" w:pos="567"/>
        </w:tabs>
        <w:spacing w:line="240" w:lineRule="auto"/>
        <w:rPr>
          <w:color w:val="000000"/>
        </w:rPr>
      </w:pPr>
    </w:p>
    <w:p w14:paraId="5289A61A" w14:textId="0B9F9012" w:rsidR="00120D89" w:rsidRPr="00F25A60" w:rsidRDefault="00120D89" w:rsidP="0048111F">
      <w:pPr>
        <w:tabs>
          <w:tab w:val="clear" w:pos="567"/>
        </w:tabs>
        <w:spacing w:line="240" w:lineRule="auto"/>
        <w:rPr>
          <w:color w:val="000000"/>
        </w:rPr>
      </w:pPr>
      <w:r w:rsidRPr="00F25A60">
        <w:rPr>
          <w:color w:val="000000"/>
        </w:rPr>
        <w:t>Uchovávejte při teplotě do 25 °C.</w:t>
      </w:r>
    </w:p>
    <w:p w14:paraId="0366B9C4" w14:textId="77777777" w:rsidR="00120D89" w:rsidRPr="00F25A60" w:rsidRDefault="00120D89" w:rsidP="0048111F">
      <w:pPr>
        <w:tabs>
          <w:tab w:val="clear" w:pos="567"/>
        </w:tabs>
        <w:spacing w:line="240" w:lineRule="auto"/>
        <w:rPr>
          <w:color w:val="000000"/>
        </w:rPr>
      </w:pPr>
    </w:p>
    <w:p w14:paraId="3CE485C4" w14:textId="77777777" w:rsidR="00D97A44" w:rsidRPr="00F25A60" w:rsidRDefault="00D97A44" w:rsidP="0048111F">
      <w:pPr>
        <w:tabs>
          <w:tab w:val="clear" w:pos="567"/>
        </w:tabs>
        <w:spacing w:line="240" w:lineRule="auto"/>
        <w:rPr>
          <w:color w:val="000000"/>
        </w:rPr>
      </w:pPr>
      <w:r w:rsidRPr="00F25A60">
        <w:rPr>
          <w:color w:val="000000"/>
        </w:rPr>
        <w:t>Uchovávejte v původním obalu, aby byl přípravek chráněn před vlhkostí.</w:t>
      </w:r>
    </w:p>
    <w:p w14:paraId="25EC773D" w14:textId="77777777" w:rsidR="00D97A44" w:rsidRPr="00F25A60" w:rsidRDefault="00D97A44" w:rsidP="0048111F">
      <w:pPr>
        <w:tabs>
          <w:tab w:val="clear" w:pos="567"/>
        </w:tabs>
        <w:spacing w:line="240" w:lineRule="auto"/>
        <w:rPr>
          <w:color w:val="000000"/>
        </w:rPr>
      </w:pPr>
    </w:p>
    <w:p w14:paraId="7BA71A20" w14:textId="77777777" w:rsidR="00D97A44" w:rsidRPr="00F25A60" w:rsidRDefault="00D97A44" w:rsidP="0048111F">
      <w:pPr>
        <w:keepNext/>
        <w:tabs>
          <w:tab w:val="clear" w:pos="567"/>
        </w:tabs>
        <w:spacing w:line="240" w:lineRule="auto"/>
        <w:ind w:left="567" w:hanging="567"/>
        <w:rPr>
          <w:b/>
          <w:bCs/>
          <w:color w:val="000000"/>
        </w:rPr>
      </w:pPr>
      <w:r w:rsidRPr="00F25A60">
        <w:rPr>
          <w:b/>
          <w:bCs/>
          <w:color w:val="000000"/>
        </w:rPr>
        <w:t>6.5</w:t>
      </w:r>
      <w:r w:rsidRPr="00F25A60">
        <w:rPr>
          <w:b/>
          <w:bCs/>
          <w:color w:val="000000"/>
        </w:rPr>
        <w:tab/>
        <w:t xml:space="preserve">Druh obalu a </w:t>
      </w:r>
      <w:r w:rsidR="0020295F" w:rsidRPr="00F25A60">
        <w:rPr>
          <w:b/>
          <w:bCs/>
          <w:color w:val="000000"/>
        </w:rPr>
        <w:t>obsah</w:t>
      </w:r>
      <w:r w:rsidRPr="00F25A60">
        <w:rPr>
          <w:b/>
          <w:bCs/>
          <w:color w:val="000000"/>
        </w:rPr>
        <w:t xml:space="preserve"> balení</w:t>
      </w:r>
    </w:p>
    <w:p w14:paraId="54A23BF4" w14:textId="77777777" w:rsidR="00050981" w:rsidRPr="00F25A60" w:rsidRDefault="00050981" w:rsidP="0048111F">
      <w:pPr>
        <w:pStyle w:val="EndnoteText"/>
        <w:keepNext/>
        <w:tabs>
          <w:tab w:val="clear" w:pos="567"/>
        </w:tabs>
        <w:rPr>
          <w:color w:val="000000"/>
        </w:rPr>
      </w:pPr>
    </w:p>
    <w:p w14:paraId="6EE2E311" w14:textId="26738EF8" w:rsidR="00D97A44" w:rsidRPr="00F25A60" w:rsidRDefault="00050981" w:rsidP="0048111F">
      <w:pPr>
        <w:pStyle w:val="EndnoteText"/>
        <w:keepNext/>
        <w:tabs>
          <w:tab w:val="clear" w:pos="567"/>
        </w:tabs>
        <w:rPr>
          <w:color w:val="000000"/>
          <w:u w:val="single"/>
        </w:rPr>
      </w:pPr>
      <w:r w:rsidRPr="00F25A60">
        <w:rPr>
          <w:color w:val="000000"/>
          <w:u w:val="single"/>
        </w:rPr>
        <w:t>Glivec 100 mg potahované tablety</w:t>
      </w:r>
    </w:p>
    <w:p w14:paraId="3A407C69" w14:textId="77777777" w:rsidR="003A2AD8" w:rsidRPr="00F25A60" w:rsidRDefault="003A2AD8" w:rsidP="0048111F">
      <w:pPr>
        <w:pStyle w:val="EndnoteText"/>
        <w:keepNext/>
        <w:tabs>
          <w:tab w:val="clear" w:pos="567"/>
        </w:tabs>
        <w:rPr>
          <w:color w:val="000000"/>
        </w:rPr>
      </w:pPr>
    </w:p>
    <w:p w14:paraId="112E04CE" w14:textId="77777777" w:rsidR="00D97A44" w:rsidRPr="00F25A60" w:rsidRDefault="00D97A44" w:rsidP="0048111F">
      <w:pPr>
        <w:pStyle w:val="EndnoteText"/>
        <w:keepNext/>
        <w:tabs>
          <w:tab w:val="clear" w:pos="567"/>
        </w:tabs>
        <w:rPr>
          <w:color w:val="000000"/>
        </w:rPr>
      </w:pPr>
      <w:r w:rsidRPr="00F25A60">
        <w:rPr>
          <w:color w:val="000000"/>
        </w:rPr>
        <w:t>PVC/</w:t>
      </w:r>
      <w:r w:rsidR="006C2D07" w:rsidRPr="00F25A60">
        <w:rPr>
          <w:color w:val="000000"/>
        </w:rPr>
        <w:t>Al</w:t>
      </w:r>
      <w:r w:rsidRPr="00F25A60">
        <w:rPr>
          <w:color w:val="000000"/>
        </w:rPr>
        <w:t xml:space="preserve"> blistry</w:t>
      </w:r>
    </w:p>
    <w:p w14:paraId="2D7B0F9B" w14:textId="77777777" w:rsidR="00D97A44" w:rsidRPr="00F25A60" w:rsidRDefault="00D97A44" w:rsidP="0048111F">
      <w:pPr>
        <w:pStyle w:val="EndnoteText"/>
        <w:tabs>
          <w:tab w:val="clear" w:pos="567"/>
        </w:tabs>
        <w:rPr>
          <w:color w:val="000000"/>
        </w:rPr>
      </w:pPr>
      <w:r w:rsidRPr="00F25A60">
        <w:rPr>
          <w:color w:val="000000"/>
        </w:rPr>
        <w:t>Balení obsahuje 20, 60, 120 nebo 180 potahovaných tablet.</w:t>
      </w:r>
    </w:p>
    <w:p w14:paraId="65126CB2" w14:textId="77777777" w:rsidR="007A4522" w:rsidRPr="00F25A60" w:rsidRDefault="007A4522" w:rsidP="0048111F">
      <w:pPr>
        <w:pStyle w:val="EndnoteText"/>
        <w:tabs>
          <w:tab w:val="clear" w:pos="567"/>
        </w:tabs>
        <w:rPr>
          <w:color w:val="000000"/>
        </w:rPr>
      </w:pPr>
    </w:p>
    <w:p w14:paraId="0EE0DC22" w14:textId="77777777" w:rsidR="007A4522" w:rsidRPr="00F25A60" w:rsidRDefault="007A4522" w:rsidP="0048111F">
      <w:pPr>
        <w:pStyle w:val="EndnoteText"/>
        <w:keepNext/>
        <w:tabs>
          <w:tab w:val="clear" w:pos="567"/>
        </w:tabs>
        <w:rPr>
          <w:color w:val="000000"/>
        </w:rPr>
      </w:pPr>
      <w:r w:rsidRPr="00F25A60">
        <w:rPr>
          <w:color w:val="000000"/>
        </w:rPr>
        <w:t>PVDC/Al blistry</w:t>
      </w:r>
    </w:p>
    <w:p w14:paraId="6369B44E" w14:textId="77777777" w:rsidR="007A4522" w:rsidRPr="00F25A60" w:rsidRDefault="00C40642" w:rsidP="0048111F">
      <w:pPr>
        <w:pStyle w:val="EndnoteText"/>
        <w:tabs>
          <w:tab w:val="clear" w:pos="567"/>
        </w:tabs>
        <w:rPr>
          <w:color w:val="000000"/>
        </w:rPr>
      </w:pPr>
      <w:r w:rsidRPr="00F25A60">
        <w:rPr>
          <w:color w:val="000000"/>
        </w:rPr>
        <w:t>Balení obsahuje 6</w:t>
      </w:r>
      <w:r w:rsidR="007A4522" w:rsidRPr="00F25A60">
        <w:rPr>
          <w:color w:val="000000"/>
        </w:rPr>
        <w:t>0, 120 nebo 180 potahovaných tablet.</w:t>
      </w:r>
    </w:p>
    <w:p w14:paraId="6936F7C3" w14:textId="77777777" w:rsidR="00050981" w:rsidRPr="00F25A60" w:rsidRDefault="00050981" w:rsidP="0048111F">
      <w:pPr>
        <w:pStyle w:val="EndnoteText"/>
        <w:tabs>
          <w:tab w:val="clear" w:pos="567"/>
        </w:tabs>
        <w:rPr>
          <w:color w:val="000000"/>
        </w:rPr>
      </w:pPr>
    </w:p>
    <w:p w14:paraId="7CCBF576" w14:textId="771D3631" w:rsidR="00050981" w:rsidRPr="00F25A60" w:rsidRDefault="00050981" w:rsidP="0048111F">
      <w:pPr>
        <w:pStyle w:val="EndnoteText"/>
        <w:keepNext/>
        <w:tabs>
          <w:tab w:val="clear" w:pos="567"/>
        </w:tabs>
        <w:rPr>
          <w:color w:val="000000"/>
          <w:u w:val="single"/>
        </w:rPr>
      </w:pPr>
      <w:r w:rsidRPr="00F25A60">
        <w:rPr>
          <w:color w:val="000000"/>
          <w:u w:val="single"/>
        </w:rPr>
        <w:t>Glivec 400 mg potahované tablety</w:t>
      </w:r>
    </w:p>
    <w:p w14:paraId="36B4DD0E" w14:textId="77777777" w:rsidR="003A2AD8" w:rsidRPr="00F25A60" w:rsidRDefault="003A2AD8" w:rsidP="0048111F">
      <w:pPr>
        <w:pStyle w:val="EndnoteText"/>
        <w:keepNext/>
        <w:tabs>
          <w:tab w:val="clear" w:pos="567"/>
        </w:tabs>
        <w:rPr>
          <w:color w:val="000000"/>
        </w:rPr>
      </w:pPr>
    </w:p>
    <w:p w14:paraId="3794B936" w14:textId="77777777" w:rsidR="00050981" w:rsidRPr="00F25A60" w:rsidRDefault="00050981" w:rsidP="0048111F">
      <w:pPr>
        <w:pStyle w:val="EndnoteText"/>
        <w:keepNext/>
        <w:tabs>
          <w:tab w:val="clear" w:pos="567"/>
        </w:tabs>
        <w:rPr>
          <w:color w:val="000000"/>
        </w:rPr>
      </w:pPr>
      <w:r w:rsidRPr="00F25A60">
        <w:rPr>
          <w:color w:val="000000"/>
        </w:rPr>
        <w:t>PVDC/</w:t>
      </w:r>
      <w:r w:rsidR="006C2D07" w:rsidRPr="00F25A60">
        <w:rPr>
          <w:color w:val="000000"/>
        </w:rPr>
        <w:t>Al</w:t>
      </w:r>
      <w:r w:rsidRPr="00F25A60">
        <w:rPr>
          <w:color w:val="000000"/>
        </w:rPr>
        <w:t xml:space="preserve"> blistry</w:t>
      </w:r>
    </w:p>
    <w:p w14:paraId="5F922482" w14:textId="77777777" w:rsidR="00050981" w:rsidRPr="00F25A60" w:rsidRDefault="00050981" w:rsidP="0048111F">
      <w:pPr>
        <w:pStyle w:val="EndnoteText"/>
        <w:tabs>
          <w:tab w:val="clear" w:pos="567"/>
        </w:tabs>
        <w:rPr>
          <w:color w:val="000000"/>
        </w:rPr>
      </w:pPr>
      <w:r w:rsidRPr="00F25A60">
        <w:rPr>
          <w:color w:val="000000"/>
        </w:rPr>
        <w:t>Balení obsahuje 10, 30 nebo 90 potahovaných tablet.</w:t>
      </w:r>
    </w:p>
    <w:p w14:paraId="048F6B8B" w14:textId="77777777" w:rsidR="00D97A44" w:rsidRPr="00F25A60" w:rsidRDefault="00D97A44" w:rsidP="0048111F">
      <w:pPr>
        <w:pStyle w:val="EndnoteText"/>
        <w:tabs>
          <w:tab w:val="clear" w:pos="567"/>
        </w:tabs>
        <w:rPr>
          <w:color w:val="000000"/>
        </w:rPr>
      </w:pPr>
    </w:p>
    <w:p w14:paraId="0D1D5E95" w14:textId="77777777" w:rsidR="00D97A44" w:rsidRPr="00F25A60" w:rsidRDefault="00D97A44" w:rsidP="0048111F">
      <w:pPr>
        <w:pStyle w:val="EndnoteText"/>
        <w:tabs>
          <w:tab w:val="clear" w:pos="567"/>
        </w:tabs>
        <w:rPr>
          <w:color w:val="000000"/>
        </w:rPr>
      </w:pPr>
      <w:r w:rsidRPr="00F25A60">
        <w:rPr>
          <w:color w:val="000000"/>
        </w:rPr>
        <w:t>Na trhu nemusí být všechny velikosti balení.</w:t>
      </w:r>
    </w:p>
    <w:p w14:paraId="3AC23E9D" w14:textId="77777777" w:rsidR="00D97A44" w:rsidRPr="00F25A60" w:rsidRDefault="00D97A44" w:rsidP="0048111F">
      <w:pPr>
        <w:pStyle w:val="EndnoteText"/>
        <w:tabs>
          <w:tab w:val="clear" w:pos="567"/>
        </w:tabs>
        <w:rPr>
          <w:color w:val="000000"/>
        </w:rPr>
      </w:pPr>
    </w:p>
    <w:p w14:paraId="48E8E7A0" w14:textId="651B9954" w:rsidR="00D97A44" w:rsidRPr="00F25A60" w:rsidRDefault="00D97A44" w:rsidP="0048111F">
      <w:pPr>
        <w:keepNext/>
        <w:tabs>
          <w:tab w:val="clear" w:pos="567"/>
        </w:tabs>
        <w:spacing w:line="240" w:lineRule="auto"/>
        <w:ind w:left="567" w:hanging="567"/>
        <w:rPr>
          <w:b/>
          <w:bCs/>
          <w:color w:val="000000"/>
        </w:rPr>
      </w:pPr>
      <w:r w:rsidRPr="00F25A60">
        <w:rPr>
          <w:b/>
          <w:bCs/>
          <w:color w:val="000000"/>
        </w:rPr>
        <w:t>6.6</w:t>
      </w:r>
      <w:r w:rsidRPr="00F25A60">
        <w:rPr>
          <w:b/>
          <w:bCs/>
          <w:color w:val="000000"/>
        </w:rPr>
        <w:tab/>
        <w:t xml:space="preserve">Zvláštní opatření pro likvidaci </w:t>
      </w:r>
      <w:r w:rsidR="00DF45EE" w:rsidRPr="00F25A60">
        <w:rPr>
          <w:b/>
          <w:bCs/>
          <w:color w:val="000000"/>
        </w:rPr>
        <w:t>přípravku</w:t>
      </w:r>
    </w:p>
    <w:p w14:paraId="2A0AAFC1" w14:textId="77777777" w:rsidR="00D97A44" w:rsidRPr="00F25A60" w:rsidRDefault="00D97A44" w:rsidP="0048111F">
      <w:pPr>
        <w:pStyle w:val="EndnoteText"/>
        <w:keepNext/>
        <w:tabs>
          <w:tab w:val="clear" w:pos="567"/>
        </w:tabs>
        <w:rPr>
          <w:color w:val="000000"/>
        </w:rPr>
      </w:pPr>
    </w:p>
    <w:p w14:paraId="770555A7" w14:textId="77777777" w:rsidR="00A44EA7" w:rsidRPr="00F25A60" w:rsidRDefault="00A44EA7" w:rsidP="0048111F">
      <w:pPr>
        <w:pStyle w:val="EndnoteText"/>
        <w:tabs>
          <w:tab w:val="clear" w:pos="567"/>
        </w:tabs>
        <w:rPr>
          <w:noProof/>
          <w:szCs w:val="24"/>
        </w:rPr>
      </w:pPr>
      <w:r w:rsidRPr="00F25A60">
        <w:rPr>
          <w:noProof/>
          <w:szCs w:val="24"/>
        </w:rPr>
        <w:t>Veškerý nepoužitý léčivý přípravek nebo odpad musí být zlikvidován v souladu s místními požadavky.</w:t>
      </w:r>
    </w:p>
    <w:p w14:paraId="22B3E001" w14:textId="77777777" w:rsidR="00D97A44" w:rsidRPr="00F25A60" w:rsidRDefault="00D97A44" w:rsidP="0048111F">
      <w:pPr>
        <w:pStyle w:val="EndnoteText"/>
        <w:tabs>
          <w:tab w:val="clear" w:pos="567"/>
        </w:tabs>
        <w:rPr>
          <w:color w:val="000000"/>
        </w:rPr>
      </w:pPr>
    </w:p>
    <w:p w14:paraId="69A55569" w14:textId="77777777" w:rsidR="00D97A44" w:rsidRPr="00F25A60" w:rsidRDefault="00D97A44" w:rsidP="0048111F">
      <w:pPr>
        <w:pStyle w:val="EndnoteText"/>
        <w:tabs>
          <w:tab w:val="clear" w:pos="567"/>
        </w:tabs>
        <w:rPr>
          <w:color w:val="000000"/>
        </w:rPr>
      </w:pPr>
    </w:p>
    <w:p w14:paraId="06CA8F30" w14:textId="77777777" w:rsidR="00D97A44" w:rsidRPr="00F25A60" w:rsidRDefault="00D97A44" w:rsidP="0048111F">
      <w:pPr>
        <w:keepNext/>
        <w:tabs>
          <w:tab w:val="clear" w:pos="567"/>
        </w:tabs>
        <w:spacing w:line="240" w:lineRule="auto"/>
        <w:ind w:left="567" w:hanging="567"/>
        <w:rPr>
          <w:b/>
          <w:bCs/>
          <w:color w:val="000000"/>
        </w:rPr>
      </w:pPr>
      <w:r w:rsidRPr="00F25A60">
        <w:rPr>
          <w:b/>
          <w:bCs/>
          <w:color w:val="000000"/>
        </w:rPr>
        <w:t>7.</w:t>
      </w:r>
      <w:r w:rsidRPr="00F25A60">
        <w:rPr>
          <w:b/>
          <w:bCs/>
          <w:color w:val="000000"/>
        </w:rPr>
        <w:tab/>
        <w:t>DRŽITEL ROZHODNUTÍ O REGISTRACI</w:t>
      </w:r>
    </w:p>
    <w:p w14:paraId="23E3E973" w14:textId="77777777" w:rsidR="00D97A44" w:rsidRPr="00F25A60" w:rsidRDefault="00D97A44" w:rsidP="0048111F">
      <w:pPr>
        <w:keepNext/>
        <w:tabs>
          <w:tab w:val="clear" w:pos="567"/>
        </w:tabs>
        <w:spacing w:line="240" w:lineRule="auto"/>
        <w:rPr>
          <w:color w:val="000000"/>
        </w:rPr>
      </w:pPr>
    </w:p>
    <w:p w14:paraId="797F9F6A" w14:textId="77777777" w:rsidR="00D97A44" w:rsidRPr="00F25A60" w:rsidRDefault="00D97A44" w:rsidP="0048111F">
      <w:pPr>
        <w:keepNext/>
        <w:tabs>
          <w:tab w:val="clear" w:pos="567"/>
        </w:tabs>
        <w:spacing w:line="240" w:lineRule="auto"/>
        <w:rPr>
          <w:color w:val="000000"/>
        </w:rPr>
      </w:pPr>
      <w:r w:rsidRPr="00F25A60">
        <w:rPr>
          <w:color w:val="000000"/>
        </w:rPr>
        <w:t>Novartis Europharm Limited</w:t>
      </w:r>
    </w:p>
    <w:p w14:paraId="3013A004" w14:textId="77777777" w:rsidR="00F05B3D" w:rsidRPr="00F25A60" w:rsidRDefault="00F05B3D" w:rsidP="0048111F">
      <w:pPr>
        <w:keepNext/>
        <w:spacing w:line="240" w:lineRule="auto"/>
        <w:rPr>
          <w:color w:val="000000"/>
        </w:rPr>
      </w:pPr>
      <w:r w:rsidRPr="00F25A60">
        <w:rPr>
          <w:color w:val="000000"/>
        </w:rPr>
        <w:t>Vista Building</w:t>
      </w:r>
    </w:p>
    <w:p w14:paraId="7BEE92B0" w14:textId="77777777" w:rsidR="00F05B3D" w:rsidRPr="00F25A60" w:rsidRDefault="00F05B3D" w:rsidP="0048111F">
      <w:pPr>
        <w:keepNext/>
        <w:spacing w:line="240" w:lineRule="auto"/>
        <w:rPr>
          <w:color w:val="000000"/>
        </w:rPr>
      </w:pPr>
      <w:r w:rsidRPr="00F25A60">
        <w:rPr>
          <w:color w:val="000000"/>
        </w:rPr>
        <w:t>Elm Park, Merrion Road</w:t>
      </w:r>
    </w:p>
    <w:p w14:paraId="0A7E76F5" w14:textId="77777777" w:rsidR="00F05B3D" w:rsidRPr="00F25A60" w:rsidRDefault="00F05B3D" w:rsidP="0048111F">
      <w:pPr>
        <w:keepNext/>
        <w:spacing w:line="240" w:lineRule="auto"/>
        <w:rPr>
          <w:color w:val="000000"/>
        </w:rPr>
      </w:pPr>
      <w:r w:rsidRPr="00F25A60">
        <w:rPr>
          <w:color w:val="000000"/>
        </w:rPr>
        <w:t>Dublin 4</w:t>
      </w:r>
    </w:p>
    <w:p w14:paraId="30A642C9" w14:textId="77777777" w:rsidR="00D97A44" w:rsidRPr="00F25A60" w:rsidRDefault="00F05B3D" w:rsidP="0048111F">
      <w:pPr>
        <w:tabs>
          <w:tab w:val="clear" w:pos="567"/>
        </w:tabs>
        <w:spacing w:line="240" w:lineRule="auto"/>
        <w:rPr>
          <w:color w:val="000000"/>
        </w:rPr>
      </w:pPr>
      <w:r w:rsidRPr="00F25A60">
        <w:rPr>
          <w:color w:val="000000"/>
        </w:rPr>
        <w:t>Irsko</w:t>
      </w:r>
    </w:p>
    <w:p w14:paraId="755CF22E" w14:textId="77777777" w:rsidR="00D97A44" w:rsidRPr="00F25A60" w:rsidRDefault="00D97A44" w:rsidP="0048111F">
      <w:pPr>
        <w:tabs>
          <w:tab w:val="clear" w:pos="567"/>
        </w:tabs>
        <w:spacing w:line="240" w:lineRule="auto"/>
        <w:rPr>
          <w:color w:val="000000"/>
        </w:rPr>
      </w:pPr>
    </w:p>
    <w:p w14:paraId="09C3D4C3" w14:textId="77777777" w:rsidR="00D97A44" w:rsidRPr="00F25A60" w:rsidRDefault="00D97A44" w:rsidP="0048111F">
      <w:pPr>
        <w:pStyle w:val="EndnoteText"/>
        <w:tabs>
          <w:tab w:val="clear" w:pos="567"/>
        </w:tabs>
        <w:rPr>
          <w:color w:val="000000"/>
        </w:rPr>
      </w:pPr>
    </w:p>
    <w:p w14:paraId="38C5EEAB" w14:textId="53F72384" w:rsidR="00D97A44" w:rsidRPr="00F25A60" w:rsidRDefault="00D97A44" w:rsidP="0048111F">
      <w:pPr>
        <w:pStyle w:val="BodyTextIndent"/>
        <w:keepNext/>
        <w:rPr>
          <w:color w:val="000000"/>
        </w:rPr>
      </w:pPr>
      <w:r w:rsidRPr="00F25A60">
        <w:rPr>
          <w:color w:val="000000"/>
        </w:rPr>
        <w:lastRenderedPageBreak/>
        <w:t>8.</w:t>
      </w:r>
      <w:r w:rsidRPr="00F25A60">
        <w:rPr>
          <w:color w:val="000000"/>
        </w:rPr>
        <w:tab/>
        <w:t>REGISTRAČNÍ ČÍSLO</w:t>
      </w:r>
      <w:r w:rsidR="00FA1405" w:rsidRPr="00F25A60">
        <w:rPr>
          <w:color w:val="000000"/>
        </w:rPr>
        <w:t>/REGISTRAČNÍ ČÍSLA</w:t>
      </w:r>
    </w:p>
    <w:p w14:paraId="1C61E7F2" w14:textId="77777777" w:rsidR="00D97A44" w:rsidRPr="00F25A60" w:rsidRDefault="00D97A44" w:rsidP="0048111F">
      <w:pPr>
        <w:pStyle w:val="EndnoteText"/>
        <w:keepNext/>
        <w:tabs>
          <w:tab w:val="clear" w:pos="567"/>
        </w:tabs>
        <w:rPr>
          <w:color w:val="000000"/>
        </w:rPr>
      </w:pPr>
    </w:p>
    <w:p w14:paraId="730BEFE0" w14:textId="35965A3F" w:rsidR="00101D98" w:rsidRPr="00F25A60" w:rsidRDefault="00101D98" w:rsidP="0048111F">
      <w:pPr>
        <w:pStyle w:val="EndnoteText"/>
        <w:keepNext/>
        <w:tabs>
          <w:tab w:val="clear" w:pos="567"/>
        </w:tabs>
        <w:rPr>
          <w:color w:val="000000"/>
          <w:u w:val="single"/>
        </w:rPr>
      </w:pPr>
      <w:bookmarkStart w:id="378" w:name="OLE_LINK1"/>
      <w:r w:rsidRPr="00F25A60">
        <w:rPr>
          <w:color w:val="000000"/>
          <w:u w:val="single"/>
        </w:rPr>
        <w:t>Glivec 100 mg potahované tablety</w:t>
      </w:r>
    </w:p>
    <w:p w14:paraId="6410FAC7" w14:textId="77777777" w:rsidR="003A2AD8" w:rsidRPr="00F25A60" w:rsidRDefault="003A2AD8" w:rsidP="0048111F">
      <w:pPr>
        <w:pStyle w:val="EndnoteText"/>
        <w:keepNext/>
        <w:tabs>
          <w:tab w:val="clear" w:pos="567"/>
        </w:tabs>
        <w:rPr>
          <w:color w:val="000000"/>
        </w:rPr>
      </w:pPr>
    </w:p>
    <w:p w14:paraId="2BFE50B9" w14:textId="77777777" w:rsidR="00D97A44" w:rsidRPr="00F25A60" w:rsidRDefault="00D97A44" w:rsidP="0048111F">
      <w:pPr>
        <w:pStyle w:val="EndnoteText"/>
        <w:keepNext/>
        <w:tabs>
          <w:tab w:val="clear" w:pos="567"/>
        </w:tabs>
        <w:rPr>
          <w:color w:val="000000"/>
        </w:rPr>
      </w:pPr>
      <w:r w:rsidRPr="00F25A60">
        <w:rPr>
          <w:color w:val="000000"/>
        </w:rPr>
        <w:t>EU/1/01/198/007</w:t>
      </w:r>
    </w:p>
    <w:p w14:paraId="566B95DC" w14:textId="77777777" w:rsidR="00D97A44" w:rsidRPr="00F25A60" w:rsidRDefault="00D97A44" w:rsidP="0048111F">
      <w:pPr>
        <w:pStyle w:val="EndnoteText"/>
        <w:keepNext/>
        <w:tabs>
          <w:tab w:val="clear" w:pos="567"/>
        </w:tabs>
        <w:rPr>
          <w:color w:val="000000"/>
        </w:rPr>
      </w:pPr>
      <w:r w:rsidRPr="00F25A60">
        <w:rPr>
          <w:color w:val="000000"/>
        </w:rPr>
        <w:t>EU/1/01/198/008</w:t>
      </w:r>
    </w:p>
    <w:p w14:paraId="7860EBCA" w14:textId="77777777" w:rsidR="00D97A44" w:rsidRPr="00F25A60" w:rsidRDefault="00D97A44" w:rsidP="0048111F">
      <w:pPr>
        <w:pStyle w:val="EndnoteText"/>
        <w:keepNext/>
        <w:tabs>
          <w:tab w:val="clear" w:pos="567"/>
        </w:tabs>
        <w:rPr>
          <w:color w:val="000000"/>
        </w:rPr>
      </w:pPr>
      <w:r w:rsidRPr="00F25A60">
        <w:rPr>
          <w:color w:val="000000"/>
        </w:rPr>
        <w:t>EU/1/01/198/011</w:t>
      </w:r>
    </w:p>
    <w:bookmarkEnd w:id="378"/>
    <w:p w14:paraId="3942A08A" w14:textId="77777777" w:rsidR="00D97A44" w:rsidRPr="00F25A60" w:rsidRDefault="00D97A44" w:rsidP="0048111F">
      <w:pPr>
        <w:pStyle w:val="EndnoteText"/>
        <w:keepNext/>
        <w:tabs>
          <w:tab w:val="clear" w:pos="567"/>
        </w:tabs>
        <w:rPr>
          <w:color w:val="000000"/>
        </w:rPr>
      </w:pPr>
      <w:r w:rsidRPr="00F25A60">
        <w:rPr>
          <w:color w:val="000000"/>
        </w:rPr>
        <w:t>EU/1/01/198/012</w:t>
      </w:r>
    </w:p>
    <w:p w14:paraId="4C15A739" w14:textId="77777777" w:rsidR="007A4522" w:rsidRPr="00F25A60" w:rsidRDefault="007A4522" w:rsidP="0048111F">
      <w:pPr>
        <w:pStyle w:val="EndnoteText"/>
        <w:keepNext/>
        <w:tabs>
          <w:tab w:val="clear" w:pos="567"/>
        </w:tabs>
        <w:rPr>
          <w:color w:val="000000"/>
          <w:lang w:val="fr-CH"/>
        </w:rPr>
      </w:pPr>
      <w:r w:rsidRPr="00F25A60">
        <w:rPr>
          <w:color w:val="000000"/>
          <w:lang w:val="fr-CH"/>
        </w:rPr>
        <w:t>EU/1/01/198/01</w:t>
      </w:r>
      <w:r w:rsidR="004A3DDA" w:rsidRPr="00F25A60">
        <w:rPr>
          <w:color w:val="000000"/>
          <w:lang w:val="fr-CH"/>
        </w:rPr>
        <w:t>4</w:t>
      </w:r>
    </w:p>
    <w:p w14:paraId="75BD0E6B" w14:textId="77777777" w:rsidR="007A4522" w:rsidRPr="00F25A60" w:rsidRDefault="007A4522" w:rsidP="0048111F">
      <w:pPr>
        <w:pStyle w:val="EndnoteText"/>
        <w:keepNext/>
        <w:tabs>
          <w:tab w:val="clear" w:pos="567"/>
        </w:tabs>
        <w:rPr>
          <w:color w:val="000000"/>
          <w:lang w:val="fr-CH"/>
        </w:rPr>
      </w:pPr>
      <w:r w:rsidRPr="00F25A60">
        <w:rPr>
          <w:color w:val="000000"/>
          <w:lang w:val="fr-CH"/>
        </w:rPr>
        <w:t>EU/1/01/198/01</w:t>
      </w:r>
      <w:r w:rsidR="004A3DDA" w:rsidRPr="00F25A60">
        <w:rPr>
          <w:color w:val="000000"/>
          <w:lang w:val="fr-CH"/>
        </w:rPr>
        <w:t>5</w:t>
      </w:r>
    </w:p>
    <w:p w14:paraId="70DF2178" w14:textId="77777777" w:rsidR="00C40642" w:rsidRPr="00F25A60" w:rsidRDefault="00C40642" w:rsidP="0048111F">
      <w:pPr>
        <w:pStyle w:val="EndnoteText"/>
        <w:tabs>
          <w:tab w:val="clear" w:pos="567"/>
        </w:tabs>
        <w:rPr>
          <w:color w:val="000000"/>
          <w:lang w:val="fr-CH"/>
        </w:rPr>
      </w:pPr>
      <w:r w:rsidRPr="00F25A60">
        <w:rPr>
          <w:color w:val="000000"/>
          <w:lang w:val="fr-CH"/>
        </w:rPr>
        <w:t>EU/1/01/198/01</w:t>
      </w:r>
      <w:r w:rsidR="004A3DDA" w:rsidRPr="00F25A60">
        <w:rPr>
          <w:color w:val="000000"/>
          <w:lang w:val="fr-CH"/>
        </w:rPr>
        <w:t>6</w:t>
      </w:r>
    </w:p>
    <w:p w14:paraId="3B13E983" w14:textId="77777777" w:rsidR="00101D98" w:rsidRPr="00F25A60" w:rsidRDefault="00101D98" w:rsidP="0048111F">
      <w:pPr>
        <w:pStyle w:val="EndnoteText"/>
        <w:tabs>
          <w:tab w:val="clear" w:pos="567"/>
        </w:tabs>
        <w:rPr>
          <w:color w:val="000000"/>
        </w:rPr>
      </w:pPr>
    </w:p>
    <w:p w14:paraId="05F2163E" w14:textId="5C36AAD6" w:rsidR="00101D98" w:rsidRPr="00F25A60" w:rsidRDefault="00101D98" w:rsidP="0048111F">
      <w:pPr>
        <w:pStyle w:val="EndnoteText"/>
        <w:keepNext/>
        <w:tabs>
          <w:tab w:val="clear" w:pos="567"/>
        </w:tabs>
        <w:rPr>
          <w:color w:val="000000"/>
          <w:u w:val="single"/>
        </w:rPr>
      </w:pPr>
      <w:r w:rsidRPr="00F25A60">
        <w:rPr>
          <w:color w:val="000000"/>
          <w:u w:val="single"/>
        </w:rPr>
        <w:t>Glivec 400 mg potahované tablety</w:t>
      </w:r>
    </w:p>
    <w:p w14:paraId="3844B034" w14:textId="77777777" w:rsidR="003A2AD8" w:rsidRPr="00F25A60" w:rsidRDefault="003A2AD8" w:rsidP="0048111F">
      <w:pPr>
        <w:pStyle w:val="EndnoteText"/>
        <w:keepNext/>
        <w:tabs>
          <w:tab w:val="clear" w:pos="567"/>
        </w:tabs>
        <w:rPr>
          <w:color w:val="000000"/>
        </w:rPr>
      </w:pPr>
    </w:p>
    <w:p w14:paraId="334BFF39" w14:textId="77777777" w:rsidR="00101D98" w:rsidRPr="00F25A60" w:rsidRDefault="00101D98" w:rsidP="0048111F">
      <w:pPr>
        <w:pStyle w:val="EndnoteText"/>
        <w:keepNext/>
        <w:tabs>
          <w:tab w:val="clear" w:pos="567"/>
        </w:tabs>
        <w:rPr>
          <w:color w:val="000000"/>
        </w:rPr>
      </w:pPr>
      <w:r w:rsidRPr="00F25A60">
        <w:rPr>
          <w:color w:val="000000"/>
        </w:rPr>
        <w:t>EU/1/01/198/009</w:t>
      </w:r>
    </w:p>
    <w:p w14:paraId="058AF81D" w14:textId="77777777" w:rsidR="00101D98" w:rsidRPr="00F25A60" w:rsidRDefault="00101D98" w:rsidP="0048111F">
      <w:pPr>
        <w:pStyle w:val="EndnoteText"/>
        <w:keepNext/>
        <w:tabs>
          <w:tab w:val="clear" w:pos="567"/>
        </w:tabs>
        <w:rPr>
          <w:color w:val="000000"/>
        </w:rPr>
      </w:pPr>
      <w:r w:rsidRPr="00F25A60">
        <w:rPr>
          <w:color w:val="000000"/>
        </w:rPr>
        <w:t>EU/1/01/198/010</w:t>
      </w:r>
    </w:p>
    <w:p w14:paraId="3F5D322C" w14:textId="77777777" w:rsidR="00101D98" w:rsidRPr="00F25A60" w:rsidRDefault="00101D98" w:rsidP="0048111F">
      <w:pPr>
        <w:pStyle w:val="EndnoteText"/>
        <w:tabs>
          <w:tab w:val="clear" w:pos="567"/>
        </w:tabs>
        <w:rPr>
          <w:color w:val="000000"/>
        </w:rPr>
      </w:pPr>
      <w:r w:rsidRPr="00F25A60">
        <w:rPr>
          <w:color w:val="000000"/>
        </w:rPr>
        <w:t>EU/1/01/198/013</w:t>
      </w:r>
    </w:p>
    <w:p w14:paraId="755AA051" w14:textId="77777777" w:rsidR="00D97A44" w:rsidRPr="00F25A60" w:rsidRDefault="00D97A44" w:rsidP="0048111F">
      <w:pPr>
        <w:tabs>
          <w:tab w:val="clear" w:pos="567"/>
        </w:tabs>
        <w:spacing w:line="240" w:lineRule="auto"/>
        <w:rPr>
          <w:color w:val="000000"/>
        </w:rPr>
      </w:pPr>
    </w:p>
    <w:p w14:paraId="30C53791" w14:textId="77777777" w:rsidR="00D97A44" w:rsidRPr="00F25A60" w:rsidRDefault="00D97A44" w:rsidP="0048111F">
      <w:pPr>
        <w:tabs>
          <w:tab w:val="clear" w:pos="567"/>
        </w:tabs>
        <w:spacing w:line="240" w:lineRule="auto"/>
        <w:rPr>
          <w:color w:val="000000"/>
        </w:rPr>
      </w:pPr>
    </w:p>
    <w:p w14:paraId="18F17E22" w14:textId="77777777" w:rsidR="00D97A44" w:rsidRPr="00F25A60" w:rsidRDefault="00D97A44" w:rsidP="0048111F">
      <w:pPr>
        <w:keepNext/>
        <w:tabs>
          <w:tab w:val="clear" w:pos="567"/>
        </w:tabs>
        <w:spacing w:line="240" w:lineRule="auto"/>
        <w:ind w:left="567" w:hanging="567"/>
        <w:rPr>
          <w:b/>
          <w:bCs/>
          <w:color w:val="000000"/>
        </w:rPr>
      </w:pPr>
      <w:r w:rsidRPr="00F25A60">
        <w:rPr>
          <w:b/>
          <w:bCs/>
          <w:color w:val="000000"/>
        </w:rPr>
        <w:t>9.</w:t>
      </w:r>
      <w:r w:rsidRPr="00F25A60">
        <w:rPr>
          <w:b/>
          <w:bCs/>
          <w:color w:val="000000"/>
        </w:rPr>
        <w:tab/>
        <w:t>DATUM PRVNÍ REGISTRACE/PRODLOUŽENÍ REGISTRACE</w:t>
      </w:r>
    </w:p>
    <w:p w14:paraId="0380AAA2" w14:textId="77777777" w:rsidR="00D97A44" w:rsidRPr="00F25A60" w:rsidRDefault="00D97A44" w:rsidP="0048111F">
      <w:pPr>
        <w:keepNext/>
        <w:spacing w:line="240" w:lineRule="auto"/>
        <w:rPr>
          <w:color w:val="000000"/>
        </w:rPr>
      </w:pPr>
    </w:p>
    <w:p w14:paraId="7A1EB8E1" w14:textId="77777777" w:rsidR="00D97A44" w:rsidRPr="00F25A60" w:rsidRDefault="00D97A44" w:rsidP="0048111F">
      <w:pPr>
        <w:keepNext/>
        <w:spacing w:line="240" w:lineRule="auto"/>
        <w:rPr>
          <w:color w:val="000000"/>
        </w:rPr>
      </w:pPr>
      <w:r w:rsidRPr="00F25A60">
        <w:rPr>
          <w:color w:val="000000"/>
        </w:rPr>
        <w:t xml:space="preserve">Datum první registrace: </w:t>
      </w:r>
      <w:r w:rsidR="00456D29" w:rsidRPr="00F25A60">
        <w:rPr>
          <w:color w:val="000000"/>
        </w:rPr>
        <w:t>7</w:t>
      </w:r>
      <w:r w:rsidRPr="00F25A60">
        <w:rPr>
          <w:color w:val="000000"/>
        </w:rPr>
        <w:t>.</w:t>
      </w:r>
      <w:r w:rsidR="00215352" w:rsidRPr="00F25A60">
        <w:rPr>
          <w:color w:val="000000"/>
        </w:rPr>
        <w:t xml:space="preserve"> listopad</w:t>
      </w:r>
      <w:r w:rsidR="002F3327" w:rsidRPr="00F25A60">
        <w:rPr>
          <w:color w:val="000000"/>
        </w:rPr>
        <w:t>u</w:t>
      </w:r>
      <w:r w:rsidR="00215352" w:rsidRPr="00F25A60">
        <w:rPr>
          <w:color w:val="000000"/>
        </w:rPr>
        <w:t xml:space="preserve"> </w:t>
      </w:r>
      <w:r w:rsidRPr="00F25A60">
        <w:rPr>
          <w:color w:val="000000"/>
        </w:rPr>
        <w:t>200</w:t>
      </w:r>
      <w:r w:rsidR="00456D29" w:rsidRPr="00F25A60">
        <w:rPr>
          <w:color w:val="000000"/>
        </w:rPr>
        <w:t>1</w:t>
      </w:r>
    </w:p>
    <w:p w14:paraId="07A77A24" w14:textId="77777777" w:rsidR="00D97A44" w:rsidRPr="00F25A60" w:rsidRDefault="00D97A44" w:rsidP="0048111F">
      <w:pPr>
        <w:spacing w:line="240" w:lineRule="auto"/>
        <w:rPr>
          <w:color w:val="000000"/>
        </w:rPr>
      </w:pPr>
      <w:r w:rsidRPr="00F25A60">
        <w:rPr>
          <w:color w:val="000000"/>
        </w:rPr>
        <w:t xml:space="preserve">Datum </w:t>
      </w:r>
      <w:r w:rsidR="00215352" w:rsidRPr="00F25A60">
        <w:rPr>
          <w:color w:val="000000"/>
        </w:rPr>
        <w:t>posledního</w:t>
      </w:r>
      <w:r w:rsidRPr="00F25A60">
        <w:rPr>
          <w:color w:val="000000"/>
        </w:rPr>
        <w:t xml:space="preserve"> prodloužení</w:t>
      </w:r>
      <w:r w:rsidR="00215352" w:rsidRPr="00F25A60">
        <w:rPr>
          <w:color w:val="000000"/>
        </w:rPr>
        <w:t xml:space="preserve"> registrace</w:t>
      </w:r>
      <w:r w:rsidRPr="00F25A60">
        <w:rPr>
          <w:color w:val="000000"/>
        </w:rPr>
        <w:t>: 7.</w:t>
      </w:r>
      <w:r w:rsidR="00215352" w:rsidRPr="00F25A60">
        <w:rPr>
          <w:color w:val="000000"/>
        </w:rPr>
        <w:t xml:space="preserve"> listopad</w:t>
      </w:r>
      <w:r w:rsidR="002F3327" w:rsidRPr="00F25A60">
        <w:rPr>
          <w:color w:val="000000"/>
        </w:rPr>
        <w:t>u</w:t>
      </w:r>
      <w:r w:rsidR="00215352" w:rsidRPr="00F25A60">
        <w:rPr>
          <w:color w:val="000000"/>
        </w:rPr>
        <w:t xml:space="preserve"> </w:t>
      </w:r>
      <w:r w:rsidRPr="00F25A60">
        <w:rPr>
          <w:color w:val="000000"/>
        </w:rPr>
        <w:t>2006</w:t>
      </w:r>
    </w:p>
    <w:p w14:paraId="3F0567DB" w14:textId="77777777" w:rsidR="00D97A44" w:rsidRPr="00F25A60" w:rsidRDefault="00D97A44" w:rsidP="0048111F">
      <w:pPr>
        <w:tabs>
          <w:tab w:val="clear" w:pos="567"/>
        </w:tabs>
        <w:spacing w:line="240" w:lineRule="auto"/>
        <w:rPr>
          <w:color w:val="000000"/>
        </w:rPr>
      </w:pPr>
    </w:p>
    <w:p w14:paraId="4D6E1FEA" w14:textId="77777777" w:rsidR="00D97A44" w:rsidRPr="00F25A60" w:rsidRDefault="00D97A44" w:rsidP="0048111F">
      <w:pPr>
        <w:tabs>
          <w:tab w:val="clear" w:pos="567"/>
        </w:tabs>
        <w:spacing w:line="240" w:lineRule="auto"/>
        <w:rPr>
          <w:color w:val="000000"/>
        </w:rPr>
      </w:pPr>
    </w:p>
    <w:p w14:paraId="14CB284E" w14:textId="77777777" w:rsidR="00D97A44" w:rsidRPr="00F25A60" w:rsidRDefault="00D97A44" w:rsidP="0048111F">
      <w:pPr>
        <w:tabs>
          <w:tab w:val="clear" w:pos="567"/>
        </w:tabs>
        <w:spacing w:line="240" w:lineRule="auto"/>
        <w:ind w:left="567" w:hanging="567"/>
        <w:rPr>
          <w:b/>
          <w:bCs/>
          <w:color w:val="000000"/>
        </w:rPr>
      </w:pPr>
      <w:r w:rsidRPr="00F25A60">
        <w:rPr>
          <w:b/>
          <w:bCs/>
          <w:color w:val="000000"/>
        </w:rPr>
        <w:t>10.</w:t>
      </w:r>
      <w:r w:rsidRPr="00F25A60">
        <w:rPr>
          <w:b/>
          <w:bCs/>
          <w:color w:val="000000"/>
        </w:rPr>
        <w:tab/>
        <w:t>DATUM REVIZE TEXTU</w:t>
      </w:r>
    </w:p>
    <w:p w14:paraId="50D5F913" w14:textId="77777777" w:rsidR="00EE0F18" w:rsidRPr="00F25A60" w:rsidRDefault="00EE0F18" w:rsidP="0048111F">
      <w:pPr>
        <w:tabs>
          <w:tab w:val="clear" w:pos="567"/>
        </w:tabs>
        <w:spacing w:line="240" w:lineRule="auto"/>
        <w:ind w:left="567" w:hanging="567"/>
        <w:rPr>
          <w:color w:val="000000"/>
        </w:rPr>
      </w:pPr>
    </w:p>
    <w:p w14:paraId="3BC12558" w14:textId="77777777" w:rsidR="00EE0F18" w:rsidRPr="00F25A60" w:rsidRDefault="00EE0F18" w:rsidP="0048111F">
      <w:pPr>
        <w:tabs>
          <w:tab w:val="clear" w:pos="567"/>
        </w:tabs>
        <w:spacing w:line="240" w:lineRule="auto"/>
        <w:ind w:left="567" w:hanging="567"/>
        <w:rPr>
          <w:color w:val="000000"/>
        </w:rPr>
      </w:pPr>
    </w:p>
    <w:p w14:paraId="7BC279D5" w14:textId="44D91452" w:rsidR="00EE0F18" w:rsidRPr="00F25A60" w:rsidRDefault="00EE0F18" w:rsidP="0048111F">
      <w:pPr>
        <w:tabs>
          <w:tab w:val="clear" w:pos="567"/>
        </w:tabs>
        <w:spacing w:line="240" w:lineRule="auto"/>
        <w:rPr>
          <w:color w:val="000000"/>
        </w:rPr>
      </w:pPr>
      <w:r w:rsidRPr="00F25A60">
        <w:rPr>
          <w:color w:val="000000"/>
        </w:rPr>
        <w:t>Podrobné informace o</w:t>
      </w:r>
      <w:r w:rsidR="00446E67" w:rsidRPr="00F25A60">
        <w:rPr>
          <w:color w:val="000000"/>
        </w:rPr>
        <w:t> </w:t>
      </w:r>
      <w:r w:rsidRPr="00F25A60">
        <w:rPr>
          <w:color w:val="000000"/>
        </w:rPr>
        <w:t xml:space="preserve">tomto </w:t>
      </w:r>
      <w:r w:rsidR="00446E67" w:rsidRPr="00F25A60">
        <w:rPr>
          <w:color w:val="000000"/>
        </w:rPr>
        <w:t xml:space="preserve">léčivém </w:t>
      </w:r>
      <w:r w:rsidRPr="00F25A60">
        <w:rPr>
          <w:color w:val="000000"/>
        </w:rPr>
        <w:t xml:space="preserve">přípravku jsou </w:t>
      </w:r>
      <w:r w:rsidR="00446E67" w:rsidRPr="00F25A60">
        <w:rPr>
          <w:color w:val="000000"/>
        </w:rPr>
        <w:t>k dispozici</w:t>
      </w:r>
      <w:r w:rsidRPr="00F25A60">
        <w:rPr>
          <w:color w:val="000000"/>
        </w:rPr>
        <w:t xml:space="preserve"> na webových stránkách Evropské agentury </w:t>
      </w:r>
      <w:r w:rsidR="00446E67" w:rsidRPr="00F25A60">
        <w:rPr>
          <w:color w:val="000000"/>
        </w:rPr>
        <w:t xml:space="preserve">pro léčivé přípravky </w:t>
      </w:r>
      <w:ins w:id="379" w:author="Author">
        <w:r w:rsidR="00B424AB">
          <w:fldChar w:fldCharType="begin"/>
        </w:r>
        <w:r w:rsidR="00B424AB">
          <w:instrText>HYPERLINK "</w:instrText>
        </w:r>
      </w:ins>
      <w:r w:rsidR="00B424AB" w:rsidRPr="00D567F2">
        <w:rPr>
          <w:rPrChange w:id="380" w:author="Author">
            <w:rPr>
              <w:rStyle w:val="Hyperlink"/>
            </w:rPr>
          </w:rPrChange>
        </w:rPr>
        <w:instrText>http</w:instrText>
      </w:r>
      <w:ins w:id="381" w:author="Author">
        <w:r w:rsidR="00B424AB" w:rsidRPr="00D567F2">
          <w:rPr>
            <w:rPrChange w:id="382" w:author="Author">
              <w:rPr>
                <w:rStyle w:val="Hyperlink"/>
              </w:rPr>
            </w:rPrChange>
          </w:rPr>
          <w:instrText>s</w:instrText>
        </w:r>
      </w:ins>
      <w:r w:rsidR="00B424AB" w:rsidRPr="00D567F2">
        <w:rPr>
          <w:rPrChange w:id="383" w:author="Author">
            <w:rPr>
              <w:rStyle w:val="Hyperlink"/>
            </w:rPr>
          </w:rPrChange>
        </w:rPr>
        <w:instrText>://www.ema.europa.eu</w:instrText>
      </w:r>
      <w:ins w:id="384" w:author="Author">
        <w:r w:rsidR="00B424AB">
          <w:instrText>"</w:instrText>
        </w:r>
        <w:r w:rsidR="00B424AB">
          <w:fldChar w:fldCharType="separate"/>
        </w:r>
      </w:ins>
      <w:r w:rsidR="00B424AB" w:rsidRPr="00B424AB">
        <w:rPr>
          <w:rStyle w:val="Hyperlink"/>
        </w:rPr>
        <w:t>http</w:t>
      </w:r>
      <w:ins w:id="385" w:author="Author">
        <w:r w:rsidR="00B424AB" w:rsidRPr="00B424AB">
          <w:rPr>
            <w:rStyle w:val="Hyperlink"/>
          </w:rPr>
          <w:t>s</w:t>
        </w:r>
      </w:ins>
      <w:r w:rsidR="00B424AB" w:rsidRPr="00B424AB">
        <w:rPr>
          <w:rStyle w:val="Hyperlink"/>
        </w:rPr>
        <w:t>://www.ema.europa.eu</w:t>
      </w:r>
      <w:ins w:id="386" w:author="Author">
        <w:r w:rsidR="00B424AB">
          <w:fldChar w:fldCharType="end"/>
        </w:r>
      </w:ins>
    </w:p>
    <w:p w14:paraId="6EC8CA8D" w14:textId="77777777" w:rsidR="00D97A44" w:rsidRPr="00F25A60" w:rsidRDefault="00B346DE" w:rsidP="005C56E6">
      <w:pPr>
        <w:widowControl w:val="0"/>
        <w:tabs>
          <w:tab w:val="clear" w:pos="567"/>
        </w:tabs>
        <w:spacing w:line="240" w:lineRule="auto"/>
        <w:rPr>
          <w:color w:val="000000"/>
        </w:rPr>
      </w:pPr>
      <w:r w:rsidRPr="00F25A60">
        <w:rPr>
          <w:color w:val="000000"/>
        </w:rPr>
        <w:br w:type="page"/>
      </w:r>
    </w:p>
    <w:p w14:paraId="280F6BE6" w14:textId="77777777" w:rsidR="00D97A44" w:rsidRPr="00F25A60" w:rsidRDefault="00D97A44" w:rsidP="005C56E6">
      <w:pPr>
        <w:widowControl w:val="0"/>
        <w:spacing w:line="240" w:lineRule="auto"/>
        <w:rPr>
          <w:color w:val="000000"/>
        </w:rPr>
      </w:pPr>
    </w:p>
    <w:p w14:paraId="72AB26F3" w14:textId="77777777" w:rsidR="00D97A44" w:rsidRPr="00F25A60" w:rsidRDefault="00D97A44" w:rsidP="005C56E6">
      <w:pPr>
        <w:widowControl w:val="0"/>
        <w:spacing w:line="240" w:lineRule="auto"/>
        <w:rPr>
          <w:color w:val="000000"/>
        </w:rPr>
      </w:pPr>
    </w:p>
    <w:p w14:paraId="2B0234A9" w14:textId="77777777" w:rsidR="00D97A44" w:rsidRPr="00F25A60" w:rsidRDefault="00D97A44" w:rsidP="005C56E6">
      <w:pPr>
        <w:widowControl w:val="0"/>
        <w:spacing w:line="240" w:lineRule="auto"/>
        <w:rPr>
          <w:color w:val="000000"/>
        </w:rPr>
      </w:pPr>
    </w:p>
    <w:p w14:paraId="0EAAFEF4" w14:textId="77777777" w:rsidR="00D97A44" w:rsidRPr="00F25A60" w:rsidRDefault="00D97A44" w:rsidP="005C56E6">
      <w:pPr>
        <w:widowControl w:val="0"/>
        <w:spacing w:line="240" w:lineRule="auto"/>
        <w:rPr>
          <w:color w:val="000000"/>
        </w:rPr>
      </w:pPr>
    </w:p>
    <w:p w14:paraId="51039C06" w14:textId="77777777" w:rsidR="00D97A44" w:rsidRPr="00F25A60" w:rsidRDefault="00D97A44" w:rsidP="005C56E6">
      <w:pPr>
        <w:widowControl w:val="0"/>
        <w:spacing w:line="240" w:lineRule="auto"/>
        <w:rPr>
          <w:color w:val="000000"/>
        </w:rPr>
      </w:pPr>
    </w:p>
    <w:p w14:paraId="128573AA" w14:textId="77777777" w:rsidR="00D97A44" w:rsidRPr="00F25A60" w:rsidRDefault="00D97A44" w:rsidP="005C56E6">
      <w:pPr>
        <w:widowControl w:val="0"/>
        <w:spacing w:line="240" w:lineRule="auto"/>
        <w:rPr>
          <w:color w:val="000000"/>
        </w:rPr>
      </w:pPr>
    </w:p>
    <w:p w14:paraId="24B3004D" w14:textId="77777777" w:rsidR="00D97A44" w:rsidRPr="00F25A60" w:rsidRDefault="00D97A44" w:rsidP="005C56E6">
      <w:pPr>
        <w:widowControl w:val="0"/>
        <w:spacing w:line="240" w:lineRule="auto"/>
        <w:rPr>
          <w:color w:val="000000"/>
        </w:rPr>
      </w:pPr>
    </w:p>
    <w:p w14:paraId="021F3EA7" w14:textId="77777777" w:rsidR="00D97A44" w:rsidRPr="00F25A60" w:rsidRDefault="00D97A44" w:rsidP="005C56E6">
      <w:pPr>
        <w:widowControl w:val="0"/>
        <w:spacing w:line="240" w:lineRule="auto"/>
        <w:rPr>
          <w:color w:val="000000"/>
        </w:rPr>
      </w:pPr>
    </w:p>
    <w:p w14:paraId="03B33462" w14:textId="77777777" w:rsidR="00D97A44" w:rsidRPr="00F25A60" w:rsidRDefault="00D97A44" w:rsidP="005C56E6">
      <w:pPr>
        <w:widowControl w:val="0"/>
        <w:spacing w:line="240" w:lineRule="auto"/>
        <w:rPr>
          <w:color w:val="000000"/>
        </w:rPr>
      </w:pPr>
    </w:p>
    <w:p w14:paraId="0CED516C" w14:textId="77777777" w:rsidR="00D97A44" w:rsidRPr="00F25A60" w:rsidRDefault="00D97A44" w:rsidP="005C56E6">
      <w:pPr>
        <w:widowControl w:val="0"/>
        <w:spacing w:line="240" w:lineRule="auto"/>
        <w:rPr>
          <w:color w:val="000000"/>
        </w:rPr>
      </w:pPr>
    </w:p>
    <w:p w14:paraId="07596117" w14:textId="77777777" w:rsidR="00D97A44" w:rsidRPr="00F25A60" w:rsidRDefault="00D97A44" w:rsidP="005C56E6">
      <w:pPr>
        <w:widowControl w:val="0"/>
        <w:spacing w:line="240" w:lineRule="auto"/>
        <w:rPr>
          <w:color w:val="000000"/>
        </w:rPr>
      </w:pPr>
    </w:p>
    <w:p w14:paraId="0AEE50CE" w14:textId="77777777" w:rsidR="00D97A44" w:rsidRPr="00F25A60" w:rsidRDefault="00D97A44" w:rsidP="005C56E6">
      <w:pPr>
        <w:widowControl w:val="0"/>
        <w:spacing w:line="240" w:lineRule="auto"/>
        <w:rPr>
          <w:color w:val="000000"/>
        </w:rPr>
      </w:pPr>
    </w:p>
    <w:p w14:paraId="739EAA2B" w14:textId="77777777" w:rsidR="00D97A44" w:rsidRPr="00F25A60" w:rsidRDefault="00D97A44" w:rsidP="005C56E6">
      <w:pPr>
        <w:widowControl w:val="0"/>
        <w:spacing w:line="240" w:lineRule="auto"/>
        <w:rPr>
          <w:color w:val="000000"/>
        </w:rPr>
      </w:pPr>
    </w:p>
    <w:p w14:paraId="28F31F2C" w14:textId="77777777" w:rsidR="00D97A44" w:rsidRPr="00F25A60" w:rsidRDefault="00D97A44" w:rsidP="005C56E6">
      <w:pPr>
        <w:widowControl w:val="0"/>
        <w:spacing w:line="240" w:lineRule="auto"/>
        <w:rPr>
          <w:color w:val="000000"/>
        </w:rPr>
      </w:pPr>
    </w:p>
    <w:p w14:paraId="11FFAEFB" w14:textId="77777777" w:rsidR="00D97A44" w:rsidRPr="00F25A60" w:rsidRDefault="00D97A44" w:rsidP="005C56E6">
      <w:pPr>
        <w:widowControl w:val="0"/>
        <w:spacing w:line="240" w:lineRule="auto"/>
        <w:rPr>
          <w:color w:val="000000"/>
        </w:rPr>
      </w:pPr>
    </w:p>
    <w:p w14:paraId="18E89E6A" w14:textId="77777777" w:rsidR="00D97A44" w:rsidRPr="00F25A60" w:rsidRDefault="00D97A44" w:rsidP="005C56E6">
      <w:pPr>
        <w:widowControl w:val="0"/>
        <w:spacing w:line="240" w:lineRule="auto"/>
        <w:rPr>
          <w:color w:val="000000"/>
        </w:rPr>
      </w:pPr>
    </w:p>
    <w:p w14:paraId="2F120A12" w14:textId="77777777" w:rsidR="00D97A44" w:rsidRPr="00F25A60" w:rsidRDefault="00D97A44" w:rsidP="005C56E6">
      <w:pPr>
        <w:widowControl w:val="0"/>
        <w:spacing w:line="240" w:lineRule="auto"/>
        <w:rPr>
          <w:color w:val="000000"/>
        </w:rPr>
      </w:pPr>
    </w:p>
    <w:p w14:paraId="62192BE7" w14:textId="77777777" w:rsidR="00D97A44" w:rsidRPr="00F25A60" w:rsidRDefault="00D97A44" w:rsidP="005C56E6">
      <w:pPr>
        <w:widowControl w:val="0"/>
        <w:spacing w:line="240" w:lineRule="auto"/>
        <w:rPr>
          <w:color w:val="000000"/>
        </w:rPr>
      </w:pPr>
    </w:p>
    <w:p w14:paraId="7AB6352D" w14:textId="77777777" w:rsidR="00D97A44" w:rsidRPr="00F25A60" w:rsidRDefault="00D97A44" w:rsidP="005C56E6">
      <w:pPr>
        <w:widowControl w:val="0"/>
        <w:spacing w:line="240" w:lineRule="auto"/>
        <w:rPr>
          <w:color w:val="000000"/>
        </w:rPr>
      </w:pPr>
    </w:p>
    <w:p w14:paraId="3B22EDA5" w14:textId="77777777" w:rsidR="00D97A44" w:rsidRPr="00F25A60" w:rsidRDefault="00D97A44" w:rsidP="005C56E6">
      <w:pPr>
        <w:widowControl w:val="0"/>
        <w:spacing w:line="240" w:lineRule="auto"/>
        <w:rPr>
          <w:color w:val="000000"/>
        </w:rPr>
      </w:pPr>
    </w:p>
    <w:p w14:paraId="460394CE" w14:textId="77777777" w:rsidR="00D97A44" w:rsidRPr="00F25A60" w:rsidRDefault="00D97A44" w:rsidP="005C56E6">
      <w:pPr>
        <w:widowControl w:val="0"/>
        <w:spacing w:line="240" w:lineRule="auto"/>
        <w:rPr>
          <w:color w:val="000000"/>
        </w:rPr>
      </w:pPr>
    </w:p>
    <w:p w14:paraId="12706FB7" w14:textId="77777777" w:rsidR="00D97A44" w:rsidRPr="00F25A60" w:rsidRDefault="00D97A44" w:rsidP="005C56E6">
      <w:pPr>
        <w:widowControl w:val="0"/>
        <w:spacing w:line="240" w:lineRule="auto"/>
        <w:rPr>
          <w:color w:val="000000"/>
        </w:rPr>
      </w:pPr>
    </w:p>
    <w:p w14:paraId="7E7A80E4" w14:textId="77777777" w:rsidR="00EB4FF7" w:rsidRPr="00F25A60" w:rsidRDefault="00EB4FF7" w:rsidP="005C56E6">
      <w:pPr>
        <w:widowControl w:val="0"/>
        <w:spacing w:line="240" w:lineRule="auto"/>
        <w:rPr>
          <w:color w:val="000000"/>
        </w:rPr>
      </w:pPr>
    </w:p>
    <w:p w14:paraId="3CAF9A9F" w14:textId="77777777" w:rsidR="00E61A01" w:rsidRPr="00F25A60" w:rsidRDefault="00E61A01" w:rsidP="005C56E6">
      <w:pPr>
        <w:widowControl w:val="0"/>
        <w:spacing w:line="240" w:lineRule="auto"/>
        <w:jc w:val="center"/>
        <w:rPr>
          <w:b/>
          <w:bCs/>
          <w:color w:val="000000"/>
        </w:rPr>
      </w:pPr>
      <w:r w:rsidRPr="00F25A60">
        <w:rPr>
          <w:b/>
          <w:bCs/>
          <w:color w:val="000000"/>
        </w:rPr>
        <w:t>PŘÍLOHA II</w:t>
      </w:r>
    </w:p>
    <w:p w14:paraId="37CB9FE7" w14:textId="77777777" w:rsidR="00E61A01" w:rsidRPr="00F25A60" w:rsidRDefault="00E61A01" w:rsidP="005C56E6">
      <w:pPr>
        <w:widowControl w:val="0"/>
        <w:tabs>
          <w:tab w:val="clear" w:pos="567"/>
          <w:tab w:val="left" w:pos="7371"/>
          <w:tab w:val="left" w:pos="8505"/>
        </w:tabs>
        <w:spacing w:line="240" w:lineRule="auto"/>
        <w:ind w:right="1416"/>
        <w:rPr>
          <w:color w:val="000000"/>
        </w:rPr>
      </w:pPr>
    </w:p>
    <w:p w14:paraId="19C2281A" w14:textId="604B3D19" w:rsidR="00E61A01" w:rsidRPr="00F25A60" w:rsidRDefault="00E61A01" w:rsidP="005C56E6">
      <w:pPr>
        <w:widowControl w:val="0"/>
        <w:tabs>
          <w:tab w:val="clear" w:pos="567"/>
          <w:tab w:val="left" w:pos="7371"/>
          <w:tab w:val="left" w:pos="8505"/>
        </w:tabs>
        <w:spacing w:line="240" w:lineRule="auto"/>
        <w:ind w:left="2268" w:right="1416" w:hanging="567"/>
        <w:rPr>
          <w:b/>
          <w:bCs/>
          <w:color w:val="000000"/>
        </w:rPr>
      </w:pPr>
      <w:r w:rsidRPr="00F25A60">
        <w:rPr>
          <w:b/>
          <w:bCs/>
          <w:color w:val="000000"/>
        </w:rPr>
        <w:t>A.</w:t>
      </w:r>
      <w:r w:rsidRPr="00F25A60">
        <w:rPr>
          <w:b/>
          <w:bCs/>
          <w:color w:val="000000"/>
        </w:rPr>
        <w:tab/>
        <w:t>VÝRO</w:t>
      </w:r>
      <w:r w:rsidRPr="0048111F">
        <w:rPr>
          <w:b/>
          <w:bCs/>
          <w:color w:val="000000"/>
        </w:rPr>
        <w:t>BC</w:t>
      </w:r>
      <w:ins w:id="387" w:author="Author">
        <w:r w:rsidR="00F6717A" w:rsidRPr="0048111F">
          <w:rPr>
            <w:b/>
            <w:bCs/>
            <w:color w:val="000000"/>
          </w:rPr>
          <w:t>I</w:t>
        </w:r>
      </w:ins>
      <w:del w:id="388" w:author="Author">
        <w:r w:rsidRPr="0048111F" w:rsidDel="00F6717A">
          <w:rPr>
            <w:b/>
            <w:bCs/>
            <w:color w:val="000000"/>
          </w:rPr>
          <w:delText>E</w:delText>
        </w:r>
      </w:del>
      <w:r w:rsidRPr="0048111F">
        <w:rPr>
          <w:b/>
          <w:bCs/>
          <w:color w:val="000000"/>
        </w:rPr>
        <w:t xml:space="preserve"> ODPOVĚDN</w:t>
      </w:r>
      <w:ins w:id="389" w:author="Author">
        <w:r w:rsidR="009C3228" w:rsidRPr="0048111F">
          <w:rPr>
            <w:b/>
            <w:bCs/>
            <w:color w:val="000000"/>
          </w:rPr>
          <w:t>Í</w:t>
        </w:r>
      </w:ins>
      <w:del w:id="390" w:author="Author">
        <w:r w:rsidRPr="0048111F" w:rsidDel="009C3228">
          <w:rPr>
            <w:b/>
            <w:bCs/>
            <w:color w:val="000000"/>
          </w:rPr>
          <w:delText>Ý</w:delText>
        </w:r>
      </w:del>
      <w:r w:rsidRPr="0048111F">
        <w:rPr>
          <w:b/>
          <w:bCs/>
          <w:color w:val="000000"/>
        </w:rPr>
        <w:t xml:space="preserve"> ZA PROP</w:t>
      </w:r>
      <w:r w:rsidRPr="00F25A60">
        <w:rPr>
          <w:b/>
          <w:bCs/>
          <w:color w:val="000000"/>
        </w:rPr>
        <w:t>OUŠTĚNÍ ŠARŽÍ</w:t>
      </w:r>
    </w:p>
    <w:p w14:paraId="4889365A" w14:textId="77777777" w:rsidR="00E61A01" w:rsidRPr="00F25A60" w:rsidRDefault="00E61A01" w:rsidP="005C56E6">
      <w:pPr>
        <w:widowControl w:val="0"/>
        <w:tabs>
          <w:tab w:val="clear" w:pos="567"/>
          <w:tab w:val="left" w:pos="7371"/>
          <w:tab w:val="left" w:pos="8505"/>
        </w:tabs>
        <w:spacing w:line="240" w:lineRule="auto"/>
        <w:ind w:right="1416"/>
        <w:rPr>
          <w:color w:val="000000"/>
        </w:rPr>
      </w:pPr>
    </w:p>
    <w:p w14:paraId="52F6EA6B" w14:textId="77777777" w:rsidR="00E61A01" w:rsidRPr="00F25A60" w:rsidRDefault="00E61A01" w:rsidP="005C56E6">
      <w:pPr>
        <w:widowControl w:val="0"/>
        <w:tabs>
          <w:tab w:val="clear" w:pos="567"/>
          <w:tab w:val="left" w:pos="7371"/>
          <w:tab w:val="left" w:pos="8505"/>
        </w:tabs>
        <w:spacing w:line="240" w:lineRule="auto"/>
        <w:ind w:left="2268" w:right="1416" w:hanging="567"/>
        <w:rPr>
          <w:b/>
          <w:bCs/>
          <w:color w:val="000000"/>
        </w:rPr>
      </w:pPr>
      <w:r w:rsidRPr="00F25A60">
        <w:rPr>
          <w:b/>
          <w:bCs/>
          <w:color w:val="000000"/>
        </w:rPr>
        <w:t>B.</w:t>
      </w:r>
      <w:r w:rsidRPr="00F25A60">
        <w:rPr>
          <w:b/>
          <w:bCs/>
          <w:color w:val="000000"/>
        </w:rPr>
        <w:tab/>
        <w:t>PODMÍNKY NEBO OMEZENÍ VÝDEJE A POUŽITÍ</w:t>
      </w:r>
    </w:p>
    <w:p w14:paraId="658BEEE6" w14:textId="77777777" w:rsidR="00E61A01" w:rsidRPr="00F25A60" w:rsidRDefault="00E61A01" w:rsidP="005C56E6">
      <w:pPr>
        <w:widowControl w:val="0"/>
        <w:tabs>
          <w:tab w:val="clear" w:pos="567"/>
          <w:tab w:val="left" w:pos="7371"/>
          <w:tab w:val="left" w:pos="8505"/>
        </w:tabs>
        <w:spacing w:line="240" w:lineRule="auto"/>
        <w:ind w:right="1416"/>
        <w:rPr>
          <w:bCs/>
          <w:color w:val="000000"/>
        </w:rPr>
      </w:pPr>
    </w:p>
    <w:p w14:paraId="4458DA33" w14:textId="77777777" w:rsidR="00E61A01" w:rsidRPr="00F25A60" w:rsidRDefault="00E61A01" w:rsidP="005C56E6">
      <w:pPr>
        <w:widowControl w:val="0"/>
        <w:tabs>
          <w:tab w:val="clear" w:pos="567"/>
          <w:tab w:val="left" w:pos="7371"/>
          <w:tab w:val="left" w:pos="8505"/>
        </w:tabs>
        <w:spacing w:line="240" w:lineRule="auto"/>
        <w:ind w:left="2268" w:right="1416" w:hanging="567"/>
        <w:rPr>
          <w:b/>
          <w:bCs/>
          <w:color w:val="000000"/>
        </w:rPr>
      </w:pPr>
      <w:r w:rsidRPr="00F25A60">
        <w:rPr>
          <w:b/>
          <w:bCs/>
          <w:color w:val="000000"/>
        </w:rPr>
        <w:t>C.</w:t>
      </w:r>
      <w:r w:rsidRPr="00F25A60">
        <w:rPr>
          <w:b/>
          <w:bCs/>
          <w:color w:val="000000"/>
        </w:rPr>
        <w:tab/>
        <w:t>DALŠÍ PODMÍNKY A POŽADAVKY REGISTRACE</w:t>
      </w:r>
    </w:p>
    <w:p w14:paraId="1FB7BEE8" w14:textId="77777777" w:rsidR="00F57421" w:rsidRPr="00F25A60" w:rsidRDefault="00F57421" w:rsidP="005C56E6">
      <w:pPr>
        <w:widowControl w:val="0"/>
        <w:tabs>
          <w:tab w:val="left" w:pos="1701"/>
        </w:tabs>
        <w:spacing w:line="240" w:lineRule="auto"/>
        <w:ind w:right="1416"/>
        <w:rPr>
          <w:noProof/>
          <w:szCs w:val="24"/>
        </w:rPr>
      </w:pPr>
    </w:p>
    <w:p w14:paraId="67237EBB" w14:textId="77777777" w:rsidR="00F57421" w:rsidRPr="00F25A60" w:rsidRDefault="00F57421" w:rsidP="005C56E6">
      <w:pPr>
        <w:widowControl w:val="0"/>
        <w:spacing w:line="240" w:lineRule="auto"/>
        <w:ind w:left="2268" w:right="1416" w:hanging="567"/>
        <w:rPr>
          <w:b/>
          <w:szCs w:val="24"/>
        </w:rPr>
      </w:pPr>
      <w:r w:rsidRPr="00F25A60">
        <w:rPr>
          <w:b/>
          <w:noProof/>
          <w:szCs w:val="24"/>
        </w:rPr>
        <w:t>D.</w:t>
      </w:r>
      <w:r w:rsidRPr="00F25A60">
        <w:rPr>
          <w:b/>
          <w:szCs w:val="24"/>
        </w:rPr>
        <w:tab/>
      </w:r>
      <w:r w:rsidRPr="00F25A60">
        <w:rPr>
          <w:b/>
          <w:noProof/>
          <w:szCs w:val="24"/>
        </w:rPr>
        <w:t>PODMÍNKY NEBO OMEZENÍ S OHLEDEM NA BEZPEČNÉ A ÚČINNÉ POUŽÍVÁNÍ LÉČIVÉHO PŘÍPRAVKU</w:t>
      </w:r>
    </w:p>
    <w:p w14:paraId="57C1AB77" w14:textId="77777777" w:rsidR="00E61A01" w:rsidRPr="00F25A60" w:rsidRDefault="00E61A01" w:rsidP="005C56E6">
      <w:pPr>
        <w:widowControl w:val="0"/>
        <w:tabs>
          <w:tab w:val="clear" w:pos="567"/>
          <w:tab w:val="left" w:pos="7371"/>
          <w:tab w:val="left" w:pos="8505"/>
        </w:tabs>
        <w:spacing w:line="240" w:lineRule="auto"/>
        <w:ind w:right="1416"/>
        <w:rPr>
          <w:color w:val="000000"/>
        </w:rPr>
      </w:pPr>
    </w:p>
    <w:p w14:paraId="3BDBE4C6" w14:textId="6BF8D52A" w:rsidR="00E61A01" w:rsidRPr="00F25A60" w:rsidRDefault="00E61A01" w:rsidP="005E6174">
      <w:pPr>
        <w:keepNext/>
        <w:widowControl w:val="0"/>
        <w:tabs>
          <w:tab w:val="clear" w:pos="567"/>
        </w:tabs>
        <w:suppressAutoHyphens w:val="0"/>
        <w:spacing w:line="240" w:lineRule="auto"/>
        <w:ind w:right="-1"/>
        <w:outlineLvl w:val="0"/>
        <w:rPr>
          <w:b/>
          <w:bCs/>
          <w:color w:val="000000"/>
        </w:rPr>
      </w:pPr>
      <w:r w:rsidRPr="00F25A60">
        <w:rPr>
          <w:color w:val="000000"/>
        </w:rPr>
        <w:br w:type="page"/>
      </w:r>
      <w:r w:rsidRPr="00F25A60">
        <w:rPr>
          <w:b/>
          <w:bCs/>
          <w:color w:val="000000"/>
        </w:rPr>
        <w:lastRenderedPageBreak/>
        <w:t>A.</w:t>
      </w:r>
      <w:r w:rsidRPr="00F25A60">
        <w:rPr>
          <w:b/>
          <w:bCs/>
          <w:color w:val="000000"/>
        </w:rPr>
        <w:tab/>
        <w:t>VÝROBC</w:t>
      </w:r>
      <w:ins w:id="391" w:author="Author">
        <w:r w:rsidR="008B6536">
          <w:rPr>
            <w:b/>
            <w:bCs/>
            <w:color w:val="000000"/>
          </w:rPr>
          <w:t>I</w:t>
        </w:r>
      </w:ins>
      <w:del w:id="392" w:author="Author">
        <w:r w:rsidRPr="00F25A60" w:rsidDel="008B6536">
          <w:rPr>
            <w:b/>
            <w:bCs/>
            <w:color w:val="000000"/>
          </w:rPr>
          <w:delText>E</w:delText>
        </w:r>
      </w:del>
      <w:r w:rsidRPr="00F25A60">
        <w:rPr>
          <w:b/>
          <w:bCs/>
          <w:color w:val="000000"/>
        </w:rPr>
        <w:t xml:space="preserve"> ODPOVĚD</w:t>
      </w:r>
      <w:r w:rsidRPr="0048111F">
        <w:rPr>
          <w:b/>
          <w:bCs/>
          <w:color w:val="000000"/>
        </w:rPr>
        <w:t>N</w:t>
      </w:r>
      <w:ins w:id="393" w:author="Author">
        <w:r w:rsidR="009C3228" w:rsidRPr="0048111F">
          <w:rPr>
            <w:b/>
            <w:bCs/>
            <w:color w:val="000000"/>
          </w:rPr>
          <w:t>Í</w:t>
        </w:r>
      </w:ins>
      <w:del w:id="394" w:author="Author">
        <w:r w:rsidRPr="0048111F" w:rsidDel="009C3228">
          <w:rPr>
            <w:b/>
            <w:bCs/>
            <w:color w:val="000000"/>
          </w:rPr>
          <w:delText>Ý</w:delText>
        </w:r>
      </w:del>
      <w:r w:rsidRPr="0048111F">
        <w:rPr>
          <w:b/>
          <w:bCs/>
          <w:color w:val="000000"/>
        </w:rPr>
        <w:t xml:space="preserve"> Z</w:t>
      </w:r>
      <w:r w:rsidRPr="00F25A60">
        <w:rPr>
          <w:b/>
          <w:bCs/>
          <w:color w:val="000000"/>
        </w:rPr>
        <w:t>A PROPOUŠTĚNÍ ŠARŽÍ</w:t>
      </w:r>
    </w:p>
    <w:p w14:paraId="7DE45306" w14:textId="77777777" w:rsidR="00E61A01" w:rsidRPr="00F25A60" w:rsidRDefault="00E61A01" w:rsidP="005C56E6">
      <w:pPr>
        <w:keepNext/>
        <w:widowControl w:val="0"/>
        <w:suppressAutoHyphens w:val="0"/>
        <w:spacing w:line="240" w:lineRule="auto"/>
        <w:ind w:right="1416"/>
        <w:rPr>
          <w:color w:val="000000"/>
        </w:rPr>
      </w:pPr>
    </w:p>
    <w:p w14:paraId="3B51F7E1" w14:textId="3D54E007" w:rsidR="00E61A01" w:rsidRPr="00F25A60" w:rsidRDefault="00E61A01" w:rsidP="005C56E6">
      <w:pPr>
        <w:keepNext/>
        <w:widowControl w:val="0"/>
        <w:suppressAutoHyphens w:val="0"/>
        <w:spacing w:line="240" w:lineRule="auto"/>
        <w:rPr>
          <w:color w:val="000000"/>
          <w:u w:val="single"/>
        </w:rPr>
      </w:pPr>
      <w:r w:rsidRPr="00F25A60">
        <w:rPr>
          <w:color w:val="000000"/>
          <w:u w:val="single"/>
        </w:rPr>
        <w:t>Název a adresa výrobc</w:t>
      </w:r>
      <w:ins w:id="395" w:author="Author">
        <w:r w:rsidR="00C2111B">
          <w:rPr>
            <w:color w:val="000000"/>
            <w:u w:val="single"/>
          </w:rPr>
          <w:t>ů</w:t>
        </w:r>
      </w:ins>
      <w:del w:id="396" w:author="Author">
        <w:r w:rsidRPr="00F25A60" w:rsidDel="00C2111B">
          <w:rPr>
            <w:color w:val="000000"/>
            <w:u w:val="single"/>
          </w:rPr>
          <w:delText>e</w:delText>
        </w:r>
      </w:del>
      <w:r w:rsidRPr="00F25A60">
        <w:rPr>
          <w:color w:val="000000"/>
          <w:u w:val="single"/>
        </w:rPr>
        <w:t xml:space="preserve"> odpovědn</w:t>
      </w:r>
      <w:ins w:id="397" w:author="Author">
        <w:r w:rsidR="00C2111B">
          <w:rPr>
            <w:color w:val="000000"/>
            <w:u w:val="single"/>
          </w:rPr>
          <w:t>ých</w:t>
        </w:r>
      </w:ins>
      <w:del w:id="398" w:author="Author">
        <w:r w:rsidRPr="00F25A60" w:rsidDel="00C2111B">
          <w:rPr>
            <w:color w:val="000000"/>
            <w:u w:val="single"/>
          </w:rPr>
          <w:delText>ého</w:delText>
        </w:r>
      </w:del>
      <w:r w:rsidRPr="00F25A60">
        <w:rPr>
          <w:color w:val="000000"/>
          <w:u w:val="single"/>
        </w:rPr>
        <w:t xml:space="preserve"> za propouštění šarží</w:t>
      </w:r>
    </w:p>
    <w:p w14:paraId="529F3F64" w14:textId="77777777" w:rsidR="00E61A01" w:rsidRPr="00F25A60" w:rsidRDefault="00E61A01" w:rsidP="005C56E6">
      <w:pPr>
        <w:keepNext/>
        <w:widowControl w:val="0"/>
        <w:suppressAutoHyphens w:val="0"/>
        <w:spacing w:line="240" w:lineRule="auto"/>
        <w:rPr>
          <w:color w:val="000000"/>
        </w:rPr>
      </w:pPr>
    </w:p>
    <w:p w14:paraId="601BDF0E" w14:textId="77777777" w:rsidR="00401727" w:rsidRDefault="00401727" w:rsidP="00401727">
      <w:pPr>
        <w:widowControl w:val="0"/>
        <w:tabs>
          <w:tab w:val="left" w:pos="7513"/>
        </w:tabs>
        <w:spacing w:line="240" w:lineRule="auto"/>
        <w:rPr>
          <w:lang w:val="en-US"/>
        </w:rPr>
      </w:pPr>
      <w:r>
        <w:rPr>
          <w:lang w:val="en-US"/>
        </w:rPr>
        <w:t>Novartis Pharmaceutical Manufacturing LLC</w:t>
      </w:r>
    </w:p>
    <w:p w14:paraId="2849091C" w14:textId="77777777" w:rsidR="00401727" w:rsidRDefault="00401727" w:rsidP="00401727">
      <w:pPr>
        <w:widowControl w:val="0"/>
        <w:tabs>
          <w:tab w:val="left" w:pos="7513"/>
        </w:tabs>
        <w:spacing w:line="240" w:lineRule="auto"/>
        <w:rPr>
          <w:lang w:val="en-US"/>
        </w:rPr>
      </w:pPr>
      <w:proofErr w:type="spellStart"/>
      <w:r>
        <w:rPr>
          <w:lang w:val="en-US"/>
        </w:rPr>
        <w:t>Verovskova</w:t>
      </w:r>
      <w:proofErr w:type="spellEnd"/>
      <w:r>
        <w:rPr>
          <w:lang w:val="en-US"/>
        </w:rPr>
        <w:t xml:space="preserve"> </w:t>
      </w:r>
      <w:proofErr w:type="spellStart"/>
      <w:r>
        <w:rPr>
          <w:lang w:val="en-US"/>
        </w:rPr>
        <w:t>Ulica</w:t>
      </w:r>
      <w:proofErr w:type="spellEnd"/>
      <w:r>
        <w:rPr>
          <w:lang w:val="en-US"/>
        </w:rPr>
        <w:t xml:space="preserve"> 57</w:t>
      </w:r>
    </w:p>
    <w:p w14:paraId="14EF35AA" w14:textId="77777777" w:rsidR="00401727" w:rsidRDefault="00401727" w:rsidP="00401727">
      <w:pPr>
        <w:widowControl w:val="0"/>
        <w:tabs>
          <w:tab w:val="left" w:pos="7513"/>
        </w:tabs>
        <w:spacing w:line="240" w:lineRule="auto"/>
        <w:rPr>
          <w:lang w:val="en-US"/>
        </w:rPr>
      </w:pPr>
      <w:r>
        <w:rPr>
          <w:lang w:val="en-US"/>
        </w:rPr>
        <w:t>Ljubljana, 1000</w:t>
      </w:r>
    </w:p>
    <w:p w14:paraId="37EA80F7" w14:textId="0F471C5C" w:rsidR="00401727" w:rsidRPr="003A23D0" w:rsidRDefault="00401727" w:rsidP="00401727">
      <w:pPr>
        <w:widowControl w:val="0"/>
        <w:tabs>
          <w:tab w:val="left" w:pos="7513"/>
        </w:tabs>
        <w:spacing w:line="240" w:lineRule="auto"/>
        <w:rPr>
          <w:lang w:val="en-US"/>
        </w:rPr>
      </w:pPr>
      <w:r w:rsidRPr="00F25A60">
        <w:t>Slovinsko</w:t>
      </w:r>
    </w:p>
    <w:p w14:paraId="3A626523" w14:textId="77777777" w:rsidR="00401727" w:rsidRPr="00BD3B09" w:rsidRDefault="00401727" w:rsidP="00401727">
      <w:pPr>
        <w:widowControl w:val="0"/>
        <w:tabs>
          <w:tab w:val="left" w:pos="7513"/>
        </w:tabs>
        <w:spacing w:line="240" w:lineRule="auto"/>
      </w:pPr>
    </w:p>
    <w:p w14:paraId="424FB233" w14:textId="77777777" w:rsidR="00BE3D48" w:rsidRPr="00F25A60" w:rsidRDefault="00BE3D48" w:rsidP="005C56E6">
      <w:pPr>
        <w:widowControl w:val="0"/>
        <w:tabs>
          <w:tab w:val="left" w:pos="7513"/>
        </w:tabs>
        <w:spacing w:line="240" w:lineRule="auto"/>
      </w:pPr>
      <w:r w:rsidRPr="00F25A60">
        <w:t>Lek d.d, PE PROIZVODNJA LENDAVA</w:t>
      </w:r>
    </w:p>
    <w:p w14:paraId="06742453" w14:textId="77777777" w:rsidR="00BE3D48" w:rsidRPr="00F25A60" w:rsidRDefault="00BE3D48" w:rsidP="005C56E6">
      <w:pPr>
        <w:widowControl w:val="0"/>
        <w:tabs>
          <w:tab w:val="left" w:pos="7513"/>
        </w:tabs>
        <w:spacing w:line="240" w:lineRule="auto"/>
      </w:pPr>
      <w:r w:rsidRPr="00F25A60">
        <w:t>Trimlini 2D</w:t>
      </w:r>
    </w:p>
    <w:p w14:paraId="30A236CE" w14:textId="77777777" w:rsidR="00BE3D48" w:rsidRPr="00F25A60" w:rsidRDefault="00BE3D48" w:rsidP="005C56E6">
      <w:pPr>
        <w:widowControl w:val="0"/>
        <w:tabs>
          <w:tab w:val="left" w:pos="7513"/>
        </w:tabs>
        <w:spacing w:line="240" w:lineRule="auto"/>
      </w:pPr>
      <w:r w:rsidRPr="00F25A60">
        <w:t>Lendava, 9220</w:t>
      </w:r>
    </w:p>
    <w:p w14:paraId="5A1D4E95" w14:textId="77777777" w:rsidR="00BE3D48" w:rsidRPr="00F25A60" w:rsidRDefault="00BE3D48" w:rsidP="005C56E6">
      <w:pPr>
        <w:widowControl w:val="0"/>
        <w:tabs>
          <w:tab w:val="left" w:pos="7513"/>
        </w:tabs>
        <w:spacing w:line="240" w:lineRule="auto"/>
      </w:pPr>
      <w:r w:rsidRPr="00F25A60">
        <w:t>Slovinsko</w:t>
      </w:r>
    </w:p>
    <w:p w14:paraId="315C8A7D" w14:textId="77777777" w:rsidR="00BE3D48" w:rsidRPr="00F25A60" w:rsidRDefault="00BE3D48" w:rsidP="005C56E6">
      <w:pPr>
        <w:widowControl w:val="0"/>
        <w:tabs>
          <w:tab w:val="left" w:pos="7513"/>
        </w:tabs>
        <w:spacing w:line="240" w:lineRule="auto"/>
      </w:pPr>
    </w:p>
    <w:p w14:paraId="5EA10585" w14:textId="77777777" w:rsidR="0041470E" w:rsidRPr="00F46B3D" w:rsidRDefault="0041470E" w:rsidP="0041470E">
      <w:pPr>
        <w:widowControl w:val="0"/>
        <w:tabs>
          <w:tab w:val="left" w:pos="7513"/>
        </w:tabs>
        <w:spacing w:line="240" w:lineRule="auto"/>
        <w:rPr>
          <w:lang w:val="it-IT"/>
        </w:rPr>
      </w:pPr>
      <w:r w:rsidRPr="00F46B3D">
        <w:rPr>
          <w:lang w:val="it-IT"/>
        </w:rPr>
        <w:t>Novartis Farmacéutica, S.A.</w:t>
      </w:r>
    </w:p>
    <w:p w14:paraId="625DB3FA" w14:textId="77777777" w:rsidR="0041470E" w:rsidRPr="00F46B3D" w:rsidRDefault="0041470E" w:rsidP="0041470E">
      <w:pPr>
        <w:widowControl w:val="0"/>
        <w:tabs>
          <w:tab w:val="left" w:pos="7513"/>
        </w:tabs>
        <w:spacing w:line="240" w:lineRule="auto"/>
        <w:rPr>
          <w:lang w:val="it-IT"/>
        </w:rPr>
      </w:pPr>
      <w:r w:rsidRPr="00F46B3D">
        <w:rPr>
          <w:lang w:val="it-IT"/>
        </w:rPr>
        <w:t>Gran Via de les Corts Catalanes, 764</w:t>
      </w:r>
    </w:p>
    <w:p w14:paraId="3FCE76E8" w14:textId="77777777" w:rsidR="0041470E" w:rsidRPr="00F46B3D" w:rsidRDefault="0041470E" w:rsidP="0041470E">
      <w:pPr>
        <w:widowControl w:val="0"/>
        <w:tabs>
          <w:tab w:val="left" w:pos="7513"/>
        </w:tabs>
        <w:spacing w:line="240" w:lineRule="auto"/>
        <w:rPr>
          <w:lang w:val="it-IT"/>
        </w:rPr>
      </w:pPr>
      <w:r w:rsidRPr="00F46B3D">
        <w:rPr>
          <w:lang w:val="it-IT"/>
        </w:rPr>
        <w:t>08013 Barcelona</w:t>
      </w:r>
    </w:p>
    <w:p w14:paraId="219E0545" w14:textId="47EF5564" w:rsidR="00E61A01" w:rsidRPr="00F25A60" w:rsidRDefault="0041470E" w:rsidP="0041470E">
      <w:pPr>
        <w:widowControl w:val="0"/>
        <w:spacing w:line="240" w:lineRule="auto"/>
        <w:rPr>
          <w:color w:val="000000"/>
        </w:rPr>
      </w:pPr>
      <w:r w:rsidRPr="00F46B3D">
        <w:rPr>
          <w:lang w:val="it-IT"/>
        </w:rPr>
        <w:t>Španělsko</w:t>
      </w:r>
    </w:p>
    <w:p w14:paraId="4C64582F" w14:textId="77777777" w:rsidR="00E247AA" w:rsidRDefault="00E247AA" w:rsidP="005C56E6">
      <w:pPr>
        <w:widowControl w:val="0"/>
        <w:spacing w:line="240" w:lineRule="auto"/>
        <w:rPr>
          <w:color w:val="000000"/>
        </w:rPr>
      </w:pPr>
    </w:p>
    <w:p w14:paraId="1A63EEE1" w14:textId="77777777" w:rsidR="00C23DAE" w:rsidRPr="002923E2" w:rsidRDefault="00C23DAE" w:rsidP="00C23DAE">
      <w:pPr>
        <w:keepNext/>
        <w:rPr>
          <w:rFonts w:eastAsia="Aptos"/>
          <w:lang w:val="en-US" w:eastAsia="de-CH"/>
        </w:rPr>
      </w:pPr>
      <w:r w:rsidRPr="002923E2">
        <w:rPr>
          <w:rFonts w:eastAsia="Aptos"/>
          <w:lang w:val="en-US" w:eastAsia="de-CH"/>
        </w:rPr>
        <w:t>Novartis Pharma GmbH</w:t>
      </w:r>
    </w:p>
    <w:p w14:paraId="06CFDD79" w14:textId="77777777" w:rsidR="00C23DAE" w:rsidRPr="002923E2" w:rsidRDefault="00C23DAE" w:rsidP="00C23DAE">
      <w:pPr>
        <w:keepNext/>
        <w:rPr>
          <w:rFonts w:eastAsia="Aptos"/>
          <w:lang w:val="en-US" w:eastAsia="de-CH"/>
        </w:rPr>
      </w:pPr>
      <w:r w:rsidRPr="002923E2">
        <w:rPr>
          <w:rFonts w:eastAsia="Aptos"/>
          <w:lang w:val="en-US" w:eastAsia="de-CH"/>
        </w:rPr>
        <w:t>Sophie-Germain-Strasse 10</w:t>
      </w:r>
    </w:p>
    <w:p w14:paraId="6F70131E" w14:textId="77777777" w:rsidR="00C23DAE" w:rsidRPr="002923E2" w:rsidRDefault="00C23DAE" w:rsidP="00C23DAE">
      <w:pPr>
        <w:keepNext/>
        <w:rPr>
          <w:rFonts w:eastAsia="Aptos"/>
          <w:lang w:val="en-US" w:eastAsia="de-CH"/>
        </w:rPr>
      </w:pPr>
      <w:r w:rsidRPr="002923E2">
        <w:rPr>
          <w:rFonts w:eastAsia="Aptos"/>
          <w:lang w:val="en-US" w:eastAsia="de-CH"/>
        </w:rPr>
        <w:t xml:space="preserve">90443 </w:t>
      </w:r>
      <w:proofErr w:type="spellStart"/>
      <w:r w:rsidRPr="002923E2">
        <w:rPr>
          <w:rFonts w:eastAsia="Aptos"/>
          <w:lang w:val="en-US" w:eastAsia="de-CH"/>
        </w:rPr>
        <w:t>Norimberk</w:t>
      </w:r>
      <w:proofErr w:type="spellEnd"/>
    </w:p>
    <w:p w14:paraId="41E29B89" w14:textId="399A4D86" w:rsidR="00C23DAE" w:rsidRDefault="00C23DAE" w:rsidP="00C23DAE">
      <w:pPr>
        <w:widowControl w:val="0"/>
        <w:spacing w:line="240" w:lineRule="auto"/>
        <w:rPr>
          <w:lang w:val="de-CH"/>
        </w:rPr>
      </w:pPr>
      <w:r w:rsidRPr="00CE7811">
        <w:rPr>
          <w:lang w:val="de-CH"/>
        </w:rPr>
        <w:t>Německo</w:t>
      </w:r>
    </w:p>
    <w:p w14:paraId="5078BB30" w14:textId="77777777" w:rsidR="00C23DAE" w:rsidRPr="00F25A60" w:rsidRDefault="00C23DAE" w:rsidP="00C23DAE">
      <w:pPr>
        <w:widowControl w:val="0"/>
        <w:spacing w:line="240" w:lineRule="auto"/>
        <w:rPr>
          <w:color w:val="000000"/>
        </w:rPr>
      </w:pPr>
    </w:p>
    <w:p w14:paraId="2CFAB8E7" w14:textId="77777777" w:rsidR="00BE3D48" w:rsidRPr="00F25A60" w:rsidRDefault="00BE3D48" w:rsidP="005C56E6">
      <w:pPr>
        <w:widowControl w:val="0"/>
        <w:spacing w:line="240" w:lineRule="auto"/>
        <w:rPr>
          <w:color w:val="000000"/>
        </w:rPr>
      </w:pPr>
      <w:r w:rsidRPr="00F25A60">
        <w:t>V příbalové informaci k léčivému přípravku musí být uveden název a adresa výrobce odpovědného za propouštění dané šarže.</w:t>
      </w:r>
    </w:p>
    <w:p w14:paraId="29944D10" w14:textId="77777777" w:rsidR="00BE3D48" w:rsidRPr="00F25A60" w:rsidRDefault="00BE3D48" w:rsidP="005C56E6">
      <w:pPr>
        <w:widowControl w:val="0"/>
        <w:spacing w:line="240" w:lineRule="auto"/>
        <w:rPr>
          <w:color w:val="000000"/>
        </w:rPr>
      </w:pPr>
    </w:p>
    <w:p w14:paraId="395D1BCE" w14:textId="77777777" w:rsidR="00E61A01" w:rsidRPr="00F25A60" w:rsidRDefault="00E61A01" w:rsidP="005C56E6">
      <w:pPr>
        <w:widowControl w:val="0"/>
        <w:spacing w:line="240" w:lineRule="auto"/>
        <w:rPr>
          <w:color w:val="000000"/>
        </w:rPr>
      </w:pPr>
    </w:p>
    <w:p w14:paraId="44008221" w14:textId="77777777" w:rsidR="00E61A01" w:rsidRPr="00F25A60" w:rsidRDefault="00E61A01" w:rsidP="005E6174">
      <w:pPr>
        <w:keepNext/>
        <w:widowControl w:val="0"/>
        <w:suppressAutoHyphens w:val="0"/>
        <w:spacing w:line="240" w:lineRule="auto"/>
        <w:outlineLvl w:val="0"/>
        <w:rPr>
          <w:b/>
          <w:bCs/>
          <w:color w:val="000000"/>
        </w:rPr>
      </w:pPr>
      <w:r w:rsidRPr="00F25A60">
        <w:rPr>
          <w:b/>
          <w:bCs/>
          <w:color w:val="000000"/>
        </w:rPr>
        <w:t>B.</w:t>
      </w:r>
      <w:r w:rsidRPr="00F25A60">
        <w:rPr>
          <w:b/>
          <w:bCs/>
          <w:color w:val="000000"/>
        </w:rPr>
        <w:tab/>
        <w:t>PODMÍNKY NEBO OMEZENÍ VÝDEJE A POUŽITÍ</w:t>
      </w:r>
    </w:p>
    <w:p w14:paraId="628D1316" w14:textId="77777777" w:rsidR="00E61A01" w:rsidRPr="00F25A60" w:rsidRDefault="00E61A01" w:rsidP="005C56E6">
      <w:pPr>
        <w:keepNext/>
        <w:widowControl w:val="0"/>
        <w:suppressAutoHyphens w:val="0"/>
        <w:spacing w:line="240" w:lineRule="auto"/>
        <w:rPr>
          <w:color w:val="000000"/>
        </w:rPr>
      </w:pPr>
    </w:p>
    <w:p w14:paraId="592230CC" w14:textId="3C633EBD" w:rsidR="00E61A01" w:rsidRPr="00F25A60" w:rsidRDefault="00E61A01" w:rsidP="005C56E6">
      <w:pPr>
        <w:widowControl w:val="0"/>
        <w:spacing w:line="240" w:lineRule="auto"/>
        <w:rPr>
          <w:color w:val="000000"/>
        </w:rPr>
      </w:pPr>
      <w:r w:rsidRPr="00F25A60">
        <w:rPr>
          <w:color w:val="000000"/>
        </w:rPr>
        <w:t xml:space="preserve">Výdej léčivého přípravku je vázán na lékařský předpis s omezením (viz </w:t>
      </w:r>
      <w:ins w:id="399" w:author="Author">
        <w:r w:rsidR="00FC06CF">
          <w:rPr>
            <w:color w:val="000000"/>
          </w:rPr>
          <w:t>p</w:t>
        </w:r>
      </w:ins>
      <w:del w:id="400" w:author="Author">
        <w:r w:rsidRPr="00F25A60" w:rsidDel="00FC06CF">
          <w:rPr>
            <w:color w:val="000000"/>
          </w:rPr>
          <w:delText>P</w:delText>
        </w:r>
      </w:del>
      <w:r w:rsidRPr="00F25A60">
        <w:rPr>
          <w:color w:val="000000"/>
        </w:rPr>
        <w:t>říloha I: Souhrn údajů o přípravku, bod</w:t>
      </w:r>
      <w:r w:rsidR="00C822D7">
        <w:rPr>
          <w:color w:val="000000"/>
        </w:rPr>
        <w:t> </w:t>
      </w:r>
      <w:r w:rsidRPr="00F25A60">
        <w:rPr>
          <w:color w:val="000000"/>
        </w:rPr>
        <w:t>4.2).</w:t>
      </w:r>
    </w:p>
    <w:p w14:paraId="0FB6DAFA" w14:textId="77777777" w:rsidR="00E61A01" w:rsidRPr="00F25A60" w:rsidRDefault="00E61A01" w:rsidP="005C56E6">
      <w:pPr>
        <w:widowControl w:val="0"/>
        <w:spacing w:line="240" w:lineRule="auto"/>
        <w:rPr>
          <w:color w:val="000000"/>
        </w:rPr>
      </w:pPr>
    </w:p>
    <w:p w14:paraId="74FB6CA1" w14:textId="77777777" w:rsidR="00E61A01" w:rsidRPr="00F25A60" w:rsidRDefault="00E61A01" w:rsidP="005C56E6">
      <w:pPr>
        <w:widowControl w:val="0"/>
        <w:spacing w:line="240" w:lineRule="auto"/>
        <w:rPr>
          <w:color w:val="000000"/>
        </w:rPr>
      </w:pPr>
    </w:p>
    <w:p w14:paraId="6C834516" w14:textId="77777777" w:rsidR="00E61A01" w:rsidRPr="00F25A60" w:rsidRDefault="00E61A01" w:rsidP="005E6174">
      <w:pPr>
        <w:keepNext/>
        <w:widowControl w:val="0"/>
        <w:tabs>
          <w:tab w:val="clear" w:pos="567"/>
          <w:tab w:val="left" w:pos="7371"/>
          <w:tab w:val="left" w:pos="8505"/>
        </w:tabs>
        <w:spacing w:line="240" w:lineRule="auto"/>
        <w:ind w:left="567" w:right="1416" w:hanging="567"/>
        <w:outlineLvl w:val="0"/>
        <w:rPr>
          <w:b/>
          <w:bCs/>
          <w:color w:val="000000"/>
        </w:rPr>
      </w:pPr>
      <w:r w:rsidRPr="00F25A60">
        <w:rPr>
          <w:b/>
          <w:bCs/>
          <w:color w:val="000000"/>
        </w:rPr>
        <w:t>C.</w:t>
      </w:r>
      <w:r w:rsidRPr="00F25A60">
        <w:rPr>
          <w:b/>
          <w:bCs/>
          <w:color w:val="000000"/>
        </w:rPr>
        <w:tab/>
        <w:t>DALŠÍ PODMÍNKY A POŽADAVKY REGISTRACE</w:t>
      </w:r>
    </w:p>
    <w:p w14:paraId="02FE4CB7" w14:textId="77777777" w:rsidR="00F57421" w:rsidRPr="00F25A60" w:rsidRDefault="00F57421" w:rsidP="005C56E6">
      <w:pPr>
        <w:keepNext/>
        <w:widowControl w:val="0"/>
        <w:tabs>
          <w:tab w:val="clear" w:pos="567"/>
          <w:tab w:val="left" w:pos="7371"/>
          <w:tab w:val="left" w:pos="8505"/>
        </w:tabs>
        <w:spacing w:line="240" w:lineRule="auto"/>
        <w:ind w:left="567" w:right="1416" w:hanging="567"/>
        <w:rPr>
          <w:bCs/>
          <w:color w:val="000000"/>
        </w:rPr>
      </w:pPr>
    </w:p>
    <w:p w14:paraId="70D1B55C" w14:textId="1F14CAF6" w:rsidR="00F57421" w:rsidRPr="00F25A60" w:rsidRDefault="00F57421" w:rsidP="005C56E6">
      <w:pPr>
        <w:keepNext/>
        <w:widowControl w:val="0"/>
        <w:numPr>
          <w:ilvl w:val="0"/>
          <w:numId w:val="24"/>
        </w:numPr>
        <w:suppressLineNumbers/>
        <w:suppressAutoHyphens w:val="0"/>
        <w:spacing w:line="240" w:lineRule="auto"/>
        <w:ind w:right="-1" w:hanging="720"/>
        <w:rPr>
          <w:b/>
          <w:szCs w:val="24"/>
        </w:rPr>
      </w:pPr>
      <w:r w:rsidRPr="00F25A60">
        <w:rPr>
          <w:b/>
          <w:noProof/>
          <w:szCs w:val="24"/>
        </w:rPr>
        <w:t>Pravidelně aktualizované zprávy o bezpečnosti</w:t>
      </w:r>
      <w:r w:rsidR="00067AF9" w:rsidRPr="00F25A60">
        <w:rPr>
          <w:b/>
          <w:noProof/>
          <w:szCs w:val="24"/>
        </w:rPr>
        <w:t xml:space="preserve"> (PSUR)</w:t>
      </w:r>
    </w:p>
    <w:p w14:paraId="3B421303" w14:textId="77777777" w:rsidR="00067AF9" w:rsidRPr="00F25A60" w:rsidRDefault="00067AF9" w:rsidP="00C23DAE">
      <w:pPr>
        <w:keepNext/>
        <w:widowControl w:val="0"/>
        <w:spacing w:line="240" w:lineRule="auto"/>
        <w:ind w:right="-1"/>
        <w:rPr>
          <w:szCs w:val="24"/>
        </w:rPr>
      </w:pPr>
    </w:p>
    <w:p w14:paraId="3827830F" w14:textId="2493600D" w:rsidR="00F57421" w:rsidRPr="00F25A60" w:rsidRDefault="005F0CB9" w:rsidP="00C23DAE">
      <w:pPr>
        <w:spacing w:line="240" w:lineRule="auto"/>
        <w:ind w:right="-1"/>
        <w:rPr>
          <w:szCs w:val="24"/>
        </w:rPr>
      </w:pPr>
      <w:r w:rsidRPr="00F25A60">
        <w:rPr>
          <w:szCs w:val="24"/>
        </w:rPr>
        <w:t>Požadavky pro předkládání</w:t>
      </w:r>
      <w:r w:rsidR="00F57421" w:rsidRPr="00F25A60">
        <w:rPr>
          <w:szCs w:val="24"/>
        </w:rPr>
        <w:t xml:space="preserve"> </w:t>
      </w:r>
      <w:r w:rsidR="00067AF9" w:rsidRPr="00F25A60">
        <w:rPr>
          <w:szCs w:val="24"/>
        </w:rPr>
        <w:t>PSUR</w:t>
      </w:r>
      <w:r w:rsidR="00F57421" w:rsidRPr="00F25A60">
        <w:rPr>
          <w:szCs w:val="24"/>
        </w:rPr>
        <w:t xml:space="preserve"> pro tento léčivý přípravek </w:t>
      </w:r>
      <w:r w:rsidRPr="00F25A60">
        <w:rPr>
          <w:szCs w:val="24"/>
        </w:rPr>
        <w:t>jsou uvedeny</w:t>
      </w:r>
      <w:r w:rsidR="00F57421" w:rsidRPr="00F25A60">
        <w:rPr>
          <w:szCs w:val="24"/>
        </w:rPr>
        <w:t xml:space="preserve"> v seznamu referenčních dat Unie (seznam EURD) stanoveném v čl. 107c odst. 7 směrnice 2001/83/ES</w:t>
      </w:r>
      <w:r w:rsidRPr="00F25A60">
        <w:rPr>
          <w:szCs w:val="24"/>
        </w:rPr>
        <w:t xml:space="preserve"> a jakékoli následné změny jsou</w:t>
      </w:r>
      <w:r w:rsidR="00F57421" w:rsidRPr="00F25A60">
        <w:rPr>
          <w:szCs w:val="24"/>
        </w:rPr>
        <w:t xml:space="preserve"> zveřejněn</w:t>
      </w:r>
      <w:r w:rsidRPr="00F25A60">
        <w:rPr>
          <w:szCs w:val="24"/>
        </w:rPr>
        <w:t>y</w:t>
      </w:r>
      <w:r w:rsidR="00F57421" w:rsidRPr="00F25A60">
        <w:rPr>
          <w:szCs w:val="24"/>
        </w:rPr>
        <w:t xml:space="preserve"> na evropském webovém portálu pro léčivé přípravky.</w:t>
      </w:r>
    </w:p>
    <w:p w14:paraId="5EDBB1EF" w14:textId="77777777" w:rsidR="00F57421" w:rsidRPr="00F25A60" w:rsidRDefault="00F57421" w:rsidP="005C56E6">
      <w:pPr>
        <w:widowControl w:val="0"/>
        <w:spacing w:line="240" w:lineRule="auto"/>
        <w:ind w:right="-1"/>
        <w:rPr>
          <w:szCs w:val="24"/>
        </w:rPr>
      </w:pPr>
    </w:p>
    <w:p w14:paraId="2D4615B6" w14:textId="77777777" w:rsidR="00E61A01" w:rsidRPr="00F25A60" w:rsidRDefault="00E61A01" w:rsidP="005C56E6">
      <w:pPr>
        <w:widowControl w:val="0"/>
        <w:spacing w:line="240" w:lineRule="auto"/>
        <w:ind w:right="-1"/>
        <w:rPr>
          <w:color w:val="000000"/>
        </w:rPr>
      </w:pPr>
    </w:p>
    <w:p w14:paraId="74BBB291" w14:textId="77777777" w:rsidR="00E61A01" w:rsidRPr="00F25A60" w:rsidRDefault="00F57421" w:rsidP="005E6174">
      <w:pPr>
        <w:keepNext/>
        <w:widowControl w:val="0"/>
        <w:suppressAutoHyphens w:val="0"/>
        <w:spacing w:line="240" w:lineRule="auto"/>
        <w:ind w:left="567" w:right="567" w:hanging="567"/>
        <w:outlineLvl w:val="0"/>
        <w:rPr>
          <w:noProof/>
          <w:color w:val="000000"/>
        </w:rPr>
      </w:pPr>
      <w:r w:rsidRPr="00F25A60">
        <w:rPr>
          <w:b/>
          <w:noProof/>
          <w:szCs w:val="24"/>
        </w:rPr>
        <w:t>D.</w:t>
      </w:r>
      <w:r w:rsidRPr="00F25A60">
        <w:rPr>
          <w:b/>
          <w:szCs w:val="24"/>
        </w:rPr>
        <w:tab/>
      </w:r>
      <w:r w:rsidR="00E61A01" w:rsidRPr="00F25A60">
        <w:rPr>
          <w:b/>
          <w:noProof/>
          <w:color w:val="000000"/>
        </w:rPr>
        <w:t>PODMÍNKY NEBO OMEZENÍ S OHLEDEM NA BEZPEČNÉ A ÚČINNÉ POUŽÍVÁNÍ LÉČIVÉHO PŘÍPRAVKU</w:t>
      </w:r>
    </w:p>
    <w:p w14:paraId="5FBE6181" w14:textId="77777777" w:rsidR="00E61A01" w:rsidRPr="00F25A60" w:rsidRDefault="00E61A01" w:rsidP="005C56E6">
      <w:pPr>
        <w:keepNext/>
        <w:widowControl w:val="0"/>
        <w:tabs>
          <w:tab w:val="clear" w:pos="567"/>
        </w:tabs>
        <w:suppressAutoHyphens w:val="0"/>
        <w:spacing w:line="240" w:lineRule="auto"/>
        <w:ind w:right="567"/>
        <w:rPr>
          <w:noProof/>
          <w:color w:val="000000"/>
        </w:rPr>
      </w:pPr>
    </w:p>
    <w:p w14:paraId="25AF8362" w14:textId="77777777" w:rsidR="00F57421" w:rsidRPr="00F25A60" w:rsidRDefault="00F57421" w:rsidP="005C56E6">
      <w:pPr>
        <w:keepNext/>
        <w:widowControl w:val="0"/>
        <w:numPr>
          <w:ilvl w:val="0"/>
          <w:numId w:val="24"/>
        </w:numPr>
        <w:suppressLineNumbers/>
        <w:suppressAutoHyphens w:val="0"/>
        <w:spacing w:line="240" w:lineRule="auto"/>
        <w:ind w:right="-1" w:hanging="720"/>
        <w:rPr>
          <w:i/>
          <w:szCs w:val="24"/>
        </w:rPr>
      </w:pPr>
      <w:r w:rsidRPr="00F25A60">
        <w:rPr>
          <w:b/>
          <w:szCs w:val="24"/>
        </w:rPr>
        <w:t>Plán řízení rizik</w:t>
      </w:r>
      <w:r w:rsidRPr="00F25A60">
        <w:rPr>
          <w:b/>
          <w:noProof/>
          <w:szCs w:val="24"/>
        </w:rPr>
        <w:t xml:space="preserve"> (RMP)</w:t>
      </w:r>
    </w:p>
    <w:p w14:paraId="06C43A59" w14:textId="77777777" w:rsidR="00067AF9" w:rsidRPr="00F25A60" w:rsidRDefault="00067AF9" w:rsidP="005C56E6">
      <w:pPr>
        <w:widowControl w:val="0"/>
        <w:spacing w:line="240" w:lineRule="auto"/>
        <w:ind w:right="-1"/>
        <w:rPr>
          <w:noProof/>
          <w:szCs w:val="24"/>
        </w:rPr>
      </w:pPr>
    </w:p>
    <w:p w14:paraId="59500132" w14:textId="36A428FA" w:rsidR="00F57421" w:rsidRPr="00F25A60" w:rsidRDefault="00F57421" w:rsidP="005C56E6">
      <w:pPr>
        <w:widowControl w:val="0"/>
        <w:spacing w:line="240" w:lineRule="auto"/>
        <w:ind w:right="-1"/>
        <w:rPr>
          <w:noProof/>
          <w:szCs w:val="24"/>
        </w:rPr>
      </w:pPr>
      <w:r w:rsidRPr="00F25A60">
        <w:rPr>
          <w:noProof/>
          <w:szCs w:val="24"/>
        </w:rPr>
        <w:t xml:space="preserve">Držitel rozhodnutí o registraci </w:t>
      </w:r>
      <w:r w:rsidR="00067AF9" w:rsidRPr="00F25A60">
        <w:rPr>
          <w:noProof/>
          <w:szCs w:val="24"/>
        </w:rPr>
        <w:t xml:space="preserve">(MAH) </w:t>
      </w:r>
      <w:r w:rsidRPr="00F25A60">
        <w:rPr>
          <w:noProof/>
          <w:szCs w:val="24"/>
        </w:rPr>
        <w:t>uskuteční požadované činnosti a intervence v oblasti farmakovigilance podrobně popsané ve schváleném RMP uvedeném v modulu 1.8.2 registrace a ve veškerých schválených následných aktualizacích RMP.</w:t>
      </w:r>
    </w:p>
    <w:p w14:paraId="6D4AB6A6" w14:textId="77777777" w:rsidR="00F57421" w:rsidRPr="00F25A60" w:rsidRDefault="00F57421" w:rsidP="005C56E6">
      <w:pPr>
        <w:widowControl w:val="0"/>
        <w:spacing w:line="240" w:lineRule="auto"/>
        <w:rPr>
          <w:i/>
          <w:noProof/>
          <w:szCs w:val="24"/>
        </w:rPr>
      </w:pPr>
    </w:p>
    <w:p w14:paraId="664DF630" w14:textId="77777777" w:rsidR="00F57421" w:rsidRPr="00F25A60" w:rsidRDefault="00F57421" w:rsidP="005C56E6">
      <w:pPr>
        <w:keepNext/>
        <w:widowControl w:val="0"/>
        <w:suppressAutoHyphens w:val="0"/>
        <w:spacing w:line="240" w:lineRule="auto"/>
        <w:rPr>
          <w:noProof/>
          <w:szCs w:val="24"/>
        </w:rPr>
      </w:pPr>
      <w:r w:rsidRPr="00F25A60">
        <w:rPr>
          <w:noProof/>
          <w:szCs w:val="24"/>
        </w:rPr>
        <w:lastRenderedPageBreak/>
        <w:t>Aktualizovaný RMP je třeba předložit:</w:t>
      </w:r>
    </w:p>
    <w:p w14:paraId="57EA8141" w14:textId="77777777" w:rsidR="00F57421" w:rsidRPr="00F25A60" w:rsidRDefault="00F57421" w:rsidP="005C56E6">
      <w:pPr>
        <w:keepNext/>
        <w:widowControl w:val="0"/>
        <w:numPr>
          <w:ilvl w:val="0"/>
          <w:numId w:val="25"/>
        </w:numPr>
        <w:tabs>
          <w:tab w:val="clear" w:pos="567"/>
          <w:tab w:val="clear" w:pos="720"/>
        </w:tabs>
        <w:suppressAutoHyphens w:val="0"/>
        <w:spacing w:line="240" w:lineRule="auto"/>
        <w:ind w:left="567" w:hanging="567"/>
        <w:rPr>
          <w:noProof/>
          <w:szCs w:val="24"/>
        </w:rPr>
      </w:pPr>
      <w:r w:rsidRPr="00F25A60">
        <w:rPr>
          <w:noProof/>
          <w:szCs w:val="24"/>
        </w:rPr>
        <w:t>na žádost Evropské agentury pro léčivé přípravky,</w:t>
      </w:r>
    </w:p>
    <w:p w14:paraId="5A6D7114" w14:textId="77777777" w:rsidR="00F57421" w:rsidRPr="00F25A60" w:rsidRDefault="00F57421" w:rsidP="0041470E">
      <w:pPr>
        <w:keepNext/>
        <w:keepLines/>
        <w:widowControl w:val="0"/>
        <w:numPr>
          <w:ilvl w:val="0"/>
          <w:numId w:val="25"/>
        </w:numPr>
        <w:tabs>
          <w:tab w:val="clear" w:pos="567"/>
          <w:tab w:val="clear" w:pos="720"/>
        </w:tabs>
        <w:suppressAutoHyphens w:val="0"/>
        <w:spacing w:line="240" w:lineRule="auto"/>
        <w:ind w:left="567" w:hanging="567"/>
        <w:rPr>
          <w:noProof/>
          <w:szCs w:val="24"/>
        </w:rPr>
      </w:pPr>
      <w:r w:rsidRPr="00F25A60">
        <w:rPr>
          <w:noProof/>
          <w:szCs w:val="24"/>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3397FDA2" w14:textId="77777777" w:rsidR="00576FCD" w:rsidRPr="00F25A60" w:rsidRDefault="00576FCD" w:rsidP="005C56E6">
      <w:pPr>
        <w:widowControl w:val="0"/>
        <w:suppressAutoHyphens w:val="0"/>
        <w:spacing w:line="240" w:lineRule="auto"/>
        <w:rPr>
          <w:i/>
          <w:noProof/>
          <w:szCs w:val="24"/>
        </w:rPr>
      </w:pPr>
    </w:p>
    <w:p w14:paraId="75DFBDDF" w14:textId="77777777" w:rsidR="00E61A01" w:rsidRPr="00F25A60" w:rsidRDefault="00E61A01" w:rsidP="005C56E6">
      <w:pPr>
        <w:widowControl w:val="0"/>
        <w:spacing w:line="240" w:lineRule="auto"/>
        <w:ind w:right="-1"/>
        <w:rPr>
          <w:color w:val="000000"/>
        </w:rPr>
      </w:pPr>
      <w:r w:rsidRPr="00F25A60">
        <w:rPr>
          <w:color w:val="000000"/>
        </w:rPr>
        <w:br w:type="page"/>
      </w:r>
    </w:p>
    <w:p w14:paraId="23841DA8" w14:textId="77777777" w:rsidR="00E61A01" w:rsidRPr="00F25A60" w:rsidRDefault="00E61A01" w:rsidP="005C56E6">
      <w:pPr>
        <w:widowControl w:val="0"/>
        <w:tabs>
          <w:tab w:val="clear" w:pos="567"/>
        </w:tabs>
        <w:spacing w:line="240" w:lineRule="auto"/>
        <w:rPr>
          <w:color w:val="000000"/>
        </w:rPr>
      </w:pPr>
    </w:p>
    <w:p w14:paraId="1E72836F" w14:textId="77777777" w:rsidR="00E61A01" w:rsidRPr="00F25A60" w:rsidRDefault="00E61A01" w:rsidP="005C56E6">
      <w:pPr>
        <w:widowControl w:val="0"/>
        <w:tabs>
          <w:tab w:val="clear" w:pos="567"/>
        </w:tabs>
        <w:spacing w:line="240" w:lineRule="auto"/>
        <w:rPr>
          <w:color w:val="000000"/>
        </w:rPr>
      </w:pPr>
    </w:p>
    <w:p w14:paraId="2A290527" w14:textId="77777777" w:rsidR="00E61A01" w:rsidRPr="00F25A60" w:rsidRDefault="00E61A01" w:rsidP="005C56E6">
      <w:pPr>
        <w:widowControl w:val="0"/>
        <w:tabs>
          <w:tab w:val="clear" w:pos="567"/>
        </w:tabs>
        <w:spacing w:line="240" w:lineRule="auto"/>
        <w:rPr>
          <w:color w:val="000000"/>
        </w:rPr>
      </w:pPr>
    </w:p>
    <w:p w14:paraId="02B77C1E" w14:textId="77777777" w:rsidR="00E61A01" w:rsidRPr="00F25A60" w:rsidRDefault="00E61A01" w:rsidP="005C56E6">
      <w:pPr>
        <w:widowControl w:val="0"/>
        <w:tabs>
          <w:tab w:val="clear" w:pos="567"/>
        </w:tabs>
        <w:spacing w:line="240" w:lineRule="auto"/>
        <w:rPr>
          <w:color w:val="000000"/>
        </w:rPr>
      </w:pPr>
    </w:p>
    <w:p w14:paraId="5421414C" w14:textId="77777777" w:rsidR="00E61A01" w:rsidRPr="00F25A60" w:rsidRDefault="00E61A01" w:rsidP="005C56E6">
      <w:pPr>
        <w:widowControl w:val="0"/>
        <w:tabs>
          <w:tab w:val="clear" w:pos="567"/>
        </w:tabs>
        <w:spacing w:line="240" w:lineRule="auto"/>
        <w:rPr>
          <w:color w:val="000000"/>
        </w:rPr>
      </w:pPr>
    </w:p>
    <w:p w14:paraId="1AD2D582" w14:textId="77777777" w:rsidR="00E61A01" w:rsidRPr="00F25A60" w:rsidRDefault="00E61A01" w:rsidP="005C56E6">
      <w:pPr>
        <w:widowControl w:val="0"/>
        <w:tabs>
          <w:tab w:val="clear" w:pos="567"/>
        </w:tabs>
        <w:spacing w:line="240" w:lineRule="auto"/>
        <w:rPr>
          <w:color w:val="000000"/>
        </w:rPr>
      </w:pPr>
    </w:p>
    <w:p w14:paraId="25559EFD" w14:textId="77777777" w:rsidR="00E61A01" w:rsidRPr="00F25A60" w:rsidRDefault="00E61A01" w:rsidP="005C56E6">
      <w:pPr>
        <w:widowControl w:val="0"/>
        <w:tabs>
          <w:tab w:val="clear" w:pos="567"/>
        </w:tabs>
        <w:spacing w:line="240" w:lineRule="auto"/>
        <w:rPr>
          <w:color w:val="000000"/>
        </w:rPr>
      </w:pPr>
    </w:p>
    <w:p w14:paraId="60C123AE" w14:textId="77777777" w:rsidR="00E61A01" w:rsidRPr="00F25A60" w:rsidRDefault="00E61A01" w:rsidP="005C56E6">
      <w:pPr>
        <w:widowControl w:val="0"/>
        <w:tabs>
          <w:tab w:val="clear" w:pos="567"/>
        </w:tabs>
        <w:spacing w:line="240" w:lineRule="auto"/>
        <w:rPr>
          <w:color w:val="000000"/>
        </w:rPr>
      </w:pPr>
    </w:p>
    <w:p w14:paraId="6C82A6E5" w14:textId="77777777" w:rsidR="00E61A01" w:rsidRPr="00F25A60" w:rsidRDefault="00E61A01" w:rsidP="005C56E6">
      <w:pPr>
        <w:widowControl w:val="0"/>
        <w:tabs>
          <w:tab w:val="clear" w:pos="567"/>
        </w:tabs>
        <w:spacing w:line="240" w:lineRule="auto"/>
        <w:rPr>
          <w:color w:val="000000"/>
        </w:rPr>
      </w:pPr>
    </w:p>
    <w:p w14:paraId="6B49937A" w14:textId="77777777" w:rsidR="00E61A01" w:rsidRPr="00F25A60" w:rsidRDefault="00E61A01" w:rsidP="005C56E6">
      <w:pPr>
        <w:widowControl w:val="0"/>
        <w:tabs>
          <w:tab w:val="clear" w:pos="567"/>
        </w:tabs>
        <w:spacing w:line="240" w:lineRule="auto"/>
        <w:rPr>
          <w:color w:val="000000"/>
        </w:rPr>
      </w:pPr>
    </w:p>
    <w:p w14:paraId="00ABABEE" w14:textId="77777777" w:rsidR="00E61A01" w:rsidRPr="00F25A60" w:rsidRDefault="00E61A01" w:rsidP="005C56E6">
      <w:pPr>
        <w:widowControl w:val="0"/>
        <w:tabs>
          <w:tab w:val="clear" w:pos="567"/>
        </w:tabs>
        <w:spacing w:line="240" w:lineRule="auto"/>
        <w:rPr>
          <w:color w:val="000000"/>
        </w:rPr>
      </w:pPr>
    </w:p>
    <w:p w14:paraId="54EF7FA2" w14:textId="77777777" w:rsidR="00E61A01" w:rsidRPr="00F25A60" w:rsidRDefault="00E61A01" w:rsidP="005C56E6">
      <w:pPr>
        <w:widowControl w:val="0"/>
        <w:tabs>
          <w:tab w:val="clear" w:pos="567"/>
        </w:tabs>
        <w:spacing w:line="240" w:lineRule="auto"/>
        <w:rPr>
          <w:color w:val="000000"/>
        </w:rPr>
      </w:pPr>
    </w:p>
    <w:p w14:paraId="03005035" w14:textId="77777777" w:rsidR="00E61A01" w:rsidRPr="00F25A60" w:rsidRDefault="00E61A01" w:rsidP="005C56E6">
      <w:pPr>
        <w:widowControl w:val="0"/>
        <w:tabs>
          <w:tab w:val="clear" w:pos="567"/>
        </w:tabs>
        <w:spacing w:line="240" w:lineRule="auto"/>
        <w:rPr>
          <w:color w:val="000000"/>
        </w:rPr>
      </w:pPr>
    </w:p>
    <w:p w14:paraId="3E11C4D7" w14:textId="77777777" w:rsidR="00E61A01" w:rsidRPr="00F25A60" w:rsidRDefault="00E61A01" w:rsidP="005C56E6">
      <w:pPr>
        <w:widowControl w:val="0"/>
        <w:tabs>
          <w:tab w:val="clear" w:pos="567"/>
        </w:tabs>
        <w:spacing w:line="240" w:lineRule="auto"/>
        <w:rPr>
          <w:color w:val="000000"/>
        </w:rPr>
      </w:pPr>
    </w:p>
    <w:p w14:paraId="4AB93FCD" w14:textId="77777777" w:rsidR="00E61A01" w:rsidRPr="00F25A60" w:rsidRDefault="00E61A01" w:rsidP="005C56E6">
      <w:pPr>
        <w:widowControl w:val="0"/>
        <w:tabs>
          <w:tab w:val="clear" w:pos="567"/>
        </w:tabs>
        <w:spacing w:line="240" w:lineRule="auto"/>
        <w:rPr>
          <w:color w:val="000000"/>
        </w:rPr>
      </w:pPr>
    </w:p>
    <w:p w14:paraId="3FD18832" w14:textId="77777777" w:rsidR="00E61A01" w:rsidRPr="00F25A60" w:rsidRDefault="00E61A01" w:rsidP="005C56E6">
      <w:pPr>
        <w:widowControl w:val="0"/>
        <w:tabs>
          <w:tab w:val="clear" w:pos="567"/>
        </w:tabs>
        <w:spacing w:line="240" w:lineRule="auto"/>
        <w:rPr>
          <w:color w:val="000000"/>
        </w:rPr>
      </w:pPr>
    </w:p>
    <w:p w14:paraId="6462AF24" w14:textId="77777777" w:rsidR="00E61A01" w:rsidRPr="00F25A60" w:rsidRDefault="00E61A01" w:rsidP="005C56E6">
      <w:pPr>
        <w:widowControl w:val="0"/>
        <w:tabs>
          <w:tab w:val="clear" w:pos="567"/>
        </w:tabs>
        <w:spacing w:line="240" w:lineRule="auto"/>
        <w:rPr>
          <w:color w:val="000000"/>
        </w:rPr>
      </w:pPr>
    </w:p>
    <w:p w14:paraId="38E5F522" w14:textId="77777777" w:rsidR="00E61A01" w:rsidRPr="00F25A60" w:rsidRDefault="00E61A01" w:rsidP="005C56E6">
      <w:pPr>
        <w:widowControl w:val="0"/>
        <w:tabs>
          <w:tab w:val="clear" w:pos="567"/>
        </w:tabs>
        <w:spacing w:line="240" w:lineRule="auto"/>
        <w:rPr>
          <w:color w:val="000000"/>
        </w:rPr>
      </w:pPr>
    </w:p>
    <w:p w14:paraId="68F9F942" w14:textId="77777777" w:rsidR="00E61A01" w:rsidRPr="00F25A60" w:rsidRDefault="00E61A01" w:rsidP="005C56E6">
      <w:pPr>
        <w:widowControl w:val="0"/>
        <w:tabs>
          <w:tab w:val="clear" w:pos="567"/>
        </w:tabs>
        <w:spacing w:line="240" w:lineRule="auto"/>
        <w:rPr>
          <w:color w:val="000000"/>
        </w:rPr>
      </w:pPr>
    </w:p>
    <w:p w14:paraId="58DC45FF" w14:textId="77777777" w:rsidR="00E61A01" w:rsidRPr="00F25A60" w:rsidRDefault="00E61A01" w:rsidP="005C56E6">
      <w:pPr>
        <w:widowControl w:val="0"/>
        <w:tabs>
          <w:tab w:val="clear" w:pos="567"/>
        </w:tabs>
        <w:spacing w:line="240" w:lineRule="auto"/>
        <w:rPr>
          <w:color w:val="000000"/>
        </w:rPr>
      </w:pPr>
    </w:p>
    <w:p w14:paraId="15762C7E" w14:textId="77777777" w:rsidR="00E61A01" w:rsidRPr="00F25A60" w:rsidRDefault="00E61A01" w:rsidP="005C56E6">
      <w:pPr>
        <w:widowControl w:val="0"/>
        <w:tabs>
          <w:tab w:val="clear" w:pos="567"/>
        </w:tabs>
        <w:spacing w:line="240" w:lineRule="auto"/>
        <w:rPr>
          <w:color w:val="000000"/>
        </w:rPr>
      </w:pPr>
    </w:p>
    <w:p w14:paraId="7195A3FB" w14:textId="77777777" w:rsidR="00E61A01" w:rsidRPr="00F25A60" w:rsidRDefault="00E61A01" w:rsidP="005C56E6">
      <w:pPr>
        <w:widowControl w:val="0"/>
        <w:tabs>
          <w:tab w:val="clear" w:pos="567"/>
        </w:tabs>
        <w:spacing w:line="240" w:lineRule="auto"/>
        <w:rPr>
          <w:color w:val="000000"/>
        </w:rPr>
      </w:pPr>
    </w:p>
    <w:p w14:paraId="14C0B598" w14:textId="77777777" w:rsidR="00EB4FF7" w:rsidRPr="00F25A60" w:rsidRDefault="00EB4FF7" w:rsidP="005C56E6">
      <w:pPr>
        <w:widowControl w:val="0"/>
        <w:tabs>
          <w:tab w:val="clear" w:pos="567"/>
        </w:tabs>
        <w:spacing w:line="240" w:lineRule="auto"/>
        <w:rPr>
          <w:color w:val="000000"/>
        </w:rPr>
      </w:pPr>
    </w:p>
    <w:p w14:paraId="400340CA" w14:textId="77777777" w:rsidR="00E61A01" w:rsidRPr="00F25A60" w:rsidRDefault="00E61A01" w:rsidP="005C56E6">
      <w:pPr>
        <w:widowControl w:val="0"/>
        <w:tabs>
          <w:tab w:val="clear" w:pos="567"/>
        </w:tabs>
        <w:spacing w:line="240" w:lineRule="auto"/>
        <w:jc w:val="center"/>
        <w:rPr>
          <w:b/>
          <w:bCs/>
          <w:color w:val="000000"/>
        </w:rPr>
      </w:pPr>
      <w:r w:rsidRPr="00F25A60">
        <w:rPr>
          <w:b/>
          <w:bCs/>
          <w:color w:val="000000"/>
        </w:rPr>
        <w:t xml:space="preserve">PŘÍLOHA </w:t>
      </w:r>
      <w:smartTag w:uri="urn:schemas-microsoft-com:office:smarttags" w:element="stockticker">
        <w:r w:rsidRPr="00F25A60">
          <w:rPr>
            <w:b/>
            <w:bCs/>
            <w:color w:val="000000"/>
          </w:rPr>
          <w:t>III</w:t>
        </w:r>
      </w:smartTag>
    </w:p>
    <w:p w14:paraId="57D9648A" w14:textId="77777777" w:rsidR="00E61A01" w:rsidRPr="00F25A60" w:rsidRDefault="00E61A01" w:rsidP="005C56E6">
      <w:pPr>
        <w:widowControl w:val="0"/>
        <w:tabs>
          <w:tab w:val="clear" w:pos="567"/>
        </w:tabs>
        <w:spacing w:line="240" w:lineRule="auto"/>
        <w:jc w:val="center"/>
        <w:rPr>
          <w:color w:val="000000"/>
        </w:rPr>
      </w:pPr>
    </w:p>
    <w:p w14:paraId="49F2F632" w14:textId="77777777" w:rsidR="00E61A01" w:rsidRPr="00F25A60" w:rsidRDefault="00E61A01" w:rsidP="005C56E6">
      <w:pPr>
        <w:widowControl w:val="0"/>
        <w:tabs>
          <w:tab w:val="clear" w:pos="567"/>
        </w:tabs>
        <w:spacing w:line="240" w:lineRule="auto"/>
        <w:jc w:val="center"/>
        <w:rPr>
          <w:b/>
          <w:bCs/>
          <w:color w:val="000000"/>
        </w:rPr>
      </w:pPr>
      <w:r w:rsidRPr="00F25A60">
        <w:rPr>
          <w:b/>
          <w:bCs/>
          <w:color w:val="000000"/>
        </w:rPr>
        <w:t>OZNAČENÍ NA OBALU A PŘÍBALOVÁ INFORMACE</w:t>
      </w:r>
    </w:p>
    <w:p w14:paraId="08DBC3DE" w14:textId="77777777" w:rsidR="00E61A01" w:rsidRPr="00F25A60" w:rsidRDefault="00E61A01" w:rsidP="005C56E6">
      <w:pPr>
        <w:widowControl w:val="0"/>
        <w:tabs>
          <w:tab w:val="clear" w:pos="567"/>
        </w:tabs>
        <w:spacing w:line="240" w:lineRule="auto"/>
      </w:pPr>
      <w:r w:rsidRPr="00F25A60">
        <w:br w:type="page"/>
      </w:r>
    </w:p>
    <w:p w14:paraId="71F5DE1B" w14:textId="77777777" w:rsidR="00E61A01" w:rsidRPr="00F25A60" w:rsidRDefault="00E61A01" w:rsidP="005C56E6">
      <w:pPr>
        <w:widowControl w:val="0"/>
        <w:tabs>
          <w:tab w:val="clear" w:pos="567"/>
        </w:tabs>
        <w:spacing w:line="240" w:lineRule="auto"/>
        <w:rPr>
          <w:color w:val="000000"/>
        </w:rPr>
      </w:pPr>
    </w:p>
    <w:p w14:paraId="0056B670" w14:textId="77777777" w:rsidR="00E61A01" w:rsidRPr="00F25A60" w:rsidRDefault="00E61A01" w:rsidP="005C56E6">
      <w:pPr>
        <w:widowControl w:val="0"/>
        <w:tabs>
          <w:tab w:val="clear" w:pos="567"/>
        </w:tabs>
        <w:spacing w:line="240" w:lineRule="auto"/>
        <w:rPr>
          <w:color w:val="000000"/>
        </w:rPr>
      </w:pPr>
    </w:p>
    <w:p w14:paraId="19A18749" w14:textId="77777777" w:rsidR="00E61A01" w:rsidRPr="00F25A60" w:rsidRDefault="00E61A01" w:rsidP="005C56E6">
      <w:pPr>
        <w:widowControl w:val="0"/>
        <w:tabs>
          <w:tab w:val="clear" w:pos="567"/>
        </w:tabs>
        <w:spacing w:line="240" w:lineRule="auto"/>
        <w:rPr>
          <w:color w:val="000000"/>
        </w:rPr>
      </w:pPr>
    </w:p>
    <w:p w14:paraId="64CFAF85" w14:textId="77777777" w:rsidR="00E61A01" w:rsidRPr="00F25A60" w:rsidRDefault="00E61A01" w:rsidP="005C56E6">
      <w:pPr>
        <w:widowControl w:val="0"/>
        <w:tabs>
          <w:tab w:val="clear" w:pos="567"/>
        </w:tabs>
        <w:spacing w:line="240" w:lineRule="auto"/>
        <w:rPr>
          <w:color w:val="000000"/>
        </w:rPr>
      </w:pPr>
    </w:p>
    <w:p w14:paraId="0E8D6BC6" w14:textId="77777777" w:rsidR="00E61A01" w:rsidRPr="00F25A60" w:rsidRDefault="00E61A01" w:rsidP="005C56E6">
      <w:pPr>
        <w:widowControl w:val="0"/>
        <w:tabs>
          <w:tab w:val="clear" w:pos="567"/>
        </w:tabs>
        <w:spacing w:line="240" w:lineRule="auto"/>
        <w:rPr>
          <w:color w:val="000000"/>
        </w:rPr>
      </w:pPr>
    </w:p>
    <w:p w14:paraId="626C4A8B" w14:textId="77777777" w:rsidR="00E61A01" w:rsidRPr="00F25A60" w:rsidRDefault="00E61A01" w:rsidP="005C56E6">
      <w:pPr>
        <w:widowControl w:val="0"/>
        <w:tabs>
          <w:tab w:val="clear" w:pos="567"/>
        </w:tabs>
        <w:spacing w:line="240" w:lineRule="auto"/>
        <w:rPr>
          <w:color w:val="000000"/>
        </w:rPr>
      </w:pPr>
    </w:p>
    <w:p w14:paraId="6F749880" w14:textId="77777777" w:rsidR="00E61A01" w:rsidRPr="00F25A60" w:rsidRDefault="00E61A01" w:rsidP="005C56E6">
      <w:pPr>
        <w:widowControl w:val="0"/>
        <w:tabs>
          <w:tab w:val="clear" w:pos="567"/>
        </w:tabs>
        <w:spacing w:line="240" w:lineRule="auto"/>
        <w:rPr>
          <w:color w:val="000000"/>
        </w:rPr>
      </w:pPr>
    </w:p>
    <w:p w14:paraId="670B56D1" w14:textId="77777777" w:rsidR="00E61A01" w:rsidRPr="00F25A60" w:rsidRDefault="00E61A01" w:rsidP="005C56E6">
      <w:pPr>
        <w:widowControl w:val="0"/>
        <w:tabs>
          <w:tab w:val="clear" w:pos="567"/>
        </w:tabs>
        <w:spacing w:line="240" w:lineRule="auto"/>
        <w:rPr>
          <w:color w:val="000000"/>
        </w:rPr>
      </w:pPr>
    </w:p>
    <w:p w14:paraId="390E748E" w14:textId="77777777" w:rsidR="00E61A01" w:rsidRPr="00F25A60" w:rsidRDefault="00E61A01" w:rsidP="005C56E6">
      <w:pPr>
        <w:widowControl w:val="0"/>
        <w:tabs>
          <w:tab w:val="clear" w:pos="567"/>
        </w:tabs>
        <w:spacing w:line="240" w:lineRule="auto"/>
        <w:rPr>
          <w:color w:val="000000"/>
        </w:rPr>
      </w:pPr>
    </w:p>
    <w:p w14:paraId="7A9A4340" w14:textId="77777777" w:rsidR="00E61A01" w:rsidRPr="00F25A60" w:rsidRDefault="00E61A01" w:rsidP="005C56E6">
      <w:pPr>
        <w:widowControl w:val="0"/>
        <w:tabs>
          <w:tab w:val="clear" w:pos="567"/>
        </w:tabs>
        <w:spacing w:line="240" w:lineRule="auto"/>
        <w:rPr>
          <w:color w:val="000000"/>
        </w:rPr>
      </w:pPr>
    </w:p>
    <w:p w14:paraId="0B12DC06" w14:textId="77777777" w:rsidR="00E61A01" w:rsidRPr="00F25A60" w:rsidRDefault="00E61A01" w:rsidP="005C56E6">
      <w:pPr>
        <w:widowControl w:val="0"/>
        <w:tabs>
          <w:tab w:val="clear" w:pos="567"/>
        </w:tabs>
        <w:spacing w:line="240" w:lineRule="auto"/>
        <w:rPr>
          <w:color w:val="000000"/>
        </w:rPr>
      </w:pPr>
    </w:p>
    <w:p w14:paraId="6D8F89B3" w14:textId="77777777" w:rsidR="00E61A01" w:rsidRPr="00F25A60" w:rsidRDefault="00E61A01" w:rsidP="005C56E6">
      <w:pPr>
        <w:widowControl w:val="0"/>
        <w:tabs>
          <w:tab w:val="clear" w:pos="567"/>
        </w:tabs>
        <w:spacing w:line="240" w:lineRule="auto"/>
        <w:rPr>
          <w:color w:val="000000"/>
        </w:rPr>
      </w:pPr>
    </w:p>
    <w:p w14:paraId="36A288B8" w14:textId="77777777" w:rsidR="00E61A01" w:rsidRPr="00F25A60" w:rsidRDefault="00E61A01" w:rsidP="005C56E6">
      <w:pPr>
        <w:widowControl w:val="0"/>
        <w:tabs>
          <w:tab w:val="clear" w:pos="567"/>
        </w:tabs>
        <w:spacing w:line="240" w:lineRule="auto"/>
        <w:rPr>
          <w:color w:val="000000"/>
        </w:rPr>
      </w:pPr>
    </w:p>
    <w:p w14:paraId="1463DBE1" w14:textId="77777777" w:rsidR="00E61A01" w:rsidRPr="00F25A60" w:rsidRDefault="00E61A01" w:rsidP="005C56E6">
      <w:pPr>
        <w:widowControl w:val="0"/>
        <w:tabs>
          <w:tab w:val="clear" w:pos="567"/>
        </w:tabs>
        <w:spacing w:line="240" w:lineRule="auto"/>
        <w:rPr>
          <w:color w:val="000000"/>
        </w:rPr>
      </w:pPr>
    </w:p>
    <w:p w14:paraId="55F702D4" w14:textId="77777777" w:rsidR="00E61A01" w:rsidRPr="00F25A60" w:rsidRDefault="00E61A01" w:rsidP="005C56E6">
      <w:pPr>
        <w:widowControl w:val="0"/>
        <w:tabs>
          <w:tab w:val="clear" w:pos="567"/>
        </w:tabs>
        <w:spacing w:line="240" w:lineRule="auto"/>
        <w:rPr>
          <w:color w:val="000000"/>
        </w:rPr>
      </w:pPr>
    </w:p>
    <w:p w14:paraId="003472C9" w14:textId="77777777" w:rsidR="00E61A01" w:rsidRPr="00F25A60" w:rsidRDefault="00E61A01" w:rsidP="005C56E6">
      <w:pPr>
        <w:widowControl w:val="0"/>
        <w:tabs>
          <w:tab w:val="clear" w:pos="567"/>
        </w:tabs>
        <w:spacing w:line="240" w:lineRule="auto"/>
        <w:rPr>
          <w:color w:val="000000"/>
        </w:rPr>
      </w:pPr>
    </w:p>
    <w:p w14:paraId="77242E7B" w14:textId="77777777" w:rsidR="00E61A01" w:rsidRPr="00F25A60" w:rsidRDefault="00E61A01" w:rsidP="005C56E6">
      <w:pPr>
        <w:widowControl w:val="0"/>
        <w:tabs>
          <w:tab w:val="clear" w:pos="567"/>
        </w:tabs>
        <w:spacing w:line="240" w:lineRule="auto"/>
        <w:rPr>
          <w:color w:val="000000"/>
        </w:rPr>
      </w:pPr>
    </w:p>
    <w:p w14:paraId="42181DFF" w14:textId="77777777" w:rsidR="00E61A01" w:rsidRPr="00F25A60" w:rsidRDefault="00E61A01" w:rsidP="005C56E6">
      <w:pPr>
        <w:widowControl w:val="0"/>
        <w:tabs>
          <w:tab w:val="clear" w:pos="567"/>
        </w:tabs>
        <w:spacing w:line="240" w:lineRule="auto"/>
        <w:rPr>
          <w:color w:val="000000"/>
        </w:rPr>
      </w:pPr>
    </w:p>
    <w:p w14:paraId="3243847F" w14:textId="77777777" w:rsidR="00E61A01" w:rsidRPr="00F25A60" w:rsidRDefault="00E61A01" w:rsidP="005C56E6">
      <w:pPr>
        <w:widowControl w:val="0"/>
        <w:tabs>
          <w:tab w:val="clear" w:pos="567"/>
        </w:tabs>
        <w:spacing w:line="240" w:lineRule="auto"/>
        <w:rPr>
          <w:color w:val="000000"/>
        </w:rPr>
      </w:pPr>
    </w:p>
    <w:p w14:paraId="633ED334" w14:textId="77777777" w:rsidR="00E61A01" w:rsidRPr="00F25A60" w:rsidRDefault="00E61A01" w:rsidP="005C56E6">
      <w:pPr>
        <w:widowControl w:val="0"/>
        <w:tabs>
          <w:tab w:val="clear" w:pos="567"/>
        </w:tabs>
        <w:spacing w:line="240" w:lineRule="auto"/>
        <w:rPr>
          <w:color w:val="000000"/>
        </w:rPr>
      </w:pPr>
    </w:p>
    <w:p w14:paraId="7C394E46" w14:textId="77777777" w:rsidR="00E61A01" w:rsidRPr="00F25A60" w:rsidRDefault="00E61A01" w:rsidP="005C56E6">
      <w:pPr>
        <w:widowControl w:val="0"/>
        <w:tabs>
          <w:tab w:val="clear" w:pos="567"/>
        </w:tabs>
        <w:spacing w:line="240" w:lineRule="auto"/>
        <w:rPr>
          <w:color w:val="000000"/>
        </w:rPr>
      </w:pPr>
    </w:p>
    <w:p w14:paraId="3D7CD235" w14:textId="77777777" w:rsidR="00E61A01" w:rsidRPr="00F25A60" w:rsidRDefault="00E61A01" w:rsidP="005C56E6">
      <w:pPr>
        <w:widowControl w:val="0"/>
        <w:tabs>
          <w:tab w:val="clear" w:pos="567"/>
        </w:tabs>
        <w:spacing w:line="240" w:lineRule="auto"/>
        <w:rPr>
          <w:color w:val="000000"/>
        </w:rPr>
      </w:pPr>
    </w:p>
    <w:p w14:paraId="789921FA" w14:textId="77777777" w:rsidR="00EB4FF7" w:rsidRPr="00F25A60" w:rsidRDefault="00EB4FF7" w:rsidP="005C56E6">
      <w:pPr>
        <w:widowControl w:val="0"/>
        <w:tabs>
          <w:tab w:val="clear" w:pos="567"/>
        </w:tabs>
        <w:spacing w:line="240" w:lineRule="auto"/>
        <w:rPr>
          <w:color w:val="000000"/>
        </w:rPr>
      </w:pPr>
    </w:p>
    <w:p w14:paraId="25B97526" w14:textId="77777777" w:rsidR="00E61A01" w:rsidRPr="00F25A60" w:rsidRDefault="00E61A01" w:rsidP="005E6174">
      <w:pPr>
        <w:widowControl w:val="0"/>
        <w:tabs>
          <w:tab w:val="clear" w:pos="567"/>
        </w:tabs>
        <w:spacing w:line="240" w:lineRule="auto"/>
        <w:jc w:val="center"/>
        <w:outlineLvl w:val="0"/>
        <w:rPr>
          <w:b/>
          <w:bCs/>
          <w:color w:val="000000"/>
        </w:rPr>
      </w:pPr>
      <w:r w:rsidRPr="00F25A60">
        <w:rPr>
          <w:b/>
          <w:bCs/>
          <w:color w:val="000000"/>
        </w:rPr>
        <w:t>A. OZNAČENÍ NA OBALU</w:t>
      </w:r>
    </w:p>
    <w:p w14:paraId="56CFFA0F" w14:textId="77777777" w:rsidR="00E61A01" w:rsidRPr="00F25A60" w:rsidRDefault="00E61A01" w:rsidP="005C56E6">
      <w:pPr>
        <w:widowControl w:val="0"/>
        <w:tabs>
          <w:tab w:val="clear" w:pos="567"/>
        </w:tabs>
        <w:spacing w:line="240" w:lineRule="auto"/>
        <w:rPr>
          <w:color w:val="000000"/>
        </w:rPr>
      </w:pPr>
      <w:r w:rsidRPr="00F25A60">
        <w:rPr>
          <w:b/>
          <w:bCs/>
          <w:color w:val="000000"/>
        </w:rPr>
        <w:br w:type="page"/>
      </w:r>
    </w:p>
    <w:p w14:paraId="3CDBFEE8" w14:textId="77777777" w:rsidR="00EB4FF7" w:rsidRPr="00F25A60" w:rsidRDefault="00EB4FF7" w:rsidP="005C56E6">
      <w:pPr>
        <w:widowControl w:val="0"/>
        <w:tabs>
          <w:tab w:val="clear" w:pos="567"/>
        </w:tabs>
        <w:snapToGrid w:val="0"/>
        <w:spacing w:line="240" w:lineRule="auto"/>
        <w:rPr>
          <w:bCs/>
          <w:color w:val="000000"/>
        </w:rPr>
      </w:pPr>
    </w:p>
    <w:p w14:paraId="5ECED98E"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s>
        <w:snapToGrid w:val="0"/>
        <w:spacing w:line="240" w:lineRule="auto"/>
        <w:rPr>
          <w:b/>
          <w:bCs/>
          <w:color w:val="000000"/>
        </w:rPr>
      </w:pPr>
      <w:r w:rsidRPr="00F25A60">
        <w:rPr>
          <w:b/>
          <w:bCs/>
          <w:color w:val="000000"/>
        </w:rPr>
        <w:t>ÚDAJE UVÁDĚNÉ NA VNĚJŠÍM OBALU</w:t>
      </w:r>
    </w:p>
    <w:p w14:paraId="407CFD2B"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160939A2"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spacing w:line="240" w:lineRule="auto"/>
        <w:rPr>
          <w:b/>
          <w:bCs/>
          <w:color w:val="000000"/>
        </w:rPr>
      </w:pPr>
      <w:r w:rsidRPr="00F25A60">
        <w:rPr>
          <w:b/>
          <w:bCs/>
          <w:color w:val="000000"/>
        </w:rPr>
        <w:t>PAPÍROVÁ KRABIČKA</w:t>
      </w:r>
    </w:p>
    <w:p w14:paraId="7AF4BB9D" w14:textId="77777777" w:rsidR="00E61A01" w:rsidRPr="00F25A60" w:rsidRDefault="00E61A01" w:rsidP="005C56E6">
      <w:pPr>
        <w:widowControl w:val="0"/>
        <w:tabs>
          <w:tab w:val="clear" w:pos="567"/>
        </w:tabs>
        <w:spacing w:line="240" w:lineRule="auto"/>
      </w:pPr>
    </w:p>
    <w:p w14:paraId="19CE65FB" w14:textId="77777777" w:rsidR="00E61A01" w:rsidRPr="00F25A60" w:rsidRDefault="00E61A01" w:rsidP="005C56E6">
      <w:pPr>
        <w:widowControl w:val="0"/>
        <w:tabs>
          <w:tab w:val="clear" w:pos="567"/>
        </w:tabs>
        <w:spacing w:line="240" w:lineRule="auto"/>
        <w:rPr>
          <w:color w:val="000000"/>
        </w:rPr>
      </w:pPr>
    </w:p>
    <w:p w14:paraId="1E2B100C"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1.</w:t>
      </w:r>
      <w:r w:rsidRPr="00F25A60">
        <w:rPr>
          <w:b/>
          <w:bCs/>
          <w:color w:val="000000"/>
        </w:rPr>
        <w:tab/>
        <w:t>NÁZEV LÉČIVÉHO PŘÍPRAVKU</w:t>
      </w:r>
    </w:p>
    <w:p w14:paraId="7513693C" w14:textId="77777777" w:rsidR="00E61A01" w:rsidRPr="00F25A60" w:rsidRDefault="00E61A01" w:rsidP="005C56E6">
      <w:pPr>
        <w:widowControl w:val="0"/>
        <w:tabs>
          <w:tab w:val="clear" w:pos="567"/>
        </w:tabs>
        <w:spacing w:line="240" w:lineRule="auto"/>
      </w:pPr>
    </w:p>
    <w:p w14:paraId="04B90A94" w14:textId="77777777" w:rsidR="00E61A01" w:rsidRPr="00F25A60" w:rsidRDefault="00E61A01" w:rsidP="005C56E6">
      <w:pPr>
        <w:widowControl w:val="0"/>
        <w:tabs>
          <w:tab w:val="clear" w:pos="567"/>
        </w:tabs>
        <w:spacing w:line="240" w:lineRule="auto"/>
        <w:rPr>
          <w:color w:val="000000"/>
        </w:rPr>
      </w:pPr>
      <w:r w:rsidRPr="00F25A60">
        <w:rPr>
          <w:color w:val="000000"/>
        </w:rPr>
        <w:t>Glivec 100 mg potahované tablety</w:t>
      </w:r>
    </w:p>
    <w:p w14:paraId="49D772E8" w14:textId="09AB8A0A" w:rsidR="00E61A01" w:rsidRPr="00F25A60" w:rsidRDefault="00AC5D70" w:rsidP="005C56E6">
      <w:pPr>
        <w:widowControl w:val="0"/>
        <w:tabs>
          <w:tab w:val="clear" w:pos="567"/>
        </w:tabs>
        <w:spacing w:line="240" w:lineRule="auto"/>
        <w:rPr>
          <w:color w:val="000000"/>
        </w:rPr>
      </w:pPr>
      <w:r w:rsidRPr="00F25A60">
        <w:rPr>
          <w:color w:val="000000"/>
        </w:rPr>
        <w:t>i</w:t>
      </w:r>
      <w:r w:rsidR="00E61A01" w:rsidRPr="00F25A60">
        <w:rPr>
          <w:color w:val="000000"/>
        </w:rPr>
        <w:t>matinib</w:t>
      </w:r>
      <w:del w:id="401" w:author="Author">
        <w:r w:rsidR="00E61A01" w:rsidRPr="00F25A60" w:rsidDel="009274D5">
          <w:rPr>
            <w:color w:val="000000"/>
          </w:rPr>
          <w:delText>um</w:delText>
        </w:r>
      </w:del>
    </w:p>
    <w:p w14:paraId="69600F63" w14:textId="77777777" w:rsidR="00E61A01" w:rsidRPr="00F25A60" w:rsidRDefault="00E61A01" w:rsidP="005C56E6">
      <w:pPr>
        <w:widowControl w:val="0"/>
        <w:tabs>
          <w:tab w:val="clear" w:pos="567"/>
        </w:tabs>
        <w:spacing w:line="240" w:lineRule="auto"/>
        <w:rPr>
          <w:color w:val="000000"/>
        </w:rPr>
      </w:pPr>
    </w:p>
    <w:p w14:paraId="253B3264" w14:textId="77777777" w:rsidR="00E61A01" w:rsidRPr="00F25A60" w:rsidRDefault="00E61A01" w:rsidP="005C56E6">
      <w:pPr>
        <w:widowControl w:val="0"/>
        <w:tabs>
          <w:tab w:val="clear" w:pos="567"/>
        </w:tabs>
        <w:spacing w:line="240" w:lineRule="auto"/>
        <w:rPr>
          <w:color w:val="000000"/>
        </w:rPr>
      </w:pPr>
    </w:p>
    <w:p w14:paraId="6B08EF9B"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2.</w:t>
      </w:r>
      <w:r w:rsidRPr="00F25A60">
        <w:rPr>
          <w:b/>
          <w:bCs/>
          <w:color w:val="000000"/>
        </w:rPr>
        <w:tab/>
        <w:t>OBSAH LÉČIVÉ LÁTKY/LÉČIVÝCH LÁTEK</w:t>
      </w:r>
    </w:p>
    <w:p w14:paraId="50DCFFE0" w14:textId="77777777" w:rsidR="00E61A01" w:rsidRPr="00F25A60" w:rsidRDefault="00E61A01" w:rsidP="005C56E6">
      <w:pPr>
        <w:widowControl w:val="0"/>
        <w:tabs>
          <w:tab w:val="clear" w:pos="567"/>
        </w:tabs>
        <w:spacing w:line="240" w:lineRule="auto"/>
      </w:pPr>
    </w:p>
    <w:p w14:paraId="495103E0" w14:textId="1D8CA77A" w:rsidR="00E61A01" w:rsidRPr="00F25A60" w:rsidRDefault="00E61A01" w:rsidP="005C56E6">
      <w:pPr>
        <w:pStyle w:val="Text"/>
        <w:widowControl w:val="0"/>
        <w:spacing w:before="0"/>
        <w:jc w:val="left"/>
        <w:rPr>
          <w:color w:val="000000"/>
          <w:sz w:val="22"/>
          <w:szCs w:val="22"/>
          <w:lang w:val="cs-CZ"/>
        </w:rPr>
      </w:pPr>
      <w:r w:rsidRPr="00F25A60">
        <w:rPr>
          <w:color w:val="000000"/>
          <w:sz w:val="22"/>
          <w:szCs w:val="22"/>
          <w:lang w:val="cs-CZ"/>
        </w:rPr>
        <w:t>Jedna potahovaná tableta obsahu</w:t>
      </w:r>
      <w:r w:rsidRPr="0048111F">
        <w:rPr>
          <w:color w:val="000000"/>
          <w:sz w:val="22"/>
          <w:szCs w:val="22"/>
          <w:lang w:val="cs-CZ"/>
        </w:rPr>
        <w:t xml:space="preserve">je </w:t>
      </w:r>
      <w:ins w:id="402" w:author="Author">
        <w:r w:rsidR="009C3228" w:rsidRPr="0048111F">
          <w:rPr>
            <w:color w:val="000000"/>
            <w:sz w:val="22"/>
            <w:szCs w:val="22"/>
            <w:lang w:val="cs-CZ"/>
          </w:rPr>
          <w:t>100</w:t>
        </w:r>
        <w:r w:rsidR="0048111F" w:rsidRPr="0048111F">
          <w:rPr>
            <w:color w:val="000000"/>
            <w:sz w:val="22"/>
            <w:szCs w:val="22"/>
            <w:lang w:val="cs-CZ"/>
          </w:rPr>
          <w:t> </w:t>
        </w:r>
        <w:r w:rsidR="009C3228" w:rsidRPr="0048111F">
          <w:rPr>
            <w:color w:val="000000"/>
            <w:sz w:val="22"/>
            <w:szCs w:val="22"/>
            <w:lang w:val="cs-CZ"/>
          </w:rPr>
          <w:t xml:space="preserve">mg </w:t>
        </w:r>
      </w:ins>
      <w:r w:rsidR="00D55176" w:rsidRPr="0048111F">
        <w:rPr>
          <w:color w:val="000000"/>
          <w:sz w:val="22"/>
          <w:szCs w:val="22"/>
          <w:lang w:val="cs-CZ"/>
        </w:rPr>
        <w:t>imatinib</w:t>
      </w:r>
      <w:ins w:id="403" w:author="Author">
        <w:r w:rsidR="009C3228" w:rsidRPr="0048111F">
          <w:rPr>
            <w:color w:val="000000"/>
            <w:sz w:val="22"/>
            <w:szCs w:val="22"/>
            <w:lang w:val="cs-CZ"/>
          </w:rPr>
          <w:t>u</w:t>
        </w:r>
      </w:ins>
      <w:del w:id="404" w:author="Author">
        <w:r w:rsidR="00D55176" w:rsidRPr="0048111F" w:rsidDel="009274D5">
          <w:rPr>
            <w:color w:val="000000"/>
            <w:sz w:val="22"/>
            <w:szCs w:val="22"/>
            <w:lang w:val="cs-CZ"/>
          </w:rPr>
          <w:delText>um</w:delText>
        </w:r>
        <w:r w:rsidR="00D55176" w:rsidRPr="0048111F" w:rsidDel="009C3228">
          <w:rPr>
            <w:color w:val="000000"/>
            <w:sz w:val="22"/>
            <w:szCs w:val="22"/>
            <w:lang w:val="cs-CZ"/>
          </w:rPr>
          <w:delText xml:space="preserve"> 100 mg</w:delText>
        </w:r>
      </w:del>
      <w:r w:rsidRPr="0048111F">
        <w:rPr>
          <w:color w:val="000000"/>
          <w:sz w:val="22"/>
          <w:szCs w:val="22"/>
          <w:lang w:val="cs-CZ"/>
        </w:rPr>
        <w:t xml:space="preserve"> (</w:t>
      </w:r>
      <w:ins w:id="405" w:author="Author">
        <w:r w:rsidR="009C3228" w:rsidRPr="0048111F">
          <w:rPr>
            <w:color w:val="000000"/>
            <w:sz w:val="22"/>
            <w:szCs w:val="22"/>
            <w:lang w:val="cs-CZ"/>
          </w:rPr>
          <w:t>ve formě</w:t>
        </w:r>
      </w:ins>
      <w:del w:id="406" w:author="Author">
        <w:r w:rsidRPr="0048111F" w:rsidDel="009C3228">
          <w:rPr>
            <w:color w:val="000000"/>
            <w:sz w:val="22"/>
            <w:szCs w:val="22"/>
            <w:lang w:val="cs-CZ"/>
          </w:rPr>
          <w:delText xml:space="preserve">jako </w:delText>
        </w:r>
        <w:r w:rsidR="00D55176" w:rsidRPr="0048111F" w:rsidDel="009C3228">
          <w:rPr>
            <w:color w:val="000000"/>
            <w:sz w:val="22"/>
            <w:szCs w:val="22"/>
            <w:lang w:val="cs-CZ"/>
          </w:rPr>
          <w:delText>imatinibi</w:delText>
        </w:r>
      </w:del>
      <w:ins w:id="407" w:author="Author">
        <w:del w:id="408" w:author="Author">
          <w:r w:rsidR="009274D5" w:rsidRPr="0048111F" w:rsidDel="009C3228">
            <w:rPr>
              <w:color w:val="000000"/>
              <w:sz w:val="22"/>
              <w:szCs w:val="22"/>
              <w:lang w:val="cs-CZ"/>
            </w:rPr>
            <w:delText>-</w:delText>
          </w:r>
        </w:del>
      </w:ins>
      <w:del w:id="409" w:author="Author">
        <w:r w:rsidR="00D55176" w:rsidRPr="0048111F" w:rsidDel="009C3228">
          <w:rPr>
            <w:color w:val="000000"/>
            <w:sz w:val="22"/>
            <w:szCs w:val="22"/>
            <w:lang w:val="cs-CZ"/>
          </w:rPr>
          <w:delText xml:space="preserve"> </w:delText>
        </w:r>
      </w:del>
      <w:ins w:id="410" w:author="Author">
        <w:r w:rsidR="009C3228" w:rsidRPr="0048111F">
          <w:rPr>
            <w:color w:val="000000"/>
            <w:sz w:val="22"/>
            <w:szCs w:val="22"/>
            <w:lang w:val="cs-CZ"/>
          </w:rPr>
          <w:t xml:space="preserve"> </w:t>
        </w:r>
      </w:ins>
      <w:r w:rsidR="00D55176" w:rsidRPr="0048111F">
        <w:rPr>
          <w:color w:val="000000"/>
          <w:sz w:val="22"/>
          <w:szCs w:val="22"/>
          <w:lang w:val="cs-CZ"/>
        </w:rPr>
        <w:t>mesil</w:t>
      </w:r>
      <w:ins w:id="411" w:author="Author">
        <w:r w:rsidR="009274D5" w:rsidRPr="0048111F">
          <w:rPr>
            <w:color w:val="000000"/>
            <w:sz w:val="22"/>
            <w:szCs w:val="22"/>
            <w:lang w:val="cs-CZ"/>
          </w:rPr>
          <w:t>át</w:t>
        </w:r>
        <w:r w:rsidR="009C3228" w:rsidRPr="0048111F">
          <w:rPr>
            <w:color w:val="000000"/>
            <w:sz w:val="22"/>
            <w:szCs w:val="22"/>
            <w:lang w:val="cs-CZ"/>
          </w:rPr>
          <w:t>u</w:t>
        </w:r>
      </w:ins>
      <w:del w:id="412" w:author="Author">
        <w:r w:rsidR="00D55176" w:rsidRPr="0048111F" w:rsidDel="009274D5">
          <w:rPr>
            <w:color w:val="000000"/>
            <w:sz w:val="22"/>
            <w:szCs w:val="22"/>
            <w:lang w:val="cs-CZ"/>
          </w:rPr>
          <w:delText>as</w:delText>
        </w:r>
      </w:del>
      <w:r w:rsidRPr="0048111F">
        <w:rPr>
          <w:color w:val="000000"/>
          <w:sz w:val="22"/>
          <w:szCs w:val="22"/>
          <w:lang w:val="cs-CZ"/>
        </w:rPr>
        <w:t>).</w:t>
      </w:r>
    </w:p>
    <w:p w14:paraId="440E7780" w14:textId="77777777" w:rsidR="00E61A01" w:rsidRPr="00F25A60" w:rsidRDefault="00E61A01" w:rsidP="005C56E6">
      <w:pPr>
        <w:widowControl w:val="0"/>
        <w:tabs>
          <w:tab w:val="clear" w:pos="567"/>
        </w:tabs>
        <w:spacing w:line="240" w:lineRule="auto"/>
        <w:rPr>
          <w:color w:val="000000"/>
        </w:rPr>
      </w:pPr>
    </w:p>
    <w:p w14:paraId="7A0B3C25" w14:textId="77777777" w:rsidR="00E61A01" w:rsidRPr="00F25A60" w:rsidRDefault="00E61A01" w:rsidP="005C56E6">
      <w:pPr>
        <w:widowControl w:val="0"/>
        <w:tabs>
          <w:tab w:val="clear" w:pos="567"/>
        </w:tabs>
        <w:spacing w:line="240" w:lineRule="auto"/>
        <w:rPr>
          <w:color w:val="000000"/>
        </w:rPr>
      </w:pPr>
    </w:p>
    <w:p w14:paraId="1C0F3EB2"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3.</w:t>
      </w:r>
      <w:r w:rsidRPr="00F25A60">
        <w:rPr>
          <w:b/>
          <w:bCs/>
          <w:color w:val="000000"/>
        </w:rPr>
        <w:tab/>
        <w:t>SEZNAM POMOCNÝCH LÁTEK</w:t>
      </w:r>
    </w:p>
    <w:p w14:paraId="0FE4F1D5" w14:textId="77777777" w:rsidR="00E61A01" w:rsidRPr="00F25A60" w:rsidRDefault="00E61A01" w:rsidP="005C56E6">
      <w:pPr>
        <w:widowControl w:val="0"/>
        <w:tabs>
          <w:tab w:val="clear" w:pos="567"/>
        </w:tabs>
        <w:spacing w:line="240" w:lineRule="auto"/>
      </w:pPr>
    </w:p>
    <w:p w14:paraId="5D1E3093" w14:textId="77777777" w:rsidR="00E61A01" w:rsidRPr="00F25A60" w:rsidRDefault="00E61A01" w:rsidP="005C56E6">
      <w:pPr>
        <w:widowControl w:val="0"/>
        <w:tabs>
          <w:tab w:val="clear" w:pos="567"/>
        </w:tabs>
        <w:spacing w:line="240" w:lineRule="auto"/>
        <w:rPr>
          <w:color w:val="000000"/>
        </w:rPr>
      </w:pPr>
    </w:p>
    <w:p w14:paraId="6A3A5A15"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4.</w:t>
      </w:r>
      <w:r w:rsidRPr="00F25A60">
        <w:rPr>
          <w:b/>
          <w:bCs/>
          <w:color w:val="000000"/>
        </w:rPr>
        <w:tab/>
        <w:t xml:space="preserve">LÉKOVÁ FORMA A </w:t>
      </w:r>
      <w:r w:rsidR="00B00096" w:rsidRPr="00F25A60">
        <w:rPr>
          <w:b/>
          <w:bCs/>
          <w:color w:val="000000"/>
        </w:rPr>
        <w:t>OBSAH</w:t>
      </w:r>
      <w:r w:rsidRPr="00F25A60">
        <w:rPr>
          <w:b/>
          <w:bCs/>
          <w:color w:val="000000"/>
        </w:rPr>
        <w:t xml:space="preserve"> BALENÍ</w:t>
      </w:r>
    </w:p>
    <w:p w14:paraId="5B9EB9EF" w14:textId="77777777" w:rsidR="00E61A01" w:rsidRPr="00F25A60" w:rsidRDefault="00E61A01" w:rsidP="005C56E6">
      <w:pPr>
        <w:widowControl w:val="0"/>
        <w:tabs>
          <w:tab w:val="clear" w:pos="567"/>
        </w:tabs>
        <w:spacing w:line="240" w:lineRule="auto"/>
      </w:pPr>
    </w:p>
    <w:p w14:paraId="734FEBA6" w14:textId="77777777" w:rsidR="00E61A01" w:rsidRPr="00F25A60" w:rsidRDefault="00E61A01" w:rsidP="005C56E6">
      <w:pPr>
        <w:pStyle w:val="EndnoteText"/>
        <w:widowControl w:val="0"/>
        <w:rPr>
          <w:color w:val="000000"/>
        </w:rPr>
      </w:pPr>
      <w:r w:rsidRPr="00F25A60">
        <w:rPr>
          <w:color w:val="000000"/>
        </w:rPr>
        <w:t>20 potahovaných tablet</w:t>
      </w:r>
    </w:p>
    <w:p w14:paraId="5C1039BC" w14:textId="77777777" w:rsidR="00E61A01" w:rsidRPr="00F25A60" w:rsidRDefault="00E61A01" w:rsidP="005C56E6">
      <w:pPr>
        <w:widowControl w:val="0"/>
        <w:tabs>
          <w:tab w:val="clear" w:pos="567"/>
        </w:tabs>
        <w:spacing w:line="240" w:lineRule="auto"/>
        <w:rPr>
          <w:color w:val="000000"/>
          <w:shd w:val="clear" w:color="auto" w:fill="D9D9D9"/>
        </w:rPr>
      </w:pPr>
      <w:r w:rsidRPr="00F25A60">
        <w:rPr>
          <w:color w:val="000000"/>
          <w:shd w:val="clear" w:color="auto" w:fill="D9D9D9"/>
        </w:rPr>
        <w:t>60 potahovaných tablet</w:t>
      </w:r>
    </w:p>
    <w:p w14:paraId="7583DA01" w14:textId="77777777" w:rsidR="00E61A01" w:rsidRPr="00F25A60" w:rsidRDefault="00E61A01" w:rsidP="005C56E6">
      <w:pPr>
        <w:widowControl w:val="0"/>
        <w:tabs>
          <w:tab w:val="clear" w:pos="567"/>
        </w:tabs>
        <w:spacing w:line="240" w:lineRule="auto"/>
        <w:rPr>
          <w:color w:val="000000"/>
          <w:shd w:val="clear" w:color="auto" w:fill="D9D9D9"/>
        </w:rPr>
      </w:pPr>
      <w:r w:rsidRPr="00F25A60">
        <w:rPr>
          <w:color w:val="000000"/>
          <w:shd w:val="clear" w:color="auto" w:fill="D9D9D9"/>
        </w:rPr>
        <w:t>120 potahovaných tablet</w:t>
      </w:r>
    </w:p>
    <w:p w14:paraId="5E4F4A1A" w14:textId="77777777" w:rsidR="00E61A01" w:rsidRPr="00F25A60" w:rsidRDefault="00E61A01" w:rsidP="005C56E6">
      <w:pPr>
        <w:widowControl w:val="0"/>
        <w:tabs>
          <w:tab w:val="clear" w:pos="567"/>
        </w:tabs>
        <w:spacing w:line="240" w:lineRule="auto"/>
        <w:rPr>
          <w:color w:val="000000"/>
          <w:shd w:val="clear" w:color="auto" w:fill="D9D9D9"/>
        </w:rPr>
      </w:pPr>
      <w:r w:rsidRPr="00F25A60">
        <w:rPr>
          <w:color w:val="000000"/>
          <w:shd w:val="clear" w:color="auto" w:fill="D9D9D9"/>
        </w:rPr>
        <w:t>180 potahovaných tablet</w:t>
      </w:r>
    </w:p>
    <w:p w14:paraId="22DABD76" w14:textId="77777777" w:rsidR="00E61A01" w:rsidRPr="00F25A60" w:rsidRDefault="00E61A01" w:rsidP="005C56E6">
      <w:pPr>
        <w:widowControl w:val="0"/>
        <w:tabs>
          <w:tab w:val="clear" w:pos="567"/>
        </w:tabs>
        <w:spacing w:line="240" w:lineRule="auto"/>
        <w:rPr>
          <w:color w:val="000000"/>
        </w:rPr>
      </w:pPr>
    </w:p>
    <w:p w14:paraId="3CA30E91" w14:textId="77777777" w:rsidR="00E61A01" w:rsidRPr="00F25A60" w:rsidRDefault="00E61A01" w:rsidP="005C56E6">
      <w:pPr>
        <w:widowControl w:val="0"/>
        <w:tabs>
          <w:tab w:val="clear" w:pos="567"/>
        </w:tabs>
        <w:spacing w:line="240" w:lineRule="auto"/>
        <w:rPr>
          <w:color w:val="000000"/>
        </w:rPr>
      </w:pPr>
    </w:p>
    <w:p w14:paraId="56729B14"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5.</w:t>
      </w:r>
      <w:r w:rsidRPr="00F25A60">
        <w:rPr>
          <w:b/>
          <w:bCs/>
          <w:color w:val="000000"/>
        </w:rPr>
        <w:tab/>
        <w:t>ZPŮSOB A CESTA/CESTY PODÁNÍ</w:t>
      </w:r>
    </w:p>
    <w:p w14:paraId="05B43645" w14:textId="77777777" w:rsidR="00E61A01" w:rsidRPr="00F25A60" w:rsidRDefault="00E61A01" w:rsidP="005C56E6">
      <w:pPr>
        <w:pStyle w:val="EndnoteText"/>
        <w:widowControl w:val="0"/>
        <w:tabs>
          <w:tab w:val="clear" w:pos="567"/>
        </w:tabs>
      </w:pPr>
    </w:p>
    <w:p w14:paraId="6D92AD09" w14:textId="77777777" w:rsidR="00E61A01" w:rsidRPr="00F25A60" w:rsidRDefault="00E61A01" w:rsidP="005C56E6">
      <w:pPr>
        <w:pStyle w:val="EndnoteText"/>
        <w:widowControl w:val="0"/>
        <w:tabs>
          <w:tab w:val="clear" w:pos="567"/>
        </w:tabs>
        <w:rPr>
          <w:color w:val="000000"/>
        </w:rPr>
      </w:pPr>
      <w:r w:rsidRPr="00F25A60">
        <w:rPr>
          <w:color w:val="000000"/>
        </w:rPr>
        <w:t>Perorální podání. Před použitím si přečtěte příbalovou informaci.</w:t>
      </w:r>
    </w:p>
    <w:p w14:paraId="2F052669" w14:textId="77777777" w:rsidR="00E61A01" w:rsidRPr="00F25A60" w:rsidRDefault="00E61A01" w:rsidP="005C56E6">
      <w:pPr>
        <w:widowControl w:val="0"/>
        <w:tabs>
          <w:tab w:val="clear" w:pos="567"/>
        </w:tabs>
        <w:spacing w:line="240" w:lineRule="auto"/>
        <w:rPr>
          <w:color w:val="000000"/>
        </w:rPr>
      </w:pPr>
    </w:p>
    <w:p w14:paraId="739F5299" w14:textId="77777777" w:rsidR="00E61A01" w:rsidRPr="00F25A60" w:rsidRDefault="00E61A01" w:rsidP="005C56E6">
      <w:pPr>
        <w:widowControl w:val="0"/>
        <w:tabs>
          <w:tab w:val="clear" w:pos="567"/>
        </w:tabs>
        <w:spacing w:line="240" w:lineRule="auto"/>
        <w:rPr>
          <w:color w:val="000000"/>
        </w:rPr>
      </w:pPr>
    </w:p>
    <w:p w14:paraId="4230AA39"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6.</w:t>
      </w:r>
      <w:r w:rsidRPr="00F25A60">
        <w:rPr>
          <w:b/>
          <w:bCs/>
          <w:color w:val="000000"/>
        </w:rPr>
        <w:tab/>
        <w:t xml:space="preserve">ZVLÁŠTNÍ UPOZORNĚNÍ, ŽE LÉČIVÝ PŘÍPRAVEK MUSÍ BÝT UCHOVÁVÁN MIMO </w:t>
      </w:r>
      <w:r w:rsidR="00B00096" w:rsidRPr="00F25A60">
        <w:rPr>
          <w:b/>
          <w:bCs/>
          <w:color w:val="000000"/>
        </w:rPr>
        <w:t xml:space="preserve">DOHLED A </w:t>
      </w:r>
      <w:r w:rsidRPr="00F25A60">
        <w:rPr>
          <w:b/>
          <w:bCs/>
          <w:color w:val="000000"/>
        </w:rPr>
        <w:t>DOSAH DĚTÍ</w:t>
      </w:r>
    </w:p>
    <w:p w14:paraId="5FFF233F" w14:textId="77777777" w:rsidR="00E61A01" w:rsidRPr="00F25A60" w:rsidRDefault="00E61A01" w:rsidP="005C56E6">
      <w:pPr>
        <w:widowControl w:val="0"/>
        <w:tabs>
          <w:tab w:val="clear" w:pos="567"/>
        </w:tabs>
        <w:spacing w:line="240" w:lineRule="auto"/>
      </w:pPr>
    </w:p>
    <w:p w14:paraId="59F82038" w14:textId="77777777" w:rsidR="00E61A01" w:rsidRPr="00F25A60" w:rsidRDefault="00E61A01" w:rsidP="005C56E6">
      <w:pPr>
        <w:widowControl w:val="0"/>
        <w:tabs>
          <w:tab w:val="clear" w:pos="567"/>
        </w:tabs>
        <w:spacing w:line="240" w:lineRule="auto"/>
        <w:rPr>
          <w:color w:val="000000"/>
        </w:rPr>
      </w:pPr>
      <w:r w:rsidRPr="00F25A60">
        <w:rPr>
          <w:color w:val="000000"/>
        </w:rPr>
        <w:t xml:space="preserve">Uchovávejte mimo </w:t>
      </w:r>
      <w:r w:rsidR="00B00096" w:rsidRPr="00F25A60">
        <w:rPr>
          <w:color w:val="000000"/>
        </w:rPr>
        <w:t xml:space="preserve">dohled a </w:t>
      </w:r>
      <w:r w:rsidRPr="00F25A60">
        <w:rPr>
          <w:color w:val="000000"/>
        </w:rPr>
        <w:t>dosah dětí.</w:t>
      </w:r>
    </w:p>
    <w:p w14:paraId="1EF8F99C" w14:textId="77777777" w:rsidR="00E61A01" w:rsidRPr="00F25A60" w:rsidRDefault="00E61A01" w:rsidP="005C56E6">
      <w:pPr>
        <w:widowControl w:val="0"/>
        <w:tabs>
          <w:tab w:val="clear" w:pos="567"/>
        </w:tabs>
        <w:spacing w:line="240" w:lineRule="auto"/>
        <w:rPr>
          <w:color w:val="000000"/>
        </w:rPr>
      </w:pPr>
    </w:p>
    <w:p w14:paraId="508C9369" w14:textId="77777777" w:rsidR="00E61A01" w:rsidRPr="00F25A60" w:rsidRDefault="00E61A01" w:rsidP="005C56E6">
      <w:pPr>
        <w:widowControl w:val="0"/>
        <w:tabs>
          <w:tab w:val="clear" w:pos="567"/>
        </w:tabs>
        <w:spacing w:line="240" w:lineRule="auto"/>
        <w:rPr>
          <w:color w:val="000000"/>
        </w:rPr>
      </w:pPr>
    </w:p>
    <w:p w14:paraId="3C0016C2"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7.</w:t>
      </w:r>
      <w:r w:rsidRPr="00F25A60">
        <w:rPr>
          <w:b/>
          <w:bCs/>
          <w:color w:val="000000"/>
        </w:rPr>
        <w:tab/>
        <w:t>DALŠÍ ZVLÁŠTNÍ UPOZORNĚNÍ, POKUD JE POTŘEBNÉ</w:t>
      </w:r>
    </w:p>
    <w:p w14:paraId="6A75F4BA" w14:textId="77777777" w:rsidR="00E61A01" w:rsidRPr="00F25A60" w:rsidRDefault="00E61A01" w:rsidP="005C56E6">
      <w:pPr>
        <w:widowControl w:val="0"/>
        <w:tabs>
          <w:tab w:val="clear" w:pos="567"/>
        </w:tabs>
        <w:spacing w:line="240" w:lineRule="auto"/>
      </w:pPr>
    </w:p>
    <w:p w14:paraId="4A3A851F" w14:textId="77777777" w:rsidR="00E61A01" w:rsidRPr="00F25A60" w:rsidRDefault="00E61A01" w:rsidP="005C56E6">
      <w:pPr>
        <w:pStyle w:val="EndnoteText"/>
        <w:widowControl w:val="0"/>
        <w:tabs>
          <w:tab w:val="clear" w:pos="567"/>
        </w:tabs>
        <w:rPr>
          <w:color w:val="000000"/>
        </w:rPr>
      </w:pPr>
      <w:r w:rsidRPr="00F25A60">
        <w:rPr>
          <w:color w:val="000000"/>
        </w:rPr>
        <w:t>Užívejte pouze podle doporučení lékaře.</w:t>
      </w:r>
    </w:p>
    <w:p w14:paraId="4211D246" w14:textId="77777777" w:rsidR="00E61A01" w:rsidRPr="00F25A60" w:rsidRDefault="00E61A01" w:rsidP="005C56E6">
      <w:pPr>
        <w:widowControl w:val="0"/>
        <w:tabs>
          <w:tab w:val="clear" w:pos="567"/>
        </w:tabs>
        <w:spacing w:line="240" w:lineRule="auto"/>
        <w:rPr>
          <w:color w:val="000000"/>
        </w:rPr>
      </w:pPr>
    </w:p>
    <w:p w14:paraId="40BCA35E" w14:textId="77777777" w:rsidR="00E61A01" w:rsidRPr="00F25A60" w:rsidRDefault="00E61A01" w:rsidP="005C56E6">
      <w:pPr>
        <w:widowControl w:val="0"/>
        <w:tabs>
          <w:tab w:val="clear" w:pos="567"/>
        </w:tabs>
        <w:spacing w:line="240" w:lineRule="auto"/>
        <w:rPr>
          <w:color w:val="000000"/>
        </w:rPr>
      </w:pPr>
    </w:p>
    <w:p w14:paraId="1FD4221F"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8.</w:t>
      </w:r>
      <w:r w:rsidRPr="00F25A60">
        <w:rPr>
          <w:b/>
          <w:bCs/>
          <w:color w:val="000000"/>
        </w:rPr>
        <w:tab/>
        <w:t>POUŽITELNOST</w:t>
      </w:r>
    </w:p>
    <w:p w14:paraId="282DB1FD" w14:textId="77777777" w:rsidR="00E61A01" w:rsidRPr="00F25A60" w:rsidRDefault="00E61A01" w:rsidP="005C56E6">
      <w:pPr>
        <w:widowControl w:val="0"/>
        <w:tabs>
          <w:tab w:val="clear" w:pos="567"/>
        </w:tabs>
        <w:spacing w:line="240" w:lineRule="auto"/>
      </w:pPr>
    </w:p>
    <w:p w14:paraId="7C120F9F" w14:textId="77777777" w:rsidR="00E61A01" w:rsidRPr="00F25A60" w:rsidRDefault="00E61A01" w:rsidP="005C56E6">
      <w:pPr>
        <w:pStyle w:val="EndnoteText"/>
        <w:widowControl w:val="0"/>
        <w:tabs>
          <w:tab w:val="clear" w:pos="567"/>
        </w:tabs>
        <w:rPr>
          <w:color w:val="000000"/>
        </w:rPr>
      </w:pPr>
      <w:r w:rsidRPr="00F25A60">
        <w:rPr>
          <w:color w:val="000000"/>
        </w:rPr>
        <w:t>EXP</w:t>
      </w:r>
    </w:p>
    <w:p w14:paraId="5BEE495C" w14:textId="77777777" w:rsidR="00E61A01" w:rsidRPr="00F25A60" w:rsidRDefault="00E61A01" w:rsidP="005C56E6">
      <w:pPr>
        <w:widowControl w:val="0"/>
        <w:tabs>
          <w:tab w:val="clear" w:pos="567"/>
        </w:tabs>
        <w:spacing w:line="240" w:lineRule="auto"/>
        <w:rPr>
          <w:color w:val="000000"/>
        </w:rPr>
      </w:pPr>
    </w:p>
    <w:p w14:paraId="5F813F56" w14:textId="77777777" w:rsidR="00E61A01" w:rsidRPr="00F25A60" w:rsidRDefault="00E61A01" w:rsidP="005C56E6">
      <w:pPr>
        <w:widowControl w:val="0"/>
        <w:tabs>
          <w:tab w:val="clear" w:pos="567"/>
        </w:tabs>
        <w:spacing w:line="240" w:lineRule="auto"/>
        <w:rPr>
          <w:color w:val="000000"/>
        </w:rPr>
      </w:pPr>
    </w:p>
    <w:p w14:paraId="7C67BC2D" w14:textId="77777777" w:rsidR="00E61A01" w:rsidRPr="00F25A60" w:rsidRDefault="00E61A01" w:rsidP="005C56E6">
      <w:pPr>
        <w:keepNext/>
        <w:keepLines/>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9.</w:t>
      </w:r>
      <w:r w:rsidRPr="00F25A60">
        <w:rPr>
          <w:b/>
          <w:bCs/>
          <w:color w:val="000000"/>
        </w:rPr>
        <w:tab/>
        <w:t>ZVLÁŠTNÍ PODMÍNKY PRO UCHOVÁVÁNÍ</w:t>
      </w:r>
    </w:p>
    <w:p w14:paraId="32AB06CE" w14:textId="77777777" w:rsidR="00E61A01" w:rsidRPr="00F25A60" w:rsidRDefault="00E61A01" w:rsidP="005C56E6">
      <w:pPr>
        <w:keepNext/>
        <w:keepLines/>
        <w:widowControl w:val="0"/>
        <w:tabs>
          <w:tab w:val="clear" w:pos="567"/>
        </w:tabs>
        <w:spacing w:line="240" w:lineRule="auto"/>
      </w:pPr>
    </w:p>
    <w:p w14:paraId="6630DB6F" w14:textId="77777777" w:rsidR="00E61A01" w:rsidRPr="00F25A60" w:rsidRDefault="00E61A01" w:rsidP="005C56E6">
      <w:pPr>
        <w:pStyle w:val="Text"/>
        <w:keepNext/>
        <w:keepLines/>
        <w:widowControl w:val="0"/>
        <w:spacing w:before="0"/>
        <w:jc w:val="left"/>
        <w:rPr>
          <w:color w:val="000000"/>
          <w:sz w:val="22"/>
          <w:szCs w:val="22"/>
          <w:lang w:val="cs-CZ"/>
        </w:rPr>
      </w:pPr>
      <w:r w:rsidRPr="00F25A60">
        <w:rPr>
          <w:color w:val="000000"/>
          <w:sz w:val="22"/>
          <w:szCs w:val="22"/>
          <w:lang w:val="cs-CZ"/>
        </w:rPr>
        <w:t>Neuchovávejte při teplotě nad 30</w:t>
      </w:r>
      <w:r w:rsidR="00242082" w:rsidRPr="00F25A60">
        <w:rPr>
          <w:color w:val="000000"/>
          <w:sz w:val="22"/>
          <w:szCs w:val="22"/>
          <w:lang w:val="cs-CZ"/>
        </w:rPr>
        <w:t> </w:t>
      </w:r>
      <w:r w:rsidRPr="00F25A60">
        <w:rPr>
          <w:rFonts w:ascii="Symbol" w:hAnsi="Symbol"/>
          <w:color w:val="000000"/>
          <w:sz w:val="22"/>
          <w:szCs w:val="22"/>
          <w:lang w:val="cs-CZ"/>
        </w:rPr>
        <w:t></w:t>
      </w:r>
      <w:r w:rsidRPr="00F25A60">
        <w:rPr>
          <w:color w:val="000000"/>
          <w:sz w:val="22"/>
          <w:szCs w:val="22"/>
          <w:lang w:val="cs-CZ"/>
        </w:rPr>
        <w:t>C. Uchovávejte v původním obalu, aby byl přípravek chráněn před vlhkostí.</w:t>
      </w:r>
    </w:p>
    <w:p w14:paraId="7B5F1FEA" w14:textId="77777777" w:rsidR="00E61A01" w:rsidRPr="00F25A60" w:rsidRDefault="00E61A01" w:rsidP="005C56E6">
      <w:pPr>
        <w:widowControl w:val="0"/>
        <w:tabs>
          <w:tab w:val="clear" w:pos="567"/>
        </w:tabs>
        <w:spacing w:line="240" w:lineRule="auto"/>
        <w:rPr>
          <w:color w:val="000000"/>
        </w:rPr>
      </w:pPr>
    </w:p>
    <w:p w14:paraId="0B58581C" w14:textId="77777777" w:rsidR="00E61A01" w:rsidRPr="00F25A60" w:rsidRDefault="00E61A01" w:rsidP="005C56E6">
      <w:pPr>
        <w:widowControl w:val="0"/>
        <w:tabs>
          <w:tab w:val="clear" w:pos="567"/>
        </w:tabs>
        <w:spacing w:line="240" w:lineRule="auto"/>
        <w:rPr>
          <w:color w:val="000000"/>
        </w:rPr>
      </w:pPr>
    </w:p>
    <w:p w14:paraId="5738E6A3"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lastRenderedPageBreak/>
        <w:t>10.</w:t>
      </w:r>
      <w:r w:rsidRPr="00F25A60">
        <w:rPr>
          <w:b/>
          <w:bCs/>
          <w:color w:val="000000"/>
        </w:rPr>
        <w:tab/>
        <w:t>ZVLÁŠTNÍ OPATŘENÍ PRO LIKVIDACI NEPOUŽITÝCH LÉČIVÝCH PŘÍPRAVKŮ NEBO ODPADU Z </w:t>
      </w:r>
      <w:r w:rsidR="00B00096" w:rsidRPr="00F25A60">
        <w:rPr>
          <w:b/>
          <w:bCs/>
          <w:color w:val="000000"/>
        </w:rPr>
        <w:t>NICH</w:t>
      </w:r>
      <w:r w:rsidRPr="00F25A60">
        <w:rPr>
          <w:b/>
          <w:bCs/>
          <w:color w:val="000000"/>
        </w:rPr>
        <w:t>, POKUD JE TO VHODNÉ</w:t>
      </w:r>
    </w:p>
    <w:p w14:paraId="3CF4EB75" w14:textId="77777777" w:rsidR="00E61A01" w:rsidRPr="00F25A60" w:rsidRDefault="00E61A01" w:rsidP="005C56E6">
      <w:pPr>
        <w:widowControl w:val="0"/>
        <w:tabs>
          <w:tab w:val="clear" w:pos="567"/>
        </w:tabs>
        <w:spacing w:line="240" w:lineRule="auto"/>
      </w:pPr>
    </w:p>
    <w:p w14:paraId="1AF9C518" w14:textId="77777777" w:rsidR="00E61A01" w:rsidRPr="00F25A60" w:rsidRDefault="00E61A01" w:rsidP="005C56E6">
      <w:pPr>
        <w:widowControl w:val="0"/>
        <w:tabs>
          <w:tab w:val="clear" w:pos="567"/>
        </w:tabs>
        <w:spacing w:line="240" w:lineRule="auto"/>
        <w:rPr>
          <w:color w:val="000000"/>
        </w:rPr>
      </w:pPr>
    </w:p>
    <w:p w14:paraId="7B0AD82C"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11.</w:t>
      </w:r>
      <w:r w:rsidRPr="00F25A60">
        <w:rPr>
          <w:b/>
          <w:bCs/>
          <w:color w:val="000000"/>
        </w:rPr>
        <w:tab/>
        <w:t>NÁZEV A ADRESA DRŽITELE ROZHODNUTÍ O REGISTRACI</w:t>
      </w:r>
    </w:p>
    <w:p w14:paraId="6A140180" w14:textId="77777777" w:rsidR="00E61A01" w:rsidRPr="00F25A60" w:rsidRDefault="00E61A01" w:rsidP="005C56E6">
      <w:pPr>
        <w:widowControl w:val="0"/>
        <w:tabs>
          <w:tab w:val="clear" w:pos="567"/>
        </w:tabs>
        <w:spacing w:line="240" w:lineRule="auto"/>
      </w:pPr>
    </w:p>
    <w:p w14:paraId="1C8A6C89" w14:textId="77777777" w:rsidR="00E61A01" w:rsidRPr="00F25A60" w:rsidRDefault="00E61A01" w:rsidP="005C56E6">
      <w:pPr>
        <w:pStyle w:val="EndnoteText"/>
        <w:widowControl w:val="0"/>
        <w:tabs>
          <w:tab w:val="clear" w:pos="567"/>
        </w:tabs>
        <w:rPr>
          <w:color w:val="000000"/>
        </w:rPr>
      </w:pPr>
      <w:r w:rsidRPr="00F25A60">
        <w:rPr>
          <w:color w:val="000000"/>
        </w:rPr>
        <w:t>Novartis Europharm Limited</w:t>
      </w:r>
    </w:p>
    <w:p w14:paraId="05727FDE" w14:textId="77777777" w:rsidR="00F05B3D" w:rsidRPr="00F25A60" w:rsidRDefault="00F05B3D" w:rsidP="005C56E6">
      <w:pPr>
        <w:keepNext/>
        <w:widowControl w:val="0"/>
        <w:spacing w:line="240" w:lineRule="auto"/>
        <w:rPr>
          <w:color w:val="000000"/>
        </w:rPr>
      </w:pPr>
      <w:r w:rsidRPr="00F25A60">
        <w:rPr>
          <w:color w:val="000000"/>
        </w:rPr>
        <w:t>Vista Building</w:t>
      </w:r>
    </w:p>
    <w:p w14:paraId="14A00EB0" w14:textId="77777777" w:rsidR="00F05B3D" w:rsidRPr="00F25A60" w:rsidRDefault="00F05B3D" w:rsidP="005C56E6">
      <w:pPr>
        <w:keepNext/>
        <w:widowControl w:val="0"/>
        <w:spacing w:line="240" w:lineRule="auto"/>
        <w:rPr>
          <w:color w:val="000000"/>
        </w:rPr>
      </w:pPr>
      <w:r w:rsidRPr="00F25A60">
        <w:rPr>
          <w:color w:val="000000"/>
        </w:rPr>
        <w:t>Elm Park, Merrion Road</w:t>
      </w:r>
    </w:p>
    <w:p w14:paraId="5B6041C3" w14:textId="77777777" w:rsidR="00F05B3D" w:rsidRPr="00F25A60" w:rsidRDefault="00F05B3D" w:rsidP="005C56E6">
      <w:pPr>
        <w:keepNext/>
        <w:widowControl w:val="0"/>
        <w:spacing w:line="240" w:lineRule="auto"/>
        <w:rPr>
          <w:color w:val="000000"/>
        </w:rPr>
      </w:pPr>
      <w:r w:rsidRPr="00F25A60">
        <w:rPr>
          <w:color w:val="000000"/>
        </w:rPr>
        <w:t>Dublin 4</w:t>
      </w:r>
    </w:p>
    <w:p w14:paraId="16C7CF27" w14:textId="77777777" w:rsidR="00E61A01" w:rsidRPr="00F25A60" w:rsidRDefault="00F05B3D" w:rsidP="005C56E6">
      <w:pPr>
        <w:widowControl w:val="0"/>
        <w:spacing w:line="240" w:lineRule="auto"/>
        <w:rPr>
          <w:color w:val="000000"/>
        </w:rPr>
      </w:pPr>
      <w:r w:rsidRPr="00F25A60">
        <w:rPr>
          <w:color w:val="000000"/>
        </w:rPr>
        <w:t>Irsko</w:t>
      </w:r>
    </w:p>
    <w:p w14:paraId="0A62C192" w14:textId="77777777" w:rsidR="00E61A01" w:rsidRPr="00F25A60" w:rsidRDefault="00E61A01" w:rsidP="005C56E6">
      <w:pPr>
        <w:widowControl w:val="0"/>
        <w:tabs>
          <w:tab w:val="clear" w:pos="567"/>
        </w:tabs>
        <w:spacing w:line="240" w:lineRule="auto"/>
        <w:rPr>
          <w:color w:val="000000"/>
        </w:rPr>
      </w:pPr>
    </w:p>
    <w:p w14:paraId="09A8AC93" w14:textId="77777777" w:rsidR="00E61A01" w:rsidRPr="00F25A60" w:rsidRDefault="00E61A01" w:rsidP="005C56E6">
      <w:pPr>
        <w:widowControl w:val="0"/>
        <w:tabs>
          <w:tab w:val="clear" w:pos="567"/>
        </w:tabs>
        <w:spacing w:line="240" w:lineRule="auto"/>
        <w:rPr>
          <w:color w:val="000000"/>
        </w:rPr>
      </w:pPr>
    </w:p>
    <w:p w14:paraId="26F12F2A"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12.</w:t>
      </w:r>
      <w:r w:rsidRPr="00F25A60">
        <w:rPr>
          <w:b/>
          <w:bCs/>
          <w:color w:val="000000"/>
        </w:rPr>
        <w:tab/>
        <w:t>REGISTRAČNÍ ČÍSLO</w:t>
      </w:r>
      <w:r w:rsidR="00B00096" w:rsidRPr="00F25A60">
        <w:rPr>
          <w:b/>
          <w:bCs/>
          <w:color w:val="000000"/>
        </w:rPr>
        <w:t>/ČÍSLA</w:t>
      </w:r>
    </w:p>
    <w:p w14:paraId="0DAB14BC" w14:textId="77777777" w:rsidR="00E61A01" w:rsidRPr="00F25A60" w:rsidRDefault="00E61A01" w:rsidP="005C56E6">
      <w:pPr>
        <w:widowControl w:val="0"/>
        <w:tabs>
          <w:tab w:val="clear" w:pos="567"/>
        </w:tabs>
        <w:spacing w:line="240" w:lineRule="auto"/>
      </w:pPr>
    </w:p>
    <w:p w14:paraId="774725CB" w14:textId="77777777" w:rsidR="00E61A01" w:rsidRPr="00F25A60" w:rsidRDefault="00E61A01" w:rsidP="005C56E6">
      <w:pPr>
        <w:pStyle w:val="EndnoteText"/>
        <w:widowControl w:val="0"/>
        <w:tabs>
          <w:tab w:val="clear" w:pos="567"/>
          <w:tab w:val="left" w:pos="2268"/>
        </w:tabs>
        <w:rPr>
          <w:color w:val="000000"/>
          <w:shd w:val="clear" w:color="auto" w:fill="D9D9D9"/>
        </w:rPr>
      </w:pPr>
      <w:r w:rsidRPr="00F25A60">
        <w:rPr>
          <w:color w:val="000000"/>
        </w:rPr>
        <w:t>EU/1/01/198/007</w:t>
      </w:r>
      <w:r w:rsidRPr="00F25A60">
        <w:rPr>
          <w:color w:val="000000"/>
        </w:rPr>
        <w:tab/>
      </w:r>
      <w:r w:rsidRPr="00F25A60">
        <w:rPr>
          <w:color w:val="000000"/>
          <w:shd w:val="clear" w:color="auto" w:fill="D9D9D9"/>
        </w:rPr>
        <w:t>20 tablet</w:t>
      </w:r>
      <w:r w:rsidR="007A4522" w:rsidRPr="00F25A60">
        <w:rPr>
          <w:color w:val="000000"/>
          <w:shd w:val="clear" w:color="auto" w:fill="D9D9D9"/>
        </w:rPr>
        <w:t xml:space="preserve"> </w:t>
      </w:r>
      <w:r w:rsidR="007A4522" w:rsidRPr="00F25A60">
        <w:rPr>
          <w:color w:val="000000"/>
          <w:shd w:val="pct15" w:color="auto" w:fill="auto"/>
        </w:rPr>
        <w:t>(PVC/Al blistry)</w:t>
      </w:r>
    </w:p>
    <w:p w14:paraId="7F81D11B" w14:textId="77777777" w:rsidR="00E61A01" w:rsidRPr="00F25A60" w:rsidRDefault="00E61A01" w:rsidP="005C56E6">
      <w:pPr>
        <w:widowControl w:val="0"/>
        <w:tabs>
          <w:tab w:val="clear" w:pos="567"/>
          <w:tab w:val="left" w:pos="2268"/>
        </w:tabs>
        <w:spacing w:line="240" w:lineRule="auto"/>
        <w:rPr>
          <w:color w:val="000000"/>
          <w:shd w:val="clear" w:color="auto" w:fill="D9D9D9"/>
        </w:rPr>
      </w:pPr>
      <w:r w:rsidRPr="00F25A60">
        <w:rPr>
          <w:color w:val="000000"/>
          <w:shd w:val="clear" w:color="auto" w:fill="D9D9D9"/>
        </w:rPr>
        <w:t>EU/1/01/198/008</w:t>
      </w:r>
      <w:r w:rsidRPr="00F25A60">
        <w:rPr>
          <w:color w:val="000000"/>
          <w:shd w:val="clear" w:color="auto" w:fill="D9D9D9"/>
        </w:rPr>
        <w:tab/>
        <w:t>60 tablet</w:t>
      </w:r>
      <w:r w:rsidR="007A4522" w:rsidRPr="00F25A60">
        <w:rPr>
          <w:color w:val="000000"/>
          <w:shd w:val="clear" w:color="auto" w:fill="D9D9D9"/>
        </w:rPr>
        <w:t xml:space="preserve"> </w:t>
      </w:r>
      <w:r w:rsidR="007A4522" w:rsidRPr="00F25A60">
        <w:rPr>
          <w:color w:val="000000"/>
          <w:shd w:val="pct15" w:color="auto" w:fill="auto"/>
        </w:rPr>
        <w:t>(PVC/Al blistry)</w:t>
      </w:r>
    </w:p>
    <w:p w14:paraId="323FFC75" w14:textId="77777777" w:rsidR="00E61A01" w:rsidRPr="00F25A60" w:rsidRDefault="00E61A01" w:rsidP="005C56E6">
      <w:pPr>
        <w:widowControl w:val="0"/>
        <w:tabs>
          <w:tab w:val="clear" w:pos="567"/>
          <w:tab w:val="left" w:pos="2268"/>
        </w:tabs>
        <w:spacing w:line="240" w:lineRule="auto"/>
        <w:rPr>
          <w:color w:val="000000"/>
          <w:shd w:val="clear" w:color="auto" w:fill="D9D9D9"/>
        </w:rPr>
      </w:pPr>
      <w:r w:rsidRPr="00F25A60">
        <w:rPr>
          <w:color w:val="000000"/>
          <w:shd w:val="clear" w:color="auto" w:fill="D9D9D9"/>
        </w:rPr>
        <w:t>EU/1/01/198/011</w:t>
      </w:r>
      <w:r w:rsidRPr="00F25A60">
        <w:rPr>
          <w:color w:val="000000"/>
          <w:shd w:val="clear" w:color="auto" w:fill="D9D9D9"/>
        </w:rPr>
        <w:tab/>
        <w:t>120 tablet</w:t>
      </w:r>
      <w:r w:rsidR="007A4522" w:rsidRPr="00F25A60">
        <w:rPr>
          <w:color w:val="000000"/>
          <w:shd w:val="clear" w:color="auto" w:fill="D9D9D9"/>
        </w:rPr>
        <w:t xml:space="preserve"> </w:t>
      </w:r>
      <w:r w:rsidR="007A4522" w:rsidRPr="00F25A60">
        <w:rPr>
          <w:color w:val="000000"/>
          <w:shd w:val="pct15" w:color="auto" w:fill="auto"/>
        </w:rPr>
        <w:t>(PVC/Al blistry)</w:t>
      </w:r>
    </w:p>
    <w:p w14:paraId="5BC4F3E3" w14:textId="77777777" w:rsidR="00E61A01" w:rsidRPr="00F25A60" w:rsidRDefault="00E61A01" w:rsidP="005C56E6">
      <w:pPr>
        <w:widowControl w:val="0"/>
        <w:tabs>
          <w:tab w:val="clear" w:pos="567"/>
          <w:tab w:val="left" w:pos="2268"/>
        </w:tabs>
        <w:spacing w:line="240" w:lineRule="auto"/>
        <w:rPr>
          <w:color w:val="000000"/>
          <w:shd w:val="clear" w:color="auto" w:fill="D9D9D9"/>
        </w:rPr>
      </w:pPr>
      <w:r w:rsidRPr="00F25A60">
        <w:rPr>
          <w:color w:val="000000"/>
          <w:shd w:val="clear" w:color="auto" w:fill="D9D9D9"/>
        </w:rPr>
        <w:t>EU/1/01/198/012</w:t>
      </w:r>
      <w:r w:rsidRPr="00F25A60">
        <w:rPr>
          <w:color w:val="000000"/>
          <w:shd w:val="clear" w:color="auto" w:fill="D9D9D9"/>
        </w:rPr>
        <w:tab/>
        <w:t>180 tablet</w:t>
      </w:r>
      <w:r w:rsidR="007A4522" w:rsidRPr="00F25A60">
        <w:rPr>
          <w:color w:val="000000"/>
          <w:shd w:val="clear" w:color="auto" w:fill="D9D9D9"/>
        </w:rPr>
        <w:t xml:space="preserve"> </w:t>
      </w:r>
      <w:r w:rsidR="007A4522" w:rsidRPr="00F25A60">
        <w:rPr>
          <w:color w:val="000000"/>
          <w:shd w:val="pct15" w:color="auto" w:fill="auto"/>
        </w:rPr>
        <w:t>(PVC/Al blistry)</w:t>
      </w:r>
    </w:p>
    <w:p w14:paraId="2DCD2E12" w14:textId="77777777" w:rsidR="007A4522" w:rsidRPr="00F25A60" w:rsidRDefault="007A4522" w:rsidP="005C56E6">
      <w:pPr>
        <w:widowControl w:val="0"/>
        <w:tabs>
          <w:tab w:val="clear" w:pos="567"/>
        </w:tabs>
        <w:spacing w:line="240" w:lineRule="auto"/>
        <w:ind w:left="2268" w:hanging="2268"/>
        <w:rPr>
          <w:color w:val="000000"/>
          <w:shd w:val="clear" w:color="auto" w:fill="D9D9D9"/>
        </w:rPr>
      </w:pPr>
      <w:r w:rsidRPr="00F25A60">
        <w:rPr>
          <w:color w:val="000000"/>
          <w:shd w:val="clear" w:color="auto" w:fill="D9D9D9"/>
        </w:rPr>
        <w:t>EU/1/01/198/01</w:t>
      </w:r>
      <w:r w:rsidR="004A3DDA" w:rsidRPr="00F25A60">
        <w:rPr>
          <w:color w:val="000000"/>
          <w:shd w:val="clear" w:color="auto" w:fill="D9D9D9"/>
        </w:rPr>
        <w:t>4</w:t>
      </w:r>
      <w:r w:rsidRPr="00F25A60">
        <w:rPr>
          <w:color w:val="000000"/>
          <w:shd w:val="clear" w:color="auto" w:fill="D9D9D9"/>
        </w:rPr>
        <w:tab/>
      </w:r>
      <w:r w:rsidR="004A3DDA" w:rsidRPr="00F25A60">
        <w:rPr>
          <w:color w:val="000000"/>
          <w:shd w:val="clear" w:color="auto" w:fill="D9D9D9"/>
        </w:rPr>
        <w:t>6</w:t>
      </w:r>
      <w:r w:rsidRPr="00F25A60">
        <w:rPr>
          <w:color w:val="000000"/>
          <w:shd w:val="clear" w:color="auto" w:fill="D9D9D9"/>
        </w:rPr>
        <w:t xml:space="preserve">0 tablet </w:t>
      </w:r>
      <w:r w:rsidRPr="00F25A60">
        <w:rPr>
          <w:color w:val="000000"/>
          <w:shd w:val="pct15" w:color="auto" w:fill="auto"/>
        </w:rPr>
        <w:t>(PVDC/Al blistry)</w:t>
      </w:r>
    </w:p>
    <w:p w14:paraId="336D43E1" w14:textId="77777777" w:rsidR="007A4522" w:rsidRPr="00F25A60" w:rsidRDefault="007A4522" w:rsidP="005C56E6">
      <w:pPr>
        <w:widowControl w:val="0"/>
        <w:tabs>
          <w:tab w:val="clear" w:pos="567"/>
        </w:tabs>
        <w:spacing w:line="240" w:lineRule="auto"/>
        <w:ind w:left="2268" w:hanging="2268"/>
        <w:rPr>
          <w:color w:val="000000"/>
          <w:shd w:val="clear" w:color="auto" w:fill="D9D9D9"/>
        </w:rPr>
      </w:pPr>
      <w:r w:rsidRPr="00F25A60">
        <w:rPr>
          <w:color w:val="000000"/>
          <w:shd w:val="clear" w:color="auto" w:fill="D9D9D9"/>
        </w:rPr>
        <w:t>EU/1/01/198/01</w:t>
      </w:r>
      <w:r w:rsidR="004A3DDA" w:rsidRPr="00F25A60">
        <w:rPr>
          <w:color w:val="000000"/>
          <w:shd w:val="clear" w:color="auto" w:fill="D9D9D9"/>
        </w:rPr>
        <w:t>5</w:t>
      </w:r>
      <w:r w:rsidRPr="00F25A60">
        <w:rPr>
          <w:color w:val="000000"/>
          <w:shd w:val="clear" w:color="auto" w:fill="D9D9D9"/>
        </w:rPr>
        <w:tab/>
        <w:t>1</w:t>
      </w:r>
      <w:r w:rsidR="004A3DDA" w:rsidRPr="00F25A60">
        <w:rPr>
          <w:color w:val="000000"/>
          <w:shd w:val="clear" w:color="auto" w:fill="D9D9D9"/>
        </w:rPr>
        <w:t>2</w:t>
      </w:r>
      <w:r w:rsidRPr="00F25A60">
        <w:rPr>
          <w:color w:val="000000"/>
          <w:shd w:val="clear" w:color="auto" w:fill="D9D9D9"/>
        </w:rPr>
        <w:t xml:space="preserve">0 tablet </w:t>
      </w:r>
      <w:r w:rsidRPr="00F25A60">
        <w:rPr>
          <w:color w:val="000000"/>
          <w:shd w:val="pct15" w:color="auto" w:fill="auto"/>
        </w:rPr>
        <w:t>(PVDC/Al blistry)</w:t>
      </w:r>
    </w:p>
    <w:p w14:paraId="01D1D254" w14:textId="77777777" w:rsidR="00C40642" w:rsidRPr="00F25A60" w:rsidRDefault="00C40642" w:rsidP="005C56E6">
      <w:pPr>
        <w:widowControl w:val="0"/>
        <w:tabs>
          <w:tab w:val="clear" w:pos="567"/>
          <w:tab w:val="left" w:pos="2268"/>
        </w:tabs>
        <w:spacing w:line="240" w:lineRule="auto"/>
        <w:rPr>
          <w:color w:val="000000"/>
          <w:shd w:val="clear" w:color="auto" w:fill="D9D9D9"/>
        </w:rPr>
      </w:pPr>
      <w:r w:rsidRPr="00F25A60">
        <w:rPr>
          <w:color w:val="000000"/>
          <w:shd w:val="clear" w:color="auto" w:fill="D9D9D9"/>
        </w:rPr>
        <w:t>EU/1/01/198/01</w:t>
      </w:r>
      <w:r w:rsidR="004A3DDA" w:rsidRPr="00F25A60">
        <w:rPr>
          <w:color w:val="000000"/>
          <w:shd w:val="clear" w:color="auto" w:fill="D9D9D9"/>
        </w:rPr>
        <w:t>6</w:t>
      </w:r>
      <w:r w:rsidRPr="00F25A60">
        <w:rPr>
          <w:color w:val="000000"/>
          <w:shd w:val="clear" w:color="auto" w:fill="D9D9D9"/>
        </w:rPr>
        <w:tab/>
      </w:r>
      <w:r w:rsidR="004A3DDA" w:rsidRPr="00F25A60">
        <w:rPr>
          <w:color w:val="000000"/>
          <w:shd w:val="clear" w:color="auto" w:fill="D9D9D9"/>
        </w:rPr>
        <w:t>18</w:t>
      </w:r>
      <w:r w:rsidRPr="00F25A60">
        <w:rPr>
          <w:color w:val="000000"/>
          <w:shd w:val="clear" w:color="auto" w:fill="D9D9D9"/>
        </w:rPr>
        <w:t xml:space="preserve">0 tablet </w:t>
      </w:r>
      <w:r w:rsidRPr="00F25A60">
        <w:rPr>
          <w:color w:val="000000"/>
          <w:shd w:val="pct15" w:color="auto" w:fill="auto"/>
        </w:rPr>
        <w:t>(PVDC/Al blistry)</w:t>
      </w:r>
    </w:p>
    <w:p w14:paraId="697E8DD8" w14:textId="77777777" w:rsidR="00E61A01" w:rsidRPr="00F25A60" w:rsidRDefault="00E61A01" w:rsidP="005C56E6">
      <w:pPr>
        <w:widowControl w:val="0"/>
        <w:tabs>
          <w:tab w:val="clear" w:pos="567"/>
        </w:tabs>
        <w:spacing w:line="240" w:lineRule="auto"/>
        <w:rPr>
          <w:color w:val="000000"/>
        </w:rPr>
      </w:pPr>
    </w:p>
    <w:p w14:paraId="3714938E" w14:textId="77777777" w:rsidR="00E61A01" w:rsidRPr="00F25A60" w:rsidRDefault="00E61A01" w:rsidP="005C56E6">
      <w:pPr>
        <w:widowControl w:val="0"/>
        <w:tabs>
          <w:tab w:val="clear" w:pos="567"/>
        </w:tabs>
        <w:spacing w:line="240" w:lineRule="auto"/>
        <w:rPr>
          <w:color w:val="000000"/>
        </w:rPr>
      </w:pPr>
    </w:p>
    <w:p w14:paraId="2B6D7146"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13.</w:t>
      </w:r>
      <w:r w:rsidRPr="00F25A60">
        <w:rPr>
          <w:b/>
          <w:bCs/>
          <w:color w:val="000000"/>
        </w:rPr>
        <w:tab/>
        <w:t>ČÍSLO ŠARŽE</w:t>
      </w:r>
    </w:p>
    <w:p w14:paraId="209F573C" w14:textId="77777777" w:rsidR="00E61A01" w:rsidRPr="00F25A60" w:rsidRDefault="00E61A01" w:rsidP="005C56E6">
      <w:pPr>
        <w:widowControl w:val="0"/>
        <w:tabs>
          <w:tab w:val="clear" w:pos="567"/>
        </w:tabs>
        <w:spacing w:line="240" w:lineRule="auto"/>
      </w:pPr>
    </w:p>
    <w:p w14:paraId="1BE2533E" w14:textId="5F03FAA1" w:rsidR="00E61A01" w:rsidRPr="00F25A60" w:rsidRDefault="00E42136" w:rsidP="005C56E6">
      <w:pPr>
        <w:widowControl w:val="0"/>
        <w:tabs>
          <w:tab w:val="clear" w:pos="567"/>
        </w:tabs>
        <w:spacing w:line="240" w:lineRule="auto"/>
        <w:rPr>
          <w:color w:val="000000"/>
        </w:rPr>
      </w:pPr>
      <w:r w:rsidRPr="00F25A60">
        <w:rPr>
          <w:color w:val="000000"/>
        </w:rPr>
        <w:t>Lot</w:t>
      </w:r>
    </w:p>
    <w:p w14:paraId="54A03F13" w14:textId="77777777" w:rsidR="00E61A01" w:rsidRPr="00F25A60" w:rsidRDefault="00E61A01" w:rsidP="005C56E6">
      <w:pPr>
        <w:widowControl w:val="0"/>
        <w:tabs>
          <w:tab w:val="clear" w:pos="567"/>
        </w:tabs>
        <w:spacing w:line="240" w:lineRule="auto"/>
        <w:rPr>
          <w:color w:val="000000"/>
        </w:rPr>
      </w:pPr>
    </w:p>
    <w:p w14:paraId="22A095AB" w14:textId="77777777" w:rsidR="00E61A01" w:rsidRPr="00F25A60" w:rsidRDefault="00E61A01" w:rsidP="005C56E6">
      <w:pPr>
        <w:widowControl w:val="0"/>
        <w:tabs>
          <w:tab w:val="clear" w:pos="567"/>
        </w:tabs>
        <w:spacing w:line="240" w:lineRule="auto"/>
        <w:rPr>
          <w:color w:val="000000"/>
        </w:rPr>
      </w:pPr>
    </w:p>
    <w:p w14:paraId="059A8BD4"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14.</w:t>
      </w:r>
      <w:r w:rsidRPr="00F25A60">
        <w:rPr>
          <w:b/>
          <w:bCs/>
          <w:color w:val="000000"/>
        </w:rPr>
        <w:tab/>
        <w:t>KLASIFIKACE PRO VÝDEJ</w:t>
      </w:r>
    </w:p>
    <w:p w14:paraId="14F2FB2A" w14:textId="77777777" w:rsidR="00E61A01" w:rsidRPr="00F25A60" w:rsidRDefault="00E61A01" w:rsidP="005C56E6">
      <w:pPr>
        <w:widowControl w:val="0"/>
        <w:tabs>
          <w:tab w:val="clear" w:pos="567"/>
        </w:tabs>
        <w:spacing w:line="240" w:lineRule="auto"/>
        <w:rPr>
          <w:color w:val="000000"/>
        </w:rPr>
      </w:pPr>
    </w:p>
    <w:p w14:paraId="489A481C" w14:textId="77777777" w:rsidR="00E61A01" w:rsidRPr="00F25A60" w:rsidRDefault="00E61A01" w:rsidP="005C56E6">
      <w:pPr>
        <w:widowControl w:val="0"/>
        <w:tabs>
          <w:tab w:val="clear" w:pos="567"/>
        </w:tabs>
        <w:spacing w:line="240" w:lineRule="auto"/>
        <w:rPr>
          <w:color w:val="000000"/>
        </w:rPr>
      </w:pPr>
    </w:p>
    <w:p w14:paraId="61CD2972"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15.</w:t>
      </w:r>
      <w:r w:rsidRPr="00F25A60">
        <w:rPr>
          <w:b/>
          <w:bCs/>
          <w:color w:val="000000"/>
        </w:rPr>
        <w:tab/>
        <w:t>NÁVOD K POUŽITÍ</w:t>
      </w:r>
    </w:p>
    <w:p w14:paraId="16BBDB00" w14:textId="77777777" w:rsidR="00E61A01" w:rsidRPr="00F25A60" w:rsidRDefault="00E61A01" w:rsidP="005C56E6">
      <w:pPr>
        <w:widowControl w:val="0"/>
        <w:tabs>
          <w:tab w:val="clear" w:pos="567"/>
        </w:tabs>
        <w:spacing w:line="240" w:lineRule="auto"/>
      </w:pPr>
    </w:p>
    <w:p w14:paraId="3FCD47A5" w14:textId="77777777" w:rsidR="00E61A01" w:rsidRPr="00F25A60" w:rsidRDefault="00E61A01" w:rsidP="005C56E6">
      <w:pPr>
        <w:widowControl w:val="0"/>
        <w:tabs>
          <w:tab w:val="clear" w:pos="567"/>
        </w:tabs>
        <w:spacing w:line="240" w:lineRule="auto"/>
        <w:rPr>
          <w:color w:val="000000"/>
        </w:rPr>
      </w:pPr>
    </w:p>
    <w:p w14:paraId="41426B12"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16.</w:t>
      </w:r>
      <w:r w:rsidRPr="00F25A60">
        <w:rPr>
          <w:b/>
          <w:bCs/>
          <w:color w:val="000000"/>
        </w:rPr>
        <w:tab/>
        <w:t>INFORMACE V BRAILLOVĚ PÍSMU</w:t>
      </w:r>
    </w:p>
    <w:p w14:paraId="2C125B1F" w14:textId="77777777" w:rsidR="00E61A01" w:rsidRPr="00F25A60" w:rsidRDefault="00E61A01" w:rsidP="005C56E6">
      <w:pPr>
        <w:widowControl w:val="0"/>
        <w:tabs>
          <w:tab w:val="clear" w:pos="567"/>
        </w:tabs>
        <w:spacing w:line="240" w:lineRule="auto"/>
      </w:pPr>
    </w:p>
    <w:p w14:paraId="573E75F9" w14:textId="77777777" w:rsidR="00E61A01" w:rsidRPr="00F25A60" w:rsidRDefault="00E61A01" w:rsidP="005C56E6">
      <w:pPr>
        <w:widowControl w:val="0"/>
        <w:tabs>
          <w:tab w:val="clear" w:pos="567"/>
        </w:tabs>
        <w:spacing w:line="240" w:lineRule="auto"/>
        <w:rPr>
          <w:color w:val="000000"/>
        </w:rPr>
      </w:pPr>
      <w:r w:rsidRPr="00F25A60">
        <w:rPr>
          <w:color w:val="000000"/>
        </w:rPr>
        <w:t>Glivec 100 mg</w:t>
      </w:r>
    </w:p>
    <w:p w14:paraId="1240B6C3" w14:textId="77777777" w:rsidR="00AC5D70" w:rsidRPr="00F25A60" w:rsidRDefault="00AC5D70" w:rsidP="005C56E6">
      <w:pPr>
        <w:widowControl w:val="0"/>
        <w:tabs>
          <w:tab w:val="clear" w:pos="567"/>
        </w:tabs>
        <w:spacing w:line="240" w:lineRule="auto"/>
        <w:rPr>
          <w:color w:val="000000"/>
        </w:rPr>
      </w:pPr>
    </w:p>
    <w:p w14:paraId="57B0207E" w14:textId="77777777" w:rsidR="0045223D" w:rsidRPr="00F25A60" w:rsidRDefault="0045223D" w:rsidP="005C56E6">
      <w:pPr>
        <w:widowControl w:val="0"/>
        <w:tabs>
          <w:tab w:val="clear" w:pos="567"/>
        </w:tabs>
        <w:spacing w:line="240" w:lineRule="auto"/>
        <w:rPr>
          <w:color w:val="000000"/>
        </w:rPr>
      </w:pPr>
    </w:p>
    <w:p w14:paraId="1ADB70D2" w14:textId="77777777" w:rsidR="0045223D" w:rsidRPr="00F25A60" w:rsidRDefault="0045223D" w:rsidP="005C56E6">
      <w:pPr>
        <w:widowControl w:val="0"/>
        <w:pBdr>
          <w:top w:val="single" w:sz="4" w:space="0" w:color="auto"/>
          <w:left w:val="single" w:sz="4" w:space="4" w:color="auto"/>
          <w:bottom w:val="single" w:sz="4" w:space="1" w:color="auto"/>
          <w:right w:val="single" w:sz="4" w:space="4" w:color="auto"/>
        </w:pBdr>
        <w:tabs>
          <w:tab w:val="clear" w:pos="567"/>
        </w:tabs>
        <w:spacing w:line="240" w:lineRule="auto"/>
        <w:rPr>
          <w:noProof/>
        </w:rPr>
      </w:pPr>
      <w:r w:rsidRPr="00F25A60">
        <w:rPr>
          <w:b/>
          <w:noProof/>
        </w:rPr>
        <w:t>17.</w:t>
      </w:r>
      <w:r w:rsidRPr="00F25A60">
        <w:rPr>
          <w:b/>
          <w:noProof/>
        </w:rPr>
        <w:tab/>
        <w:t>JEDINEČNÝ IDENTIFIKÁTOR – 2D ČÁROVÝ KÓD</w:t>
      </w:r>
    </w:p>
    <w:p w14:paraId="6F83E31B" w14:textId="77777777" w:rsidR="0045223D" w:rsidRPr="00F25A60" w:rsidRDefault="0045223D" w:rsidP="005C56E6">
      <w:pPr>
        <w:keepNext/>
        <w:widowControl w:val="0"/>
        <w:tabs>
          <w:tab w:val="clear" w:pos="567"/>
        </w:tabs>
        <w:spacing w:line="240" w:lineRule="auto"/>
        <w:rPr>
          <w:noProof/>
        </w:rPr>
      </w:pPr>
    </w:p>
    <w:p w14:paraId="31AC7334" w14:textId="77777777" w:rsidR="0045223D" w:rsidRPr="00F25A60" w:rsidRDefault="0045223D" w:rsidP="005C56E6">
      <w:pPr>
        <w:widowControl w:val="0"/>
        <w:tabs>
          <w:tab w:val="clear" w:pos="567"/>
        </w:tabs>
        <w:spacing w:line="240" w:lineRule="auto"/>
        <w:rPr>
          <w:noProof/>
          <w:shd w:val="pct15" w:color="auto" w:fill="auto"/>
        </w:rPr>
      </w:pPr>
      <w:r w:rsidRPr="00F25A60">
        <w:rPr>
          <w:noProof/>
          <w:shd w:val="pct15" w:color="auto" w:fill="auto"/>
        </w:rPr>
        <w:t>2D čárový kód s jedinečným identifikátorem.</w:t>
      </w:r>
    </w:p>
    <w:p w14:paraId="3FCC570D" w14:textId="77777777" w:rsidR="0045223D" w:rsidRPr="00F25A60" w:rsidRDefault="0045223D" w:rsidP="005C56E6">
      <w:pPr>
        <w:widowControl w:val="0"/>
        <w:tabs>
          <w:tab w:val="clear" w:pos="567"/>
        </w:tabs>
        <w:spacing w:line="240" w:lineRule="auto"/>
        <w:rPr>
          <w:noProof/>
          <w:shd w:val="pct15" w:color="auto" w:fill="auto"/>
        </w:rPr>
      </w:pPr>
    </w:p>
    <w:p w14:paraId="1D345A4D" w14:textId="77777777" w:rsidR="0045223D" w:rsidRPr="00F25A60" w:rsidRDefault="0045223D" w:rsidP="005C56E6">
      <w:pPr>
        <w:widowControl w:val="0"/>
        <w:tabs>
          <w:tab w:val="clear" w:pos="567"/>
        </w:tabs>
        <w:spacing w:line="240" w:lineRule="auto"/>
        <w:rPr>
          <w:noProof/>
          <w:u w:val="single"/>
        </w:rPr>
      </w:pPr>
    </w:p>
    <w:p w14:paraId="7C7907DF" w14:textId="77777777" w:rsidR="0045223D" w:rsidRPr="00F25A60" w:rsidRDefault="0045223D" w:rsidP="005C56E6">
      <w:pPr>
        <w:keepLines/>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rPr>
      </w:pPr>
      <w:r w:rsidRPr="00F25A60">
        <w:rPr>
          <w:b/>
          <w:noProof/>
        </w:rPr>
        <w:t>18.</w:t>
      </w:r>
      <w:r w:rsidRPr="00F25A60">
        <w:rPr>
          <w:b/>
          <w:noProof/>
        </w:rPr>
        <w:tab/>
        <w:t>JEDINEČNÝ IDENTIFIKÁTOR – DATA ČITELNÁ OKEM</w:t>
      </w:r>
    </w:p>
    <w:p w14:paraId="4A2FF64A" w14:textId="77777777" w:rsidR="0045223D" w:rsidRPr="00F25A60" w:rsidRDefault="0045223D" w:rsidP="005C56E6">
      <w:pPr>
        <w:keepLines/>
        <w:widowControl w:val="0"/>
        <w:tabs>
          <w:tab w:val="clear" w:pos="567"/>
        </w:tabs>
        <w:spacing w:line="240" w:lineRule="auto"/>
        <w:rPr>
          <w:noProof/>
          <w:u w:val="single"/>
        </w:rPr>
      </w:pPr>
    </w:p>
    <w:p w14:paraId="2D084D86" w14:textId="36B2E5A7" w:rsidR="0045223D" w:rsidRPr="00F25A60" w:rsidRDefault="0045223D" w:rsidP="005C56E6">
      <w:pPr>
        <w:keepLines/>
        <w:widowControl w:val="0"/>
        <w:tabs>
          <w:tab w:val="clear" w:pos="567"/>
        </w:tabs>
        <w:spacing w:line="240" w:lineRule="auto"/>
        <w:rPr>
          <w:noProof/>
        </w:rPr>
      </w:pPr>
      <w:r w:rsidRPr="00F25A60">
        <w:rPr>
          <w:noProof/>
        </w:rPr>
        <w:t>PC</w:t>
      </w:r>
    </w:p>
    <w:p w14:paraId="3292E2F3" w14:textId="0821187B" w:rsidR="0045223D" w:rsidRPr="00F25A60" w:rsidRDefault="0045223D" w:rsidP="005C56E6">
      <w:pPr>
        <w:keepLines/>
        <w:widowControl w:val="0"/>
        <w:tabs>
          <w:tab w:val="clear" w:pos="567"/>
        </w:tabs>
        <w:spacing w:line="240" w:lineRule="auto"/>
        <w:rPr>
          <w:noProof/>
        </w:rPr>
      </w:pPr>
      <w:r w:rsidRPr="00F25A60">
        <w:rPr>
          <w:noProof/>
        </w:rPr>
        <w:t>SN</w:t>
      </w:r>
    </w:p>
    <w:p w14:paraId="481952E1" w14:textId="78B4CDDE" w:rsidR="0045223D" w:rsidRPr="00F25A60" w:rsidRDefault="0045223D" w:rsidP="005C56E6">
      <w:pPr>
        <w:keepLines/>
        <w:widowControl w:val="0"/>
        <w:tabs>
          <w:tab w:val="clear" w:pos="567"/>
        </w:tabs>
        <w:spacing w:line="240" w:lineRule="auto"/>
        <w:rPr>
          <w:noProof/>
        </w:rPr>
      </w:pPr>
      <w:r w:rsidRPr="00571A7B">
        <w:rPr>
          <w:noProof/>
          <w:shd w:val="pct15" w:color="auto" w:fill="auto"/>
        </w:rPr>
        <w:t>NN</w:t>
      </w:r>
    </w:p>
    <w:p w14:paraId="0E8D49F9" w14:textId="77777777" w:rsidR="00E61A01" w:rsidRPr="00F25A60" w:rsidRDefault="00E61A01" w:rsidP="005C56E6">
      <w:pPr>
        <w:widowControl w:val="0"/>
        <w:tabs>
          <w:tab w:val="clear" w:pos="567"/>
        </w:tabs>
        <w:spacing w:line="240" w:lineRule="auto"/>
        <w:rPr>
          <w:color w:val="000000"/>
        </w:rPr>
      </w:pPr>
      <w:r w:rsidRPr="00F25A60">
        <w:rPr>
          <w:color w:val="000000"/>
        </w:rPr>
        <w:br w:type="page"/>
      </w:r>
    </w:p>
    <w:p w14:paraId="5D5B8CD4" w14:textId="77777777" w:rsidR="00EB4FF7" w:rsidRPr="00F25A60" w:rsidRDefault="00EB4FF7" w:rsidP="005C56E6">
      <w:pPr>
        <w:widowControl w:val="0"/>
        <w:tabs>
          <w:tab w:val="clear" w:pos="567"/>
        </w:tabs>
        <w:snapToGrid w:val="0"/>
        <w:spacing w:line="240" w:lineRule="auto"/>
        <w:rPr>
          <w:bCs/>
          <w:color w:val="000000"/>
        </w:rPr>
      </w:pPr>
    </w:p>
    <w:p w14:paraId="1C3683C6"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s>
        <w:snapToGrid w:val="0"/>
        <w:spacing w:line="240" w:lineRule="auto"/>
        <w:rPr>
          <w:b/>
          <w:bCs/>
          <w:color w:val="000000"/>
        </w:rPr>
      </w:pPr>
      <w:r w:rsidRPr="00F25A60">
        <w:rPr>
          <w:b/>
          <w:bCs/>
          <w:color w:val="000000"/>
        </w:rPr>
        <w:t>MINIMÁLNÍ ÚDAJE UVÁDĚNÉ NA BLISTRECH NEBO STRIPECH</w:t>
      </w:r>
    </w:p>
    <w:p w14:paraId="726A05D7"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686EEACF"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color w:val="000000"/>
        </w:rPr>
      </w:pPr>
      <w:r w:rsidRPr="00F25A60">
        <w:rPr>
          <w:b/>
          <w:bCs/>
          <w:color w:val="000000"/>
        </w:rPr>
        <w:t>BLISTRY</w:t>
      </w:r>
    </w:p>
    <w:p w14:paraId="02330203" w14:textId="77777777" w:rsidR="00E61A01" w:rsidRPr="00F25A60" w:rsidRDefault="00E61A01" w:rsidP="005C56E6">
      <w:pPr>
        <w:widowControl w:val="0"/>
        <w:tabs>
          <w:tab w:val="clear" w:pos="567"/>
        </w:tabs>
        <w:spacing w:line="240" w:lineRule="auto"/>
      </w:pPr>
    </w:p>
    <w:p w14:paraId="79E0D566" w14:textId="77777777" w:rsidR="00E61A01" w:rsidRPr="00F25A60" w:rsidRDefault="00E61A01" w:rsidP="005C56E6">
      <w:pPr>
        <w:widowControl w:val="0"/>
        <w:tabs>
          <w:tab w:val="clear" w:pos="567"/>
        </w:tabs>
        <w:spacing w:line="240" w:lineRule="auto"/>
        <w:rPr>
          <w:color w:val="000000"/>
        </w:rPr>
      </w:pPr>
    </w:p>
    <w:p w14:paraId="41679F9F"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1.</w:t>
      </w:r>
      <w:r w:rsidRPr="00F25A60">
        <w:rPr>
          <w:b/>
          <w:bCs/>
          <w:color w:val="000000"/>
        </w:rPr>
        <w:tab/>
        <w:t>NÁZEV LÉČIVÉHO PŘÍPRAVKU</w:t>
      </w:r>
    </w:p>
    <w:p w14:paraId="3F636104" w14:textId="77777777" w:rsidR="00E61A01" w:rsidRPr="00F25A60" w:rsidRDefault="00E61A01" w:rsidP="005C56E6">
      <w:pPr>
        <w:widowControl w:val="0"/>
        <w:tabs>
          <w:tab w:val="clear" w:pos="567"/>
        </w:tabs>
        <w:spacing w:line="240" w:lineRule="auto"/>
        <w:ind w:left="567" w:hanging="567"/>
      </w:pPr>
    </w:p>
    <w:p w14:paraId="628DB084" w14:textId="77777777" w:rsidR="00E61A01" w:rsidRPr="00F25A60" w:rsidRDefault="00E61A01" w:rsidP="005C56E6">
      <w:pPr>
        <w:widowControl w:val="0"/>
        <w:tabs>
          <w:tab w:val="clear" w:pos="567"/>
        </w:tabs>
        <w:spacing w:line="240" w:lineRule="auto"/>
        <w:rPr>
          <w:color w:val="000000"/>
        </w:rPr>
      </w:pPr>
      <w:r w:rsidRPr="00F25A60">
        <w:rPr>
          <w:color w:val="000000"/>
        </w:rPr>
        <w:t>Glivec 100 mg tablety</w:t>
      </w:r>
    </w:p>
    <w:p w14:paraId="70B99E87" w14:textId="31C5A600" w:rsidR="00E61A01" w:rsidRPr="00F25A60" w:rsidRDefault="00AC5D70" w:rsidP="005C56E6">
      <w:pPr>
        <w:widowControl w:val="0"/>
        <w:tabs>
          <w:tab w:val="clear" w:pos="567"/>
        </w:tabs>
        <w:spacing w:line="240" w:lineRule="auto"/>
        <w:rPr>
          <w:color w:val="000000"/>
        </w:rPr>
      </w:pPr>
      <w:r w:rsidRPr="00F25A60">
        <w:rPr>
          <w:color w:val="000000"/>
        </w:rPr>
        <w:t>i</w:t>
      </w:r>
      <w:r w:rsidR="00E61A01" w:rsidRPr="00F25A60">
        <w:rPr>
          <w:color w:val="000000"/>
        </w:rPr>
        <w:t>matinib</w:t>
      </w:r>
      <w:del w:id="413" w:author="Author">
        <w:r w:rsidR="00E61A01" w:rsidRPr="00F25A60" w:rsidDel="009274D5">
          <w:rPr>
            <w:color w:val="000000"/>
          </w:rPr>
          <w:delText>um</w:delText>
        </w:r>
      </w:del>
    </w:p>
    <w:p w14:paraId="1C03946F" w14:textId="77777777" w:rsidR="00E61A01" w:rsidRPr="00F25A60" w:rsidRDefault="00E61A01" w:rsidP="005C56E6">
      <w:pPr>
        <w:widowControl w:val="0"/>
        <w:tabs>
          <w:tab w:val="clear" w:pos="567"/>
        </w:tabs>
        <w:spacing w:line="240" w:lineRule="auto"/>
        <w:rPr>
          <w:color w:val="000000"/>
        </w:rPr>
      </w:pPr>
    </w:p>
    <w:p w14:paraId="506235AC" w14:textId="77777777" w:rsidR="00E61A01" w:rsidRPr="00F25A60" w:rsidRDefault="00E61A01" w:rsidP="005C56E6">
      <w:pPr>
        <w:widowControl w:val="0"/>
        <w:tabs>
          <w:tab w:val="clear" w:pos="567"/>
        </w:tabs>
        <w:spacing w:line="240" w:lineRule="auto"/>
        <w:rPr>
          <w:color w:val="000000"/>
        </w:rPr>
      </w:pPr>
    </w:p>
    <w:p w14:paraId="62B1EF09"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2.</w:t>
      </w:r>
      <w:r w:rsidRPr="00F25A60">
        <w:rPr>
          <w:b/>
          <w:bCs/>
          <w:color w:val="000000"/>
        </w:rPr>
        <w:tab/>
        <w:t>NÁZEV DRŽITELE ROZHODNUTÍ O REGISTRACI</w:t>
      </w:r>
    </w:p>
    <w:p w14:paraId="5F2C0728" w14:textId="77777777" w:rsidR="00E61A01" w:rsidRPr="00F25A60" w:rsidRDefault="00E61A01" w:rsidP="005C56E6">
      <w:pPr>
        <w:widowControl w:val="0"/>
        <w:tabs>
          <w:tab w:val="clear" w:pos="567"/>
        </w:tabs>
        <w:spacing w:line="240" w:lineRule="auto"/>
      </w:pPr>
    </w:p>
    <w:p w14:paraId="371B7009" w14:textId="77777777" w:rsidR="00E61A01" w:rsidRPr="00F25A60" w:rsidRDefault="00E61A01" w:rsidP="005C56E6">
      <w:pPr>
        <w:widowControl w:val="0"/>
        <w:tabs>
          <w:tab w:val="clear" w:pos="567"/>
        </w:tabs>
        <w:spacing w:line="240" w:lineRule="auto"/>
        <w:rPr>
          <w:color w:val="000000"/>
        </w:rPr>
      </w:pPr>
      <w:r w:rsidRPr="00F25A60">
        <w:rPr>
          <w:color w:val="000000"/>
        </w:rPr>
        <w:t>Novartis Europharm Limited</w:t>
      </w:r>
    </w:p>
    <w:p w14:paraId="32A5CF54" w14:textId="77777777" w:rsidR="00E61A01" w:rsidRPr="00F25A60" w:rsidRDefault="00E61A01" w:rsidP="005C56E6">
      <w:pPr>
        <w:widowControl w:val="0"/>
        <w:tabs>
          <w:tab w:val="clear" w:pos="567"/>
        </w:tabs>
        <w:spacing w:line="240" w:lineRule="auto"/>
        <w:rPr>
          <w:color w:val="000000"/>
        </w:rPr>
      </w:pPr>
    </w:p>
    <w:p w14:paraId="1E0F9CFD" w14:textId="77777777" w:rsidR="00E61A01" w:rsidRPr="00F25A60" w:rsidRDefault="00E61A01" w:rsidP="005C56E6">
      <w:pPr>
        <w:widowControl w:val="0"/>
        <w:tabs>
          <w:tab w:val="clear" w:pos="567"/>
        </w:tabs>
        <w:spacing w:line="240" w:lineRule="auto"/>
        <w:rPr>
          <w:color w:val="000000"/>
        </w:rPr>
      </w:pPr>
    </w:p>
    <w:p w14:paraId="580656B9"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3.</w:t>
      </w:r>
      <w:r w:rsidRPr="00F25A60">
        <w:rPr>
          <w:b/>
          <w:bCs/>
          <w:color w:val="000000"/>
        </w:rPr>
        <w:tab/>
        <w:t>POUŽITELNOST</w:t>
      </w:r>
    </w:p>
    <w:p w14:paraId="0639D59F" w14:textId="77777777" w:rsidR="00E61A01" w:rsidRPr="00F25A60" w:rsidRDefault="00E61A01" w:rsidP="005C56E6">
      <w:pPr>
        <w:widowControl w:val="0"/>
        <w:tabs>
          <w:tab w:val="clear" w:pos="567"/>
        </w:tabs>
        <w:spacing w:line="240" w:lineRule="auto"/>
      </w:pPr>
    </w:p>
    <w:p w14:paraId="73C4E324" w14:textId="77777777" w:rsidR="00E61A01" w:rsidRPr="00F25A60" w:rsidRDefault="00E61A01" w:rsidP="005C56E6">
      <w:pPr>
        <w:pStyle w:val="EndnoteText"/>
        <w:widowControl w:val="0"/>
        <w:tabs>
          <w:tab w:val="clear" w:pos="567"/>
        </w:tabs>
        <w:rPr>
          <w:color w:val="000000"/>
        </w:rPr>
      </w:pPr>
      <w:r w:rsidRPr="00F25A60">
        <w:rPr>
          <w:color w:val="000000"/>
        </w:rPr>
        <w:t>EXP</w:t>
      </w:r>
    </w:p>
    <w:p w14:paraId="634AC6A0" w14:textId="77777777" w:rsidR="00E61A01" w:rsidRPr="00F25A60" w:rsidRDefault="00E61A01" w:rsidP="005C56E6">
      <w:pPr>
        <w:widowControl w:val="0"/>
        <w:tabs>
          <w:tab w:val="clear" w:pos="567"/>
        </w:tabs>
        <w:spacing w:line="240" w:lineRule="auto"/>
        <w:rPr>
          <w:color w:val="000000"/>
        </w:rPr>
      </w:pPr>
    </w:p>
    <w:p w14:paraId="46B2CD5A" w14:textId="77777777" w:rsidR="00E61A01" w:rsidRPr="00F25A60" w:rsidRDefault="00E61A01" w:rsidP="005C56E6">
      <w:pPr>
        <w:widowControl w:val="0"/>
        <w:tabs>
          <w:tab w:val="clear" w:pos="567"/>
        </w:tabs>
        <w:spacing w:line="240" w:lineRule="auto"/>
        <w:rPr>
          <w:color w:val="000000"/>
        </w:rPr>
      </w:pPr>
    </w:p>
    <w:p w14:paraId="547CDEBE"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4.</w:t>
      </w:r>
      <w:r w:rsidRPr="00F25A60">
        <w:rPr>
          <w:b/>
          <w:bCs/>
          <w:color w:val="000000"/>
        </w:rPr>
        <w:tab/>
        <w:t>ČÍSLO ŠARŽE</w:t>
      </w:r>
    </w:p>
    <w:p w14:paraId="557A1230" w14:textId="77777777" w:rsidR="00E61A01" w:rsidRPr="00F25A60" w:rsidRDefault="00E61A01" w:rsidP="005C56E6">
      <w:pPr>
        <w:widowControl w:val="0"/>
        <w:tabs>
          <w:tab w:val="clear" w:pos="567"/>
        </w:tabs>
        <w:spacing w:line="240" w:lineRule="auto"/>
      </w:pPr>
    </w:p>
    <w:p w14:paraId="47189C3F" w14:textId="77777777" w:rsidR="00E61A01" w:rsidRPr="00F25A60" w:rsidRDefault="00E61A01" w:rsidP="005C56E6">
      <w:pPr>
        <w:widowControl w:val="0"/>
        <w:tabs>
          <w:tab w:val="clear" w:pos="567"/>
        </w:tabs>
        <w:spacing w:line="240" w:lineRule="auto"/>
        <w:rPr>
          <w:color w:val="000000"/>
        </w:rPr>
      </w:pPr>
      <w:r w:rsidRPr="00F25A60">
        <w:rPr>
          <w:color w:val="000000"/>
        </w:rPr>
        <w:t>Lot</w:t>
      </w:r>
    </w:p>
    <w:p w14:paraId="162EEA71" w14:textId="77777777" w:rsidR="00E61A01" w:rsidRPr="00F25A60" w:rsidRDefault="00E61A01" w:rsidP="005C56E6">
      <w:pPr>
        <w:widowControl w:val="0"/>
        <w:tabs>
          <w:tab w:val="clear" w:pos="567"/>
        </w:tabs>
        <w:spacing w:line="240" w:lineRule="auto"/>
        <w:rPr>
          <w:color w:val="000000"/>
        </w:rPr>
      </w:pPr>
    </w:p>
    <w:p w14:paraId="20E4A474" w14:textId="77777777" w:rsidR="00E61A01" w:rsidRPr="00F25A60" w:rsidRDefault="00E61A01" w:rsidP="005C56E6">
      <w:pPr>
        <w:widowControl w:val="0"/>
        <w:tabs>
          <w:tab w:val="clear" w:pos="567"/>
        </w:tabs>
        <w:spacing w:line="240" w:lineRule="auto"/>
        <w:rPr>
          <w:color w:val="000000"/>
        </w:rPr>
      </w:pPr>
    </w:p>
    <w:p w14:paraId="7E85C0D7"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142"/>
        </w:tabs>
        <w:snapToGrid w:val="0"/>
        <w:spacing w:line="240" w:lineRule="auto"/>
      </w:pPr>
      <w:r w:rsidRPr="00F25A60">
        <w:rPr>
          <w:b/>
        </w:rPr>
        <w:t>5.</w:t>
      </w:r>
      <w:r w:rsidRPr="00F25A60">
        <w:rPr>
          <w:b/>
        </w:rPr>
        <w:tab/>
        <w:t>JINÉ</w:t>
      </w:r>
    </w:p>
    <w:p w14:paraId="6C43FBFA" w14:textId="77777777" w:rsidR="00E61A01" w:rsidRPr="00F25A60" w:rsidRDefault="00E61A01" w:rsidP="005C56E6">
      <w:pPr>
        <w:widowControl w:val="0"/>
        <w:tabs>
          <w:tab w:val="clear" w:pos="567"/>
        </w:tabs>
        <w:spacing w:line="240" w:lineRule="auto"/>
        <w:rPr>
          <w:color w:val="000000"/>
        </w:rPr>
      </w:pPr>
    </w:p>
    <w:p w14:paraId="07269A0A" w14:textId="77777777" w:rsidR="00E61A01" w:rsidRPr="00F25A60" w:rsidRDefault="00E61A01" w:rsidP="005C56E6">
      <w:pPr>
        <w:widowControl w:val="0"/>
        <w:tabs>
          <w:tab w:val="clear" w:pos="567"/>
        </w:tabs>
        <w:spacing w:line="240" w:lineRule="auto"/>
        <w:rPr>
          <w:color w:val="000000"/>
        </w:rPr>
      </w:pPr>
      <w:r w:rsidRPr="00F25A60">
        <w:rPr>
          <w:color w:val="000000"/>
        </w:rPr>
        <w:br w:type="page"/>
      </w:r>
    </w:p>
    <w:p w14:paraId="6EF01A9E" w14:textId="77777777" w:rsidR="00EB4FF7" w:rsidRPr="00F25A60" w:rsidRDefault="00EB4FF7" w:rsidP="005C56E6">
      <w:pPr>
        <w:widowControl w:val="0"/>
        <w:tabs>
          <w:tab w:val="clear" w:pos="567"/>
        </w:tabs>
        <w:snapToGrid w:val="0"/>
        <w:spacing w:line="240" w:lineRule="auto"/>
        <w:rPr>
          <w:bCs/>
          <w:color w:val="000000"/>
        </w:rPr>
      </w:pPr>
    </w:p>
    <w:p w14:paraId="0C3A06F4"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s>
        <w:snapToGrid w:val="0"/>
        <w:spacing w:line="240" w:lineRule="auto"/>
        <w:rPr>
          <w:b/>
          <w:bCs/>
          <w:color w:val="000000"/>
        </w:rPr>
      </w:pPr>
      <w:r w:rsidRPr="00F25A60">
        <w:rPr>
          <w:b/>
          <w:bCs/>
          <w:color w:val="000000"/>
        </w:rPr>
        <w:t>ÚDAJE UVÁDĚNÉ NA VNĚJŠÍM OBALU</w:t>
      </w:r>
    </w:p>
    <w:p w14:paraId="29297351"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3639B881"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spacing w:line="240" w:lineRule="auto"/>
        <w:rPr>
          <w:b/>
          <w:bCs/>
          <w:color w:val="000000"/>
        </w:rPr>
      </w:pPr>
      <w:r w:rsidRPr="00F25A60">
        <w:rPr>
          <w:b/>
          <w:bCs/>
          <w:color w:val="000000"/>
        </w:rPr>
        <w:t>PAPÍROVÁ KRABIČKA</w:t>
      </w:r>
    </w:p>
    <w:p w14:paraId="5F67EAAD" w14:textId="77777777" w:rsidR="00E61A01" w:rsidRPr="00F25A60" w:rsidRDefault="00E61A01" w:rsidP="005C56E6">
      <w:pPr>
        <w:widowControl w:val="0"/>
        <w:tabs>
          <w:tab w:val="clear" w:pos="567"/>
        </w:tabs>
        <w:spacing w:line="240" w:lineRule="auto"/>
      </w:pPr>
    </w:p>
    <w:p w14:paraId="30A2E96E" w14:textId="77777777" w:rsidR="00E61A01" w:rsidRPr="00F25A60" w:rsidRDefault="00E61A01" w:rsidP="005C56E6">
      <w:pPr>
        <w:widowControl w:val="0"/>
        <w:tabs>
          <w:tab w:val="clear" w:pos="567"/>
        </w:tabs>
        <w:spacing w:line="240" w:lineRule="auto"/>
        <w:rPr>
          <w:color w:val="000000"/>
        </w:rPr>
      </w:pPr>
    </w:p>
    <w:p w14:paraId="74E20117"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1.</w:t>
      </w:r>
      <w:r w:rsidRPr="00F25A60">
        <w:rPr>
          <w:b/>
          <w:bCs/>
          <w:color w:val="000000"/>
        </w:rPr>
        <w:tab/>
        <w:t>NÁZEV LÉČIVÉHO PŘÍPRAVKU</w:t>
      </w:r>
    </w:p>
    <w:p w14:paraId="1D50D149" w14:textId="77777777" w:rsidR="00E61A01" w:rsidRPr="00F25A60" w:rsidRDefault="00E61A01" w:rsidP="005C56E6">
      <w:pPr>
        <w:widowControl w:val="0"/>
        <w:tabs>
          <w:tab w:val="clear" w:pos="567"/>
        </w:tabs>
        <w:spacing w:line="240" w:lineRule="auto"/>
      </w:pPr>
    </w:p>
    <w:p w14:paraId="40798FCC" w14:textId="77777777" w:rsidR="00E61A01" w:rsidRPr="00F25A60" w:rsidRDefault="00E61A01" w:rsidP="005C56E6">
      <w:pPr>
        <w:widowControl w:val="0"/>
        <w:tabs>
          <w:tab w:val="clear" w:pos="567"/>
        </w:tabs>
        <w:spacing w:line="240" w:lineRule="auto"/>
        <w:rPr>
          <w:color w:val="000000"/>
        </w:rPr>
      </w:pPr>
      <w:r w:rsidRPr="00F25A60">
        <w:rPr>
          <w:color w:val="000000"/>
        </w:rPr>
        <w:t>Glivec 400 mg potahované tablety</w:t>
      </w:r>
    </w:p>
    <w:p w14:paraId="128E5A62" w14:textId="226A0938" w:rsidR="00E61A01" w:rsidRPr="00F25A60" w:rsidRDefault="00AC5D70" w:rsidP="005C56E6">
      <w:pPr>
        <w:widowControl w:val="0"/>
        <w:tabs>
          <w:tab w:val="clear" w:pos="567"/>
        </w:tabs>
        <w:spacing w:line="240" w:lineRule="auto"/>
        <w:rPr>
          <w:color w:val="000000"/>
        </w:rPr>
      </w:pPr>
      <w:r w:rsidRPr="00F25A60">
        <w:rPr>
          <w:color w:val="000000"/>
        </w:rPr>
        <w:t>i</w:t>
      </w:r>
      <w:r w:rsidR="00E61A01" w:rsidRPr="00F25A60">
        <w:rPr>
          <w:color w:val="000000"/>
        </w:rPr>
        <w:t>matinib</w:t>
      </w:r>
      <w:del w:id="414" w:author="Author">
        <w:r w:rsidR="00E61A01" w:rsidRPr="00F25A60" w:rsidDel="009274D5">
          <w:rPr>
            <w:color w:val="000000"/>
          </w:rPr>
          <w:delText>um</w:delText>
        </w:r>
      </w:del>
    </w:p>
    <w:p w14:paraId="7A2E09D6" w14:textId="77777777" w:rsidR="00E61A01" w:rsidRPr="00F25A60" w:rsidRDefault="00E61A01" w:rsidP="005C56E6">
      <w:pPr>
        <w:widowControl w:val="0"/>
        <w:tabs>
          <w:tab w:val="clear" w:pos="567"/>
        </w:tabs>
        <w:spacing w:line="240" w:lineRule="auto"/>
        <w:rPr>
          <w:color w:val="000000"/>
        </w:rPr>
      </w:pPr>
    </w:p>
    <w:p w14:paraId="533C4556" w14:textId="77777777" w:rsidR="00E61A01" w:rsidRPr="00F25A60" w:rsidRDefault="00E61A01" w:rsidP="005C56E6">
      <w:pPr>
        <w:widowControl w:val="0"/>
        <w:tabs>
          <w:tab w:val="clear" w:pos="567"/>
        </w:tabs>
        <w:spacing w:line="240" w:lineRule="auto"/>
        <w:rPr>
          <w:color w:val="000000"/>
        </w:rPr>
      </w:pPr>
    </w:p>
    <w:p w14:paraId="4A3CD1FA"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2.</w:t>
      </w:r>
      <w:r w:rsidRPr="00F25A60">
        <w:rPr>
          <w:b/>
          <w:bCs/>
          <w:color w:val="000000"/>
        </w:rPr>
        <w:tab/>
        <w:t>OBSAH LÉČIVÉ LÁTKY/LÉČIVÝCH LÁTEK</w:t>
      </w:r>
    </w:p>
    <w:p w14:paraId="1A504694" w14:textId="77777777" w:rsidR="00E61A01" w:rsidRPr="00F25A60" w:rsidRDefault="00E61A01" w:rsidP="005C56E6">
      <w:pPr>
        <w:widowControl w:val="0"/>
        <w:tabs>
          <w:tab w:val="clear" w:pos="567"/>
        </w:tabs>
        <w:spacing w:line="240" w:lineRule="auto"/>
      </w:pPr>
    </w:p>
    <w:p w14:paraId="14B05EAE" w14:textId="47222437" w:rsidR="00242082" w:rsidRPr="00F25A60" w:rsidRDefault="00E61A01" w:rsidP="005C56E6">
      <w:pPr>
        <w:pStyle w:val="Text"/>
        <w:widowControl w:val="0"/>
        <w:spacing w:before="0"/>
        <w:jc w:val="left"/>
        <w:rPr>
          <w:color w:val="000000"/>
          <w:sz w:val="22"/>
          <w:szCs w:val="22"/>
          <w:lang w:val="cs-CZ"/>
        </w:rPr>
      </w:pPr>
      <w:r w:rsidRPr="00F25A60">
        <w:rPr>
          <w:color w:val="000000"/>
          <w:sz w:val="22"/>
          <w:szCs w:val="22"/>
          <w:lang w:val="cs-CZ"/>
        </w:rPr>
        <w:t>Jedna potahovaná tableta obsahuje</w:t>
      </w:r>
      <w:ins w:id="415" w:author="Author">
        <w:r w:rsidR="009C3228">
          <w:rPr>
            <w:color w:val="000000"/>
            <w:sz w:val="22"/>
            <w:szCs w:val="22"/>
            <w:lang w:val="cs-CZ"/>
          </w:rPr>
          <w:t xml:space="preserve"> </w:t>
        </w:r>
        <w:r w:rsidR="009C3228" w:rsidRPr="0048111F">
          <w:rPr>
            <w:color w:val="000000"/>
            <w:sz w:val="22"/>
            <w:szCs w:val="22"/>
            <w:lang w:val="cs-CZ"/>
          </w:rPr>
          <w:t>400</w:t>
        </w:r>
        <w:r w:rsidR="0048111F" w:rsidRPr="0048111F">
          <w:rPr>
            <w:color w:val="000000"/>
            <w:sz w:val="22"/>
            <w:szCs w:val="22"/>
            <w:lang w:val="cs-CZ"/>
          </w:rPr>
          <w:t> </w:t>
        </w:r>
        <w:r w:rsidR="009C3228" w:rsidRPr="0048111F">
          <w:rPr>
            <w:color w:val="000000"/>
            <w:sz w:val="22"/>
            <w:szCs w:val="22"/>
            <w:lang w:val="cs-CZ"/>
          </w:rPr>
          <w:t>mg</w:t>
        </w:r>
      </w:ins>
      <w:r w:rsidRPr="0048111F">
        <w:rPr>
          <w:color w:val="000000"/>
          <w:sz w:val="22"/>
          <w:szCs w:val="22"/>
          <w:lang w:val="cs-CZ"/>
        </w:rPr>
        <w:t xml:space="preserve"> </w:t>
      </w:r>
      <w:r w:rsidR="00242082" w:rsidRPr="0048111F">
        <w:rPr>
          <w:color w:val="000000"/>
          <w:sz w:val="22"/>
          <w:szCs w:val="22"/>
          <w:lang w:val="cs-CZ"/>
        </w:rPr>
        <w:t>imatinib</w:t>
      </w:r>
      <w:ins w:id="416" w:author="Author">
        <w:r w:rsidR="00D0034E" w:rsidRPr="0048111F">
          <w:rPr>
            <w:color w:val="000000"/>
            <w:sz w:val="22"/>
            <w:szCs w:val="22"/>
            <w:lang w:val="cs-CZ"/>
          </w:rPr>
          <w:t>u</w:t>
        </w:r>
      </w:ins>
      <w:del w:id="417" w:author="Author">
        <w:r w:rsidR="00242082" w:rsidRPr="0048111F" w:rsidDel="009274D5">
          <w:rPr>
            <w:color w:val="000000"/>
            <w:sz w:val="22"/>
            <w:szCs w:val="22"/>
            <w:lang w:val="cs-CZ"/>
          </w:rPr>
          <w:delText>um</w:delText>
        </w:r>
        <w:r w:rsidR="00242082" w:rsidRPr="0048111F" w:rsidDel="009C3228">
          <w:rPr>
            <w:color w:val="000000"/>
            <w:sz w:val="22"/>
            <w:szCs w:val="22"/>
            <w:lang w:val="cs-CZ"/>
          </w:rPr>
          <w:delText xml:space="preserve"> 400 mg</w:delText>
        </w:r>
      </w:del>
      <w:r w:rsidR="00242082" w:rsidRPr="0048111F">
        <w:rPr>
          <w:color w:val="000000"/>
          <w:sz w:val="22"/>
          <w:szCs w:val="22"/>
          <w:lang w:val="cs-CZ"/>
        </w:rPr>
        <w:t xml:space="preserve"> (</w:t>
      </w:r>
      <w:ins w:id="418" w:author="Author">
        <w:r w:rsidR="009C3228" w:rsidRPr="0048111F">
          <w:rPr>
            <w:color w:val="000000"/>
            <w:sz w:val="22"/>
            <w:szCs w:val="22"/>
            <w:lang w:val="cs-CZ"/>
          </w:rPr>
          <w:t>ve formě</w:t>
        </w:r>
      </w:ins>
      <w:del w:id="419" w:author="Author">
        <w:r w:rsidR="00242082" w:rsidRPr="0048111F" w:rsidDel="009C3228">
          <w:rPr>
            <w:color w:val="000000"/>
            <w:sz w:val="22"/>
            <w:szCs w:val="22"/>
            <w:lang w:val="cs-CZ"/>
          </w:rPr>
          <w:delText>jako imatinibi</w:delText>
        </w:r>
      </w:del>
      <w:ins w:id="420" w:author="Author">
        <w:del w:id="421" w:author="Author">
          <w:r w:rsidR="009274D5" w:rsidRPr="0048111F" w:rsidDel="009C3228">
            <w:rPr>
              <w:color w:val="000000"/>
              <w:sz w:val="22"/>
              <w:szCs w:val="22"/>
              <w:lang w:val="cs-CZ"/>
            </w:rPr>
            <w:delText>-</w:delText>
          </w:r>
        </w:del>
      </w:ins>
      <w:del w:id="422" w:author="Author">
        <w:r w:rsidR="00242082" w:rsidRPr="0048111F" w:rsidDel="009C3228">
          <w:rPr>
            <w:color w:val="000000"/>
            <w:sz w:val="22"/>
            <w:szCs w:val="22"/>
            <w:lang w:val="cs-CZ"/>
          </w:rPr>
          <w:delText xml:space="preserve"> </w:delText>
        </w:r>
      </w:del>
      <w:ins w:id="423" w:author="Author">
        <w:r w:rsidR="009C3228" w:rsidRPr="0048111F">
          <w:rPr>
            <w:color w:val="000000"/>
            <w:sz w:val="22"/>
            <w:szCs w:val="22"/>
            <w:lang w:val="cs-CZ"/>
          </w:rPr>
          <w:t xml:space="preserve"> </w:t>
        </w:r>
      </w:ins>
      <w:r w:rsidR="00242082" w:rsidRPr="0048111F">
        <w:rPr>
          <w:color w:val="000000"/>
          <w:sz w:val="22"/>
          <w:szCs w:val="22"/>
          <w:lang w:val="cs-CZ"/>
        </w:rPr>
        <w:t>mesil</w:t>
      </w:r>
      <w:ins w:id="424" w:author="Author">
        <w:r w:rsidR="009274D5" w:rsidRPr="0048111F">
          <w:rPr>
            <w:color w:val="000000"/>
            <w:sz w:val="22"/>
            <w:szCs w:val="22"/>
            <w:lang w:val="cs-CZ"/>
          </w:rPr>
          <w:t>át</w:t>
        </w:r>
        <w:r w:rsidR="009C3228" w:rsidRPr="0048111F">
          <w:rPr>
            <w:color w:val="000000"/>
            <w:sz w:val="22"/>
            <w:szCs w:val="22"/>
            <w:lang w:val="cs-CZ"/>
          </w:rPr>
          <w:t>u</w:t>
        </w:r>
      </w:ins>
      <w:del w:id="425" w:author="Author">
        <w:r w:rsidR="00242082" w:rsidRPr="0048111F" w:rsidDel="009274D5">
          <w:rPr>
            <w:color w:val="000000"/>
            <w:sz w:val="22"/>
            <w:szCs w:val="22"/>
            <w:lang w:val="cs-CZ"/>
          </w:rPr>
          <w:delText>as</w:delText>
        </w:r>
      </w:del>
      <w:r w:rsidR="00242082" w:rsidRPr="0048111F">
        <w:rPr>
          <w:color w:val="000000"/>
          <w:sz w:val="22"/>
          <w:szCs w:val="22"/>
          <w:lang w:val="cs-CZ"/>
        </w:rPr>
        <w:t>).</w:t>
      </w:r>
    </w:p>
    <w:p w14:paraId="4D2CF48E" w14:textId="77777777" w:rsidR="00E61A01" w:rsidRPr="00F25A60" w:rsidRDefault="00E61A01" w:rsidP="005C56E6">
      <w:pPr>
        <w:widowControl w:val="0"/>
        <w:tabs>
          <w:tab w:val="clear" w:pos="567"/>
        </w:tabs>
        <w:spacing w:line="240" w:lineRule="auto"/>
        <w:rPr>
          <w:color w:val="000000"/>
        </w:rPr>
      </w:pPr>
    </w:p>
    <w:p w14:paraId="50AEC008" w14:textId="77777777" w:rsidR="00E61A01" w:rsidRPr="00F25A60" w:rsidRDefault="00E61A01" w:rsidP="005C56E6">
      <w:pPr>
        <w:widowControl w:val="0"/>
        <w:tabs>
          <w:tab w:val="clear" w:pos="567"/>
        </w:tabs>
        <w:spacing w:line="240" w:lineRule="auto"/>
        <w:rPr>
          <w:color w:val="000000"/>
        </w:rPr>
      </w:pPr>
    </w:p>
    <w:p w14:paraId="5B09C194"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3.</w:t>
      </w:r>
      <w:r w:rsidRPr="00F25A60">
        <w:rPr>
          <w:b/>
          <w:bCs/>
          <w:color w:val="000000"/>
        </w:rPr>
        <w:tab/>
        <w:t>SEZNAM POMOCNÝCH LÁTEK</w:t>
      </w:r>
    </w:p>
    <w:p w14:paraId="20544055" w14:textId="77777777" w:rsidR="00E61A01" w:rsidRPr="00F25A60" w:rsidRDefault="00E61A01" w:rsidP="005C56E6">
      <w:pPr>
        <w:widowControl w:val="0"/>
        <w:tabs>
          <w:tab w:val="clear" w:pos="567"/>
        </w:tabs>
        <w:spacing w:line="240" w:lineRule="auto"/>
      </w:pPr>
    </w:p>
    <w:p w14:paraId="5B34B021" w14:textId="77777777" w:rsidR="00E61A01" w:rsidRPr="00F25A60" w:rsidRDefault="00E61A01" w:rsidP="005C56E6">
      <w:pPr>
        <w:widowControl w:val="0"/>
        <w:tabs>
          <w:tab w:val="clear" w:pos="567"/>
        </w:tabs>
        <w:spacing w:line="240" w:lineRule="auto"/>
        <w:rPr>
          <w:color w:val="000000"/>
        </w:rPr>
      </w:pPr>
    </w:p>
    <w:p w14:paraId="0F55C51F"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4.</w:t>
      </w:r>
      <w:r w:rsidRPr="00F25A60">
        <w:rPr>
          <w:b/>
          <w:bCs/>
          <w:color w:val="000000"/>
        </w:rPr>
        <w:tab/>
        <w:t xml:space="preserve">LÉKOVÁ FORMA A </w:t>
      </w:r>
      <w:r w:rsidR="00B00096" w:rsidRPr="00F25A60">
        <w:rPr>
          <w:b/>
          <w:bCs/>
          <w:color w:val="000000"/>
        </w:rPr>
        <w:t>OBSAH</w:t>
      </w:r>
      <w:r w:rsidRPr="00F25A60">
        <w:rPr>
          <w:b/>
          <w:bCs/>
          <w:color w:val="000000"/>
        </w:rPr>
        <w:t xml:space="preserve"> BALENÍ</w:t>
      </w:r>
    </w:p>
    <w:p w14:paraId="6877F5A6" w14:textId="77777777" w:rsidR="00E61A01" w:rsidRPr="00F25A60" w:rsidRDefault="00E61A01" w:rsidP="005C56E6">
      <w:pPr>
        <w:widowControl w:val="0"/>
        <w:tabs>
          <w:tab w:val="clear" w:pos="567"/>
        </w:tabs>
        <w:spacing w:line="240" w:lineRule="auto"/>
      </w:pPr>
    </w:p>
    <w:p w14:paraId="5D17D4C5" w14:textId="77777777" w:rsidR="00E61A01" w:rsidRPr="00F25A60" w:rsidRDefault="00E61A01" w:rsidP="005C56E6">
      <w:pPr>
        <w:pStyle w:val="EndnoteText"/>
        <w:widowControl w:val="0"/>
        <w:rPr>
          <w:color w:val="000000"/>
        </w:rPr>
      </w:pPr>
      <w:r w:rsidRPr="00F25A60">
        <w:rPr>
          <w:color w:val="000000"/>
        </w:rPr>
        <w:t>10 potahovaných tablet</w:t>
      </w:r>
    </w:p>
    <w:p w14:paraId="764A5FE1" w14:textId="77777777" w:rsidR="00E61A01" w:rsidRPr="00F25A60" w:rsidRDefault="00E61A01" w:rsidP="005C56E6">
      <w:pPr>
        <w:widowControl w:val="0"/>
        <w:tabs>
          <w:tab w:val="clear" w:pos="567"/>
        </w:tabs>
        <w:spacing w:line="240" w:lineRule="auto"/>
        <w:rPr>
          <w:color w:val="000000"/>
          <w:shd w:val="clear" w:color="auto" w:fill="D9D9D9"/>
        </w:rPr>
      </w:pPr>
      <w:r w:rsidRPr="00F25A60">
        <w:rPr>
          <w:color w:val="000000"/>
          <w:shd w:val="clear" w:color="auto" w:fill="D9D9D9"/>
        </w:rPr>
        <w:t>30 potahovaných tablet</w:t>
      </w:r>
    </w:p>
    <w:p w14:paraId="1E4D4489" w14:textId="77777777" w:rsidR="00E61A01" w:rsidRPr="00F25A60" w:rsidRDefault="00E61A01" w:rsidP="005C56E6">
      <w:pPr>
        <w:widowControl w:val="0"/>
        <w:tabs>
          <w:tab w:val="clear" w:pos="567"/>
        </w:tabs>
        <w:spacing w:line="240" w:lineRule="auto"/>
        <w:rPr>
          <w:color w:val="000000"/>
          <w:shd w:val="clear" w:color="auto" w:fill="D9D9D9"/>
        </w:rPr>
      </w:pPr>
      <w:r w:rsidRPr="00F25A60">
        <w:rPr>
          <w:color w:val="000000"/>
          <w:shd w:val="clear" w:color="auto" w:fill="D9D9D9"/>
        </w:rPr>
        <w:t>90 potahovaných tablet</w:t>
      </w:r>
    </w:p>
    <w:p w14:paraId="154AF0BF" w14:textId="77777777" w:rsidR="00E61A01" w:rsidRPr="00F25A60" w:rsidRDefault="00E61A01" w:rsidP="005C56E6">
      <w:pPr>
        <w:widowControl w:val="0"/>
        <w:tabs>
          <w:tab w:val="clear" w:pos="567"/>
        </w:tabs>
        <w:spacing w:line="240" w:lineRule="auto"/>
        <w:rPr>
          <w:color w:val="000000"/>
        </w:rPr>
      </w:pPr>
    </w:p>
    <w:p w14:paraId="770292F8" w14:textId="77777777" w:rsidR="00E61A01" w:rsidRPr="00F25A60" w:rsidRDefault="00E61A01" w:rsidP="005C56E6">
      <w:pPr>
        <w:widowControl w:val="0"/>
        <w:tabs>
          <w:tab w:val="clear" w:pos="567"/>
        </w:tabs>
        <w:spacing w:line="240" w:lineRule="auto"/>
        <w:rPr>
          <w:color w:val="000000"/>
        </w:rPr>
      </w:pPr>
    </w:p>
    <w:p w14:paraId="38CD2E27"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5.</w:t>
      </w:r>
      <w:r w:rsidRPr="00F25A60">
        <w:rPr>
          <w:b/>
          <w:bCs/>
          <w:color w:val="000000"/>
        </w:rPr>
        <w:tab/>
        <w:t>ZPŮSOB A CESTA/CESTY PODÁNÍ</w:t>
      </w:r>
    </w:p>
    <w:p w14:paraId="327063F6" w14:textId="77777777" w:rsidR="00E61A01" w:rsidRPr="00F25A60" w:rsidRDefault="00E61A01" w:rsidP="005C56E6">
      <w:pPr>
        <w:pStyle w:val="EndnoteText"/>
        <w:widowControl w:val="0"/>
        <w:tabs>
          <w:tab w:val="clear" w:pos="567"/>
        </w:tabs>
      </w:pPr>
    </w:p>
    <w:p w14:paraId="1CB7AD62" w14:textId="77777777" w:rsidR="00E61A01" w:rsidRPr="00F25A60" w:rsidRDefault="00E61A01" w:rsidP="005C56E6">
      <w:pPr>
        <w:pStyle w:val="EndnoteText"/>
        <w:widowControl w:val="0"/>
        <w:tabs>
          <w:tab w:val="clear" w:pos="567"/>
        </w:tabs>
        <w:rPr>
          <w:color w:val="000000"/>
        </w:rPr>
      </w:pPr>
      <w:r w:rsidRPr="00F25A60">
        <w:rPr>
          <w:color w:val="000000"/>
        </w:rPr>
        <w:t>Perorální podání. Před použitím si přečtěte příbalovou informaci.</w:t>
      </w:r>
    </w:p>
    <w:p w14:paraId="4D835A59" w14:textId="77777777" w:rsidR="00E61A01" w:rsidRPr="00F25A60" w:rsidRDefault="00E61A01" w:rsidP="005C56E6">
      <w:pPr>
        <w:widowControl w:val="0"/>
        <w:tabs>
          <w:tab w:val="clear" w:pos="567"/>
        </w:tabs>
        <w:spacing w:line="240" w:lineRule="auto"/>
        <w:rPr>
          <w:color w:val="000000"/>
        </w:rPr>
      </w:pPr>
    </w:p>
    <w:p w14:paraId="432DE8B1" w14:textId="77777777" w:rsidR="00E61A01" w:rsidRPr="00F25A60" w:rsidRDefault="00E61A01" w:rsidP="005C56E6">
      <w:pPr>
        <w:widowControl w:val="0"/>
        <w:tabs>
          <w:tab w:val="clear" w:pos="567"/>
        </w:tabs>
        <w:spacing w:line="240" w:lineRule="auto"/>
        <w:rPr>
          <w:color w:val="000000"/>
        </w:rPr>
      </w:pPr>
    </w:p>
    <w:p w14:paraId="53449867"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6.</w:t>
      </w:r>
      <w:r w:rsidRPr="00F25A60">
        <w:rPr>
          <w:b/>
          <w:bCs/>
          <w:color w:val="000000"/>
        </w:rPr>
        <w:tab/>
        <w:t xml:space="preserve">ZVLÁŠTNÍ UPOZORNĚNÍ, ŽE LÉČIVÝ PŘÍPRAVEK MUSÍ BÝT UCHOVÁVÁN MIMO </w:t>
      </w:r>
      <w:r w:rsidR="00B00096" w:rsidRPr="00F25A60">
        <w:rPr>
          <w:b/>
          <w:bCs/>
          <w:color w:val="000000"/>
        </w:rPr>
        <w:t>DOHLED</w:t>
      </w:r>
      <w:r w:rsidRPr="00F25A60">
        <w:rPr>
          <w:b/>
          <w:bCs/>
          <w:color w:val="000000"/>
        </w:rPr>
        <w:t xml:space="preserve"> A DO</w:t>
      </w:r>
      <w:r w:rsidR="00B00096" w:rsidRPr="00F25A60">
        <w:rPr>
          <w:b/>
          <w:bCs/>
          <w:color w:val="000000"/>
        </w:rPr>
        <w:t>SAH</w:t>
      </w:r>
      <w:r w:rsidRPr="00F25A60">
        <w:rPr>
          <w:b/>
          <w:bCs/>
          <w:color w:val="000000"/>
        </w:rPr>
        <w:t xml:space="preserve"> DĚTÍ</w:t>
      </w:r>
    </w:p>
    <w:p w14:paraId="099799E9" w14:textId="77777777" w:rsidR="00E61A01" w:rsidRPr="00F25A60" w:rsidRDefault="00E61A01" w:rsidP="005C56E6">
      <w:pPr>
        <w:widowControl w:val="0"/>
        <w:tabs>
          <w:tab w:val="clear" w:pos="567"/>
        </w:tabs>
        <w:spacing w:line="240" w:lineRule="auto"/>
      </w:pPr>
    </w:p>
    <w:p w14:paraId="17F8481A" w14:textId="77777777" w:rsidR="00E61A01" w:rsidRPr="00F25A60" w:rsidRDefault="00E61A01" w:rsidP="005C56E6">
      <w:pPr>
        <w:widowControl w:val="0"/>
        <w:tabs>
          <w:tab w:val="clear" w:pos="567"/>
        </w:tabs>
        <w:spacing w:line="240" w:lineRule="auto"/>
        <w:rPr>
          <w:color w:val="000000"/>
        </w:rPr>
      </w:pPr>
      <w:r w:rsidRPr="00F25A60">
        <w:rPr>
          <w:color w:val="000000"/>
        </w:rPr>
        <w:t xml:space="preserve">Uchovávejte mimo </w:t>
      </w:r>
      <w:r w:rsidR="00B00096" w:rsidRPr="00F25A60">
        <w:rPr>
          <w:color w:val="000000"/>
        </w:rPr>
        <w:t xml:space="preserve">dohled a </w:t>
      </w:r>
      <w:r w:rsidRPr="00F25A60">
        <w:rPr>
          <w:color w:val="000000"/>
        </w:rPr>
        <w:t>dosah dětí.</w:t>
      </w:r>
    </w:p>
    <w:p w14:paraId="2AF2D9B9" w14:textId="77777777" w:rsidR="00E61A01" w:rsidRPr="00F25A60" w:rsidRDefault="00E61A01" w:rsidP="005C56E6">
      <w:pPr>
        <w:widowControl w:val="0"/>
        <w:tabs>
          <w:tab w:val="clear" w:pos="567"/>
        </w:tabs>
        <w:spacing w:line="240" w:lineRule="auto"/>
        <w:rPr>
          <w:color w:val="000000"/>
        </w:rPr>
      </w:pPr>
    </w:p>
    <w:p w14:paraId="41976499" w14:textId="77777777" w:rsidR="00E61A01" w:rsidRPr="00F25A60" w:rsidRDefault="00E61A01" w:rsidP="005C56E6">
      <w:pPr>
        <w:widowControl w:val="0"/>
        <w:tabs>
          <w:tab w:val="clear" w:pos="567"/>
        </w:tabs>
        <w:spacing w:line="240" w:lineRule="auto"/>
        <w:rPr>
          <w:color w:val="000000"/>
        </w:rPr>
      </w:pPr>
    </w:p>
    <w:p w14:paraId="67FB2BFA"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7.</w:t>
      </w:r>
      <w:r w:rsidRPr="00F25A60">
        <w:rPr>
          <w:b/>
          <w:bCs/>
          <w:color w:val="000000"/>
        </w:rPr>
        <w:tab/>
        <w:t>DALŠÍ ZVLÁŠTNÍ UPOZORNĚNÍ, POKUD JE POTŘEBNÉ</w:t>
      </w:r>
    </w:p>
    <w:p w14:paraId="29D31354" w14:textId="77777777" w:rsidR="00E61A01" w:rsidRPr="00F25A60" w:rsidRDefault="00E61A01" w:rsidP="005C56E6">
      <w:pPr>
        <w:widowControl w:val="0"/>
        <w:tabs>
          <w:tab w:val="clear" w:pos="567"/>
        </w:tabs>
        <w:spacing w:line="240" w:lineRule="auto"/>
      </w:pPr>
    </w:p>
    <w:p w14:paraId="21993A82" w14:textId="77777777" w:rsidR="00E61A01" w:rsidRPr="00F25A60" w:rsidRDefault="00E61A01" w:rsidP="005C56E6">
      <w:pPr>
        <w:pStyle w:val="EndnoteText"/>
        <w:widowControl w:val="0"/>
        <w:tabs>
          <w:tab w:val="clear" w:pos="567"/>
        </w:tabs>
        <w:rPr>
          <w:color w:val="000000"/>
        </w:rPr>
      </w:pPr>
      <w:r w:rsidRPr="00F25A60">
        <w:rPr>
          <w:color w:val="000000"/>
        </w:rPr>
        <w:t>Užívejte pouze podle doporučení lékaře.</w:t>
      </w:r>
    </w:p>
    <w:p w14:paraId="0E666186" w14:textId="77777777" w:rsidR="00E61A01" w:rsidRPr="00F25A60" w:rsidRDefault="00E61A01" w:rsidP="005C56E6">
      <w:pPr>
        <w:widowControl w:val="0"/>
        <w:tabs>
          <w:tab w:val="clear" w:pos="567"/>
        </w:tabs>
        <w:spacing w:line="240" w:lineRule="auto"/>
        <w:rPr>
          <w:color w:val="000000"/>
        </w:rPr>
      </w:pPr>
    </w:p>
    <w:p w14:paraId="08B8126C" w14:textId="77777777" w:rsidR="00E61A01" w:rsidRPr="00F25A60" w:rsidRDefault="00E61A01" w:rsidP="005C56E6">
      <w:pPr>
        <w:widowControl w:val="0"/>
        <w:tabs>
          <w:tab w:val="clear" w:pos="567"/>
        </w:tabs>
        <w:spacing w:line="240" w:lineRule="auto"/>
        <w:rPr>
          <w:color w:val="000000"/>
        </w:rPr>
      </w:pPr>
    </w:p>
    <w:p w14:paraId="18A76A51"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8.</w:t>
      </w:r>
      <w:r w:rsidRPr="00F25A60">
        <w:rPr>
          <w:b/>
          <w:bCs/>
          <w:color w:val="000000"/>
        </w:rPr>
        <w:tab/>
        <w:t>POUŽITELNOST</w:t>
      </w:r>
    </w:p>
    <w:p w14:paraId="69A657ED" w14:textId="77777777" w:rsidR="00E61A01" w:rsidRPr="00F25A60" w:rsidRDefault="00E61A01" w:rsidP="005C56E6">
      <w:pPr>
        <w:widowControl w:val="0"/>
        <w:tabs>
          <w:tab w:val="clear" w:pos="567"/>
        </w:tabs>
        <w:spacing w:line="240" w:lineRule="auto"/>
      </w:pPr>
    </w:p>
    <w:p w14:paraId="2D880946" w14:textId="77777777" w:rsidR="00E61A01" w:rsidRPr="00F25A60" w:rsidRDefault="00E61A01" w:rsidP="005C56E6">
      <w:pPr>
        <w:pStyle w:val="EndnoteText"/>
        <w:widowControl w:val="0"/>
        <w:tabs>
          <w:tab w:val="clear" w:pos="567"/>
        </w:tabs>
        <w:rPr>
          <w:color w:val="000000"/>
        </w:rPr>
      </w:pPr>
      <w:r w:rsidRPr="00F25A60">
        <w:rPr>
          <w:color w:val="000000"/>
        </w:rPr>
        <w:t>EXP</w:t>
      </w:r>
    </w:p>
    <w:p w14:paraId="56D884AA" w14:textId="77777777" w:rsidR="00E61A01" w:rsidRPr="00F25A60" w:rsidRDefault="00E61A01" w:rsidP="005C56E6">
      <w:pPr>
        <w:widowControl w:val="0"/>
        <w:tabs>
          <w:tab w:val="clear" w:pos="567"/>
        </w:tabs>
        <w:spacing w:line="240" w:lineRule="auto"/>
        <w:rPr>
          <w:color w:val="000000"/>
        </w:rPr>
      </w:pPr>
    </w:p>
    <w:p w14:paraId="4B665D7A" w14:textId="77777777" w:rsidR="00E61A01" w:rsidRPr="00F25A60" w:rsidRDefault="00E61A01" w:rsidP="005C56E6">
      <w:pPr>
        <w:widowControl w:val="0"/>
        <w:tabs>
          <w:tab w:val="clear" w:pos="567"/>
        </w:tabs>
        <w:spacing w:line="240" w:lineRule="auto"/>
        <w:rPr>
          <w:color w:val="000000"/>
        </w:rPr>
      </w:pPr>
    </w:p>
    <w:p w14:paraId="311CE47E" w14:textId="77777777" w:rsidR="00E61A01" w:rsidRPr="00F25A60" w:rsidRDefault="00E61A01" w:rsidP="005C56E6">
      <w:pPr>
        <w:keepNext/>
        <w:keepLines/>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9.</w:t>
      </w:r>
      <w:r w:rsidRPr="00F25A60">
        <w:rPr>
          <w:b/>
          <w:bCs/>
          <w:color w:val="000000"/>
        </w:rPr>
        <w:tab/>
        <w:t>ZVLÁŠTNÍ PODMÍNKY PRO UCHOVÁVÁNÍ</w:t>
      </w:r>
    </w:p>
    <w:p w14:paraId="3C768114" w14:textId="77777777" w:rsidR="00E61A01" w:rsidRPr="00F25A60" w:rsidRDefault="00E61A01" w:rsidP="005C56E6">
      <w:pPr>
        <w:keepNext/>
        <w:keepLines/>
        <w:widowControl w:val="0"/>
        <w:tabs>
          <w:tab w:val="clear" w:pos="567"/>
        </w:tabs>
        <w:spacing w:line="240" w:lineRule="auto"/>
      </w:pPr>
    </w:p>
    <w:p w14:paraId="2942A4CC" w14:textId="76FC05A3" w:rsidR="00E61A01" w:rsidRPr="00F25A60" w:rsidRDefault="00B56288" w:rsidP="005C56E6">
      <w:pPr>
        <w:pStyle w:val="Text"/>
        <w:keepNext/>
        <w:keepLines/>
        <w:widowControl w:val="0"/>
        <w:spacing w:before="0"/>
        <w:jc w:val="left"/>
        <w:rPr>
          <w:color w:val="000000"/>
          <w:sz w:val="22"/>
          <w:szCs w:val="22"/>
          <w:lang w:val="cs-CZ"/>
        </w:rPr>
      </w:pPr>
      <w:r w:rsidRPr="00F25A60">
        <w:rPr>
          <w:color w:val="000000"/>
          <w:sz w:val="22"/>
          <w:szCs w:val="22"/>
          <w:lang w:val="cs-CZ"/>
        </w:rPr>
        <w:t>Uchovávejte při teplotě do 25</w:t>
      </w:r>
      <w:r w:rsidR="00242082" w:rsidRPr="00F25A60">
        <w:rPr>
          <w:color w:val="000000"/>
          <w:sz w:val="22"/>
          <w:szCs w:val="22"/>
          <w:lang w:val="cs-CZ"/>
        </w:rPr>
        <w:t> </w:t>
      </w:r>
      <w:r w:rsidR="00E61A01" w:rsidRPr="00F25A60">
        <w:rPr>
          <w:rFonts w:ascii="Symbol" w:hAnsi="Symbol"/>
          <w:color w:val="000000"/>
          <w:sz w:val="22"/>
          <w:szCs w:val="22"/>
          <w:lang w:val="cs-CZ"/>
        </w:rPr>
        <w:t></w:t>
      </w:r>
      <w:r w:rsidR="00E61A01" w:rsidRPr="00F25A60">
        <w:rPr>
          <w:color w:val="000000"/>
          <w:sz w:val="22"/>
          <w:szCs w:val="22"/>
          <w:lang w:val="cs-CZ"/>
        </w:rPr>
        <w:t>C. Uchovávejte v původním obalu, aby byl přípravek chráněn před vlhkostí.</w:t>
      </w:r>
    </w:p>
    <w:p w14:paraId="7CB8F95A" w14:textId="77777777" w:rsidR="00E61A01" w:rsidRPr="00F25A60" w:rsidRDefault="00E61A01" w:rsidP="005C56E6">
      <w:pPr>
        <w:widowControl w:val="0"/>
        <w:tabs>
          <w:tab w:val="clear" w:pos="567"/>
        </w:tabs>
        <w:spacing w:line="240" w:lineRule="auto"/>
        <w:rPr>
          <w:color w:val="000000"/>
        </w:rPr>
      </w:pPr>
    </w:p>
    <w:p w14:paraId="5F42EA54" w14:textId="77777777" w:rsidR="00E61A01" w:rsidRPr="00F25A60" w:rsidRDefault="00E61A01" w:rsidP="005C56E6">
      <w:pPr>
        <w:widowControl w:val="0"/>
        <w:tabs>
          <w:tab w:val="clear" w:pos="567"/>
        </w:tabs>
        <w:spacing w:line="240" w:lineRule="auto"/>
        <w:rPr>
          <w:color w:val="000000"/>
        </w:rPr>
      </w:pPr>
    </w:p>
    <w:p w14:paraId="25248371" w14:textId="77777777" w:rsidR="00E61A01" w:rsidRPr="00F25A60" w:rsidRDefault="00E61A01" w:rsidP="005C56E6">
      <w:pPr>
        <w:keepNext/>
        <w:keepLines/>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lastRenderedPageBreak/>
        <w:t>10.</w:t>
      </w:r>
      <w:r w:rsidRPr="00F25A60">
        <w:rPr>
          <w:b/>
          <w:bCs/>
          <w:color w:val="000000"/>
        </w:rPr>
        <w:tab/>
        <w:t>ZVLÁŠTNÍ OPATŘENÍ PRO LIKVIDACI NEPOUŽITÝCH LÉČIVÝCH PŘÍPRAVKŮ NEBO ODPADU Z </w:t>
      </w:r>
      <w:r w:rsidR="00B00096" w:rsidRPr="00F25A60">
        <w:rPr>
          <w:b/>
          <w:bCs/>
          <w:color w:val="000000"/>
        </w:rPr>
        <w:t>NICH</w:t>
      </w:r>
      <w:r w:rsidRPr="00F25A60">
        <w:rPr>
          <w:b/>
          <w:bCs/>
          <w:color w:val="000000"/>
        </w:rPr>
        <w:t>, POKUD JE TO VHODNÉ</w:t>
      </w:r>
    </w:p>
    <w:p w14:paraId="04D34140" w14:textId="77777777" w:rsidR="00E61A01" w:rsidRPr="00F25A60" w:rsidRDefault="00E61A01" w:rsidP="005C56E6">
      <w:pPr>
        <w:keepNext/>
        <w:keepLines/>
        <w:widowControl w:val="0"/>
        <w:tabs>
          <w:tab w:val="clear" w:pos="567"/>
        </w:tabs>
        <w:spacing w:line="240" w:lineRule="auto"/>
      </w:pPr>
    </w:p>
    <w:p w14:paraId="377AD465" w14:textId="77777777" w:rsidR="00E61A01" w:rsidRPr="00F25A60" w:rsidRDefault="00E61A01" w:rsidP="005C56E6">
      <w:pPr>
        <w:widowControl w:val="0"/>
        <w:tabs>
          <w:tab w:val="clear" w:pos="567"/>
        </w:tabs>
        <w:spacing w:line="240" w:lineRule="auto"/>
        <w:rPr>
          <w:color w:val="000000"/>
        </w:rPr>
      </w:pPr>
    </w:p>
    <w:p w14:paraId="7E32FD9B"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11.</w:t>
      </w:r>
      <w:r w:rsidRPr="00F25A60">
        <w:rPr>
          <w:b/>
          <w:bCs/>
          <w:color w:val="000000"/>
        </w:rPr>
        <w:tab/>
        <w:t>NÁZEV A ADRESA DRŽITELE ROZHODNUTÍ O REGISTRACI</w:t>
      </w:r>
    </w:p>
    <w:p w14:paraId="05381820" w14:textId="77777777" w:rsidR="00E61A01" w:rsidRPr="00F25A60" w:rsidRDefault="00E61A01" w:rsidP="005C56E6">
      <w:pPr>
        <w:widowControl w:val="0"/>
        <w:tabs>
          <w:tab w:val="clear" w:pos="567"/>
        </w:tabs>
        <w:spacing w:line="240" w:lineRule="auto"/>
      </w:pPr>
    </w:p>
    <w:p w14:paraId="54023DFE" w14:textId="77777777" w:rsidR="00E61A01" w:rsidRPr="00F25A60" w:rsidRDefault="00E61A01" w:rsidP="005C56E6">
      <w:pPr>
        <w:pStyle w:val="EndnoteText"/>
        <w:widowControl w:val="0"/>
        <w:tabs>
          <w:tab w:val="clear" w:pos="567"/>
        </w:tabs>
        <w:rPr>
          <w:color w:val="000000"/>
        </w:rPr>
      </w:pPr>
      <w:r w:rsidRPr="00F25A60">
        <w:rPr>
          <w:color w:val="000000"/>
        </w:rPr>
        <w:t>Novartis Europharm Limited</w:t>
      </w:r>
    </w:p>
    <w:p w14:paraId="75112637" w14:textId="77777777" w:rsidR="00F05B3D" w:rsidRPr="00F25A60" w:rsidRDefault="00F05B3D" w:rsidP="005C56E6">
      <w:pPr>
        <w:keepNext/>
        <w:widowControl w:val="0"/>
        <w:spacing w:line="240" w:lineRule="auto"/>
        <w:rPr>
          <w:color w:val="000000"/>
        </w:rPr>
      </w:pPr>
      <w:r w:rsidRPr="00F25A60">
        <w:rPr>
          <w:color w:val="000000"/>
        </w:rPr>
        <w:t>Vista Building</w:t>
      </w:r>
    </w:p>
    <w:p w14:paraId="2DF4103B" w14:textId="77777777" w:rsidR="00F05B3D" w:rsidRPr="00F25A60" w:rsidRDefault="00F05B3D" w:rsidP="005C56E6">
      <w:pPr>
        <w:keepNext/>
        <w:widowControl w:val="0"/>
        <w:spacing w:line="240" w:lineRule="auto"/>
        <w:rPr>
          <w:color w:val="000000"/>
        </w:rPr>
      </w:pPr>
      <w:r w:rsidRPr="00F25A60">
        <w:rPr>
          <w:color w:val="000000"/>
        </w:rPr>
        <w:t>Elm Park, Merrion Road</w:t>
      </w:r>
    </w:p>
    <w:p w14:paraId="071F71D7" w14:textId="77777777" w:rsidR="00F05B3D" w:rsidRPr="00F25A60" w:rsidRDefault="00F05B3D" w:rsidP="005C56E6">
      <w:pPr>
        <w:keepNext/>
        <w:widowControl w:val="0"/>
        <w:spacing w:line="240" w:lineRule="auto"/>
        <w:rPr>
          <w:color w:val="000000"/>
        </w:rPr>
      </w:pPr>
      <w:r w:rsidRPr="00F25A60">
        <w:rPr>
          <w:color w:val="000000"/>
        </w:rPr>
        <w:t>Dublin 4</w:t>
      </w:r>
    </w:p>
    <w:p w14:paraId="5C5F06BE" w14:textId="77777777" w:rsidR="00E61A01" w:rsidRPr="00F25A60" w:rsidRDefault="00F05B3D" w:rsidP="005C56E6">
      <w:pPr>
        <w:widowControl w:val="0"/>
        <w:spacing w:line="240" w:lineRule="auto"/>
        <w:rPr>
          <w:color w:val="000000"/>
        </w:rPr>
      </w:pPr>
      <w:r w:rsidRPr="00F25A60">
        <w:rPr>
          <w:color w:val="000000"/>
        </w:rPr>
        <w:t>Irsko</w:t>
      </w:r>
    </w:p>
    <w:p w14:paraId="4492855C" w14:textId="77777777" w:rsidR="00E61A01" w:rsidRPr="00F25A60" w:rsidRDefault="00E61A01" w:rsidP="005C56E6">
      <w:pPr>
        <w:widowControl w:val="0"/>
        <w:tabs>
          <w:tab w:val="clear" w:pos="567"/>
        </w:tabs>
        <w:spacing w:line="240" w:lineRule="auto"/>
        <w:rPr>
          <w:color w:val="000000"/>
        </w:rPr>
      </w:pPr>
    </w:p>
    <w:p w14:paraId="4412E833" w14:textId="77777777" w:rsidR="00E61A01" w:rsidRPr="00F25A60" w:rsidRDefault="00E61A01" w:rsidP="005C56E6">
      <w:pPr>
        <w:widowControl w:val="0"/>
        <w:tabs>
          <w:tab w:val="clear" w:pos="567"/>
        </w:tabs>
        <w:spacing w:line="240" w:lineRule="auto"/>
        <w:rPr>
          <w:color w:val="000000"/>
        </w:rPr>
      </w:pPr>
    </w:p>
    <w:p w14:paraId="2462B4D6"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12.</w:t>
      </w:r>
      <w:r w:rsidRPr="00F25A60">
        <w:rPr>
          <w:b/>
          <w:bCs/>
          <w:color w:val="000000"/>
        </w:rPr>
        <w:tab/>
        <w:t>REGISTRAČNÍ ČÍSLO</w:t>
      </w:r>
      <w:r w:rsidR="00B00096" w:rsidRPr="00F25A60">
        <w:rPr>
          <w:b/>
          <w:bCs/>
          <w:color w:val="000000"/>
        </w:rPr>
        <w:t>/ČÍSLA</w:t>
      </w:r>
    </w:p>
    <w:p w14:paraId="79C03414" w14:textId="77777777" w:rsidR="00E61A01" w:rsidRPr="00F25A60" w:rsidRDefault="00E61A01" w:rsidP="005C56E6">
      <w:pPr>
        <w:widowControl w:val="0"/>
        <w:tabs>
          <w:tab w:val="clear" w:pos="567"/>
        </w:tabs>
        <w:spacing w:line="240" w:lineRule="auto"/>
      </w:pPr>
    </w:p>
    <w:p w14:paraId="5D9AE843" w14:textId="77777777" w:rsidR="00E61A01" w:rsidRPr="00F25A60" w:rsidRDefault="00E61A01" w:rsidP="005C56E6">
      <w:pPr>
        <w:pStyle w:val="EndnoteText"/>
        <w:widowControl w:val="0"/>
        <w:tabs>
          <w:tab w:val="clear" w:pos="567"/>
          <w:tab w:val="left" w:pos="2268"/>
        </w:tabs>
        <w:rPr>
          <w:color w:val="000000"/>
          <w:shd w:val="clear" w:color="auto" w:fill="D9D9D9"/>
        </w:rPr>
      </w:pPr>
      <w:r w:rsidRPr="00F25A60">
        <w:rPr>
          <w:color w:val="000000"/>
        </w:rPr>
        <w:t>EU/1/01/198/009</w:t>
      </w:r>
      <w:r w:rsidRPr="00F25A60">
        <w:rPr>
          <w:color w:val="000000"/>
        </w:rPr>
        <w:tab/>
      </w:r>
      <w:r w:rsidRPr="00F25A60">
        <w:rPr>
          <w:color w:val="000000"/>
          <w:shd w:val="clear" w:color="auto" w:fill="D9D9D9"/>
        </w:rPr>
        <w:t>10 tablet</w:t>
      </w:r>
    </w:p>
    <w:p w14:paraId="1ACD3C11" w14:textId="77777777" w:rsidR="00E61A01" w:rsidRPr="00F25A60" w:rsidRDefault="00E61A01" w:rsidP="005C56E6">
      <w:pPr>
        <w:widowControl w:val="0"/>
        <w:tabs>
          <w:tab w:val="clear" w:pos="567"/>
          <w:tab w:val="left" w:pos="2268"/>
        </w:tabs>
        <w:spacing w:line="240" w:lineRule="auto"/>
        <w:rPr>
          <w:color w:val="000000"/>
          <w:shd w:val="clear" w:color="auto" w:fill="D9D9D9"/>
        </w:rPr>
      </w:pPr>
      <w:r w:rsidRPr="00F25A60">
        <w:rPr>
          <w:color w:val="000000"/>
          <w:shd w:val="clear" w:color="auto" w:fill="D9D9D9"/>
        </w:rPr>
        <w:t>EU/1/01/198/010</w:t>
      </w:r>
      <w:r w:rsidRPr="00F25A60">
        <w:rPr>
          <w:color w:val="000000"/>
          <w:shd w:val="clear" w:color="auto" w:fill="D9D9D9"/>
        </w:rPr>
        <w:tab/>
        <w:t>30 tablet</w:t>
      </w:r>
    </w:p>
    <w:p w14:paraId="4E8616F7" w14:textId="77777777" w:rsidR="00E61A01" w:rsidRPr="00F25A60" w:rsidRDefault="00E61A01" w:rsidP="005C56E6">
      <w:pPr>
        <w:widowControl w:val="0"/>
        <w:tabs>
          <w:tab w:val="clear" w:pos="567"/>
          <w:tab w:val="left" w:pos="2268"/>
        </w:tabs>
        <w:spacing w:line="240" w:lineRule="auto"/>
        <w:rPr>
          <w:color w:val="000000"/>
          <w:shd w:val="clear" w:color="auto" w:fill="D9D9D9"/>
        </w:rPr>
      </w:pPr>
      <w:r w:rsidRPr="00F25A60">
        <w:rPr>
          <w:color w:val="000000"/>
          <w:shd w:val="clear" w:color="auto" w:fill="D9D9D9"/>
        </w:rPr>
        <w:t>EU/1/01/198/013</w:t>
      </w:r>
      <w:r w:rsidRPr="00F25A60">
        <w:rPr>
          <w:color w:val="000000"/>
          <w:shd w:val="clear" w:color="auto" w:fill="D9D9D9"/>
        </w:rPr>
        <w:tab/>
        <w:t>90 tablet</w:t>
      </w:r>
    </w:p>
    <w:p w14:paraId="092BE3D1" w14:textId="77777777" w:rsidR="00E61A01" w:rsidRPr="00F25A60" w:rsidRDefault="00E61A01" w:rsidP="005C56E6">
      <w:pPr>
        <w:widowControl w:val="0"/>
        <w:tabs>
          <w:tab w:val="clear" w:pos="567"/>
        </w:tabs>
        <w:spacing w:line="240" w:lineRule="auto"/>
        <w:rPr>
          <w:color w:val="000000"/>
        </w:rPr>
      </w:pPr>
    </w:p>
    <w:p w14:paraId="73CF737B" w14:textId="77777777" w:rsidR="00E61A01" w:rsidRPr="00F25A60" w:rsidRDefault="00E61A01" w:rsidP="005C56E6">
      <w:pPr>
        <w:widowControl w:val="0"/>
        <w:tabs>
          <w:tab w:val="clear" w:pos="567"/>
        </w:tabs>
        <w:spacing w:line="240" w:lineRule="auto"/>
        <w:rPr>
          <w:color w:val="000000"/>
        </w:rPr>
      </w:pPr>
    </w:p>
    <w:p w14:paraId="788E3C7A"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13.</w:t>
      </w:r>
      <w:r w:rsidRPr="00F25A60">
        <w:rPr>
          <w:b/>
          <w:bCs/>
          <w:color w:val="000000"/>
        </w:rPr>
        <w:tab/>
        <w:t>ČÍSLO ŠARŽE</w:t>
      </w:r>
    </w:p>
    <w:p w14:paraId="03B30BD6" w14:textId="77777777" w:rsidR="00E61A01" w:rsidRPr="00F25A60" w:rsidRDefault="00E61A01" w:rsidP="005C56E6">
      <w:pPr>
        <w:widowControl w:val="0"/>
        <w:tabs>
          <w:tab w:val="clear" w:pos="567"/>
        </w:tabs>
        <w:spacing w:line="240" w:lineRule="auto"/>
      </w:pPr>
    </w:p>
    <w:p w14:paraId="06D9B96F" w14:textId="4B4ABDC7" w:rsidR="00E61A01" w:rsidRPr="00F25A60" w:rsidRDefault="00E42136" w:rsidP="005C56E6">
      <w:pPr>
        <w:widowControl w:val="0"/>
        <w:tabs>
          <w:tab w:val="clear" w:pos="567"/>
        </w:tabs>
        <w:spacing w:line="240" w:lineRule="auto"/>
        <w:rPr>
          <w:color w:val="000000"/>
        </w:rPr>
      </w:pPr>
      <w:r w:rsidRPr="00F25A60">
        <w:rPr>
          <w:color w:val="000000"/>
        </w:rPr>
        <w:t>Lot</w:t>
      </w:r>
    </w:p>
    <w:p w14:paraId="69AB7CA3" w14:textId="77777777" w:rsidR="00E61A01" w:rsidRPr="00F25A60" w:rsidRDefault="00E61A01" w:rsidP="005C56E6">
      <w:pPr>
        <w:widowControl w:val="0"/>
        <w:tabs>
          <w:tab w:val="clear" w:pos="567"/>
        </w:tabs>
        <w:spacing w:line="240" w:lineRule="auto"/>
        <w:rPr>
          <w:color w:val="000000"/>
        </w:rPr>
      </w:pPr>
    </w:p>
    <w:p w14:paraId="72D96496" w14:textId="77777777" w:rsidR="00E61A01" w:rsidRPr="00F25A60" w:rsidRDefault="00E61A01" w:rsidP="005C56E6">
      <w:pPr>
        <w:widowControl w:val="0"/>
        <w:tabs>
          <w:tab w:val="clear" w:pos="567"/>
        </w:tabs>
        <w:spacing w:line="240" w:lineRule="auto"/>
        <w:rPr>
          <w:color w:val="000000"/>
        </w:rPr>
      </w:pPr>
    </w:p>
    <w:p w14:paraId="18F4B380"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14.</w:t>
      </w:r>
      <w:r w:rsidRPr="00F25A60">
        <w:rPr>
          <w:b/>
          <w:bCs/>
          <w:color w:val="000000"/>
        </w:rPr>
        <w:tab/>
        <w:t>KLASIFIKACE PRO VÝDEJ</w:t>
      </w:r>
    </w:p>
    <w:p w14:paraId="7E96E347" w14:textId="77777777" w:rsidR="00E61A01" w:rsidRPr="00F25A60" w:rsidRDefault="00E61A01" w:rsidP="005C56E6">
      <w:pPr>
        <w:widowControl w:val="0"/>
        <w:tabs>
          <w:tab w:val="clear" w:pos="567"/>
        </w:tabs>
        <w:spacing w:line="240" w:lineRule="auto"/>
        <w:rPr>
          <w:color w:val="000000"/>
        </w:rPr>
      </w:pPr>
    </w:p>
    <w:p w14:paraId="7D9A1A51" w14:textId="77777777" w:rsidR="00E61A01" w:rsidRPr="00F25A60" w:rsidRDefault="00E61A01" w:rsidP="005C56E6">
      <w:pPr>
        <w:widowControl w:val="0"/>
        <w:tabs>
          <w:tab w:val="clear" w:pos="567"/>
        </w:tabs>
        <w:spacing w:line="240" w:lineRule="auto"/>
        <w:rPr>
          <w:color w:val="000000"/>
        </w:rPr>
      </w:pPr>
    </w:p>
    <w:p w14:paraId="1BF09BA0"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15.</w:t>
      </w:r>
      <w:r w:rsidRPr="00F25A60">
        <w:rPr>
          <w:b/>
          <w:bCs/>
          <w:color w:val="000000"/>
        </w:rPr>
        <w:tab/>
        <w:t>NÁVOD K POUŽITÍ</w:t>
      </w:r>
    </w:p>
    <w:p w14:paraId="788F08E3" w14:textId="77777777" w:rsidR="00E61A01" w:rsidRPr="00F25A60" w:rsidRDefault="00E61A01" w:rsidP="005C56E6">
      <w:pPr>
        <w:widowControl w:val="0"/>
        <w:tabs>
          <w:tab w:val="clear" w:pos="567"/>
        </w:tabs>
        <w:spacing w:line="240" w:lineRule="auto"/>
      </w:pPr>
    </w:p>
    <w:p w14:paraId="2254DC69" w14:textId="77777777" w:rsidR="00E61A01" w:rsidRPr="00F25A60" w:rsidRDefault="00E61A01" w:rsidP="005C56E6">
      <w:pPr>
        <w:widowControl w:val="0"/>
        <w:tabs>
          <w:tab w:val="clear" w:pos="567"/>
        </w:tabs>
        <w:spacing w:line="240" w:lineRule="auto"/>
        <w:rPr>
          <w:color w:val="000000"/>
        </w:rPr>
      </w:pPr>
    </w:p>
    <w:p w14:paraId="2C986A02"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16.</w:t>
      </w:r>
      <w:r w:rsidRPr="00F25A60">
        <w:rPr>
          <w:b/>
          <w:bCs/>
          <w:color w:val="000000"/>
        </w:rPr>
        <w:tab/>
        <w:t>INFORMACE V BRAILLOVĚ PÍSMU</w:t>
      </w:r>
    </w:p>
    <w:p w14:paraId="6E279B9A" w14:textId="77777777" w:rsidR="00E61A01" w:rsidRPr="00F25A60" w:rsidRDefault="00E61A01" w:rsidP="005C56E6">
      <w:pPr>
        <w:widowControl w:val="0"/>
        <w:tabs>
          <w:tab w:val="clear" w:pos="567"/>
        </w:tabs>
        <w:spacing w:line="240" w:lineRule="auto"/>
      </w:pPr>
    </w:p>
    <w:p w14:paraId="00894ABA" w14:textId="77777777" w:rsidR="00E61A01" w:rsidRPr="00F25A60" w:rsidRDefault="00E61A01" w:rsidP="005C56E6">
      <w:pPr>
        <w:widowControl w:val="0"/>
        <w:tabs>
          <w:tab w:val="clear" w:pos="567"/>
        </w:tabs>
        <w:spacing w:line="240" w:lineRule="auto"/>
        <w:rPr>
          <w:color w:val="000000"/>
        </w:rPr>
      </w:pPr>
      <w:r w:rsidRPr="00F25A60">
        <w:rPr>
          <w:color w:val="000000"/>
        </w:rPr>
        <w:t>Glivec 400 mg</w:t>
      </w:r>
    </w:p>
    <w:p w14:paraId="2E0464B7" w14:textId="77777777" w:rsidR="00AC5D70" w:rsidRPr="00F25A60" w:rsidRDefault="00AC5D70" w:rsidP="005C56E6">
      <w:pPr>
        <w:widowControl w:val="0"/>
        <w:tabs>
          <w:tab w:val="clear" w:pos="567"/>
        </w:tabs>
        <w:spacing w:line="240" w:lineRule="auto"/>
        <w:rPr>
          <w:color w:val="000000"/>
        </w:rPr>
      </w:pPr>
    </w:p>
    <w:p w14:paraId="79987B39" w14:textId="77777777" w:rsidR="00290317" w:rsidRPr="00F25A60" w:rsidRDefault="00290317" w:rsidP="005C56E6">
      <w:pPr>
        <w:widowControl w:val="0"/>
        <w:tabs>
          <w:tab w:val="clear" w:pos="567"/>
        </w:tabs>
        <w:spacing w:line="240" w:lineRule="auto"/>
        <w:rPr>
          <w:color w:val="000000"/>
        </w:rPr>
      </w:pPr>
    </w:p>
    <w:p w14:paraId="69BC2EA1" w14:textId="77777777" w:rsidR="00290317" w:rsidRPr="00F25A60" w:rsidRDefault="00290317" w:rsidP="005C56E6">
      <w:pPr>
        <w:widowControl w:val="0"/>
        <w:pBdr>
          <w:top w:val="single" w:sz="4" w:space="0" w:color="auto"/>
          <w:left w:val="single" w:sz="4" w:space="4" w:color="auto"/>
          <w:bottom w:val="single" w:sz="4" w:space="1" w:color="auto"/>
          <w:right w:val="single" w:sz="4" w:space="4" w:color="auto"/>
        </w:pBdr>
        <w:tabs>
          <w:tab w:val="clear" w:pos="567"/>
        </w:tabs>
        <w:spacing w:line="240" w:lineRule="auto"/>
        <w:rPr>
          <w:noProof/>
        </w:rPr>
      </w:pPr>
      <w:r w:rsidRPr="00F25A60">
        <w:rPr>
          <w:b/>
          <w:noProof/>
        </w:rPr>
        <w:t>17.</w:t>
      </w:r>
      <w:r w:rsidRPr="00F25A60">
        <w:rPr>
          <w:b/>
          <w:noProof/>
        </w:rPr>
        <w:tab/>
        <w:t>JEDINEČNÝ IDENTIFIKÁTOR – 2D ČÁROVÝ KÓD</w:t>
      </w:r>
    </w:p>
    <w:p w14:paraId="7355D4E4" w14:textId="77777777" w:rsidR="00290317" w:rsidRPr="00F25A60" w:rsidRDefault="00290317" w:rsidP="005C56E6">
      <w:pPr>
        <w:keepNext/>
        <w:widowControl w:val="0"/>
        <w:tabs>
          <w:tab w:val="clear" w:pos="567"/>
        </w:tabs>
        <w:spacing w:line="240" w:lineRule="auto"/>
        <w:rPr>
          <w:noProof/>
        </w:rPr>
      </w:pPr>
    </w:p>
    <w:p w14:paraId="3ED51914" w14:textId="77777777" w:rsidR="00290317" w:rsidRPr="00F25A60" w:rsidRDefault="00290317" w:rsidP="005C56E6">
      <w:pPr>
        <w:widowControl w:val="0"/>
        <w:tabs>
          <w:tab w:val="clear" w:pos="567"/>
        </w:tabs>
        <w:spacing w:line="240" w:lineRule="auto"/>
        <w:rPr>
          <w:noProof/>
          <w:shd w:val="pct15" w:color="auto" w:fill="auto"/>
        </w:rPr>
      </w:pPr>
      <w:r w:rsidRPr="00F25A60">
        <w:rPr>
          <w:noProof/>
          <w:shd w:val="pct15" w:color="auto" w:fill="auto"/>
        </w:rPr>
        <w:t>2D čárový kód s jedinečným identifikátorem.</w:t>
      </w:r>
    </w:p>
    <w:p w14:paraId="102FDDA0" w14:textId="77777777" w:rsidR="00290317" w:rsidRPr="00F25A60" w:rsidRDefault="00290317" w:rsidP="005C56E6">
      <w:pPr>
        <w:widowControl w:val="0"/>
        <w:tabs>
          <w:tab w:val="clear" w:pos="567"/>
        </w:tabs>
        <w:spacing w:line="240" w:lineRule="auto"/>
        <w:rPr>
          <w:noProof/>
          <w:shd w:val="pct15" w:color="auto" w:fill="auto"/>
        </w:rPr>
      </w:pPr>
    </w:p>
    <w:p w14:paraId="1755EFEF" w14:textId="77777777" w:rsidR="00290317" w:rsidRPr="00F25A60" w:rsidRDefault="00290317" w:rsidP="005C56E6">
      <w:pPr>
        <w:widowControl w:val="0"/>
        <w:tabs>
          <w:tab w:val="clear" w:pos="567"/>
        </w:tabs>
        <w:spacing w:line="240" w:lineRule="auto"/>
        <w:rPr>
          <w:noProof/>
          <w:u w:val="single"/>
        </w:rPr>
      </w:pPr>
    </w:p>
    <w:p w14:paraId="56E26F20" w14:textId="77777777" w:rsidR="00290317" w:rsidRPr="00F25A60" w:rsidRDefault="00290317" w:rsidP="005C56E6">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rPr>
      </w:pPr>
      <w:r w:rsidRPr="00F25A60">
        <w:rPr>
          <w:b/>
          <w:noProof/>
        </w:rPr>
        <w:t>18.</w:t>
      </w:r>
      <w:r w:rsidRPr="00F25A60">
        <w:rPr>
          <w:b/>
          <w:noProof/>
        </w:rPr>
        <w:tab/>
        <w:t>JEDINEČNÝ IDENTIFIKÁTOR – DATA ČITELNÁ OKEM</w:t>
      </w:r>
    </w:p>
    <w:p w14:paraId="47CE0D85" w14:textId="77777777" w:rsidR="00290317" w:rsidRPr="00F25A60" w:rsidRDefault="00290317" w:rsidP="005C56E6">
      <w:pPr>
        <w:keepNext/>
        <w:widowControl w:val="0"/>
        <w:tabs>
          <w:tab w:val="clear" w:pos="567"/>
        </w:tabs>
        <w:spacing w:line="240" w:lineRule="auto"/>
        <w:rPr>
          <w:noProof/>
          <w:u w:val="single"/>
        </w:rPr>
      </w:pPr>
    </w:p>
    <w:p w14:paraId="46E97A90" w14:textId="0D5F4626" w:rsidR="00290317" w:rsidRPr="00F25A60" w:rsidRDefault="00290317" w:rsidP="005C56E6">
      <w:pPr>
        <w:keepNext/>
        <w:widowControl w:val="0"/>
        <w:tabs>
          <w:tab w:val="clear" w:pos="567"/>
        </w:tabs>
        <w:spacing w:line="240" w:lineRule="auto"/>
        <w:rPr>
          <w:noProof/>
        </w:rPr>
      </w:pPr>
      <w:r w:rsidRPr="00F25A60">
        <w:rPr>
          <w:noProof/>
        </w:rPr>
        <w:t>PC</w:t>
      </w:r>
    </w:p>
    <w:p w14:paraId="060FB896" w14:textId="1B12E4E4" w:rsidR="00290317" w:rsidRPr="00F25A60" w:rsidRDefault="00290317" w:rsidP="005C56E6">
      <w:pPr>
        <w:keepNext/>
        <w:widowControl w:val="0"/>
        <w:tabs>
          <w:tab w:val="clear" w:pos="567"/>
        </w:tabs>
        <w:spacing w:line="240" w:lineRule="auto"/>
        <w:rPr>
          <w:noProof/>
        </w:rPr>
      </w:pPr>
      <w:r w:rsidRPr="00F25A60">
        <w:rPr>
          <w:noProof/>
        </w:rPr>
        <w:t>SN</w:t>
      </w:r>
    </w:p>
    <w:p w14:paraId="242916E7" w14:textId="3EE3C470" w:rsidR="00290317" w:rsidRPr="00F25A60" w:rsidRDefault="00290317" w:rsidP="005C56E6">
      <w:pPr>
        <w:widowControl w:val="0"/>
        <w:tabs>
          <w:tab w:val="clear" w:pos="567"/>
        </w:tabs>
        <w:spacing w:line="240" w:lineRule="auto"/>
        <w:rPr>
          <w:noProof/>
        </w:rPr>
      </w:pPr>
      <w:r w:rsidRPr="00571A7B">
        <w:rPr>
          <w:noProof/>
          <w:shd w:val="pct15" w:color="auto" w:fill="auto"/>
        </w:rPr>
        <w:t>NN</w:t>
      </w:r>
    </w:p>
    <w:p w14:paraId="57606F89" w14:textId="77777777" w:rsidR="00E61A01" w:rsidRPr="00F25A60" w:rsidRDefault="00E61A01" w:rsidP="005C56E6">
      <w:pPr>
        <w:widowControl w:val="0"/>
        <w:tabs>
          <w:tab w:val="clear" w:pos="567"/>
        </w:tabs>
        <w:spacing w:line="240" w:lineRule="auto"/>
        <w:rPr>
          <w:color w:val="000000"/>
        </w:rPr>
      </w:pPr>
      <w:r w:rsidRPr="00F25A60">
        <w:rPr>
          <w:color w:val="000000"/>
        </w:rPr>
        <w:br w:type="page"/>
      </w:r>
    </w:p>
    <w:p w14:paraId="29A3CFE2" w14:textId="77777777" w:rsidR="00EB4FF7" w:rsidRPr="00F25A60" w:rsidRDefault="00EB4FF7" w:rsidP="005C56E6">
      <w:pPr>
        <w:widowControl w:val="0"/>
        <w:tabs>
          <w:tab w:val="clear" w:pos="567"/>
        </w:tabs>
        <w:snapToGrid w:val="0"/>
        <w:spacing w:line="240" w:lineRule="auto"/>
        <w:rPr>
          <w:bCs/>
          <w:color w:val="000000"/>
        </w:rPr>
      </w:pPr>
    </w:p>
    <w:p w14:paraId="0C6AE746"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s>
        <w:snapToGrid w:val="0"/>
        <w:spacing w:line="240" w:lineRule="auto"/>
        <w:rPr>
          <w:b/>
          <w:bCs/>
          <w:color w:val="000000"/>
        </w:rPr>
      </w:pPr>
      <w:r w:rsidRPr="00F25A60">
        <w:rPr>
          <w:b/>
          <w:bCs/>
          <w:color w:val="000000"/>
        </w:rPr>
        <w:t>MINIMÁLNÍ ÚDAJE UVÁDĚNÉ NA BLISTRECH NEBO STRIPECH</w:t>
      </w:r>
    </w:p>
    <w:p w14:paraId="7C37178E"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rPr>
      </w:pPr>
    </w:p>
    <w:p w14:paraId="688FAC74"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color w:val="000000"/>
        </w:rPr>
      </w:pPr>
      <w:r w:rsidRPr="00F25A60">
        <w:rPr>
          <w:b/>
          <w:bCs/>
          <w:color w:val="000000"/>
        </w:rPr>
        <w:t>BLISTRY</w:t>
      </w:r>
    </w:p>
    <w:p w14:paraId="6AD7C05F" w14:textId="77777777" w:rsidR="00E61A01" w:rsidRPr="00F25A60" w:rsidRDefault="00E61A01" w:rsidP="005C56E6">
      <w:pPr>
        <w:widowControl w:val="0"/>
        <w:tabs>
          <w:tab w:val="clear" w:pos="567"/>
        </w:tabs>
        <w:spacing w:line="240" w:lineRule="auto"/>
      </w:pPr>
    </w:p>
    <w:p w14:paraId="71FBDB5E" w14:textId="77777777" w:rsidR="00E61A01" w:rsidRPr="00F25A60" w:rsidRDefault="00E61A01" w:rsidP="005C56E6">
      <w:pPr>
        <w:widowControl w:val="0"/>
        <w:tabs>
          <w:tab w:val="clear" w:pos="567"/>
        </w:tabs>
        <w:spacing w:line="240" w:lineRule="auto"/>
        <w:rPr>
          <w:color w:val="000000"/>
        </w:rPr>
      </w:pPr>
    </w:p>
    <w:p w14:paraId="661BA3DA"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1.</w:t>
      </w:r>
      <w:r w:rsidRPr="00F25A60">
        <w:rPr>
          <w:b/>
          <w:bCs/>
          <w:color w:val="000000"/>
        </w:rPr>
        <w:tab/>
        <w:t>NÁZEV LÉČIVÉHO PŘÍPRAVKU</w:t>
      </w:r>
    </w:p>
    <w:p w14:paraId="4D69C207" w14:textId="77777777" w:rsidR="00E61A01" w:rsidRPr="00F25A60" w:rsidRDefault="00E61A01" w:rsidP="005C56E6">
      <w:pPr>
        <w:widowControl w:val="0"/>
        <w:tabs>
          <w:tab w:val="clear" w:pos="567"/>
        </w:tabs>
        <w:spacing w:line="240" w:lineRule="auto"/>
        <w:ind w:left="567" w:hanging="567"/>
      </w:pPr>
    </w:p>
    <w:p w14:paraId="6D456C98" w14:textId="77777777" w:rsidR="00E61A01" w:rsidRPr="00F25A60" w:rsidRDefault="00E61A01" w:rsidP="005C56E6">
      <w:pPr>
        <w:widowControl w:val="0"/>
        <w:tabs>
          <w:tab w:val="clear" w:pos="567"/>
        </w:tabs>
        <w:spacing w:line="240" w:lineRule="auto"/>
        <w:rPr>
          <w:color w:val="000000"/>
        </w:rPr>
      </w:pPr>
      <w:r w:rsidRPr="00F25A60">
        <w:rPr>
          <w:color w:val="000000"/>
        </w:rPr>
        <w:t>Glivec 400 mg tablety</w:t>
      </w:r>
    </w:p>
    <w:p w14:paraId="1B63EC32" w14:textId="6CB53705" w:rsidR="00E61A01" w:rsidRPr="00F25A60" w:rsidRDefault="00AC5D70" w:rsidP="005C56E6">
      <w:pPr>
        <w:widowControl w:val="0"/>
        <w:tabs>
          <w:tab w:val="clear" w:pos="567"/>
        </w:tabs>
        <w:spacing w:line="240" w:lineRule="auto"/>
        <w:rPr>
          <w:color w:val="000000"/>
        </w:rPr>
      </w:pPr>
      <w:r w:rsidRPr="00F25A60">
        <w:rPr>
          <w:color w:val="000000"/>
        </w:rPr>
        <w:t>i</w:t>
      </w:r>
      <w:r w:rsidR="00E61A01" w:rsidRPr="00F25A60">
        <w:rPr>
          <w:color w:val="000000"/>
        </w:rPr>
        <w:t>matinib</w:t>
      </w:r>
      <w:del w:id="426" w:author="Author">
        <w:r w:rsidR="00E61A01" w:rsidRPr="00F25A60" w:rsidDel="009274D5">
          <w:rPr>
            <w:color w:val="000000"/>
          </w:rPr>
          <w:delText>um</w:delText>
        </w:r>
      </w:del>
    </w:p>
    <w:p w14:paraId="63690012" w14:textId="77777777" w:rsidR="00E61A01" w:rsidRPr="00F25A60" w:rsidRDefault="00E61A01" w:rsidP="005C56E6">
      <w:pPr>
        <w:widowControl w:val="0"/>
        <w:tabs>
          <w:tab w:val="clear" w:pos="567"/>
        </w:tabs>
        <w:spacing w:line="240" w:lineRule="auto"/>
        <w:rPr>
          <w:color w:val="000000"/>
        </w:rPr>
      </w:pPr>
    </w:p>
    <w:p w14:paraId="4E349E6F" w14:textId="77777777" w:rsidR="00E61A01" w:rsidRPr="00F25A60" w:rsidRDefault="00E61A01" w:rsidP="005C56E6">
      <w:pPr>
        <w:widowControl w:val="0"/>
        <w:tabs>
          <w:tab w:val="clear" w:pos="567"/>
        </w:tabs>
        <w:spacing w:line="240" w:lineRule="auto"/>
        <w:rPr>
          <w:color w:val="000000"/>
        </w:rPr>
      </w:pPr>
    </w:p>
    <w:p w14:paraId="53AEF7BE"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2.</w:t>
      </w:r>
      <w:r w:rsidRPr="00F25A60">
        <w:rPr>
          <w:b/>
          <w:bCs/>
          <w:color w:val="000000"/>
        </w:rPr>
        <w:tab/>
        <w:t>NÁZEV DRŽITELE ROZHODNUTÍ O REGISTRACI</w:t>
      </w:r>
    </w:p>
    <w:p w14:paraId="7A6311AE" w14:textId="77777777" w:rsidR="00E61A01" w:rsidRPr="00F25A60" w:rsidRDefault="00E61A01" w:rsidP="005C56E6">
      <w:pPr>
        <w:widowControl w:val="0"/>
        <w:tabs>
          <w:tab w:val="clear" w:pos="567"/>
        </w:tabs>
        <w:spacing w:line="240" w:lineRule="auto"/>
      </w:pPr>
    </w:p>
    <w:p w14:paraId="45AA425D" w14:textId="77777777" w:rsidR="00E61A01" w:rsidRPr="00F25A60" w:rsidRDefault="00E61A01" w:rsidP="005C56E6">
      <w:pPr>
        <w:widowControl w:val="0"/>
        <w:tabs>
          <w:tab w:val="clear" w:pos="567"/>
        </w:tabs>
        <w:spacing w:line="240" w:lineRule="auto"/>
        <w:rPr>
          <w:color w:val="000000"/>
        </w:rPr>
      </w:pPr>
      <w:r w:rsidRPr="00F25A60">
        <w:rPr>
          <w:color w:val="000000"/>
        </w:rPr>
        <w:t>Novartis Europharm Limited</w:t>
      </w:r>
    </w:p>
    <w:p w14:paraId="2FC0B0E5" w14:textId="77777777" w:rsidR="00E61A01" w:rsidRPr="00F25A60" w:rsidRDefault="00E61A01" w:rsidP="005C56E6">
      <w:pPr>
        <w:widowControl w:val="0"/>
        <w:tabs>
          <w:tab w:val="clear" w:pos="567"/>
        </w:tabs>
        <w:spacing w:line="240" w:lineRule="auto"/>
        <w:rPr>
          <w:color w:val="000000"/>
        </w:rPr>
      </w:pPr>
    </w:p>
    <w:p w14:paraId="0E4F0322" w14:textId="77777777" w:rsidR="00E61A01" w:rsidRPr="00F25A60" w:rsidRDefault="00E61A01" w:rsidP="005C56E6">
      <w:pPr>
        <w:widowControl w:val="0"/>
        <w:tabs>
          <w:tab w:val="clear" w:pos="567"/>
        </w:tabs>
        <w:spacing w:line="240" w:lineRule="auto"/>
        <w:rPr>
          <w:color w:val="000000"/>
        </w:rPr>
      </w:pPr>
    </w:p>
    <w:p w14:paraId="0837DCD6"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3.</w:t>
      </w:r>
      <w:r w:rsidRPr="00F25A60">
        <w:rPr>
          <w:b/>
          <w:bCs/>
          <w:color w:val="000000"/>
        </w:rPr>
        <w:tab/>
        <w:t>POUŽITELNOST</w:t>
      </w:r>
    </w:p>
    <w:p w14:paraId="621FBB08" w14:textId="77777777" w:rsidR="00E61A01" w:rsidRPr="00F25A60" w:rsidRDefault="00E61A01" w:rsidP="005C56E6">
      <w:pPr>
        <w:widowControl w:val="0"/>
        <w:tabs>
          <w:tab w:val="clear" w:pos="567"/>
        </w:tabs>
        <w:spacing w:line="240" w:lineRule="auto"/>
      </w:pPr>
    </w:p>
    <w:p w14:paraId="76571212" w14:textId="77777777" w:rsidR="00E61A01" w:rsidRPr="00F25A60" w:rsidRDefault="00E61A01" w:rsidP="005C56E6">
      <w:pPr>
        <w:pStyle w:val="EndnoteText"/>
        <w:widowControl w:val="0"/>
        <w:tabs>
          <w:tab w:val="clear" w:pos="567"/>
        </w:tabs>
        <w:rPr>
          <w:color w:val="000000"/>
        </w:rPr>
      </w:pPr>
      <w:r w:rsidRPr="00F25A60">
        <w:rPr>
          <w:color w:val="000000"/>
        </w:rPr>
        <w:t>EXP</w:t>
      </w:r>
    </w:p>
    <w:p w14:paraId="055D3986" w14:textId="77777777" w:rsidR="00E61A01" w:rsidRPr="00F25A60" w:rsidRDefault="00E61A01" w:rsidP="005C56E6">
      <w:pPr>
        <w:widowControl w:val="0"/>
        <w:tabs>
          <w:tab w:val="clear" w:pos="567"/>
        </w:tabs>
        <w:spacing w:line="240" w:lineRule="auto"/>
        <w:rPr>
          <w:color w:val="000000"/>
        </w:rPr>
      </w:pPr>
    </w:p>
    <w:p w14:paraId="64747C41" w14:textId="77777777" w:rsidR="00E61A01" w:rsidRPr="00F25A60" w:rsidRDefault="00E61A01" w:rsidP="005C56E6">
      <w:pPr>
        <w:widowControl w:val="0"/>
        <w:tabs>
          <w:tab w:val="clear" w:pos="567"/>
        </w:tabs>
        <w:spacing w:line="240" w:lineRule="auto"/>
        <w:rPr>
          <w:color w:val="000000"/>
        </w:rPr>
      </w:pPr>
    </w:p>
    <w:p w14:paraId="63CFBAC1"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2410"/>
        </w:tabs>
        <w:snapToGrid w:val="0"/>
        <w:spacing w:line="240" w:lineRule="auto"/>
        <w:ind w:left="567" w:hanging="567"/>
        <w:rPr>
          <w:b/>
          <w:bCs/>
          <w:color w:val="000000"/>
        </w:rPr>
      </w:pPr>
      <w:r w:rsidRPr="00F25A60">
        <w:rPr>
          <w:b/>
          <w:bCs/>
          <w:color w:val="000000"/>
        </w:rPr>
        <w:t>4.</w:t>
      </w:r>
      <w:r w:rsidRPr="00F25A60">
        <w:rPr>
          <w:b/>
          <w:bCs/>
          <w:color w:val="000000"/>
        </w:rPr>
        <w:tab/>
        <w:t>ČÍSLO ŠARŽE</w:t>
      </w:r>
    </w:p>
    <w:p w14:paraId="333C6298" w14:textId="77777777" w:rsidR="00E61A01" w:rsidRPr="00F25A60" w:rsidRDefault="00E61A01" w:rsidP="005C56E6">
      <w:pPr>
        <w:widowControl w:val="0"/>
        <w:tabs>
          <w:tab w:val="clear" w:pos="567"/>
        </w:tabs>
        <w:spacing w:line="240" w:lineRule="auto"/>
      </w:pPr>
    </w:p>
    <w:p w14:paraId="2E9F2AF3" w14:textId="77777777" w:rsidR="00E61A01" w:rsidRPr="00F25A60" w:rsidRDefault="00E61A01" w:rsidP="005C56E6">
      <w:pPr>
        <w:widowControl w:val="0"/>
        <w:tabs>
          <w:tab w:val="clear" w:pos="567"/>
        </w:tabs>
        <w:spacing w:line="240" w:lineRule="auto"/>
        <w:rPr>
          <w:color w:val="000000"/>
        </w:rPr>
      </w:pPr>
      <w:r w:rsidRPr="00F25A60">
        <w:rPr>
          <w:color w:val="000000"/>
        </w:rPr>
        <w:t>Lot</w:t>
      </w:r>
    </w:p>
    <w:p w14:paraId="2B3F7BED" w14:textId="77777777" w:rsidR="00E61A01" w:rsidRPr="00F25A60" w:rsidRDefault="00E61A01" w:rsidP="005C56E6">
      <w:pPr>
        <w:widowControl w:val="0"/>
        <w:tabs>
          <w:tab w:val="clear" w:pos="567"/>
        </w:tabs>
        <w:spacing w:line="240" w:lineRule="auto"/>
        <w:rPr>
          <w:color w:val="000000"/>
        </w:rPr>
      </w:pPr>
    </w:p>
    <w:p w14:paraId="3D821029" w14:textId="77777777" w:rsidR="00E61A01" w:rsidRPr="00F25A60" w:rsidRDefault="00E61A01" w:rsidP="005C56E6">
      <w:pPr>
        <w:widowControl w:val="0"/>
        <w:tabs>
          <w:tab w:val="clear" w:pos="567"/>
        </w:tabs>
        <w:spacing w:line="240" w:lineRule="auto"/>
        <w:rPr>
          <w:color w:val="000000"/>
        </w:rPr>
      </w:pPr>
    </w:p>
    <w:p w14:paraId="41B2BF4C" w14:textId="77777777" w:rsidR="00E61A01" w:rsidRPr="00F25A60" w:rsidRDefault="00E61A01" w:rsidP="005C56E6">
      <w:pPr>
        <w:widowControl w:val="0"/>
        <w:pBdr>
          <w:top w:val="single" w:sz="4" w:space="1" w:color="auto"/>
          <w:left w:val="single" w:sz="4" w:space="4" w:color="auto"/>
          <w:bottom w:val="single" w:sz="4" w:space="1" w:color="auto"/>
          <w:right w:val="single" w:sz="4" w:space="4" w:color="auto"/>
        </w:pBdr>
        <w:tabs>
          <w:tab w:val="clear" w:pos="567"/>
          <w:tab w:val="left" w:pos="142"/>
        </w:tabs>
        <w:snapToGrid w:val="0"/>
        <w:spacing w:line="240" w:lineRule="auto"/>
      </w:pPr>
      <w:r w:rsidRPr="00F25A60">
        <w:rPr>
          <w:b/>
        </w:rPr>
        <w:t>5.</w:t>
      </w:r>
      <w:r w:rsidRPr="00F25A60">
        <w:rPr>
          <w:b/>
        </w:rPr>
        <w:tab/>
        <w:t>JINÉ</w:t>
      </w:r>
    </w:p>
    <w:p w14:paraId="0161AE9D" w14:textId="77777777" w:rsidR="00E61A01" w:rsidRPr="00F25A60" w:rsidRDefault="00E61A01" w:rsidP="005C56E6">
      <w:pPr>
        <w:widowControl w:val="0"/>
        <w:tabs>
          <w:tab w:val="clear" w:pos="567"/>
        </w:tabs>
        <w:spacing w:line="240" w:lineRule="auto"/>
        <w:rPr>
          <w:color w:val="000000"/>
        </w:rPr>
      </w:pPr>
    </w:p>
    <w:p w14:paraId="1B747502" w14:textId="77777777" w:rsidR="00E61A01" w:rsidRPr="00F25A60" w:rsidRDefault="00E61A01" w:rsidP="005C56E6">
      <w:pPr>
        <w:widowControl w:val="0"/>
        <w:tabs>
          <w:tab w:val="clear" w:pos="567"/>
        </w:tabs>
        <w:spacing w:line="240" w:lineRule="auto"/>
        <w:rPr>
          <w:color w:val="000000"/>
        </w:rPr>
      </w:pPr>
      <w:r w:rsidRPr="00F25A60">
        <w:rPr>
          <w:color w:val="000000"/>
        </w:rPr>
        <w:br w:type="page"/>
      </w:r>
    </w:p>
    <w:p w14:paraId="5DB99B80" w14:textId="77777777" w:rsidR="00E61A01" w:rsidRPr="00F25A60" w:rsidRDefault="00E61A01" w:rsidP="005C56E6">
      <w:pPr>
        <w:widowControl w:val="0"/>
        <w:tabs>
          <w:tab w:val="clear" w:pos="567"/>
        </w:tabs>
        <w:spacing w:line="240" w:lineRule="auto"/>
        <w:rPr>
          <w:color w:val="000000"/>
        </w:rPr>
      </w:pPr>
    </w:p>
    <w:p w14:paraId="348F77AC" w14:textId="77777777" w:rsidR="00E61A01" w:rsidRPr="00F25A60" w:rsidRDefault="00E61A01" w:rsidP="005C56E6">
      <w:pPr>
        <w:widowControl w:val="0"/>
        <w:tabs>
          <w:tab w:val="clear" w:pos="567"/>
        </w:tabs>
        <w:spacing w:line="240" w:lineRule="auto"/>
        <w:rPr>
          <w:color w:val="000000"/>
        </w:rPr>
      </w:pPr>
    </w:p>
    <w:p w14:paraId="7EEECE82" w14:textId="77777777" w:rsidR="00E61A01" w:rsidRPr="00F25A60" w:rsidRDefault="00E61A01" w:rsidP="005C56E6">
      <w:pPr>
        <w:widowControl w:val="0"/>
        <w:tabs>
          <w:tab w:val="clear" w:pos="567"/>
        </w:tabs>
        <w:spacing w:line="240" w:lineRule="auto"/>
        <w:rPr>
          <w:color w:val="000000"/>
        </w:rPr>
      </w:pPr>
    </w:p>
    <w:p w14:paraId="2A7546F1" w14:textId="77777777" w:rsidR="00E61A01" w:rsidRPr="00F25A60" w:rsidRDefault="00E61A01" w:rsidP="005C56E6">
      <w:pPr>
        <w:widowControl w:val="0"/>
        <w:tabs>
          <w:tab w:val="clear" w:pos="567"/>
        </w:tabs>
        <w:spacing w:line="240" w:lineRule="auto"/>
        <w:rPr>
          <w:color w:val="000000"/>
        </w:rPr>
      </w:pPr>
    </w:p>
    <w:p w14:paraId="702F4CD0" w14:textId="77777777" w:rsidR="00E61A01" w:rsidRPr="00F25A60" w:rsidRDefault="00E61A01" w:rsidP="005C56E6">
      <w:pPr>
        <w:widowControl w:val="0"/>
        <w:tabs>
          <w:tab w:val="clear" w:pos="567"/>
        </w:tabs>
        <w:spacing w:line="240" w:lineRule="auto"/>
        <w:rPr>
          <w:color w:val="000000"/>
        </w:rPr>
      </w:pPr>
    </w:p>
    <w:p w14:paraId="61A2A96B" w14:textId="77777777" w:rsidR="00E61A01" w:rsidRPr="00F25A60" w:rsidRDefault="00E61A01" w:rsidP="005C56E6">
      <w:pPr>
        <w:pStyle w:val="EndnoteText"/>
        <w:widowControl w:val="0"/>
        <w:tabs>
          <w:tab w:val="clear" w:pos="567"/>
        </w:tabs>
        <w:rPr>
          <w:color w:val="000000"/>
        </w:rPr>
      </w:pPr>
    </w:p>
    <w:p w14:paraId="384A5067" w14:textId="77777777" w:rsidR="00E61A01" w:rsidRPr="00F25A60" w:rsidRDefault="00E61A01" w:rsidP="005C56E6">
      <w:pPr>
        <w:widowControl w:val="0"/>
        <w:tabs>
          <w:tab w:val="clear" w:pos="567"/>
        </w:tabs>
        <w:spacing w:line="240" w:lineRule="auto"/>
        <w:rPr>
          <w:color w:val="000000"/>
        </w:rPr>
      </w:pPr>
    </w:p>
    <w:p w14:paraId="15FB53CA" w14:textId="77777777" w:rsidR="00E61A01" w:rsidRPr="00F25A60" w:rsidRDefault="00E61A01" w:rsidP="005C56E6">
      <w:pPr>
        <w:widowControl w:val="0"/>
        <w:tabs>
          <w:tab w:val="clear" w:pos="567"/>
        </w:tabs>
        <w:spacing w:line="240" w:lineRule="auto"/>
        <w:rPr>
          <w:color w:val="000000"/>
        </w:rPr>
      </w:pPr>
    </w:p>
    <w:p w14:paraId="65CA3416" w14:textId="77777777" w:rsidR="00E61A01" w:rsidRPr="00F25A60" w:rsidRDefault="00E61A01" w:rsidP="005C56E6">
      <w:pPr>
        <w:widowControl w:val="0"/>
        <w:tabs>
          <w:tab w:val="clear" w:pos="567"/>
        </w:tabs>
        <w:spacing w:line="240" w:lineRule="auto"/>
        <w:rPr>
          <w:color w:val="000000"/>
        </w:rPr>
      </w:pPr>
    </w:p>
    <w:p w14:paraId="193D29AE" w14:textId="77777777" w:rsidR="00E61A01" w:rsidRPr="00F25A60" w:rsidRDefault="00E61A01" w:rsidP="005C56E6">
      <w:pPr>
        <w:widowControl w:val="0"/>
        <w:tabs>
          <w:tab w:val="clear" w:pos="567"/>
        </w:tabs>
        <w:spacing w:line="240" w:lineRule="auto"/>
        <w:rPr>
          <w:color w:val="000000"/>
        </w:rPr>
      </w:pPr>
    </w:p>
    <w:p w14:paraId="5A74AB16" w14:textId="77777777" w:rsidR="00E61A01" w:rsidRPr="00F25A60" w:rsidRDefault="00E61A01" w:rsidP="005C56E6">
      <w:pPr>
        <w:widowControl w:val="0"/>
        <w:tabs>
          <w:tab w:val="clear" w:pos="567"/>
        </w:tabs>
        <w:spacing w:line="240" w:lineRule="auto"/>
        <w:rPr>
          <w:color w:val="000000"/>
        </w:rPr>
      </w:pPr>
    </w:p>
    <w:p w14:paraId="48D451A5" w14:textId="77777777" w:rsidR="00E61A01" w:rsidRPr="00F25A60" w:rsidRDefault="00E61A01" w:rsidP="005C56E6">
      <w:pPr>
        <w:widowControl w:val="0"/>
        <w:tabs>
          <w:tab w:val="clear" w:pos="567"/>
        </w:tabs>
        <w:spacing w:line="240" w:lineRule="auto"/>
        <w:rPr>
          <w:color w:val="000000"/>
        </w:rPr>
      </w:pPr>
    </w:p>
    <w:p w14:paraId="144CFAF0" w14:textId="77777777" w:rsidR="00E61A01" w:rsidRPr="00F25A60" w:rsidRDefault="00E61A01" w:rsidP="005C56E6">
      <w:pPr>
        <w:widowControl w:val="0"/>
        <w:tabs>
          <w:tab w:val="clear" w:pos="567"/>
        </w:tabs>
        <w:spacing w:line="240" w:lineRule="auto"/>
        <w:rPr>
          <w:color w:val="000000"/>
        </w:rPr>
      </w:pPr>
    </w:p>
    <w:p w14:paraId="6843946A" w14:textId="77777777" w:rsidR="00E61A01" w:rsidRPr="00F25A60" w:rsidRDefault="00E61A01" w:rsidP="005C56E6">
      <w:pPr>
        <w:widowControl w:val="0"/>
        <w:tabs>
          <w:tab w:val="clear" w:pos="567"/>
        </w:tabs>
        <w:spacing w:line="240" w:lineRule="auto"/>
        <w:rPr>
          <w:color w:val="000000"/>
        </w:rPr>
      </w:pPr>
    </w:p>
    <w:p w14:paraId="03A18E70" w14:textId="77777777" w:rsidR="00E61A01" w:rsidRPr="00F25A60" w:rsidRDefault="00E61A01" w:rsidP="005C56E6">
      <w:pPr>
        <w:widowControl w:val="0"/>
        <w:tabs>
          <w:tab w:val="clear" w:pos="567"/>
        </w:tabs>
        <w:spacing w:line="240" w:lineRule="auto"/>
        <w:rPr>
          <w:color w:val="000000"/>
        </w:rPr>
      </w:pPr>
    </w:p>
    <w:p w14:paraId="67E20FB0" w14:textId="77777777" w:rsidR="00E61A01" w:rsidRPr="00F25A60" w:rsidRDefault="00E61A01" w:rsidP="005C56E6">
      <w:pPr>
        <w:widowControl w:val="0"/>
        <w:tabs>
          <w:tab w:val="clear" w:pos="567"/>
        </w:tabs>
        <w:spacing w:line="240" w:lineRule="auto"/>
        <w:rPr>
          <w:color w:val="000000"/>
        </w:rPr>
      </w:pPr>
    </w:p>
    <w:p w14:paraId="6680CB32" w14:textId="77777777" w:rsidR="00E61A01" w:rsidRPr="00F25A60" w:rsidRDefault="00E61A01" w:rsidP="005C56E6">
      <w:pPr>
        <w:widowControl w:val="0"/>
        <w:tabs>
          <w:tab w:val="clear" w:pos="567"/>
        </w:tabs>
        <w:spacing w:line="240" w:lineRule="auto"/>
        <w:rPr>
          <w:color w:val="000000"/>
        </w:rPr>
      </w:pPr>
    </w:p>
    <w:p w14:paraId="76002B75" w14:textId="77777777" w:rsidR="00E61A01" w:rsidRPr="00F25A60" w:rsidRDefault="00E61A01" w:rsidP="005C56E6">
      <w:pPr>
        <w:widowControl w:val="0"/>
        <w:tabs>
          <w:tab w:val="clear" w:pos="567"/>
        </w:tabs>
        <w:spacing w:line="240" w:lineRule="auto"/>
        <w:rPr>
          <w:color w:val="000000"/>
        </w:rPr>
      </w:pPr>
    </w:p>
    <w:p w14:paraId="7F900FBA" w14:textId="77777777" w:rsidR="00E61A01" w:rsidRPr="00F25A60" w:rsidRDefault="00E61A01" w:rsidP="005C56E6">
      <w:pPr>
        <w:widowControl w:val="0"/>
        <w:tabs>
          <w:tab w:val="clear" w:pos="567"/>
        </w:tabs>
        <w:spacing w:line="240" w:lineRule="auto"/>
        <w:rPr>
          <w:color w:val="000000"/>
        </w:rPr>
      </w:pPr>
    </w:p>
    <w:p w14:paraId="54B845E2" w14:textId="77777777" w:rsidR="00E61A01" w:rsidRPr="00F25A60" w:rsidRDefault="00E61A01" w:rsidP="005C56E6">
      <w:pPr>
        <w:widowControl w:val="0"/>
        <w:tabs>
          <w:tab w:val="clear" w:pos="567"/>
        </w:tabs>
        <w:spacing w:line="240" w:lineRule="auto"/>
        <w:rPr>
          <w:color w:val="000000"/>
        </w:rPr>
      </w:pPr>
    </w:p>
    <w:p w14:paraId="3C5DDDEC" w14:textId="77777777" w:rsidR="00E61A01" w:rsidRPr="00F25A60" w:rsidRDefault="00E61A01" w:rsidP="005C56E6">
      <w:pPr>
        <w:widowControl w:val="0"/>
        <w:tabs>
          <w:tab w:val="clear" w:pos="567"/>
        </w:tabs>
        <w:spacing w:line="240" w:lineRule="auto"/>
        <w:rPr>
          <w:color w:val="000000"/>
        </w:rPr>
      </w:pPr>
    </w:p>
    <w:p w14:paraId="78177302" w14:textId="77777777" w:rsidR="00E61A01" w:rsidRPr="00F25A60" w:rsidRDefault="00E61A01" w:rsidP="005C56E6">
      <w:pPr>
        <w:widowControl w:val="0"/>
        <w:tabs>
          <w:tab w:val="clear" w:pos="567"/>
        </w:tabs>
        <w:spacing w:line="240" w:lineRule="auto"/>
        <w:rPr>
          <w:color w:val="000000"/>
        </w:rPr>
      </w:pPr>
    </w:p>
    <w:p w14:paraId="36A4107C" w14:textId="77777777" w:rsidR="00EB4FF7" w:rsidRPr="00F25A60" w:rsidRDefault="00EB4FF7" w:rsidP="005C56E6">
      <w:pPr>
        <w:widowControl w:val="0"/>
        <w:tabs>
          <w:tab w:val="clear" w:pos="567"/>
        </w:tabs>
        <w:spacing w:line="240" w:lineRule="auto"/>
        <w:rPr>
          <w:color w:val="000000"/>
        </w:rPr>
      </w:pPr>
    </w:p>
    <w:p w14:paraId="4F192928" w14:textId="77777777" w:rsidR="00182086" w:rsidRPr="00F25A60" w:rsidRDefault="00182086" w:rsidP="005C56E6">
      <w:pPr>
        <w:widowControl w:val="0"/>
        <w:tabs>
          <w:tab w:val="clear" w:pos="567"/>
        </w:tabs>
        <w:spacing w:line="240" w:lineRule="auto"/>
        <w:rPr>
          <w:color w:val="000000"/>
        </w:rPr>
      </w:pPr>
    </w:p>
    <w:p w14:paraId="134CC1A5" w14:textId="77777777" w:rsidR="00E61A01" w:rsidRPr="00F25A60" w:rsidRDefault="00E61A01" w:rsidP="005E6174">
      <w:pPr>
        <w:widowControl w:val="0"/>
        <w:tabs>
          <w:tab w:val="clear" w:pos="567"/>
        </w:tabs>
        <w:spacing w:line="240" w:lineRule="auto"/>
        <w:jc w:val="center"/>
        <w:outlineLvl w:val="0"/>
        <w:rPr>
          <w:b/>
          <w:bCs/>
          <w:color w:val="000000"/>
        </w:rPr>
      </w:pPr>
      <w:r w:rsidRPr="00F25A60">
        <w:rPr>
          <w:b/>
          <w:bCs/>
          <w:color w:val="000000"/>
        </w:rPr>
        <w:t>B. PŘÍBALOVÁ INFORMACE</w:t>
      </w:r>
    </w:p>
    <w:p w14:paraId="778D9850" w14:textId="76FF992C" w:rsidR="00E61A01" w:rsidRPr="00F25A60" w:rsidRDefault="00E61A01" w:rsidP="0041470E">
      <w:pPr>
        <w:widowControl w:val="0"/>
        <w:tabs>
          <w:tab w:val="clear" w:pos="567"/>
        </w:tabs>
        <w:spacing w:line="240" w:lineRule="auto"/>
        <w:ind w:right="-2"/>
        <w:jc w:val="center"/>
        <w:rPr>
          <w:b/>
          <w:bCs/>
          <w:color w:val="000000"/>
        </w:rPr>
      </w:pPr>
      <w:r w:rsidRPr="00F25A60">
        <w:rPr>
          <w:color w:val="000000"/>
        </w:rPr>
        <w:br w:type="page"/>
      </w:r>
      <w:r w:rsidRPr="00F25A60">
        <w:rPr>
          <w:b/>
          <w:bCs/>
          <w:color w:val="000000"/>
        </w:rPr>
        <w:lastRenderedPageBreak/>
        <w:t>P</w:t>
      </w:r>
      <w:r w:rsidR="007D331A" w:rsidRPr="00F25A60">
        <w:rPr>
          <w:b/>
          <w:bCs/>
          <w:color w:val="000000"/>
        </w:rPr>
        <w:t>říbalová informace: informace pro uživatele</w:t>
      </w:r>
    </w:p>
    <w:p w14:paraId="0E19345E" w14:textId="77777777" w:rsidR="00E61A01" w:rsidRPr="00F25A60" w:rsidRDefault="00E61A01" w:rsidP="005C56E6">
      <w:pPr>
        <w:widowControl w:val="0"/>
        <w:tabs>
          <w:tab w:val="clear" w:pos="567"/>
        </w:tabs>
        <w:spacing w:line="240" w:lineRule="auto"/>
        <w:jc w:val="center"/>
        <w:rPr>
          <w:color w:val="000000"/>
        </w:rPr>
      </w:pPr>
    </w:p>
    <w:p w14:paraId="77FAC500" w14:textId="2D55ED37" w:rsidR="00E61A01" w:rsidRPr="00F25A60" w:rsidRDefault="00E61A01" w:rsidP="005C56E6">
      <w:pPr>
        <w:widowControl w:val="0"/>
        <w:tabs>
          <w:tab w:val="clear" w:pos="567"/>
        </w:tabs>
        <w:spacing w:line="240" w:lineRule="auto"/>
        <w:jc w:val="center"/>
        <w:rPr>
          <w:b/>
          <w:bCs/>
          <w:color w:val="000000"/>
        </w:rPr>
      </w:pPr>
      <w:r w:rsidRPr="00F25A60">
        <w:rPr>
          <w:b/>
          <w:bCs/>
          <w:color w:val="000000"/>
        </w:rPr>
        <w:t>Glivec 100 mg potahované tablety</w:t>
      </w:r>
    </w:p>
    <w:p w14:paraId="547A3158" w14:textId="435ADB73" w:rsidR="00897AA8" w:rsidRPr="00F25A60" w:rsidRDefault="00897AA8" w:rsidP="005C56E6">
      <w:pPr>
        <w:widowControl w:val="0"/>
        <w:tabs>
          <w:tab w:val="clear" w:pos="567"/>
        </w:tabs>
        <w:spacing w:line="240" w:lineRule="auto"/>
        <w:jc w:val="center"/>
        <w:rPr>
          <w:b/>
          <w:bCs/>
          <w:color w:val="000000"/>
        </w:rPr>
      </w:pPr>
      <w:r w:rsidRPr="00F25A60">
        <w:rPr>
          <w:b/>
          <w:bCs/>
          <w:color w:val="000000"/>
        </w:rPr>
        <w:t>Glivec 400 mg potahované tablety</w:t>
      </w:r>
    </w:p>
    <w:p w14:paraId="6A647C72" w14:textId="1AB265AF" w:rsidR="00E61A01" w:rsidRPr="00F25A60" w:rsidRDefault="00FB23CC" w:rsidP="005C56E6">
      <w:pPr>
        <w:widowControl w:val="0"/>
        <w:tabs>
          <w:tab w:val="clear" w:pos="567"/>
        </w:tabs>
        <w:spacing w:line="240" w:lineRule="auto"/>
        <w:jc w:val="center"/>
        <w:rPr>
          <w:color w:val="000000"/>
        </w:rPr>
      </w:pPr>
      <w:r w:rsidRPr="00F25A60">
        <w:rPr>
          <w:color w:val="000000"/>
        </w:rPr>
        <w:t>imatinib</w:t>
      </w:r>
      <w:del w:id="427" w:author="Author">
        <w:r w:rsidRPr="00F25A60" w:rsidDel="00DD78E3">
          <w:rPr>
            <w:color w:val="000000"/>
          </w:rPr>
          <w:delText>um</w:delText>
        </w:r>
      </w:del>
    </w:p>
    <w:p w14:paraId="2C070D8A" w14:textId="77777777" w:rsidR="00E61A01" w:rsidRPr="00F25A60" w:rsidRDefault="00E61A01" w:rsidP="005C56E6">
      <w:pPr>
        <w:widowControl w:val="0"/>
        <w:tabs>
          <w:tab w:val="clear" w:pos="567"/>
        </w:tabs>
        <w:spacing w:line="240" w:lineRule="auto"/>
        <w:rPr>
          <w:color w:val="000000"/>
        </w:rPr>
      </w:pPr>
    </w:p>
    <w:p w14:paraId="6DEA5D58" w14:textId="77777777" w:rsidR="00E92109" w:rsidRPr="00F25A60" w:rsidRDefault="00E92109" w:rsidP="005C56E6">
      <w:pPr>
        <w:widowControl w:val="0"/>
        <w:tabs>
          <w:tab w:val="clear" w:pos="567"/>
        </w:tabs>
        <w:snapToGrid w:val="0"/>
        <w:spacing w:line="240" w:lineRule="auto"/>
        <w:ind w:right="-2"/>
        <w:rPr>
          <w:b/>
          <w:bCs/>
          <w:color w:val="000000"/>
        </w:rPr>
      </w:pPr>
      <w:r w:rsidRPr="00F25A60">
        <w:rPr>
          <w:b/>
          <w:bCs/>
          <w:color w:val="000000"/>
        </w:rPr>
        <w:t>Přečtěte si pozorně celou příbalovou informaci dříve, než začnete tento přípravek užívat, protože obsahuje pro Vás důležité údaje.</w:t>
      </w:r>
    </w:p>
    <w:p w14:paraId="530BDBCC" w14:textId="77777777" w:rsidR="00E92109" w:rsidRPr="00F25A60" w:rsidRDefault="00E92109" w:rsidP="005C56E6">
      <w:pPr>
        <w:widowControl w:val="0"/>
        <w:numPr>
          <w:ilvl w:val="0"/>
          <w:numId w:val="13"/>
        </w:numPr>
        <w:tabs>
          <w:tab w:val="clear" w:pos="567"/>
        </w:tabs>
        <w:spacing w:line="240" w:lineRule="auto"/>
        <w:ind w:left="567" w:right="-2" w:hanging="567"/>
        <w:rPr>
          <w:color w:val="000000"/>
        </w:rPr>
      </w:pPr>
      <w:r w:rsidRPr="00F25A60">
        <w:rPr>
          <w:color w:val="000000"/>
        </w:rPr>
        <w:t>Ponechte si příbalovou informaci pro případ, že si ji budete potřebovat přečíst znovu.</w:t>
      </w:r>
    </w:p>
    <w:p w14:paraId="08FC116E" w14:textId="77777777" w:rsidR="00E92109" w:rsidRPr="00F25A60" w:rsidRDefault="00E92109" w:rsidP="005C56E6">
      <w:pPr>
        <w:widowControl w:val="0"/>
        <w:numPr>
          <w:ilvl w:val="0"/>
          <w:numId w:val="13"/>
        </w:numPr>
        <w:tabs>
          <w:tab w:val="clear" w:pos="567"/>
        </w:tabs>
        <w:spacing w:line="240" w:lineRule="auto"/>
        <w:ind w:left="567" w:right="-2" w:hanging="567"/>
        <w:rPr>
          <w:color w:val="000000"/>
        </w:rPr>
      </w:pPr>
      <w:r w:rsidRPr="00F25A60">
        <w:rPr>
          <w:color w:val="000000"/>
        </w:rPr>
        <w:t>Máte-li jakékoli další otázky, zeptejte se svého lékaře, lékárníka nebo zdravotní sestry.</w:t>
      </w:r>
    </w:p>
    <w:p w14:paraId="49356727" w14:textId="77777777" w:rsidR="00E92109" w:rsidRPr="00F25A60" w:rsidRDefault="00E92109" w:rsidP="005C56E6">
      <w:pPr>
        <w:widowControl w:val="0"/>
        <w:numPr>
          <w:ilvl w:val="0"/>
          <w:numId w:val="13"/>
        </w:numPr>
        <w:tabs>
          <w:tab w:val="clear" w:pos="567"/>
        </w:tabs>
        <w:spacing w:line="240" w:lineRule="auto"/>
        <w:ind w:left="567" w:right="-2" w:hanging="567"/>
        <w:rPr>
          <w:color w:val="000000"/>
        </w:rPr>
      </w:pPr>
      <w:r w:rsidRPr="00F25A60">
        <w:rPr>
          <w:color w:val="000000"/>
        </w:rPr>
        <w:t>Tento přípravek byl předepsán výhradně Vám. Nedávejte jej žádné další osobě. Mohl by jí ublížit, a to i tehdy, má-li stejné známky onemocnění jako Vy.</w:t>
      </w:r>
    </w:p>
    <w:p w14:paraId="20C313DE" w14:textId="77777777" w:rsidR="00E92109" w:rsidRPr="00F25A60" w:rsidRDefault="00E92109" w:rsidP="005C56E6">
      <w:pPr>
        <w:widowControl w:val="0"/>
        <w:numPr>
          <w:ilvl w:val="0"/>
          <w:numId w:val="13"/>
        </w:numPr>
        <w:tabs>
          <w:tab w:val="clear" w:pos="567"/>
        </w:tabs>
        <w:spacing w:line="240" w:lineRule="auto"/>
        <w:ind w:left="567" w:right="-2" w:hanging="567"/>
        <w:rPr>
          <w:color w:val="000000"/>
        </w:rPr>
      </w:pPr>
      <w:r w:rsidRPr="00F25A60">
        <w:rPr>
          <w:color w:val="000000"/>
        </w:rPr>
        <w:t>Pokud se u Vás vyskytne kterýkoli z nežádoucích účinků, sdělte to svému lékaři, lékárníkovi nebo zdravotní sestře. Stejně postupujte v případě jakýchkoli nežádoucích účinků, které nejsou uvedeny v této příbalové informaci.</w:t>
      </w:r>
      <w:r w:rsidR="00F35C9B" w:rsidRPr="00F25A60">
        <w:rPr>
          <w:color w:val="000000"/>
        </w:rPr>
        <w:t xml:space="preserve"> Viz bod</w:t>
      </w:r>
      <w:r w:rsidR="002C04B1" w:rsidRPr="00F25A60">
        <w:rPr>
          <w:color w:val="000000"/>
        </w:rPr>
        <w:t> </w:t>
      </w:r>
      <w:r w:rsidR="00F35C9B" w:rsidRPr="00F25A60">
        <w:rPr>
          <w:color w:val="000000"/>
        </w:rPr>
        <w:t>4.</w:t>
      </w:r>
    </w:p>
    <w:p w14:paraId="76DDF72C" w14:textId="77777777" w:rsidR="00E92109" w:rsidRPr="00F25A60" w:rsidRDefault="00E92109" w:rsidP="005C56E6">
      <w:pPr>
        <w:widowControl w:val="0"/>
        <w:tabs>
          <w:tab w:val="clear" w:pos="567"/>
        </w:tabs>
        <w:spacing w:line="240" w:lineRule="auto"/>
        <w:ind w:right="-2"/>
      </w:pPr>
    </w:p>
    <w:p w14:paraId="3C6056C9" w14:textId="77777777" w:rsidR="00E92109" w:rsidRPr="00F25A60" w:rsidRDefault="00E92109" w:rsidP="005C56E6">
      <w:pPr>
        <w:widowControl w:val="0"/>
        <w:tabs>
          <w:tab w:val="clear" w:pos="567"/>
        </w:tabs>
        <w:spacing w:line="240" w:lineRule="auto"/>
        <w:ind w:right="-2"/>
        <w:rPr>
          <w:color w:val="000000"/>
        </w:rPr>
      </w:pPr>
    </w:p>
    <w:p w14:paraId="56EE23FA" w14:textId="695F0185" w:rsidR="00E92109" w:rsidRPr="00F25A60" w:rsidRDefault="00E92109" w:rsidP="005C56E6">
      <w:pPr>
        <w:widowControl w:val="0"/>
        <w:tabs>
          <w:tab w:val="clear" w:pos="567"/>
        </w:tabs>
        <w:spacing w:line="240" w:lineRule="auto"/>
        <w:ind w:right="-2"/>
        <w:rPr>
          <w:b/>
          <w:bCs/>
          <w:color w:val="000000"/>
        </w:rPr>
      </w:pPr>
      <w:r w:rsidRPr="00F25A60">
        <w:rPr>
          <w:b/>
          <w:bCs/>
          <w:color w:val="000000"/>
        </w:rPr>
        <w:t>Co naleznete v této příbalové informaci</w:t>
      </w:r>
    </w:p>
    <w:p w14:paraId="7CCA327D" w14:textId="77777777" w:rsidR="001472B2" w:rsidRPr="00F25A60" w:rsidRDefault="001472B2" w:rsidP="005C56E6">
      <w:pPr>
        <w:widowControl w:val="0"/>
        <w:tabs>
          <w:tab w:val="clear" w:pos="567"/>
        </w:tabs>
        <w:spacing w:line="240" w:lineRule="auto"/>
        <w:ind w:right="-2"/>
        <w:rPr>
          <w:color w:val="000000"/>
        </w:rPr>
      </w:pPr>
    </w:p>
    <w:p w14:paraId="08E70830" w14:textId="77777777" w:rsidR="00E92109" w:rsidRPr="00F25A60" w:rsidRDefault="00E92109" w:rsidP="005C56E6">
      <w:pPr>
        <w:widowControl w:val="0"/>
        <w:spacing w:line="240" w:lineRule="auto"/>
        <w:ind w:right="-29"/>
        <w:rPr>
          <w:color w:val="000000"/>
        </w:rPr>
      </w:pPr>
      <w:r w:rsidRPr="00F25A60">
        <w:rPr>
          <w:color w:val="000000"/>
        </w:rPr>
        <w:t>1.</w:t>
      </w:r>
      <w:r w:rsidRPr="00F25A60">
        <w:rPr>
          <w:color w:val="000000"/>
        </w:rPr>
        <w:tab/>
        <w:t>Co je Glivec a k čemu se používá</w:t>
      </w:r>
    </w:p>
    <w:p w14:paraId="2231CF2A" w14:textId="77777777" w:rsidR="00E92109" w:rsidRPr="00F25A60" w:rsidRDefault="00E92109" w:rsidP="005C56E6">
      <w:pPr>
        <w:widowControl w:val="0"/>
        <w:spacing w:line="240" w:lineRule="auto"/>
        <w:ind w:right="-29"/>
        <w:rPr>
          <w:color w:val="000000"/>
        </w:rPr>
      </w:pPr>
      <w:r w:rsidRPr="00F25A60">
        <w:rPr>
          <w:color w:val="000000"/>
        </w:rPr>
        <w:t>2.</w:t>
      </w:r>
      <w:r w:rsidRPr="00F25A60">
        <w:rPr>
          <w:color w:val="000000"/>
        </w:rPr>
        <w:tab/>
        <w:t>Čemu musíte věnovat pozornost, než začnete Glivec užívat</w:t>
      </w:r>
    </w:p>
    <w:p w14:paraId="6BE53ACC" w14:textId="77777777" w:rsidR="00E92109" w:rsidRPr="00F25A60" w:rsidRDefault="00E92109" w:rsidP="005C56E6">
      <w:pPr>
        <w:widowControl w:val="0"/>
        <w:spacing w:line="240" w:lineRule="auto"/>
        <w:ind w:right="-29"/>
        <w:rPr>
          <w:color w:val="000000"/>
        </w:rPr>
      </w:pPr>
      <w:r w:rsidRPr="00F25A60">
        <w:rPr>
          <w:color w:val="000000"/>
        </w:rPr>
        <w:t>3.</w:t>
      </w:r>
      <w:r w:rsidRPr="00F25A60">
        <w:rPr>
          <w:color w:val="000000"/>
        </w:rPr>
        <w:tab/>
        <w:t>Jak se Glivec užívá</w:t>
      </w:r>
    </w:p>
    <w:p w14:paraId="540D9B52" w14:textId="77777777" w:rsidR="00E92109" w:rsidRPr="00F25A60" w:rsidRDefault="00E92109" w:rsidP="005C56E6">
      <w:pPr>
        <w:widowControl w:val="0"/>
        <w:spacing w:line="240" w:lineRule="auto"/>
        <w:ind w:right="-29"/>
        <w:rPr>
          <w:color w:val="000000"/>
        </w:rPr>
      </w:pPr>
      <w:r w:rsidRPr="00F25A60">
        <w:rPr>
          <w:color w:val="000000"/>
        </w:rPr>
        <w:t>4.</w:t>
      </w:r>
      <w:r w:rsidRPr="00F25A60">
        <w:rPr>
          <w:color w:val="000000"/>
        </w:rPr>
        <w:tab/>
        <w:t>Možné nežádoucí účinky</w:t>
      </w:r>
    </w:p>
    <w:p w14:paraId="290C7255" w14:textId="77777777" w:rsidR="00E92109" w:rsidRPr="00F25A60" w:rsidRDefault="00E92109" w:rsidP="005C56E6">
      <w:pPr>
        <w:widowControl w:val="0"/>
        <w:tabs>
          <w:tab w:val="clear" w:pos="567"/>
        </w:tabs>
        <w:spacing w:line="240" w:lineRule="auto"/>
        <w:ind w:left="567" w:right="-29" w:hanging="567"/>
        <w:rPr>
          <w:color w:val="000000"/>
        </w:rPr>
      </w:pPr>
      <w:r w:rsidRPr="00F25A60">
        <w:rPr>
          <w:color w:val="000000"/>
        </w:rPr>
        <w:t>5.</w:t>
      </w:r>
      <w:r w:rsidRPr="00F25A60">
        <w:rPr>
          <w:color w:val="000000"/>
        </w:rPr>
        <w:tab/>
        <w:t>Jak Glivec uchovávat</w:t>
      </w:r>
    </w:p>
    <w:p w14:paraId="5D8ADCAD" w14:textId="77777777" w:rsidR="00E92109" w:rsidRPr="00F25A60" w:rsidRDefault="00E92109" w:rsidP="005C56E6">
      <w:pPr>
        <w:widowControl w:val="0"/>
        <w:spacing w:line="240" w:lineRule="auto"/>
        <w:ind w:right="-29"/>
        <w:rPr>
          <w:color w:val="000000"/>
        </w:rPr>
      </w:pPr>
      <w:r w:rsidRPr="00F25A60">
        <w:rPr>
          <w:color w:val="000000"/>
        </w:rPr>
        <w:t>6.</w:t>
      </w:r>
      <w:r w:rsidRPr="00F25A60">
        <w:rPr>
          <w:color w:val="000000"/>
        </w:rPr>
        <w:tab/>
        <w:t>Obsah balení a další informace</w:t>
      </w:r>
    </w:p>
    <w:p w14:paraId="3340C2B9" w14:textId="77777777" w:rsidR="00E92109" w:rsidRPr="00F25A60" w:rsidRDefault="00E92109" w:rsidP="005C56E6">
      <w:pPr>
        <w:widowControl w:val="0"/>
        <w:tabs>
          <w:tab w:val="clear" w:pos="567"/>
        </w:tabs>
        <w:spacing w:line="240" w:lineRule="auto"/>
        <w:ind w:right="-29"/>
        <w:rPr>
          <w:color w:val="000000"/>
        </w:rPr>
      </w:pPr>
    </w:p>
    <w:p w14:paraId="567AFFEF" w14:textId="77777777" w:rsidR="00E92109" w:rsidRPr="00F25A60" w:rsidRDefault="00E92109" w:rsidP="005C56E6">
      <w:pPr>
        <w:widowControl w:val="0"/>
        <w:tabs>
          <w:tab w:val="clear" w:pos="567"/>
        </w:tabs>
        <w:spacing w:line="240" w:lineRule="auto"/>
        <w:ind w:right="-29"/>
        <w:rPr>
          <w:color w:val="000000"/>
        </w:rPr>
      </w:pPr>
    </w:p>
    <w:p w14:paraId="47B94DAA" w14:textId="77777777" w:rsidR="00E92109" w:rsidRPr="00F25A60" w:rsidRDefault="00E92109" w:rsidP="005C56E6">
      <w:pPr>
        <w:keepNext/>
        <w:widowControl w:val="0"/>
        <w:tabs>
          <w:tab w:val="clear" w:pos="567"/>
        </w:tabs>
        <w:spacing w:line="240" w:lineRule="auto"/>
        <w:ind w:left="567" w:right="-2" w:hanging="567"/>
        <w:rPr>
          <w:b/>
          <w:bCs/>
          <w:color w:val="000000"/>
        </w:rPr>
      </w:pPr>
      <w:r w:rsidRPr="00F25A60">
        <w:rPr>
          <w:b/>
          <w:bCs/>
          <w:color w:val="000000"/>
        </w:rPr>
        <w:t>1.</w:t>
      </w:r>
      <w:r w:rsidRPr="00F25A60">
        <w:rPr>
          <w:b/>
          <w:bCs/>
          <w:color w:val="000000"/>
        </w:rPr>
        <w:tab/>
        <w:t>Co je Glivec a k čemu se používá</w:t>
      </w:r>
    </w:p>
    <w:p w14:paraId="2AE5446E" w14:textId="77777777" w:rsidR="00E92109" w:rsidRPr="00F25A60" w:rsidRDefault="00E92109" w:rsidP="005C56E6">
      <w:pPr>
        <w:pStyle w:val="EndnoteText"/>
        <w:keepNext/>
        <w:widowControl w:val="0"/>
        <w:tabs>
          <w:tab w:val="clear" w:pos="567"/>
        </w:tabs>
        <w:rPr>
          <w:color w:val="000000"/>
        </w:rPr>
      </w:pPr>
    </w:p>
    <w:p w14:paraId="387F095A" w14:textId="77777777" w:rsidR="00E92109" w:rsidRPr="00F25A60" w:rsidRDefault="00E92109" w:rsidP="005C56E6">
      <w:pPr>
        <w:pStyle w:val="EndnoteText"/>
        <w:widowControl w:val="0"/>
        <w:tabs>
          <w:tab w:val="clear" w:pos="567"/>
        </w:tabs>
        <w:rPr>
          <w:color w:val="000000"/>
        </w:rPr>
      </w:pPr>
      <w:r w:rsidRPr="00F25A60">
        <w:rPr>
          <w:color w:val="000000"/>
        </w:rPr>
        <w:t>Glivec je lék obsahující léčivou látku imatinib. Tento lék tlumí růst abnormálních buněk u níže uvedených onemocnění, zahrnujících některé typy nádorů.</w:t>
      </w:r>
    </w:p>
    <w:p w14:paraId="7C968FEB" w14:textId="77777777" w:rsidR="00E92109" w:rsidRPr="00F25A60" w:rsidRDefault="00E92109" w:rsidP="005C56E6">
      <w:pPr>
        <w:pStyle w:val="Text"/>
        <w:widowControl w:val="0"/>
        <w:spacing w:before="0"/>
        <w:jc w:val="left"/>
        <w:rPr>
          <w:color w:val="000000"/>
          <w:sz w:val="22"/>
          <w:szCs w:val="22"/>
          <w:lang w:val="cs-CZ"/>
        </w:rPr>
      </w:pPr>
    </w:p>
    <w:p w14:paraId="371C1C7D" w14:textId="77777777" w:rsidR="00E92109" w:rsidRPr="00F25A60" w:rsidRDefault="00E92109" w:rsidP="005C56E6">
      <w:pPr>
        <w:pStyle w:val="Text"/>
        <w:keepNext/>
        <w:widowControl w:val="0"/>
        <w:spacing w:before="0"/>
        <w:jc w:val="left"/>
        <w:rPr>
          <w:b/>
          <w:bCs/>
          <w:color w:val="000000"/>
          <w:sz w:val="22"/>
          <w:szCs w:val="22"/>
          <w:lang w:val="cs-CZ"/>
        </w:rPr>
      </w:pPr>
      <w:r w:rsidRPr="00F25A60">
        <w:rPr>
          <w:b/>
          <w:bCs/>
          <w:color w:val="000000"/>
          <w:sz w:val="22"/>
          <w:szCs w:val="22"/>
          <w:lang w:val="cs-CZ"/>
        </w:rPr>
        <w:t xml:space="preserve">Glivec se </w:t>
      </w:r>
      <w:r w:rsidR="00427BA1" w:rsidRPr="00F25A60">
        <w:rPr>
          <w:b/>
          <w:bCs/>
          <w:color w:val="000000"/>
          <w:sz w:val="22"/>
          <w:szCs w:val="22"/>
          <w:lang w:val="cs-CZ"/>
        </w:rPr>
        <w:t>po</w:t>
      </w:r>
      <w:r w:rsidRPr="00F25A60">
        <w:rPr>
          <w:b/>
          <w:bCs/>
          <w:color w:val="000000"/>
          <w:sz w:val="22"/>
          <w:szCs w:val="22"/>
          <w:lang w:val="cs-CZ"/>
        </w:rPr>
        <w:t>užívá k léčbě dospělých a dětí s:</w:t>
      </w:r>
    </w:p>
    <w:p w14:paraId="4C7DB376" w14:textId="77777777" w:rsidR="00E92109" w:rsidRPr="00F25A60" w:rsidRDefault="00E92109" w:rsidP="005C56E6">
      <w:pPr>
        <w:pStyle w:val="Text"/>
        <w:keepNext/>
        <w:widowControl w:val="0"/>
        <w:spacing w:before="0"/>
        <w:jc w:val="left"/>
        <w:rPr>
          <w:color w:val="000000"/>
          <w:sz w:val="22"/>
          <w:szCs w:val="22"/>
          <w:lang w:val="cs-CZ"/>
        </w:rPr>
      </w:pPr>
    </w:p>
    <w:p w14:paraId="0D5A9DB9" w14:textId="77777777" w:rsidR="00E92109" w:rsidRPr="00F25A60" w:rsidRDefault="00E92109" w:rsidP="005C56E6">
      <w:pPr>
        <w:pStyle w:val="Text"/>
        <w:widowControl w:val="0"/>
        <w:spacing w:before="0"/>
        <w:ind w:left="600" w:hanging="600"/>
        <w:jc w:val="left"/>
        <w:rPr>
          <w:color w:val="000000"/>
          <w:sz w:val="22"/>
          <w:szCs w:val="22"/>
          <w:lang w:val="cs-CZ"/>
        </w:rPr>
      </w:pPr>
      <w:r w:rsidRPr="00F25A60">
        <w:rPr>
          <w:color w:val="000000"/>
          <w:sz w:val="22"/>
          <w:szCs w:val="22"/>
          <w:lang w:val="cs-CZ"/>
        </w:rPr>
        <w:t>-</w:t>
      </w:r>
      <w:r w:rsidRPr="00F25A60">
        <w:rPr>
          <w:color w:val="000000"/>
          <w:sz w:val="22"/>
          <w:szCs w:val="22"/>
          <w:lang w:val="cs-CZ"/>
        </w:rPr>
        <w:tab/>
      </w:r>
      <w:r w:rsidRPr="00F25A60">
        <w:rPr>
          <w:b/>
          <w:bCs/>
          <w:color w:val="000000"/>
          <w:sz w:val="22"/>
          <w:szCs w:val="22"/>
          <w:lang w:val="cs-CZ"/>
        </w:rPr>
        <w:t>Chronickou myeloidní leukemií (CML).</w:t>
      </w:r>
      <w:r w:rsidRPr="00F25A60">
        <w:rPr>
          <w:color w:val="000000"/>
          <w:sz w:val="22"/>
          <w:szCs w:val="22"/>
          <w:lang w:val="cs-CZ"/>
        </w:rPr>
        <w:t xml:space="preserve"> Leukemie je nádorové onemocnění bílých krvinek. Bílé krvinky obvykle pomáhají organismu bojovat proti infekci. Chronická myeloidní leukemie je forma leukemie, při které určité abnormální bílé krvinky (nazvané myeloidní buňky) začnou růst nekontrolovaně.</w:t>
      </w:r>
    </w:p>
    <w:p w14:paraId="68616C3D" w14:textId="77777777" w:rsidR="00AF0B73" w:rsidRPr="00F25A60" w:rsidRDefault="00AF0B73" w:rsidP="005C56E6">
      <w:pPr>
        <w:pStyle w:val="Text"/>
        <w:widowControl w:val="0"/>
        <w:numPr>
          <w:ilvl w:val="0"/>
          <w:numId w:val="13"/>
        </w:numPr>
        <w:tabs>
          <w:tab w:val="clear" w:pos="0"/>
          <w:tab w:val="clear" w:pos="567"/>
        </w:tabs>
        <w:spacing w:before="0"/>
        <w:ind w:left="567" w:hanging="567"/>
        <w:jc w:val="left"/>
        <w:rPr>
          <w:color w:val="000000"/>
          <w:sz w:val="22"/>
          <w:szCs w:val="22"/>
          <w:lang w:val="cs-CZ"/>
        </w:rPr>
      </w:pPr>
      <w:r w:rsidRPr="00F25A60">
        <w:rPr>
          <w:b/>
          <w:bCs/>
          <w:color w:val="000000"/>
          <w:sz w:val="22"/>
          <w:szCs w:val="22"/>
          <w:lang w:val="cs-CZ"/>
        </w:rPr>
        <w:t xml:space="preserve">Philadelphia chromozom pozitivní akutní lymfatickou leukemií (Ph-pozitivní </w:t>
      </w:r>
      <w:smartTag w:uri="urn:schemas-microsoft-com:office:smarttags" w:element="stockticker">
        <w:r w:rsidRPr="00F25A60">
          <w:rPr>
            <w:b/>
            <w:bCs/>
            <w:color w:val="000000"/>
            <w:sz w:val="22"/>
            <w:szCs w:val="22"/>
            <w:lang w:val="cs-CZ"/>
          </w:rPr>
          <w:t>ALL</w:t>
        </w:r>
      </w:smartTag>
      <w:r w:rsidRPr="00F25A60">
        <w:rPr>
          <w:b/>
          <w:bCs/>
          <w:color w:val="000000"/>
          <w:sz w:val="22"/>
          <w:szCs w:val="22"/>
          <w:lang w:val="cs-CZ"/>
        </w:rPr>
        <w:t>).</w:t>
      </w:r>
      <w:r w:rsidRPr="00F25A60">
        <w:rPr>
          <w:color w:val="000000"/>
          <w:sz w:val="22"/>
          <w:szCs w:val="22"/>
          <w:lang w:val="cs-CZ"/>
        </w:rPr>
        <w:t xml:space="preserve"> Leukemie je nádorové onemocnění bílých krvinek. Tyto bílé krvinky obvykle pomáhají tělu bojovat proti infekci. Akutní lymfatická leukemie je forma leukemie, při které určité abnormální bílé krvinky (nazvané lymfoblasty) začnou nekontrolovaně růst. Glivec tlumí růst těchto buněk.</w:t>
      </w:r>
    </w:p>
    <w:p w14:paraId="7C825C8A" w14:textId="77777777" w:rsidR="00E92109" w:rsidRPr="00F25A60" w:rsidRDefault="00E92109" w:rsidP="005C56E6">
      <w:pPr>
        <w:pStyle w:val="Text"/>
        <w:widowControl w:val="0"/>
        <w:spacing w:before="0"/>
        <w:jc w:val="left"/>
        <w:rPr>
          <w:color w:val="000000"/>
          <w:sz w:val="22"/>
          <w:szCs w:val="22"/>
          <w:lang w:val="cs-CZ"/>
        </w:rPr>
      </w:pPr>
    </w:p>
    <w:p w14:paraId="3025080E" w14:textId="77777777" w:rsidR="00E92109" w:rsidRPr="00F25A60" w:rsidRDefault="00E92109" w:rsidP="005C56E6">
      <w:pPr>
        <w:pStyle w:val="Text"/>
        <w:keepNext/>
        <w:widowControl w:val="0"/>
        <w:spacing w:before="0"/>
        <w:jc w:val="left"/>
        <w:rPr>
          <w:b/>
          <w:bCs/>
          <w:color w:val="000000"/>
          <w:sz w:val="22"/>
          <w:szCs w:val="22"/>
          <w:lang w:val="cs-CZ"/>
        </w:rPr>
      </w:pPr>
      <w:r w:rsidRPr="00F25A60">
        <w:rPr>
          <w:b/>
          <w:bCs/>
          <w:color w:val="000000"/>
          <w:sz w:val="22"/>
          <w:szCs w:val="22"/>
          <w:lang w:val="cs-CZ"/>
        </w:rPr>
        <w:t xml:space="preserve">Glivec se také </w:t>
      </w:r>
      <w:r w:rsidR="00427BA1" w:rsidRPr="00F25A60">
        <w:rPr>
          <w:b/>
          <w:bCs/>
          <w:color w:val="000000"/>
          <w:sz w:val="22"/>
          <w:szCs w:val="22"/>
          <w:lang w:val="cs-CZ"/>
        </w:rPr>
        <w:t>po</w:t>
      </w:r>
      <w:r w:rsidRPr="00F25A60">
        <w:rPr>
          <w:b/>
          <w:bCs/>
          <w:color w:val="000000"/>
          <w:sz w:val="22"/>
          <w:szCs w:val="22"/>
          <w:lang w:val="cs-CZ"/>
        </w:rPr>
        <w:t>užívá k léčbě dospělých s:</w:t>
      </w:r>
    </w:p>
    <w:p w14:paraId="17B2C68C" w14:textId="77777777" w:rsidR="00E92109" w:rsidRPr="00F25A60" w:rsidRDefault="00E92109" w:rsidP="005C56E6">
      <w:pPr>
        <w:pStyle w:val="Text"/>
        <w:keepNext/>
        <w:widowControl w:val="0"/>
        <w:spacing w:before="0"/>
        <w:jc w:val="left"/>
        <w:rPr>
          <w:color w:val="000000"/>
          <w:sz w:val="22"/>
          <w:szCs w:val="22"/>
          <w:lang w:val="cs-CZ"/>
        </w:rPr>
      </w:pPr>
    </w:p>
    <w:p w14:paraId="4077AAF2" w14:textId="77777777" w:rsidR="00E92109" w:rsidRPr="00F25A60" w:rsidRDefault="00E92109" w:rsidP="005C56E6">
      <w:pPr>
        <w:pStyle w:val="Text"/>
        <w:widowControl w:val="0"/>
        <w:numPr>
          <w:ilvl w:val="0"/>
          <w:numId w:val="13"/>
        </w:numPr>
        <w:tabs>
          <w:tab w:val="clear" w:pos="0"/>
          <w:tab w:val="clear" w:pos="567"/>
        </w:tabs>
        <w:spacing w:before="0"/>
        <w:ind w:left="567" w:hanging="567"/>
        <w:jc w:val="left"/>
        <w:rPr>
          <w:color w:val="000000"/>
          <w:sz w:val="22"/>
          <w:szCs w:val="22"/>
          <w:lang w:val="cs-CZ"/>
        </w:rPr>
      </w:pPr>
      <w:r w:rsidRPr="00F25A60">
        <w:rPr>
          <w:b/>
          <w:bCs/>
          <w:color w:val="000000"/>
          <w:sz w:val="22"/>
          <w:szCs w:val="22"/>
          <w:lang w:val="cs-CZ"/>
        </w:rPr>
        <w:t>Myelodysplatickým/myeloproliferativním onemocněním (</w:t>
      </w:r>
      <w:smartTag w:uri="urn:schemas-microsoft-com:office:smarttags" w:element="stockticker">
        <w:r w:rsidRPr="00F25A60">
          <w:rPr>
            <w:b/>
            <w:bCs/>
            <w:color w:val="000000"/>
            <w:sz w:val="22"/>
            <w:szCs w:val="22"/>
            <w:lang w:val="cs-CZ"/>
          </w:rPr>
          <w:t>MDS</w:t>
        </w:r>
      </w:smartTag>
      <w:r w:rsidRPr="00F25A60">
        <w:rPr>
          <w:b/>
          <w:bCs/>
          <w:color w:val="000000"/>
          <w:sz w:val="22"/>
          <w:szCs w:val="22"/>
          <w:lang w:val="cs-CZ"/>
        </w:rPr>
        <w:t>/MPD).</w:t>
      </w:r>
      <w:r w:rsidRPr="00F25A60">
        <w:rPr>
          <w:color w:val="000000"/>
          <w:sz w:val="22"/>
          <w:szCs w:val="22"/>
          <w:lang w:val="cs-CZ"/>
        </w:rPr>
        <w:t xml:space="preserve"> Jde o </w:t>
      </w:r>
      <w:r w:rsidR="00427BA1" w:rsidRPr="00F25A60">
        <w:rPr>
          <w:color w:val="000000"/>
          <w:sz w:val="22"/>
          <w:szCs w:val="22"/>
          <w:lang w:val="cs-CZ"/>
        </w:rPr>
        <w:t xml:space="preserve">skupinu </w:t>
      </w:r>
      <w:r w:rsidRPr="00F25A60">
        <w:rPr>
          <w:color w:val="000000"/>
          <w:sz w:val="22"/>
          <w:szCs w:val="22"/>
          <w:lang w:val="cs-CZ"/>
        </w:rPr>
        <w:t xml:space="preserve">onemocnění krve, </w:t>
      </w:r>
      <w:r w:rsidR="00427BA1" w:rsidRPr="00F25A60">
        <w:rPr>
          <w:color w:val="000000"/>
          <w:sz w:val="22"/>
          <w:szCs w:val="22"/>
          <w:lang w:val="cs-CZ"/>
        </w:rPr>
        <w:t>u kterých</w:t>
      </w:r>
      <w:r w:rsidRPr="00F25A60">
        <w:rPr>
          <w:color w:val="000000"/>
          <w:sz w:val="22"/>
          <w:szCs w:val="22"/>
          <w:lang w:val="cs-CZ"/>
        </w:rPr>
        <w:t xml:space="preserve"> některé bílé krvinky začnou růst nekontrolovaně. Glivec tlumí růst těchto buněk u </w:t>
      </w:r>
      <w:r w:rsidR="002B49C5" w:rsidRPr="00F25A60">
        <w:rPr>
          <w:color w:val="000000"/>
          <w:sz w:val="22"/>
          <w:szCs w:val="22"/>
          <w:lang w:val="cs-CZ"/>
        </w:rPr>
        <w:t>určitého</w:t>
      </w:r>
      <w:r w:rsidRPr="00F25A60">
        <w:rPr>
          <w:color w:val="000000"/>
          <w:sz w:val="22"/>
          <w:szCs w:val="22"/>
          <w:lang w:val="cs-CZ"/>
        </w:rPr>
        <w:t xml:space="preserve"> </w:t>
      </w:r>
      <w:r w:rsidR="002B49C5" w:rsidRPr="00F25A60">
        <w:rPr>
          <w:color w:val="000000"/>
          <w:sz w:val="22"/>
          <w:szCs w:val="22"/>
          <w:lang w:val="cs-CZ"/>
        </w:rPr>
        <w:t>pod</w:t>
      </w:r>
      <w:r w:rsidRPr="00F25A60">
        <w:rPr>
          <w:color w:val="000000"/>
          <w:sz w:val="22"/>
          <w:szCs w:val="22"/>
          <w:lang w:val="cs-CZ"/>
        </w:rPr>
        <w:t>typu těchto onemocnění.</w:t>
      </w:r>
    </w:p>
    <w:p w14:paraId="49E5E7B2" w14:textId="77777777" w:rsidR="00E92109" w:rsidRPr="00F25A60" w:rsidRDefault="00E92109" w:rsidP="005C56E6">
      <w:pPr>
        <w:pStyle w:val="Text"/>
        <w:widowControl w:val="0"/>
        <w:numPr>
          <w:ilvl w:val="0"/>
          <w:numId w:val="13"/>
        </w:numPr>
        <w:tabs>
          <w:tab w:val="clear" w:pos="0"/>
          <w:tab w:val="clear" w:pos="567"/>
        </w:tabs>
        <w:spacing w:before="0"/>
        <w:ind w:left="567" w:hanging="567"/>
        <w:jc w:val="left"/>
        <w:rPr>
          <w:color w:val="000000"/>
          <w:sz w:val="22"/>
          <w:szCs w:val="22"/>
          <w:lang w:val="cs-CZ"/>
        </w:rPr>
      </w:pPr>
      <w:r w:rsidRPr="00F25A60">
        <w:rPr>
          <w:b/>
          <w:bCs/>
          <w:color w:val="000000"/>
          <w:sz w:val="22"/>
          <w:szCs w:val="22"/>
          <w:lang w:val="cs-CZ"/>
        </w:rPr>
        <w:t>Syndromem hypereozinofilie (HES) a/nebo chronickou eozinofilní leukemií (</w:t>
      </w:r>
      <w:smartTag w:uri="urn:schemas-microsoft-com:office:smarttags" w:element="stockticker">
        <w:r w:rsidRPr="00F25A60">
          <w:rPr>
            <w:b/>
            <w:bCs/>
            <w:color w:val="000000"/>
            <w:sz w:val="22"/>
            <w:szCs w:val="22"/>
            <w:lang w:val="cs-CZ"/>
          </w:rPr>
          <w:t>CEL</w:t>
        </w:r>
      </w:smartTag>
      <w:r w:rsidRPr="00F25A60">
        <w:rPr>
          <w:b/>
          <w:bCs/>
          <w:color w:val="000000"/>
          <w:sz w:val="22"/>
          <w:szCs w:val="22"/>
          <w:lang w:val="cs-CZ"/>
        </w:rPr>
        <w:t>).</w:t>
      </w:r>
      <w:r w:rsidRPr="00F25A60">
        <w:rPr>
          <w:color w:val="000000"/>
          <w:sz w:val="22"/>
          <w:szCs w:val="22"/>
          <w:lang w:val="cs-CZ"/>
        </w:rPr>
        <w:t xml:space="preserve"> Jsou to krevní onemocnění, při nichž určité krvinky (nazvané eozinofily) začnou růst nekontrolovaně. Glivec tlumí růst těchto buněk u </w:t>
      </w:r>
      <w:r w:rsidR="002B49C5" w:rsidRPr="00F25A60">
        <w:rPr>
          <w:color w:val="000000"/>
          <w:sz w:val="22"/>
          <w:szCs w:val="22"/>
          <w:lang w:val="cs-CZ"/>
        </w:rPr>
        <w:t>určitého pod</w:t>
      </w:r>
      <w:r w:rsidRPr="00F25A60">
        <w:rPr>
          <w:color w:val="000000"/>
          <w:sz w:val="22"/>
          <w:szCs w:val="22"/>
          <w:lang w:val="cs-CZ"/>
        </w:rPr>
        <w:t>typu těchto onemocnění.</w:t>
      </w:r>
    </w:p>
    <w:p w14:paraId="13F67314" w14:textId="77777777" w:rsidR="00E92109" w:rsidRPr="00F25A60" w:rsidRDefault="00E92109" w:rsidP="005C56E6">
      <w:pPr>
        <w:pStyle w:val="Text"/>
        <w:widowControl w:val="0"/>
        <w:numPr>
          <w:ilvl w:val="0"/>
          <w:numId w:val="21"/>
        </w:numPr>
        <w:tabs>
          <w:tab w:val="clear" w:pos="0"/>
          <w:tab w:val="clear" w:pos="567"/>
        </w:tabs>
        <w:spacing w:before="0"/>
        <w:ind w:left="567" w:hanging="567"/>
        <w:jc w:val="left"/>
        <w:rPr>
          <w:color w:val="000000"/>
          <w:sz w:val="22"/>
          <w:szCs w:val="22"/>
          <w:lang w:val="cs-CZ"/>
        </w:rPr>
      </w:pPr>
      <w:r w:rsidRPr="00F25A60">
        <w:rPr>
          <w:b/>
          <w:bCs/>
          <w:color w:val="000000"/>
          <w:sz w:val="22"/>
          <w:szCs w:val="22"/>
          <w:lang w:val="cs-CZ"/>
        </w:rPr>
        <w:t>Zhoubnými, stromálními nádory zažívacího traktu (GIST).</w:t>
      </w:r>
      <w:r w:rsidRPr="00F25A60">
        <w:rPr>
          <w:color w:val="000000"/>
          <w:sz w:val="22"/>
          <w:szCs w:val="22"/>
          <w:lang w:val="cs-CZ"/>
        </w:rPr>
        <w:t xml:space="preserve"> GIST je nádorové onemocnění žaludku a střev. Vzniká nekontrolovaným růstem podpůrné tkáně těchto orgánů.</w:t>
      </w:r>
    </w:p>
    <w:p w14:paraId="70A990D1" w14:textId="77777777" w:rsidR="00E92109" w:rsidRPr="00F25A60" w:rsidRDefault="00E92109" w:rsidP="005C56E6">
      <w:pPr>
        <w:pStyle w:val="Text"/>
        <w:widowControl w:val="0"/>
        <w:numPr>
          <w:ilvl w:val="0"/>
          <w:numId w:val="13"/>
        </w:numPr>
        <w:tabs>
          <w:tab w:val="clear" w:pos="0"/>
          <w:tab w:val="clear" w:pos="567"/>
        </w:tabs>
        <w:spacing w:before="0"/>
        <w:ind w:left="567" w:hanging="567"/>
        <w:jc w:val="left"/>
        <w:rPr>
          <w:color w:val="000000"/>
          <w:sz w:val="22"/>
          <w:szCs w:val="22"/>
          <w:lang w:val="cs-CZ"/>
        </w:rPr>
      </w:pPr>
      <w:r w:rsidRPr="00F25A60">
        <w:rPr>
          <w:b/>
          <w:bCs/>
          <w:color w:val="000000"/>
          <w:sz w:val="22"/>
          <w:szCs w:val="22"/>
          <w:lang w:val="cs-CZ"/>
        </w:rPr>
        <w:t>Dermatofibrosarkomem protuberans (DFSP).</w:t>
      </w:r>
      <w:r w:rsidRPr="00F25A60">
        <w:rPr>
          <w:color w:val="000000"/>
          <w:sz w:val="22"/>
          <w:szCs w:val="22"/>
          <w:lang w:val="cs-CZ"/>
        </w:rPr>
        <w:t xml:space="preserve"> DFSP je nádorové onemocnění </w:t>
      </w:r>
      <w:r w:rsidR="002B49C5" w:rsidRPr="00F25A60">
        <w:rPr>
          <w:color w:val="000000"/>
          <w:sz w:val="22"/>
          <w:szCs w:val="22"/>
          <w:lang w:val="cs-CZ"/>
        </w:rPr>
        <w:t>podkožní</w:t>
      </w:r>
      <w:r w:rsidRPr="00F25A60">
        <w:rPr>
          <w:color w:val="000000"/>
          <w:sz w:val="22"/>
          <w:szCs w:val="22"/>
          <w:lang w:val="cs-CZ"/>
        </w:rPr>
        <w:t xml:space="preserve"> tkáně, při kterém některé buňky začnou růst nekontrolovaně. Glivec tlumí růst těchto buněk.</w:t>
      </w:r>
    </w:p>
    <w:p w14:paraId="342597DD" w14:textId="77777777" w:rsidR="00E92109" w:rsidRPr="00F25A60" w:rsidRDefault="00E92109" w:rsidP="005C56E6">
      <w:pPr>
        <w:pStyle w:val="Text"/>
        <w:widowControl w:val="0"/>
        <w:spacing w:before="0"/>
        <w:jc w:val="left"/>
        <w:rPr>
          <w:color w:val="000000"/>
          <w:sz w:val="22"/>
          <w:szCs w:val="22"/>
          <w:lang w:val="cs-CZ"/>
        </w:rPr>
      </w:pPr>
      <w:r w:rsidRPr="00F25A60">
        <w:rPr>
          <w:color w:val="000000"/>
          <w:sz w:val="22"/>
          <w:szCs w:val="22"/>
          <w:lang w:val="cs-CZ"/>
        </w:rPr>
        <w:t>V následujícím textu této příbalové informace budeme pro tato onemocnění používat zkratky</w:t>
      </w:r>
    </w:p>
    <w:p w14:paraId="213FCF88" w14:textId="77777777" w:rsidR="00E92109" w:rsidRPr="00F25A60" w:rsidRDefault="00E92109" w:rsidP="005C56E6">
      <w:pPr>
        <w:pStyle w:val="Text"/>
        <w:widowControl w:val="0"/>
        <w:spacing w:before="0"/>
        <w:jc w:val="left"/>
        <w:rPr>
          <w:color w:val="000000"/>
          <w:sz w:val="22"/>
          <w:szCs w:val="22"/>
          <w:lang w:val="cs-CZ"/>
        </w:rPr>
      </w:pPr>
    </w:p>
    <w:p w14:paraId="28094A82" w14:textId="77777777" w:rsidR="00E92109" w:rsidRPr="00F25A60" w:rsidRDefault="00E92109" w:rsidP="005C56E6">
      <w:pPr>
        <w:pStyle w:val="Text"/>
        <w:widowControl w:val="0"/>
        <w:spacing w:before="0"/>
        <w:jc w:val="left"/>
        <w:rPr>
          <w:color w:val="000000"/>
          <w:sz w:val="22"/>
          <w:szCs w:val="22"/>
          <w:lang w:val="cs-CZ"/>
        </w:rPr>
      </w:pPr>
      <w:r w:rsidRPr="00F25A60">
        <w:rPr>
          <w:color w:val="000000"/>
          <w:sz w:val="22"/>
          <w:szCs w:val="22"/>
          <w:lang w:val="cs-CZ"/>
        </w:rPr>
        <w:lastRenderedPageBreak/>
        <w:t>Jestliže máte nějaké dotazy, jak Glivec působí, nebo proč byl tento lék předepsán právě Vám, zeptejte se svého lékaře.</w:t>
      </w:r>
    </w:p>
    <w:p w14:paraId="077C1640" w14:textId="77777777" w:rsidR="00E92109" w:rsidRPr="00F25A60" w:rsidRDefault="00E92109" w:rsidP="005C56E6">
      <w:pPr>
        <w:pStyle w:val="EndnoteText"/>
        <w:widowControl w:val="0"/>
        <w:tabs>
          <w:tab w:val="clear" w:pos="567"/>
        </w:tabs>
        <w:rPr>
          <w:color w:val="000000"/>
        </w:rPr>
      </w:pPr>
    </w:p>
    <w:p w14:paraId="3E6E517E" w14:textId="77777777" w:rsidR="00E92109" w:rsidRPr="00F25A60" w:rsidRDefault="00E92109" w:rsidP="005C56E6">
      <w:pPr>
        <w:pStyle w:val="EndnoteText"/>
        <w:widowControl w:val="0"/>
        <w:tabs>
          <w:tab w:val="clear" w:pos="567"/>
        </w:tabs>
        <w:rPr>
          <w:color w:val="000000"/>
        </w:rPr>
      </w:pPr>
    </w:p>
    <w:p w14:paraId="29392A1D" w14:textId="77777777" w:rsidR="00E92109" w:rsidRPr="00F25A60" w:rsidRDefault="00E92109" w:rsidP="005C56E6">
      <w:pPr>
        <w:keepNext/>
        <w:widowControl w:val="0"/>
        <w:tabs>
          <w:tab w:val="clear" w:pos="567"/>
        </w:tabs>
        <w:spacing w:line="240" w:lineRule="auto"/>
        <w:ind w:left="567" w:right="-2" w:hanging="567"/>
        <w:rPr>
          <w:b/>
          <w:bCs/>
          <w:color w:val="000000"/>
        </w:rPr>
      </w:pPr>
      <w:r w:rsidRPr="00F25A60">
        <w:rPr>
          <w:b/>
          <w:bCs/>
          <w:color w:val="000000"/>
        </w:rPr>
        <w:t>2.</w:t>
      </w:r>
      <w:r w:rsidRPr="00F25A60">
        <w:rPr>
          <w:b/>
          <w:bCs/>
          <w:color w:val="000000"/>
        </w:rPr>
        <w:tab/>
        <w:t>Čemu musíte věnovat pozornost, než začnete Glivec užívat</w:t>
      </w:r>
    </w:p>
    <w:p w14:paraId="11115E20" w14:textId="77777777" w:rsidR="00E92109" w:rsidRPr="00F25A60" w:rsidRDefault="00E92109" w:rsidP="005C56E6">
      <w:pPr>
        <w:keepNext/>
        <w:widowControl w:val="0"/>
        <w:tabs>
          <w:tab w:val="clear" w:pos="567"/>
        </w:tabs>
        <w:spacing w:line="240" w:lineRule="auto"/>
        <w:ind w:left="567" w:right="-2" w:hanging="567"/>
        <w:rPr>
          <w:color w:val="000000"/>
        </w:rPr>
      </w:pPr>
    </w:p>
    <w:p w14:paraId="62549EF4" w14:textId="77777777" w:rsidR="00E92109" w:rsidRPr="00F25A60" w:rsidRDefault="00E92109" w:rsidP="005C56E6">
      <w:pPr>
        <w:pStyle w:val="Text"/>
        <w:widowControl w:val="0"/>
        <w:spacing w:before="0"/>
        <w:jc w:val="left"/>
        <w:rPr>
          <w:color w:val="000000"/>
          <w:sz w:val="22"/>
          <w:szCs w:val="22"/>
          <w:lang w:val="cs-CZ"/>
        </w:rPr>
      </w:pPr>
      <w:r w:rsidRPr="00F25A60">
        <w:rPr>
          <w:color w:val="000000"/>
          <w:sz w:val="22"/>
          <w:szCs w:val="22"/>
          <w:lang w:val="cs-CZ"/>
        </w:rPr>
        <w:t>Glivec Vám bude předepsán pouze lékařem, který má zkušenosti s léčbou nádorov</w:t>
      </w:r>
      <w:r w:rsidR="002B49C5" w:rsidRPr="00F25A60">
        <w:rPr>
          <w:color w:val="000000"/>
          <w:sz w:val="22"/>
          <w:szCs w:val="22"/>
          <w:lang w:val="cs-CZ"/>
        </w:rPr>
        <w:t>ých</w:t>
      </w:r>
      <w:r w:rsidRPr="00F25A60">
        <w:rPr>
          <w:color w:val="000000"/>
          <w:sz w:val="22"/>
          <w:szCs w:val="22"/>
          <w:lang w:val="cs-CZ"/>
        </w:rPr>
        <w:t xml:space="preserve"> onemocnění krve nebo solidních nádorů (pevných ohraničených nádorů).</w:t>
      </w:r>
    </w:p>
    <w:p w14:paraId="6362F2B8" w14:textId="77777777" w:rsidR="00E92109" w:rsidRPr="00F25A60" w:rsidRDefault="00E92109" w:rsidP="005C56E6">
      <w:pPr>
        <w:widowControl w:val="0"/>
        <w:tabs>
          <w:tab w:val="clear" w:pos="567"/>
        </w:tabs>
        <w:spacing w:line="240" w:lineRule="auto"/>
        <w:ind w:right="-2"/>
        <w:rPr>
          <w:color w:val="000000"/>
        </w:rPr>
      </w:pPr>
    </w:p>
    <w:p w14:paraId="66067540" w14:textId="77777777" w:rsidR="00E92109" w:rsidRPr="00F25A60" w:rsidRDefault="00E92109" w:rsidP="005C56E6">
      <w:pPr>
        <w:widowControl w:val="0"/>
        <w:tabs>
          <w:tab w:val="clear" w:pos="567"/>
        </w:tabs>
        <w:spacing w:line="240" w:lineRule="auto"/>
        <w:ind w:right="-2"/>
        <w:rPr>
          <w:color w:val="000000"/>
        </w:rPr>
      </w:pPr>
      <w:r w:rsidRPr="00F25A60">
        <w:rPr>
          <w:color w:val="000000"/>
        </w:rPr>
        <w:t>Dodržujte pečlivě všechna doporučení lékaře, i když se budou lišit od obecných informací uvedených v této příbalové informaci.</w:t>
      </w:r>
    </w:p>
    <w:p w14:paraId="20CD147C" w14:textId="77777777" w:rsidR="00E92109" w:rsidRPr="00F25A60" w:rsidRDefault="00E92109" w:rsidP="005C56E6">
      <w:pPr>
        <w:widowControl w:val="0"/>
        <w:tabs>
          <w:tab w:val="clear" w:pos="567"/>
        </w:tabs>
        <w:spacing w:line="240" w:lineRule="auto"/>
        <w:ind w:right="-2"/>
        <w:rPr>
          <w:color w:val="000000"/>
        </w:rPr>
      </w:pPr>
    </w:p>
    <w:p w14:paraId="769792AA" w14:textId="305A7832" w:rsidR="00E92109" w:rsidRPr="00F25A60" w:rsidRDefault="00E92109" w:rsidP="005C56E6">
      <w:pPr>
        <w:keepNext/>
        <w:widowControl w:val="0"/>
        <w:tabs>
          <w:tab w:val="clear" w:pos="567"/>
        </w:tabs>
        <w:spacing w:line="240" w:lineRule="auto"/>
        <w:rPr>
          <w:b/>
          <w:bCs/>
          <w:color w:val="000000"/>
        </w:rPr>
      </w:pPr>
      <w:r w:rsidRPr="00F25A60">
        <w:rPr>
          <w:b/>
          <w:bCs/>
          <w:color w:val="000000"/>
        </w:rPr>
        <w:t>Neužívejte Glivec</w:t>
      </w:r>
    </w:p>
    <w:p w14:paraId="2FE277C0" w14:textId="77777777" w:rsidR="00E92109" w:rsidRPr="00F25A60" w:rsidRDefault="00E92109" w:rsidP="005C56E6">
      <w:pPr>
        <w:keepNext/>
        <w:widowControl w:val="0"/>
        <w:numPr>
          <w:ilvl w:val="0"/>
          <w:numId w:val="13"/>
        </w:numPr>
        <w:tabs>
          <w:tab w:val="clear" w:pos="0"/>
          <w:tab w:val="clear" w:pos="567"/>
        </w:tabs>
        <w:spacing w:line="240" w:lineRule="auto"/>
        <w:ind w:left="567" w:hanging="567"/>
        <w:rPr>
          <w:color w:val="000000"/>
        </w:rPr>
      </w:pPr>
      <w:r w:rsidRPr="00F25A60">
        <w:rPr>
          <w:color w:val="000000"/>
        </w:rPr>
        <w:t>jestliže jste alergický(á) na imatinib nebo na kteroukoli další složku tohoto přípravku (uvedenou v bodě 6).</w:t>
      </w:r>
    </w:p>
    <w:p w14:paraId="1E18BB1F" w14:textId="77777777" w:rsidR="00E92109" w:rsidRPr="00F25A60" w:rsidRDefault="00E92109" w:rsidP="005C56E6">
      <w:pPr>
        <w:widowControl w:val="0"/>
        <w:tabs>
          <w:tab w:val="clear" w:pos="567"/>
        </w:tabs>
        <w:spacing w:line="240" w:lineRule="auto"/>
        <w:ind w:right="-2"/>
        <w:rPr>
          <w:color w:val="000000"/>
        </w:rPr>
      </w:pPr>
      <w:r w:rsidRPr="00F25A60">
        <w:rPr>
          <w:color w:val="000000"/>
        </w:rPr>
        <w:t xml:space="preserve">Pokud se Vás to týká, </w:t>
      </w:r>
      <w:r w:rsidRPr="00F25A60">
        <w:rPr>
          <w:b/>
          <w:bCs/>
          <w:color w:val="000000"/>
        </w:rPr>
        <w:t>oznamte to svému lékaři, aniž byste Glivec užíval(a)</w:t>
      </w:r>
      <w:r w:rsidRPr="00F25A60">
        <w:rPr>
          <w:color w:val="000000"/>
        </w:rPr>
        <w:t>.</w:t>
      </w:r>
    </w:p>
    <w:p w14:paraId="35CF5AD8" w14:textId="77777777" w:rsidR="00E92109" w:rsidRPr="00F25A60" w:rsidRDefault="00E92109" w:rsidP="005C56E6">
      <w:pPr>
        <w:widowControl w:val="0"/>
        <w:tabs>
          <w:tab w:val="clear" w:pos="567"/>
        </w:tabs>
        <w:spacing w:line="240" w:lineRule="auto"/>
        <w:ind w:right="-2"/>
        <w:rPr>
          <w:color w:val="000000"/>
        </w:rPr>
      </w:pPr>
    </w:p>
    <w:p w14:paraId="6EDCEE5A" w14:textId="77777777" w:rsidR="00E92109" w:rsidRPr="00F25A60" w:rsidRDefault="00E92109" w:rsidP="005C56E6">
      <w:pPr>
        <w:widowControl w:val="0"/>
        <w:tabs>
          <w:tab w:val="clear" w:pos="567"/>
        </w:tabs>
        <w:spacing w:line="240" w:lineRule="auto"/>
        <w:ind w:right="-2"/>
        <w:rPr>
          <w:color w:val="000000"/>
        </w:rPr>
      </w:pPr>
      <w:r w:rsidRPr="00F25A60">
        <w:rPr>
          <w:color w:val="000000"/>
        </w:rPr>
        <w:t xml:space="preserve">Jestliže si myslíte, že můžete být alergický(á) ale nejste si tím jistý(á), </w:t>
      </w:r>
      <w:r w:rsidR="002B49C5" w:rsidRPr="00F25A60">
        <w:rPr>
          <w:color w:val="000000"/>
        </w:rPr>
        <w:t>poraďte se se svým lékařem</w:t>
      </w:r>
      <w:r w:rsidRPr="00F25A60">
        <w:rPr>
          <w:color w:val="000000"/>
        </w:rPr>
        <w:t>.</w:t>
      </w:r>
    </w:p>
    <w:p w14:paraId="2CB0E364" w14:textId="77777777" w:rsidR="00E92109" w:rsidRPr="00F25A60" w:rsidRDefault="00E92109" w:rsidP="005C56E6">
      <w:pPr>
        <w:widowControl w:val="0"/>
        <w:tabs>
          <w:tab w:val="clear" w:pos="567"/>
        </w:tabs>
        <w:spacing w:line="240" w:lineRule="auto"/>
        <w:ind w:right="-2"/>
        <w:rPr>
          <w:color w:val="000000"/>
        </w:rPr>
      </w:pPr>
    </w:p>
    <w:p w14:paraId="19102E00" w14:textId="77777777" w:rsidR="00E92109" w:rsidRPr="00F25A60" w:rsidRDefault="00E92109" w:rsidP="005C56E6">
      <w:pPr>
        <w:keepNext/>
        <w:widowControl w:val="0"/>
        <w:tabs>
          <w:tab w:val="clear" w:pos="567"/>
        </w:tabs>
        <w:spacing w:line="240" w:lineRule="auto"/>
        <w:ind w:right="-2"/>
        <w:rPr>
          <w:b/>
          <w:color w:val="000000"/>
        </w:rPr>
      </w:pPr>
      <w:r w:rsidRPr="00F25A60">
        <w:rPr>
          <w:b/>
          <w:color w:val="000000"/>
        </w:rPr>
        <w:t>Upozornění a opatření</w:t>
      </w:r>
    </w:p>
    <w:p w14:paraId="1CC17218" w14:textId="58429BAA" w:rsidR="00E92109" w:rsidRPr="00F25A60" w:rsidRDefault="00E92109" w:rsidP="005C56E6">
      <w:pPr>
        <w:keepNext/>
        <w:widowControl w:val="0"/>
        <w:tabs>
          <w:tab w:val="clear" w:pos="567"/>
        </w:tabs>
        <w:spacing w:line="240" w:lineRule="auto"/>
        <w:ind w:right="-2"/>
        <w:rPr>
          <w:color w:val="000000"/>
        </w:rPr>
      </w:pPr>
      <w:r w:rsidRPr="00F25A60">
        <w:rPr>
          <w:bCs/>
          <w:color w:val="000000"/>
        </w:rPr>
        <w:t>Před užitím</w:t>
      </w:r>
      <w:ins w:id="428" w:author="Author">
        <w:r w:rsidR="00496207">
          <w:rPr>
            <w:bCs/>
            <w:color w:val="000000"/>
          </w:rPr>
          <w:t xml:space="preserve"> přípravku</w:t>
        </w:r>
      </w:ins>
      <w:r w:rsidRPr="00F25A60">
        <w:rPr>
          <w:color w:val="000000"/>
        </w:rPr>
        <w:t xml:space="preserve"> Glivec</w:t>
      </w:r>
      <w:del w:id="429" w:author="Author">
        <w:r w:rsidRPr="00F25A60" w:rsidDel="00496207">
          <w:rPr>
            <w:color w:val="000000"/>
          </w:rPr>
          <w:delText>u</w:delText>
        </w:r>
      </w:del>
      <w:r w:rsidRPr="00F25A60">
        <w:rPr>
          <w:color w:val="000000"/>
        </w:rPr>
        <w:t xml:space="preserve"> se poraďte se svým lékařem:</w:t>
      </w:r>
    </w:p>
    <w:p w14:paraId="4442D01F" w14:textId="77777777" w:rsidR="00E92109" w:rsidRPr="00F25A60" w:rsidRDefault="00E92109" w:rsidP="005C56E6">
      <w:pPr>
        <w:widowControl w:val="0"/>
        <w:tabs>
          <w:tab w:val="clear" w:pos="567"/>
        </w:tabs>
        <w:spacing w:line="240" w:lineRule="auto"/>
        <w:ind w:left="600" w:hanging="600"/>
        <w:rPr>
          <w:color w:val="000000"/>
        </w:rPr>
      </w:pPr>
      <w:r w:rsidRPr="00F25A60">
        <w:rPr>
          <w:color w:val="000000"/>
        </w:rPr>
        <w:t>-</w:t>
      </w:r>
      <w:r w:rsidRPr="00F25A60">
        <w:rPr>
          <w:color w:val="000000"/>
        </w:rPr>
        <w:tab/>
      </w:r>
      <w:r w:rsidR="002B49C5" w:rsidRPr="00F25A60">
        <w:rPr>
          <w:color w:val="000000"/>
        </w:rPr>
        <w:t>jestliže</w:t>
      </w:r>
      <w:r w:rsidRPr="00F25A60">
        <w:rPr>
          <w:color w:val="000000"/>
        </w:rPr>
        <w:t xml:space="preserve"> máte nebo jste v minulosti měl(a) potíže s játry, ledvinami nebo se srdcem </w:t>
      </w:r>
    </w:p>
    <w:p w14:paraId="52370117" w14:textId="77777777" w:rsidR="00E92109" w:rsidRPr="00F25A60" w:rsidRDefault="00E92109" w:rsidP="005C56E6">
      <w:pPr>
        <w:widowControl w:val="0"/>
        <w:tabs>
          <w:tab w:val="clear" w:pos="567"/>
        </w:tabs>
        <w:spacing w:line="240" w:lineRule="auto"/>
        <w:rPr>
          <w:color w:val="000000"/>
        </w:rPr>
      </w:pPr>
      <w:r w:rsidRPr="00F25A60">
        <w:rPr>
          <w:color w:val="000000"/>
        </w:rPr>
        <w:t>-</w:t>
      </w:r>
      <w:r w:rsidRPr="00F25A60">
        <w:rPr>
          <w:color w:val="000000"/>
        </w:rPr>
        <w:tab/>
        <w:t>jestliže užíváte levothyroxin</w:t>
      </w:r>
      <w:r w:rsidR="002B49C5" w:rsidRPr="00F25A60">
        <w:rPr>
          <w:color w:val="000000"/>
        </w:rPr>
        <w:t>, protože Vám byla odstraněna</w:t>
      </w:r>
      <w:r w:rsidRPr="00F25A60">
        <w:rPr>
          <w:color w:val="000000"/>
        </w:rPr>
        <w:t xml:space="preserve"> štítn</w:t>
      </w:r>
      <w:r w:rsidR="002B49C5" w:rsidRPr="00F25A60">
        <w:rPr>
          <w:color w:val="000000"/>
        </w:rPr>
        <w:t>á</w:t>
      </w:r>
      <w:r w:rsidRPr="00F25A60">
        <w:rPr>
          <w:color w:val="000000"/>
        </w:rPr>
        <w:t xml:space="preserve"> žláz</w:t>
      </w:r>
      <w:r w:rsidR="002B49C5" w:rsidRPr="00F25A60">
        <w:rPr>
          <w:color w:val="000000"/>
        </w:rPr>
        <w:t>a</w:t>
      </w:r>
      <w:r w:rsidRPr="00F25A60">
        <w:rPr>
          <w:color w:val="000000"/>
        </w:rPr>
        <w:t>.</w:t>
      </w:r>
    </w:p>
    <w:p w14:paraId="2331A24E" w14:textId="35BC30A1" w:rsidR="004A788B" w:rsidRPr="00F25A60" w:rsidRDefault="004A788B" w:rsidP="005C56E6">
      <w:pPr>
        <w:widowControl w:val="0"/>
        <w:tabs>
          <w:tab w:val="clear" w:pos="567"/>
        </w:tabs>
        <w:spacing w:line="240" w:lineRule="auto"/>
        <w:ind w:left="567" w:hanging="567"/>
        <w:rPr>
          <w:color w:val="000000"/>
        </w:rPr>
      </w:pPr>
      <w:r w:rsidRPr="00F25A60">
        <w:rPr>
          <w:color w:val="000000"/>
        </w:rPr>
        <w:t>-</w:t>
      </w:r>
      <w:r w:rsidRPr="00F25A60">
        <w:rPr>
          <w:color w:val="000000"/>
        </w:rPr>
        <w:tab/>
        <w:t>pokud jste někdy měl (a) infekční hepatitidu B (žloutenka typu B) nebo toto onemocnění máte v</w:t>
      </w:r>
      <w:ins w:id="430" w:author="Author">
        <w:r w:rsidR="00A610CB" w:rsidRPr="00F25A60">
          <w:rPr>
            <w:color w:val="000000"/>
          </w:rPr>
          <w:t> </w:t>
        </w:r>
      </w:ins>
      <w:del w:id="431" w:author="Author">
        <w:r w:rsidRPr="00F25A60" w:rsidDel="00A610CB">
          <w:rPr>
            <w:color w:val="000000"/>
          </w:rPr>
          <w:delText xml:space="preserve"> </w:delText>
        </w:r>
      </w:del>
      <w:r w:rsidRPr="00F25A60">
        <w:rPr>
          <w:color w:val="000000"/>
        </w:rPr>
        <w:t>současné době. Přípravek G</w:t>
      </w:r>
      <w:r w:rsidR="002B49C5" w:rsidRPr="00F25A60">
        <w:rPr>
          <w:color w:val="000000"/>
        </w:rPr>
        <w:t>livec</w:t>
      </w:r>
      <w:r w:rsidRPr="00F25A60">
        <w:rPr>
          <w:color w:val="000000"/>
        </w:rPr>
        <w:t xml:space="preserve"> může hepatitidu B znovu aktivovat, což může v některých případech vést k úmrtí. Před zahájením léčby lékař pacienty pečlivě vyšetří s ohledem na možný výskyt známek této infekce.</w:t>
      </w:r>
    </w:p>
    <w:p w14:paraId="422C40BC" w14:textId="77777777" w:rsidR="0071222E" w:rsidRPr="00F25A60" w:rsidRDefault="00894B06" w:rsidP="005C56E6">
      <w:pPr>
        <w:keepNext/>
        <w:keepLines/>
        <w:widowControl w:val="0"/>
        <w:tabs>
          <w:tab w:val="clear" w:pos="567"/>
        </w:tabs>
        <w:spacing w:line="240" w:lineRule="auto"/>
        <w:ind w:left="567" w:hanging="567"/>
        <w:rPr>
          <w:color w:val="000000"/>
        </w:rPr>
      </w:pPr>
      <w:r w:rsidRPr="00F25A60">
        <w:rPr>
          <w:color w:val="000000"/>
        </w:rPr>
        <w:t>-</w:t>
      </w:r>
      <w:r w:rsidRPr="00F25A60">
        <w:rPr>
          <w:color w:val="000000"/>
        </w:rPr>
        <w:tab/>
      </w:r>
      <w:r w:rsidR="0071222E" w:rsidRPr="00F25A60">
        <w:rPr>
          <w:color w:val="000000"/>
        </w:rPr>
        <w:t>jestliže se u Vás během léčby přípravkem Glivec objeví modřiny, krvácení, horečka, únava a zmatenost, kontaktujte svého lékaře. Může to být známka poškození krevních cév známá jako trombotická mikroangiopatie (TMA).</w:t>
      </w:r>
    </w:p>
    <w:p w14:paraId="36BC4131" w14:textId="77777777" w:rsidR="00E92109" w:rsidRPr="00F25A60" w:rsidRDefault="00E92109" w:rsidP="005C56E6">
      <w:pPr>
        <w:pStyle w:val="Text"/>
        <w:widowControl w:val="0"/>
        <w:spacing w:before="0"/>
        <w:jc w:val="left"/>
        <w:rPr>
          <w:b/>
          <w:bCs/>
          <w:color w:val="000000"/>
          <w:sz w:val="22"/>
          <w:szCs w:val="22"/>
          <w:lang w:val="cs-CZ"/>
        </w:rPr>
      </w:pPr>
      <w:r w:rsidRPr="00F25A60">
        <w:rPr>
          <w:color w:val="000000"/>
          <w:sz w:val="22"/>
          <w:szCs w:val="22"/>
          <w:lang w:val="cs-CZ"/>
        </w:rPr>
        <w:t xml:space="preserve">Jestliže se Vás cokoliv z výše uvedeného týká, </w:t>
      </w:r>
      <w:r w:rsidRPr="00F25A60">
        <w:rPr>
          <w:b/>
          <w:bCs/>
          <w:color w:val="000000"/>
          <w:sz w:val="22"/>
          <w:szCs w:val="22"/>
          <w:lang w:val="cs-CZ"/>
        </w:rPr>
        <w:t>oznamte to lékaři před užíváním Glivecu.</w:t>
      </w:r>
    </w:p>
    <w:p w14:paraId="6F1DC6EB" w14:textId="77777777" w:rsidR="00F01DF4" w:rsidRPr="00F25A60" w:rsidRDefault="00F01DF4" w:rsidP="005C56E6">
      <w:pPr>
        <w:pStyle w:val="Text"/>
        <w:widowControl w:val="0"/>
        <w:spacing w:before="0"/>
        <w:jc w:val="left"/>
        <w:rPr>
          <w:bCs/>
          <w:sz w:val="22"/>
          <w:szCs w:val="22"/>
          <w:lang w:val="cs-CZ"/>
        </w:rPr>
      </w:pPr>
    </w:p>
    <w:p w14:paraId="64652892" w14:textId="77777777" w:rsidR="00F01DF4" w:rsidRPr="00F25A60" w:rsidRDefault="00F01DF4" w:rsidP="005C56E6">
      <w:pPr>
        <w:pStyle w:val="Text"/>
        <w:widowControl w:val="0"/>
        <w:spacing w:before="0"/>
        <w:jc w:val="left"/>
        <w:rPr>
          <w:bCs/>
          <w:sz w:val="22"/>
          <w:szCs w:val="22"/>
          <w:lang w:val="cs-CZ"/>
        </w:rPr>
      </w:pPr>
      <w:r w:rsidRPr="00F25A60">
        <w:rPr>
          <w:sz w:val="22"/>
          <w:szCs w:val="22"/>
          <w:lang w:val="cs-CZ"/>
        </w:rPr>
        <w:t>Během užívání přípravku Glivec můžete být citlivější na sluneční záření. Je důležité, abyste používal</w:t>
      </w:r>
      <w:r w:rsidR="00691A97" w:rsidRPr="00F25A60">
        <w:rPr>
          <w:sz w:val="22"/>
          <w:szCs w:val="22"/>
          <w:lang w:val="cs-CZ"/>
        </w:rPr>
        <w:t>(a)</w:t>
      </w:r>
      <w:r w:rsidRPr="00F25A60">
        <w:rPr>
          <w:sz w:val="22"/>
          <w:szCs w:val="22"/>
          <w:lang w:val="cs-CZ"/>
        </w:rPr>
        <w:t xml:space="preserve"> ochranný oděv a opalovací krém s vysokým ochranným faktorem proti slunečnímu záření (OF). Tato bezpečnostní opatření jsou platná i pro děti.</w:t>
      </w:r>
    </w:p>
    <w:p w14:paraId="17D244FB" w14:textId="77777777" w:rsidR="00E92109" w:rsidRPr="00F25A60" w:rsidRDefault="00E92109" w:rsidP="005C56E6">
      <w:pPr>
        <w:pStyle w:val="Text"/>
        <w:widowControl w:val="0"/>
        <w:spacing w:before="0"/>
        <w:jc w:val="left"/>
        <w:rPr>
          <w:color w:val="000000"/>
          <w:sz w:val="22"/>
          <w:szCs w:val="22"/>
          <w:lang w:val="cs-CZ"/>
        </w:rPr>
      </w:pPr>
    </w:p>
    <w:p w14:paraId="78ACFFC9" w14:textId="77777777" w:rsidR="00E92109" w:rsidRPr="00F25A60" w:rsidRDefault="00E92109" w:rsidP="005C56E6">
      <w:pPr>
        <w:pStyle w:val="Text"/>
        <w:widowControl w:val="0"/>
        <w:spacing w:before="0"/>
        <w:jc w:val="left"/>
        <w:rPr>
          <w:color w:val="000000"/>
          <w:sz w:val="22"/>
          <w:szCs w:val="22"/>
          <w:lang w:val="cs-CZ"/>
        </w:rPr>
      </w:pPr>
      <w:r w:rsidRPr="00F25A60">
        <w:rPr>
          <w:color w:val="000000"/>
          <w:sz w:val="22"/>
          <w:szCs w:val="22"/>
          <w:lang w:val="cs-CZ"/>
        </w:rPr>
        <w:t>Pokud začnete velmi rychle přibývat na váze</w:t>
      </w:r>
      <w:r w:rsidRPr="00F25A60">
        <w:rPr>
          <w:b/>
          <w:bCs/>
          <w:color w:val="000000"/>
          <w:sz w:val="22"/>
          <w:szCs w:val="22"/>
          <w:lang w:val="cs-CZ"/>
        </w:rPr>
        <w:t xml:space="preserve"> během léčby Glivecem, sdělte to ihned svému lékaři</w:t>
      </w:r>
      <w:r w:rsidRPr="00F25A60">
        <w:rPr>
          <w:color w:val="000000"/>
          <w:sz w:val="22"/>
          <w:szCs w:val="22"/>
          <w:lang w:val="cs-CZ"/>
        </w:rPr>
        <w:t>. Glivec může způsobit zadržování vody ve Vašem těle (závažnou retenci tekutin).</w:t>
      </w:r>
    </w:p>
    <w:p w14:paraId="1FDDC17A" w14:textId="77777777" w:rsidR="00E92109" w:rsidRPr="00F25A60" w:rsidRDefault="00E92109" w:rsidP="005C56E6">
      <w:pPr>
        <w:pStyle w:val="Text"/>
        <w:widowControl w:val="0"/>
        <w:spacing w:before="0"/>
        <w:jc w:val="left"/>
        <w:rPr>
          <w:color w:val="000000"/>
          <w:sz w:val="22"/>
          <w:szCs w:val="22"/>
          <w:lang w:val="cs-CZ"/>
        </w:rPr>
      </w:pPr>
    </w:p>
    <w:p w14:paraId="195417C0" w14:textId="77777777" w:rsidR="00E92109" w:rsidRPr="00F25A60" w:rsidRDefault="00E92109" w:rsidP="005C56E6">
      <w:pPr>
        <w:pStyle w:val="Text"/>
        <w:widowControl w:val="0"/>
        <w:spacing w:before="0"/>
        <w:jc w:val="left"/>
        <w:rPr>
          <w:color w:val="000000"/>
          <w:sz w:val="22"/>
          <w:szCs w:val="22"/>
          <w:lang w:val="cs-CZ"/>
        </w:rPr>
      </w:pPr>
      <w:r w:rsidRPr="00F25A60">
        <w:rPr>
          <w:color w:val="000000"/>
          <w:sz w:val="22"/>
          <w:szCs w:val="22"/>
          <w:lang w:val="cs-CZ"/>
        </w:rPr>
        <w:t>Během užívání Glivecu bude Váš lékař pravidelně sledovat, zda lék účinkuje. Také Vám bude pravidelně kontrolován krevní obraz a tělesná hmotnost.</w:t>
      </w:r>
    </w:p>
    <w:p w14:paraId="4A1FDD97" w14:textId="77777777" w:rsidR="00E92109" w:rsidRPr="00F25A60" w:rsidRDefault="00E92109" w:rsidP="005C56E6">
      <w:pPr>
        <w:pStyle w:val="Text"/>
        <w:widowControl w:val="0"/>
        <w:spacing w:before="0"/>
        <w:jc w:val="left"/>
        <w:rPr>
          <w:color w:val="000000"/>
          <w:sz w:val="22"/>
          <w:szCs w:val="22"/>
          <w:lang w:val="cs-CZ"/>
        </w:rPr>
      </w:pPr>
    </w:p>
    <w:p w14:paraId="4384D694" w14:textId="77777777" w:rsidR="00E92109" w:rsidRPr="00F25A60" w:rsidRDefault="00E92109" w:rsidP="005C56E6">
      <w:pPr>
        <w:pStyle w:val="Text"/>
        <w:keepNext/>
        <w:widowControl w:val="0"/>
        <w:spacing w:before="0"/>
        <w:jc w:val="left"/>
        <w:rPr>
          <w:b/>
          <w:color w:val="000000"/>
          <w:sz w:val="22"/>
          <w:szCs w:val="22"/>
          <w:lang w:val="cs-CZ"/>
        </w:rPr>
      </w:pPr>
      <w:r w:rsidRPr="00F25A60">
        <w:rPr>
          <w:b/>
          <w:color w:val="000000"/>
          <w:sz w:val="22"/>
          <w:szCs w:val="22"/>
          <w:lang w:val="cs-CZ"/>
        </w:rPr>
        <w:t>Děti a dospívající</w:t>
      </w:r>
    </w:p>
    <w:p w14:paraId="5A28B4BF" w14:textId="77777777" w:rsidR="004B0671" w:rsidRPr="00F25A60" w:rsidRDefault="00E92109" w:rsidP="005C56E6">
      <w:pPr>
        <w:pStyle w:val="EndnoteText"/>
        <w:widowControl w:val="0"/>
        <w:tabs>
          <w:tab w:val="clear" w:pos="567"/>
        </w:tabs>
        <w:rPr>
          <w:color w:val="000000"/>
        </w:rPr>
      </w:pPr>
      <w:r w:rsidRPr="00F25A60">
        <w:rPr>
          <w:color w:val="000000"/>
        </w:rPr>
        <w:t xml:space="preserve">Glivec je také léčba pro děti s CML. Nejsou žádné zkušenosti s podáváním u dětí s CML mladších než 2 roky. Zkušenosti s podáváním u dětí s Ph-pozitivní </w:t>
      </w:r>
      <w:smartTag w:uri="urn:schemas-microsoft-com:office:smarttags" w:element="stockticker">
        <w:r w:rsidRPr="00F25A60">
          <w:rPr>
            <w:color w:val="000000"/>
          </w:rPr>
          <w:t>ALL</w:t>
        </w:r>
      </w:smartTag>
      <w:r w:rsidRPr="00F25A60">
        <w:rPr>
          <w:color w:val="000000"/>
        </w:rPr>
        <w:t xml:space="preserve"> jsou omezené</w:t>
      </w:r>
      <w:r w:rsidR="004B0671" w:rsidRPr="00F25A60">
        <w:rPr>
          <w:color w:val="000000"/>
        </w:rPr>
        <w:t xml:space="preserve"> a u dětí s MDS/MPD, DFSP, GIST a HES/CEL jsou velmi omezené.</w:t>
      </w:r>
    </w:p>
    <w:p w14:paraId="66AADA14" w14:textId="77777777" w:rsidR="004B0671" w:rsidRPr="00F25A60" w:rsidRDefault="004B0671" w:rsidP="005C56E6">
      <w:pPr>
        <w:pStyle w:val="EndnoteText"/>
        <w:widowControl w:val="0"/>
        <w:tabs>
          <w:tab w:val="clear" w:pos="567"/>
        </w:tabs>
        <w:rPr>
          <w:color w:val="000000"/>
        </w:rPr>
      </w:pPr>
    </w:p>
    <w:p w14:paraId="437D112D" w14:textId="77777777" w:rsidR="00E92109" w:rsidRPr="00F25A60" w:rsidRDefault="00E92109" w:rsidP="005C56E6">
      <w:pPr>
        <w:pStyle w:val="EndnoteText"/>
        <w:widowControl w:val="0"/>
        <w:tabs>
          <w:tab w:val="clear" w:pos="567"/>
        </w:tabs>
        <w:rPr>
          <w:color w:val="000000"/>
        </w:rPr>
      </w:pPr>
      <w:r w:rsidRPr="00F25A60">
        <w:rPr>
          <w:color w:val="000000"/>
        </w:rPr>
        <w:t>U některých dětí a dospívajících, kteří užívají Glivec, se může projevit pomalejší tělesný růst, než je běžné. Lékař bude sledovat růst při pravidelných návštěvách.</w:t>
      </w:r>
    </w:p>
    <w:p w14:paraId="3008B202" w14:textId="77777777" w:rsidR="00E92109" w:rsidRPr="00F25A60" w:rsidRDefault="00E92109" w:rsidP="005C56E6">
      <w:pPr>
        <w:pStyle w:val="EndnoteText"/>
        <w:widowControl w:val="0"/>
        <w:tabs>
          <w:tab w:val="clear" w:pos="567"/>
        </w:tabs>
        <w:rPr>
          <w:color w:val="000000"/>
        </w:rPr>
      </w:pPr>
    </w:p>
    <w:p w14:paraId="58A1B537" w14:textId="77777777" w:rsidR="00E92109" w:rsidRPr="00F25A60" w:rsidRDefault="00E92109" w:rsidP="005C56E6">
      <w:pPr>
        <w:pStyle w:val="EndnoteText"/>
        <w:keepNext/>
        <w:widowControl w:val="0"/>
        <w:tabs>
          <w:tab w:val="clear" w:pos="567"/>
        </w:tabs>
        <w:rPr>
          <w:b/>
          <w:bCs/>
          <w:color w:val="000000"/>
        </w:rPr>
      </w:pPr>
      <w:r w:rsidRPr="00F25A60">
        <w:rPr>
          <w:b/>
          <w:bCs/>
          <w:color w:val="000000"/>
        </w:rPr>
        <w:t>Další léčivé přípravky a Glivec</w:t>
      </w:r>
    </w:p>
    <w:p w14:paraId="4EB1EB8D" w14:textId="77777777" w:rsidR="00A72E60" w:rsidRPr="00F25A60" w:rsidRDefault="00E92109" w:rsidP="005C56E6">
      <w:pPr>
        <w:widowControl w:val="0"/>
        <w:tabs>
          <w:tab w:val="clear" w:pos="567"/>
        </w:tabs>
        <w:spacing w:line="240" w:lineRule="auto"/>
        <w:ind w:right="-2"/>
        <w:rPr>
          <w:color w:val="000000"/>
        </w:rPr>
      </w:pPr>
      <w:r w:rsidRPr="00F25A60">
        <w:rPr>
          <w:color w:val="000000"/>
        </w:rPr>
        <w:t xml:space="preserve">Informujte svého lékaře nebo lékárníka o všech lécích, které užíváte, které jste v nedávné době užíval(a) nebo které možná budete užívat, a to i o lécích, které jsou dostupné bez lékařského předpisu (jako je paracetamol), včetně </w:t>
      </w:r>
      <w:r w:rsidR="002B49C5" w:rsidRPr="00F25A60">
        <w:rPr>
          <w:color w:val="000000"/>
        </w:rPr>
        <w:t>rostlinných přípravků</w:t>
      </w:r>
      <w:r w:rsidRPr="00F25A60">
        <w:rPr>
          <w:color w:val="000000"/>
        </w:rPr>
        <w:t xml:space="preserve"> (jako je třezalka tečkovaná). Některé léky, pokud jsou užívány společně s Glivecem, mohou účinek Glivecu ovlivňovat. Mohou zvýšit nebo naopak snížit účinnost Glivecu, což vede buď ke zvýšení jeho nežádoucích účinků</w:t>
      </w:r>
      <w:r w:rsidR="0071222E" w:rsidRPr="00F25A60">
        <w:rPr>
          <w:color w:val="000000"/>
        </w:rPr>
        <w:t>,</w:t>
      </w:r>
      <w:r w:rsidRPr="00F25A60">
        <w:rPr>
          <w:color w:val="000000"/>
        </w:rPr>
        <w:t xml:space="preserve"> nebo ke snížení jeho účinnosti. Stejně tak může Glivec ovlivňovat i některé jiné léky.</w:t>
      </w:r>
    </w:p>
    <w:p w14:paraId="1AA661A2" w14:textId="77777777" w:rsidR="005C33E1" w:rsidRPr="00F25A60" w:rsidRDefault="005C33E1" w:rsidP="005C56E6">
      <w:pPr>
        <w:widowControl w:val="0"/>
        <w:numPr>
          <w:ilvl w:val="12"/>
          <w:numId w:val="0"/>
        </w:numPr>
        <w:tabs>
          <w:tab w:val="clear" w:pos="567"/>
        </w:tabs>
        <w:spacing w:line="240" w:lineRule="auto"/>
        <w:ind w:right="-2"/>
        <w:rPr>
          <w:color w:val="000000"/>
        </w:rPr>
      </w:pPr>
    </w:p>
    <w:p w14:paraId="7BFC3C6B" w14:textId="77777777" w:rsidR="005C33E1" w:rsidRPr="00F25A60" w:rsidRDefault="005C33E1" w:rsidP="005C56E6">
      <w:pPr>
        <w:widowControl w:val="0"/>
        <w:numPr>
          <w:ilvl w:val="12"/>
          <w:numId w:val="0"/>
        </w:numPr>
        <w:tabs>
          <w:tab w:val="clear" w:pos="567"/>
        </w:tabs>
        <w:spacing w:line="240" w:lineRule="auto"/>
        <w:ind w:right="-2"/>
        <w:rPr>
          <w:color w:val="000000"/>
        </w:rPr>
      </w:pPr>
      <w:r w:rsidRPr="00F25A60">
        <w:rPr>
          <w:color w:val="000000"/>
        </w:rPr>
        <w:t>Informujte svého lékaře, pokud užíváte léky zamezující tvorbě krevních sraženin.</w:t>
      </w:r>
    </w:p>
    <w:p w14:paraId="16A6DA65" w14:textId="77777777" w:rsidR="00E92109" w:rsidRPr="00F25A60" w:rsidRDefault="00E92109" w:rsidP="005C56E6">
      <w:pPr>
        <w:pStyle w:val="EndnoteText"/>
        <w:widowControl w:val="0"/>
        <w:tabs>
          <w:tab w:val="clear" w:pos="567"/>
        </w:tabs>
        <w:rPr>
          <w:color w:val="000000"/>
        </w:rPr>
      </w:pPr>
    </w:p>
    <w:p w14:paraId="1A15228B" w14:textId="77777777" w:rsidR="00E92109" w:rsidRPr="00F25A60" w:rsidRDefault="00E92109" w:rsidP="005C56E6">
      <w:pPr>
        <w:pStyle w:val="EndnoteText"/>
        <w:keepNext/>
        <w:widowControl w:val="0"/>
        <w:tabs>
          <w:tab w:val="clear" w:pos="567"/>
        </w:tabs>
        <w:rPr>
          <w:bCs/>
          <w:color w:val="000000"/>
        </w:rPr>
      </w:pPr>
      <w:r w:rsidRPr="00F25A60">
        <w:rPr>
          <w:b/>
          <w:bCs/>
          <w:color w:val="000000"/>
        </w:rPr>
        <w:t xml:space="preserve">Těhotenství, kojení a </w:t>
      </w:r>
      <w:r w:rsidR="002B49C5" w:rsidRPr="00F25A60">
        <w:rPr>
          <w:b/>
          <w:bCs/>
          <w:color w:val="000000"/>
        </w:rPr>
        <w:t>plodnost</w:t>
      </w:r>
    </w:p>
    <w:p w14:paraId="37DAFDC5" w14:textId="77777777" w:rsidR="00E92109" w:rsidRPr="00F25A60" w:rsidRDefault="00E92109" w:rsidP="005C56E6">
      <w:pPr>
        <w:widowControl w:val="0"/>
        <w:numPr>
          <w:ilvl w:val="0"/>
          <w:numId w:val="13"/>
        </w:numPr>
        <w:tabs>
          <w:tab w:val="clear" w:pos="0"/>
          <w:tab w:val="clear" w:pos="567"/>
        </w:tabs>
        <w:spacing w:line="240" w:lineRule="auto"/>
        <w:ind w:left="567" w:hanging="567"/>
        <w:rPr>
          <w:color w:val="000000"/>
        </w:rPr>
      </w:pPr>
      <w:r w:rsidRPr="00F25A60">
        <w:rPr>
          <w:bCs/>
          <w:color w:val="000000"/>
        </w:rPr>
        <w:t>Pokud jste těhotná nebo kojíte, domníváte se, že můžete být těhotná, nebo plánujete otěhotnět, poraďte se se svým lékařem dříve, než začnete tento přípravek užívat.</w:t>
      </w:r>
    </w:p>
    <w:p w14:paraId="67464F26" w14:textId="77777777" w:rsidR="00E92109" w:rsidRPr="00F25A60" w:rsidRDefault="00E92109" w:rsidP="005C56E6">
      <w:pPr>
        <w:widowControl w:val="0"/>
        <w:numPr>
          <w:ilvl w:val="0"/>
          <w:numId w:val="13"/>
        </w:numPr>
        <w:tabs>
          <w:tab w:val="clear" w:pos="0"/>
          <w:tab w:val="clear" w:pos="567"/>
        </w:tabs>
        <w:spacing w:line="240" w:lineRule="auto"/>
        <w:ind w:left="567" w:hanging="567"/>
        <w:rPr>
          <w:color w:val="000000"/>
        </w:rPr>
      </w:pPr>
      <w:r w:rsidRPr="00F25A60">
        <w:rPr>
          <w:color w:val="000000"/>
        </w:rPr>
        <w:t xml:space="preserve">Užívání Glivecu během těhotenství se nedoporučuje, pokud to není nezbytně nutné, protože může poškodit Vaše dítě. </w:t>
      </w:r>
      <w:r w:rsidR="002B49C5" w:rsidRPr="00F25A60">
        <w:rPr>
          <w:color w:val="000000"/>
        </w:rPr>
        <w:t>L</w:t>
      </w:r>
      <w:r w:rsidRPr="00F25A60">
        <w:rPr>
          <w:color w:val="000000"/>
        </w:rPr>
        <w:t>ékař Vám vysvětlí možná rizika užívání Glivecu během těhotenství.</w:t>
      </w:r>
    </w:p>
    <w:p w14:paraId="0F5743D1" w14:textId="46B12206" w:rsidR="00E92109" w:rsidRPr="00F25A60" w:rsidRDefault="00E92109" w:rsidP="005C56E6">
      <w:pPr>
        <w:widowControl w:val="0"/>
        <w:numPr>
          <w:ilvl w:val="0"/>
          <w:numId w:val="13"/>
        </w:numPr>
        <w:tabs>
          <w:tab w:val="clear" w:pos="0"/>
          <w:tab w:val="clear" w:pos="567"/>
        </w:tabs>
        <w:spacing w:line="240" w:lineRule="auto"/>
        <w:ind w:left="567" w:hanging="567"/>
        <w:rPr>
          <w:color w:val="000000"/>
        </w:rPr>
      </w:pPr>
      <w:r w:rsidRPr="00F25A60">
        <w:rPr>
          <w:color w:val="000000"/>
        </w:rPr>
        <w:t xml:space="preserve">Ženám, které by mohly otěhotnět, se doporučuje během léčby </w:t>
      </w:r>
      <w:r w:rsidR="00AF1990" w:rsidRPr="00F25A60">
        <w:rPr>
          <w:color w:val="000000"/>
        </w:rPr>
        <w:t>a po dobu 15</w:t>
      </w:r>
      <w:r w:rsidR="00577E6F" w:rsidRPr="00F25A60">
        <w:rPr>
          <w:color w:val="000000"/>
        </w:rPr>
        <w:t> </w:t>
      </w:r>
      <w:r w:rsidR="00AF1990" w:rsidRPr="00F25A60">
        <w:rPr>
          <w:color w:val="000000"/>
        </w:rPr>
        <w:t xml:space="preserve">dnů po ukončení léčby </w:t>
      </w:r>
      <w:r w:rsidRPr="00F25A60">
        <w:rPr>
          <w:color w:val="000000"/>
        </w:rPr>
        <w:t>účinná antikoncepce.</w:t>
      </w:r>
    </w:p>
    <w:p w14:paraId="21D168B1" w14:textId="2C5CF073" w:rsidR="00E92109" w:rsidRPr="00F25A60" w:rsidRDefault="00E92109" w:rsidP="005C56E6">
      <w:pPr>
        <w:widowControl w:val="0"/>
        <w:numPr>
          <w:ilvl w:val="0"/>
          <w:numId w:val="13"/>
        </w:numPr>
        <w:tabs>
          <w:tab w:val="clear" w:pos="0"/>
          <w:tab w:val="clear" w:pos="567"/>
        </w:tabs>
        <w:spacing w:line="240" w:lineRule="auto"/>
        <w:ind w:left="567" w:hanging="567"/>
        <w:rPr>
          <w:color w:val="000000"/>
        </w:rPr>
      </w:pPr>
      <w:r w:rsidRPr="00F25A60">
        <w:rPr>
          <w:color w:val="000000"/>
        </w:rPr>
        <w:t xml:space="preserve">Během léčby </w:t>
      </w:r>
      <w:r w:rsidR="00AF1990" w:rsidRPr="00F25A60">
        <w:rPr>
          <w:color w:val="000000"/>
        </w:rPr>
        <w:t>a po dobu 15</w:t>
      </w:r>
      <w:r w:rsidR="00577E6F" w:rsidRPr="00F25A60">
        <w:rPr>
          <w:color w:val="000000"/>
        </w:rPr>
        <w:t> </w:t>
      </w:r>
      <w:r w:rsidR="00AF1990" w:rsidRPr="00F25A60">
        <w:rPr>
          <w:color w:val="000000"/>
        </w:rPr>
        <w:t xml:space="preserve">dnů po ukončení léčby přípravkem </w:t>
      </w:r>
      <w:r w:rsidRPr="00F25A60">
        <w:rPr>
          <w:color w:val="000000"/>
        </w:rPr>
        <w:t>Glivec nekojte</w:t>
      </w:r>
      <w:r w:rsidR="00AF1990" w:rsidRPr="00F25A60">
        <w:rPr>
          <w:color w:val="000000"/>
        </w:rPr>
        <w:t>, protože to může poškodit Vaše dítě</w:t>
      </w:r>
      <w:r w:rsidRPr="00F25A60">
        <w:rPr>
          <w:color w:val="000000"/>
        </w:rPr>
        <w:t>.</w:t>
      </w:r>
    </w:p>
    <w:p w14:paraId="79AA17E1" w14:textId="77777777" w:rsidR="00E92109" w:rsidRPr="00F25A60" w:rsidRDefault="00E92109" w:rsidP="005C56E6">
      <w:pPr>
        <w:widowControl w:val="0"/>
        <w:numPr>
          <w:ilvl w:val="0"/>
          <w:numId w:val="13"/>
        </w:numPr>
        <w:tabs>
          <w:tab w:val="clear" w:pos="0"/>
          <w:tab w:val="clear" w:pos="567"/>
        </w:tabs>
        <w:spacing w:line="240" w:lineRule="auto"/>
        <w:ind w:left="567" w:hanging="567"/>
        <w:rPr>
          <w:color w:val="000000"/>
        </w:rPr>
      </w:pPr>
      <w:r w:rsidRPr="00F25A60">
        <w:rPr>
          <w:color w:val="000000"/>
        </w:rPr>
        <w:t xml:space="preserve">Pacienti, kteří se obávají o svou </w:t>
      </w:r>
      <w:r w:rsidR="002B49C5" w:rsidRPr="00F25A60">
        <w:rPr>
          <w:color w:val="000000"/>
        </w:rPr>
        <w:t xml:space="preserve">plodnost </w:t>
      </w:r>
      <w:r w:rsidRPr="00F25A60">
        <w:rPr>
          <w:color w:val="000000"/>
        </w:rPr>
        <w:t>během užívání Glivecu, by se měli poradit se svým lékařem.</w:t>
      </w:r>
    </w:p>
    <w:p w14:paraId="0D62FAD1" w14:textId="77777777" w:rsidR="00E92109" w:rsidRPr="00F25A60" w:rsidRDefault="00E92109" w:rsidP="005C56E6">
      <w:pPr>
        <w:widowControl w:val="0"/>
        <w:tabs>
          <w:tab w:val="clear" w:pos="567"/>
        </w:tabs>
        <w:spacing w:line="240" w:lineRule="auto"/>
        <w:rPr>
          <w:color w:val="000000"/>
        </w:rPr>
      </w:pPr>
    </w:p>
    <w:p w14:paraId="293CE2F1" w14:textId="77777777" w:rsidR="00E92109" w:rsidRPr="00F25A60" w:rsidRDefault="00E92109" w:rsidP="005C56E6">
      <w:pPr>
        <w:keepNext/>
        <w:widowControl w:val="0"/>
        <w:tabs>
          <w:tab w:val="clear" w:pos="567"/>
        </w:tabs>
        <w:spacing w:line="240" w:lineRule="auto"/>
        <w:ind w:right="-2"/>
        <w:rPr>
          <w:b/>
          <w:bCs/>
          <w:color w:val="000000"/>
        </w:rPr>
      </w:pPr>
      <w:r w:rsidRPr="00F25A60">
        <w:rPr>
          <w:b/>
          <w:bCs/>
          <w:color w:val="000000"/>
        </w:rPr>
        <w:t>Řízení dopravních prostředků a obsluha strojů</w:t>
      </w:r>
    </w:p>
    <w:p w14:paraId="1FDB082D" w14:textId="77777777" w:rsidR="00E92109" w:rsidRPr="00F25A60" w:rsidRDefault="00E92109" w:rsidP="005C56E6">
      <w:pPr>
        <w:widowControl w:val="0"/>
        <w:tabs>
          <w:tab w:val="clear" w:pos="567"/>
        </w:tabs>
        <w:spacing w:line="240" w:lineRule="auto"/>
        <w:ind w:right="-29"/>
        <w:rPr>
          <w:color w:val="000000"/>
        </w:rPr>
      </w:pPr>
      <w:r w:rsidRPr="00F25A60">
        <w:rPr>
          <w:color w:val="000000"/>
        </w:rPr>
        <w:t xml:space="preserve">Při užívání tohoto léku můžete pociťovat závrať nebo ospalost nebo </w:t>
      </w:r>
      <w:r w:rsidR="002B49C5" w:rsidRPr="00F25A60">
        <w:rPr>
          <w:color w:val="000000"/>
        </w:rPr>
        <w:t>se objeví rozmazané vidění</w:t>
      </w:r>
      <w:r w:rsidRPr="00F25A60">
        <w:rPr>
          <w:color w:val="000000"/>
        </w:rPr>
        <w:t>, Pokud se to stane, neřiďte nebo neobsluhujte žádné přístroje nebo stroje, dokud se nebudete opět cítit dobře.</w:t>
      </w:r>
    </w:p>
    <w:p w14:paraId="30D56AE9" w14:textId="77777777" w:rsidR="00E92109" w:rsidRPr="00F25A60" w:rsidRDefault="00E92109" w:rsidP="005C56E6">
      <w:pPr>
        <w:pStyle w:val="EndnoteText"/>
        <w:widowControl w:val="0"/>
        <w:tabs>
          <w:tab w:val="clear" w:pos="567"/>
        </w:tabs>
        <w:rPr>
          <w:color w:val="000000"/>
        </w:rPr>
      </w:pPr>
    </w:p>
    <w:p w14:paraId="067327D7" w14:textId="77777777" w:rsidR="00E92109" w:rsidRPr="00F25A60" w:rsidRDefault="00E92109" w:rsidP="005C56E6">
      <w:pPr>
        <w:pStyle w:val="EndnoteText"/>
        <w:widowControl w:val="0"/>
        <w:tabs>
          <w:tab w:val="clear" w:pos="567"/>
        </w:tabs>
        <w:rPr>
          <w:color w:val="000000"/>
        </w:rPr>
      </w:pPr>
    </w:p>
    <w:p w14:paraId="0ACC299E" w14:textId="77777777" w:rsidR="00E61A01" w:rsidRPr="00F25A60" w:rsidRDefault="00E61A01" w:rsidP="005C56E6">
      <w:pPr>
        <w:keepNext/>
        <w:widowControl w:val="0"/>
        <w:tabs>
          <w:tab w:val="clear" w:pos="567"/>
        </w:tabs>
        <w:spacing w:line="240" w:lineRule="auto"/>
        <w:ind w:left="567" w:right="-2" w:hanging="567"/>
        <w:rPr>
          <w:b/>
          <w:bCs/>
          <w:color w:val="000000"/>
        </w:rPr>
      </w:pPr>
      <w:r w:rsidRPr="00F25A60">
        <w:rPr>
          <w:b/>
          <w:bCs/>
          <w:color w:val="000000"/>
        </w:rPr>
        <w:t>3.</w:t>
      </w:r>
      <w:r w:rsidRPr="00F25A60">
        <w:rPr>
          <w:b/>
          <w:bCs/>
          <w:color w:val="000000"/>
        </w:rPr>
        <w:tab/>
        <w:t>J</w:t>
      </w:r>
      <w:r w:rsidR="0064015F" w:rsidRPr="00F25A60">
        <w:rPr>
          <w:b/>
          <w:bCs/>
          <w:color w:val="000000"/>
        </w:rPr>
        <w:t>ak se Glivec užívá</w:t>
      </w:r>
    </w:p>
    <w:p w14:paraId="556542F3" w14:textId="77777777" w:rsidR="00E61A01" w:rsidRPr="00F25A60" w:rsidRDefault="00E61A01" w:rsidP="005C56E6">
      <w:pPr>
        <w:pStyle w:val="EndnoteText"/>
        <w:keepNext/>
        <w:widowControl w:val="0"/>
        <w:tabs>
          <w:tab w:val="clear" w:pos="567"/>
        </w:tabs>
        <w:rPr>
          <w:color w:val="000000"/>
        </w:rPr>
      </w:pPr>
    </w:p>
    <w:p w14:paraId="28C65918" w14:textId="77777777" w:rsidR="00E61A01" w:rsidRPr="00F25A60" w:rsidRDefault="00E61A01" w:rsidP="005C56E6">
      <w:pPr>
        <w:pStyle w:val="Text"/>
        <w:widowControl w:val="0"/>
        <w:spacing w:before="0"/>
        <w:jc w:val="left"/>
        <w:rPr>
          <w:color w:val="000000"/>
          <w:sz w:val="22"/>
          <w:szCs w:val="22"/>
          <w:lang w:val="cs-CZ"/>
        </w:rPr>
      </w:pPr>
      <w:r w:rsidRPr="00F25A60">
        <w:rPr>
          <w:color w:val="000000"/>
          <w:sz w:val="22"/>
          <w:szCs w:val="22"/>
          <w:lang w:val="cs-CZ"/>
        </w:rPr>
        <w:t>Váš lékař Vám předepsal Glivec, protože máte závažné onemocnění. Glivec Vám může pomoci v</w:t>
      </w:r>
      <w:r w:rsidR="00B56C43" w:rsidRPr="00F25A60">
        <w:rPr>
          <w:color w:val="000000"/>
          <w:sz w:val="22"/>
          <w:szCs w:val="22"/>
          <w:lang w:val="cs-CZ"/>
        </w:rPr>
        <w:t> </w:t>
      </w:r>
      <w:r w:rsidRPr="00F25A60">
        <w:rPr>
          <w:color w:val="000000"/>
          <w:sz w:val="22"/>
          <w:szCs w:val="22"/>
          <w:lang w:val="cs-CZ"/>
        </w:rPr>
        <w:t>boji</w:t>
      </w:r>
      <w:r w:rsidR="00B56C43" w:rsidRPr="00F25A60">
        <w:rPr>
          <w:color w:val="000000"/>
          <w:sz w:val="22"/>
          <w:szCs w:val="22"/>
          <w:lang w:val="cs-CZ"/>
        </w:rPr>
        <w:t xml:space="preserve"> s tímto onemocněním</w:t>
      </w:r>
      <w:r w:rsidRPr="00F25A60">
        <w:rPr>
          <w:color w:val="000000"/>
          <w:sz w:val="22"/>
          <w:szCs w:val="22"/>
          <w:lang w:val="cs-CZ"/>
        </w:rPr>
        <w:t>.</w:t>
      </w:r>
    </w:p>
    <w:p w14:paraId="5C54A803" w14:textId="77777777" w:rsidR="00E61A01" w:rsidRPr="00F25A60" w:rsidRDefault="00E61A01" w:rsidP="005C56E6">
      <w:pPr>
        <w:pStyle w:val="Text"/>
        <w:widowControl w:val="0"/>
        <w:spacing w:before="0"/>
        <w:jc w:val="left"/>
        <w:rPr>
          <w:color w:val="000000"/>
          <w:sz w:val="22"/>
          <w:szCs w:val="22"/>
          <w:lang w:val="cs-CZ"/>
        </w:rPr>
      </w:pPr>
    </w:p>
    <w:p w14:paraId="36BE6111" w14:textId="77777777" w:rsidR="00E61A01" w:rsidRPr="00F25A60" w:rsidRDefault="00E61A01" w:rsidP="005C56E6">
      <w:pPr>
        <w:pStyle w:val="Text"/>
        <w:widowControl w:val="0"/>
        <w:spacing w:before="0"/>
        <w:jc w:val="left"/>
        <w:rPr>
          <w:color w:val="000000"/>
          <w:sz w:val="22"/>
          <w:szCs w:val="22"/>
          <w:lang w:val="cs-CZ"/>
        </w:rPr>
      </w:pPr>
      <w:r w:rsidRPr="00F25A60">
        <w:rPr>
          <w:color w:val="000000"/>
          <w:sz w:val="22"/>
          <w:szCs w:val="22"/>
          <w:lang w:val="cs-CZ"/>
        </w:rPr>
        <w:t xml:space="preserve">Vždy užívejte </w:t>
      </w:r>
      <w:r w:rsidR="0064015F" w:rsidRPr="00F25A60">
        <w:rPr>
          <w:color w:val="000000"/>
          <w:sz w:val="22"/>
          <w:szCs w:val="22"/>
          <w:lang w:val="cs-CZ"/>
        </w:rPr>
        <w:t>tento přípravek</w:t>
      </w:r>
      <w:r w:rsidRPr="00F25A60">
        <w:rPr>
          <w:color w:val="000000"/>
          <w:sz w:val="22"/>
          <w:szCs w:val="22"/>
          <w:lang w:val="cs-CZ"/>
        </w:rPr>
        <w:t xml:space="preserve"> přesně podle pokynů svého lékaře</w:t>
      </w:r>
      <w:r w:rsidR="0064015F" w:rsidRPr="00F25A60">
        <w:rPr>
          <w:color w:val="000000"/>
          <w:sz w:val="22"/>
          <w:szCs w:val="22"/>
          <w:lang w:val="cs-CZ"/>
        </w:rPr>
        <w:t xml:space="preserve"> nebo lékárníka</w:t>
      </w:r>
      <w:r w:rsidRPr="00F25A60">
        <w:rPr>
          <w:color w:val="000000"/>
          <w:sz w:val="22"/>
          <w:szCs w:val="22"/>
          <w:lang w:val="cs-CZ"/>
        </w:rPr>
        <w:t xml:space="preserve">. Je důležité pokračovat v léčbě tak dlouho, jak Vám </w:t>
      </w:r>
      <w:r w:rsidR="00B56C43" w:rsidRPr="00F25A60">
        <w:rPr>
          <w:color w:val="000000"/>
          <w:sz w:val="22"/>
          <w:szCs w:val="22"/>
          <w:lang w:val="cs-CZ"/>
        </w:rPr>
        <w:t xml:space="preserve">řekl </w:t>
      </w:r>
      <w:r w:rsidRPr="00F25A60">
        <w:rPr>
          <w:color w:val="000000"/>
          <w:sz w:val="22"/>
          <w:szCs w:val="22"/>
          <w:lang w:val="cs-CZ"/>
        </w:rPr>
        <w:t xml:space="preserve">lékař </w:t>
      </w:r>
      <w:r w:rsidR="0064015F" w:rsidRPr="00F25A60">
        <w:rPr>
          <w:color w:val="000000"/>
          <w:sz w:val="22"/>
          <w:szCs w:val="22"/>
          <w:lang w:val="cs-CZ"/>
        </w:rPr>
        <w:t>nebo lékárník</w:t>
      </w:r>
      <w:r w:rsidRPr="00F25A60">
        <w:rPr>
          <w:color w:val="000000"/>
          <w:sz w:val="22"/>
          <w:szCs w:val="22"/>
          <w:lang w:val="cs-CZ"/>
        </w:rPr>
        <w:t>. Pokud si nejste jistý(á), poraďte se se svým lékařem nebo lékárníkem.</w:t>
      </w:r>
    </w:p>
    <w:p w14:paraId="409EAB2F" w14:textId="77777777" w:rsidR="00E61A01" w:rsidRPr="00F25A60" w:rsidRDefault="00E61A01" w:rsidP="005C56E6">
      <w:pPr>
        <w:pStyle w:val="Text"/>
        <w:widowControl w:val="0"/>
        <w:spacing w:before="0"/>
        <w:jc w:val="left"/>
        <w:rPr>
          <w:color w:val="000000"/>
          <w:sz w:val="22"/>
          <w:szCs w:val="22"/>
          <w:lang w:val="cs-CZ"/>
        </w:rPr>
      </w:pPr>
    </w:p>
    <w:p w14:paraId="2219F408" w14:textId="77777777" w:rsidR="00E61A01" w:rsidRPr="00F25A60" w:rsidRDefault="00E61A01" w:rsidP="005C56E6">
      <w:pPr>
        <w:pStyle w:val="Text"/>
        <w:widowControl w:val="0"/>
        <w:spacing w:before="0"/>
        <w:jc w:val="left"/>
        <w:rPr>
          <w:color w:val="000000"/>
          <w:sz w:val="22"/>
          <w:szCs w:val="22"/>
          <w:lang w:val="cs-CZ"/>
        </w:rPr>
      </w:pPr>
      <w:r w:rsidRPr="00F25A60">
        <w:rPr>
          <w:color w:val="000000"/>
          <w:sz w:val="22"/>
          <w:szCs w:val="22"/>
          <w:lang w:val="cs-CZ"/>
        </w:rPr>
        <w:t xml:space="preserve">Nepřerušujte užívání Glivecu, dokud Vám to Váš lékař neřekne. Pokud nemůžete užívat lék podle pokynů </w:t>
      </w:r>
      <w:r w:rsidR="00B56C43" w:rsidRPr="00F25A60">
        <w:rPr>
          <w:color w:val="000000"/>
          <w:sz w:val="22"/>
          <w:szCs w:val="22"/>
          <w:lang w:val="cs-CZ"/>
        </w:rPr>
        <w:t>svého</w:t>
      </w:r>
      <w:r w:rsidRPr="00F25A60">
        <w:rPr>
          <w:color w:val="000000"/>
          <w:sz w:val="22"/>
          <w:szCs w:val="22"/>
          <w:lang w:val="cs-CZ"/>
        </w:rPr>
        <w:t xml:space="preserve"> lékaře nebo si myslíte, že ho již nepotřebujete, kontaktujte okamžitě svého lékaře.</w:t>
      </w:r>
    </w:p>
    <w:p w14:paraId="58B39518" w14:textId="77777777" w:rsidR="00E61A01" w:rsidRPr="00F25A60" w:rsidRDefault="00E61A01" w:rsidP="005C56E6">
      <w:pPr>
        <w:pStyle w:val="Text"/>
        <w:widowControl w:val="0"/>
        <w:spacing w:before="0"/>
        <w:jc w:val="left"/>
        <w:rPr>
          <w:color w:val="000000"/>
          <w:sz w:val="22"/>
          <w:szCs w:val="22"/>
          <w:lang w:val="cs-CZ"/>
        </w:rPr>
      </w:pPr>
    </w:p>
    <w:p w14:paraId="7C6BB0C7" w14:textId="77777777" w:rsidR="00E61A01" w:rsidRPr="005C56E6" w:rsidRDefault="00E61A01" w:rsidP="005C56E6">
      <w:pPr>
        <w:keepNext/>
        <w:spacing w:line="240" w:lineRule="auto"/>
        <w:rPr>
          <w:b/>
          <w:bCs/>
          <w:i/>
        </w:rPr>
      </w:pPr>
      <w:r w:rsidRPr="005C56E6">
        <w:rPr>
          <w:b/>
          <w:bCs/>
        </w:rPr>
        <w:t>Kolik Glivecu máte užívat</w:t>
      </w:r>
    </w:p>
    <w:p w14:paraId="4A69B42F" w14:textId="77777777" w:rsidR="00E61A01" w:rsidRPr="00F25A60" w:rsidRDefault="00E61A01" w:rsidP="005C56E6">
      <w:pPr>
        <w:pStyle w:val="Text"/>
        <w:keepNext/>
        <w:widowControl w:val="0"/>
        <w:spacing w:before="0"/>
        <w:jc w:val="left"/>
        <w:rPr>
          <w:bCs/>
          <w:color w:val="000000"/>
          <w:sz w:val="22"/>
          <w:szCs w:val="22"/>
          <w:lang w:val="cs-CZ"/>
        </w:rPr>
      </w:pPr>
    </w:p>
    <w:p w14:paraId="54324C82" w14:textId="77777777" w:rsidR="00E61A01" w:rsidRPr="00F25A60" w:rsidRDefault="00E61A01" w:rsidP="005C56E6">
      <w:pPr>
        <w:pStyle w:val="Text"/>
        <w:keepNext/>
        <w:widowControl w:val="0"/>
        <w:spacing w:before="0"/>
        <w:jc w:val="left"/>
        <w:rPr>
          <w:b/>
          <w:color w:val="000000"/>
          <w:sz w:val="22"/>
          <w:szCs w:val="22"/>
          <w:lang w:val="cs-CZ"/>
        </w:rPr>
      </w:pPr>
      <w:r w:rsidRPr="00F25A60">
        <w:rPr>
          <w:b/>
          <w:color w:val="000000"/>
          <w:sz w:val="22"/>
          <w:szCs w:val="22"/>
          <w:lang w:val="cs-CZ"/>
        </w:rPr>
        <w:t>Použití u dospělých</w:t>
      </w:r>
    </w:p>
    <w:p w14:paraId="28AE0479" w14:textId="77777777" w:rsidR="00E61A01" w:rsidRPr="00F25A60" w:rsidRDefault="00B56C43" w:rsidP="005C56E6">
      <w:pPr>
        <w:pStyle w:val="Text"/>
        <w:widowControl w:val="0"/>
        <w:spacing w:before="0"/>
        <w:jc w:val="left"/>
        <w:rPr>
          <w:color w:val="000000"/>
          <w:sz w:val="22"/>
          <w:szCs w:val="22"/>
          <w:lang w:val="cs-CZ"/>
        </w:rPr>
      </w:pPr>
      <w:r w:rsidRPr="00F25A60">
        <w:rPr>
          <w:color w:val="000000"/>
          <w:sz w:val="22"/>
          <w:szCs w:val="22"/>
          <w:lang w:val="cs-CZ"/>
        </w:rPr>
        <w:t>L</w:t>
      </w:r>
      <w:r w:rsidR="00E61A01" w:rsidRPr="00F25A60">
        <w:rPr>
          <w:color w:val="000000"/>
          <w:sz w:val="22"/>
          <w:szCs w:val="22"/>
          <w:lang w:val="cs-CZ"/>
        </w:rPr>
        <w:t>ékař Vám přesně sdělí, kolik tablet Glivecu máte užívat.</w:t>
      </w:r>
    </w:p>
    <w:p w14:paraId="36EE695A" w14:textId="77777777" w:rsidR="00E61A01" w:rsidRPr="00F25A60" w:rsidRDefault="00E61A01" w:rsidP="005C56E6">
      <w:pPr>
        <w:pStyle w:val="Text"/>
        <w:widowControl w:val="0"/>
        <w:spacing w:before="0"/>
        <w:jc w:val="left"/>
        <w:rPr>
          <w:color w:val="000000"/>
          <w:sz w:val="22"/>
          <w:szCs w:val="22"/>
          <w:lang w:val="cs-CZ"/>
        </w:rPr>
      </w:pPr>
    </w:p>
    <w:p w14:paraId="734C81E7" w14:textId="77777777" w:rsidR="00E61A01" w:rsidRPr="00F25A60" w:rsidRDefault="00E61A01" w:rsidP="005C56E6">
      <w:pPr>
        <w:pStyle w:val="Text"/>
        <w:keepNext/>
        <w:widowControl w:val="0"/>
        <w:spacing w:before="0"/>
        <w:jc w:val="left"/>
        <w:rPr>
          <w:color w:val="000000"/>
          <w:sz w:val="22"/>
          <w:szCs w:val="22"/>
          <w:lang w:val="cs-CZ"/>
        </w:rPr>
      </w:pPr>
      <w:r w:rsidRPr="00F25A60">
        <w:rPr>
          <w:color w:val="000000"/>
          <w:sz w:val="22"/>
          <w:szCs w:val="22"/>
          <w:lang w:val="cs-CZ"/>
        </w:rPr>
        <w:t>-</w:t>
      </w:r>
      <w:r w:rsidRPr="00F25A60">
        <w:rPr>
          <w:color w:val="000000"/>
          <w:sz w:val="22"/>
          <w:szCs w:val="22"/>
          <w:lang w:val="cs-CZ"/>
        </w:rPr>
        <w:tab/>
      </w:r>
      <w:r w:rsidRPr="00F25A60">
        <w:rPr>
          <w:b/>
          <w:color w:val="000000"/>
          <w:sz w:val="22"/>
          <w:szCs w:val="22"/>
          <w:lang w:val="cs-CZ"/>
        </w:rPr>
        <w:t>Jestliže jste léčen(a) pro CML:</w:t>
      </w:r>
    </w:p>
    <w:p w14:paraId="59205D73" w14:textId="39E82F75" w:rsidR="00E61A01" w:rsidRPr="00F25A60" w:rsidRDefault="00E61A01" w:rsidP="005C56E6">
      <w:pPr>
        <w:pStyle w:val="Text"/>
        <w:keepNext/>
        <w:widowControl w:val="0"/>
        <w:spacing w:before="0"/>
        <w:ind w:left="600"/>
        <w:jc w:val="left"/>
        <w:rPr>
          <w:color w:val="000000"/>
          <w:sz w:val="22"/>
          <w:szCs w:val="22"/>
          <w:lang w:val="cs-CZ"/>
        </w:rPr>
      </w:pPr>
      <w:r w:rsidRPr="00F25A60">
        <w:rPr>
          <w:color w:val="000000"/>
          <w:sz w:val="22"/>
          <w:szCs w:val="22"/>
          <w:lang w:val="cs-CZ"/>
        </w:rPr>
        <w:t xml:space="preserve">Podle stavu Vašeho onemocnění je obvyklá počáteční dávka </w:t>
      </w:r>
      <w:r w:rsidRPr="00F25A60">
        <w:rPr>
          <w:b/>
          <w:color w:val="000000"/>
          <w:sz w:val="22"/>
          <w:szCs w:val="22"/>
          <w:lang w:val="cs-CZ"/>
        </w:rPr>
        <w:t>400 mg</w:t>
      </w:r>
      <w:r w:rsidRPr="00F25A60">
        <w:rPr>
          <w:color w:val="000000"/>
          <w:sz w:val="22"/>
          <w:szCs w:val="22"/>
          <w:lang w:val="cs-CZ"/>
        </w:rPr>
        <w:t xml:space="preserve"> nebo </w:t>
      </w:r>
      <w:r w:rsidRPr="00F25A60">
        <w:rPr>
          <w:b/>
          <w:color w:val="000000"/>
          <w:sz w:val="22"/>
          <w:szCs w:val="22"/>
          <w:lang w:val="cs-CZ"/>
        </w:rPr>
        <w:t>600 mg</w:t>
      </w:r>
      <w:r w:rsidR="00897AA8" w:rsidRPr="00F25A60">
        <w:rPr>
          <w:color w:val="000000"/>
          <w:sz w:val="22"/>
          <w:szCs w:val="22"/>
          <w:lang w:val="cs-CZ"/>
        </w:rPr>
        <w:t xml:space="preserve"> užitých </w:t>
      </w:r>
      <w:r w:rsidR="00897AA8" w:rsidRPr="00F25A60">
        <w:rPr>
          <w:b/>
          <w:color w:val="000000"/>
          <w:sz w:val="22"/>
          <w:szCs w:val="22"/>
          <w:lang w:val="cs-CZ"/>
        </w:rPr>
        <w:t>jednou</w:t>
      </w:r>
      <w:r w:rsidR="00897AA8" w:rsidRPr="00F25A60">
        <w:rPr>
          <w:color w:val="000000"/>
          <w:sz w:val="22"/>
          <w:szCs w:val="22"/>
          <w:lang w:val="cs-CZ"/>
        </w:rPr>
        <w:t xml:space="preserve"> denně</w:t>
      </w:r>
      <w:r w:rsidRPr="00F25A60">
        <w:rPr>
          <w:color w:val="000000"/>
          <w:sz w:val="22"/>
          <w:szCs w:val="22"/>
          <w:lang w:val="cs-CZ"/>
        </w:rPr>
        <w:t>.</w:t>
      </w:r>
    </w:p>
    <w:p w14:paraId="36C734CD" w14:textId="77777777" w:rsidR="00E61A01" w:rsidRPr="00F25A60" w:rsidRDefault="00E61A01" w:rsidP="005C56E6">
      <w:pPr>
        <w:pStyle w:val="Text"/>
        <w:widowControl w:val="0"/>
        <w:spacing w:before="0"/>
        <w:jc w:val="left"/>
        <w:rPr>
          <w:color w:val="000000"/>
          <w:sz w:val="22"/>
          <w:szCs w:val="22"/>
          <w:lang w:val="cs-CZ"/>
        </w:rPr>
      </w:pPr>
    </w:p>
    <w:p w14:paraId="13417617" w14:textId="77777777" w:rsidR="00E61A01" w:rsidRPr="00F25A60" w:rsidRDefault="00E61A01" w:rsidP="005C56E6">
      <w:pPr>
        <w:pStyle w:val="Text"/>
        <w:keepNext/>
        <w:widowControl w:val="0"/>
        <w:spacing w:before="0"/>
        <w:jc w:val="left"/>
        <w:rPr>
          <w:color w:val="000000"/>
          <w:sz w:val="22"/>
          <w:szCs w:val="22"/>
          <w:lang w:val="cs-CZ"/>
        </w:rPr>
      </w:pPr>
      <w:r w:rsidRPr="00F25A60">
        <w:rPr>
          <w:b/>
          <w:color w:val="000000"/>
          <w:sz w:val="22"/>
          <w:szCs w:val="22"/>
          <w:lang w:val="cs-CZ"/>
        </w:rPr>
        <w:t>-</w:t>
      </w:r>
      <w:r w:rsidRPr="00F25A60">
        <w:rPr>
          <w:b/>
          <w:color w:val="000000"/>
          <w:sz w:val="22"/>
          <w:szCs w:val="22"/>
          <w:lang w:val="cs-CZ"/>
        </w:rPr>
        <w:tab/>
        <w:t>Jestliže jste léčen(a) pro GIST:</w:t>
      </w:r>
    </w:p>
    <w:p w14:paraId="515C0D1F" w14:textId="63EA8629" w:rsidR="00E61A01" w:rsidRPr="00F25A60" w:rsidRDefault="00E61A01" w:rsidP="005C56E6">
      <w:pPr>
        <w:pStyle w:val="Text"/>
        <w:widowControl w:val="0"/>
        <w:spacing w:before="0"/>
        <w:ind w:firstLine="600"/>
        <w:jc w:val="left"/>
        <w:rPr>
          <w:color w:val="000000"/>
          <w:sz w:val="22"/>
          <w:szCs w:val="22"/>
          <w:lang w:val="cs-CZ"/>
        </w:rPr>
      </w:pPr>
      <w:r w:rsidRPr="00F25A60">
        <w:rPr>
          <w:color w:val="000000"/>
          <w:sz w:val="22"/>
          <w:szCs w:val="22"/>
          <w:lang w:val="cs-CZ"/>
        </w:rPr>
        <w:t xml:space="preserve">Počáteční dávka je 400 mg užitá </w:t>
      </w:r>
      <w:r w:rsidRPr="00F25A60">
        <w:rPr>
          <w:b/>
          <w:color w:val="000000"/>
          <w:sz w:val="22"/>
          <w:szCs w:val="22"/>
          <w:lang w:val="cs-CZ"/>
        </w:rPr>
        <w:t>jednou</w:t>
      </w:r>
      <w:r w:rsidRPr="00F25A60">
        <w:rPr>
          <w:color w:val="000000"/>
          <w:sz w:val="22"/>
          <w:szCs w:val="22"/>
          <w:lang w:val="cs-CZ"/>
        </w:rPr>
        <w:t xml:space="preserve"> denně.</w:t>
      </w:r>
    </w:p>
    <w:p w14:paraId="53704403" w14:textId="77777777" w:rsidR="00E61A01" w:rsidRPr="00F25A60" w:rsidRDefault="00E61A01" w:rsidP="005C56E6">
      <w:pPr>
        <w:pStyle w:val="Text"/>
        <w:widowControl w:val="0"/>
        <w:spacing w:before="0"/>
        <w:jc w:val="left"/>
        <w:rPr>
          <w:color w:val="000000"/>
          <w:sz w:val="22"/>
          <w:szCs w:val="22"/>
          <w:lang w:val="cs-CZ"/>
        </w:rPr>
      </w:pPr>
    </w:p>
    <w:p w14:paraId="14EE1A8F" w14:textId="739748AB" w:rsidR="00E61A01" w:rsidRPr="00F25A60" w:rsidRDefault="00E61A01" w:rsidP="005C56E6">
      <w:pPr>
        <w:pStyle w:val="Text"/>
        <w:widowControl w:val="0"/>
        <w:spacing w:before="0"/>
        <w:jc w:val="left"/>
        <w:rPr>
          <w:color w:val="000000"/>
          <w:sz w:val="22"/>
          <w:szCs w:val="22"/>
          <w:lang w:val="cs-CZ"/>
        </w:rPr>
      </w:pPr>
      <w:r w:rsidRPr="00F25A60">
        <w:rPr>
          <w:color w:val="000000"/>
          <w:sz w:val="22"/>
          <w:szCs w:val="22"/>
          <w:lang w:val="cs-CZ"/>
        </w:rPr>
        <w:t xml:space="preserve">Pro CML a GIST </w:t>
      </w:r>
      <w:r w:rsidR="00FB23CC" w:rsidRPr="00F25A60">
        <w:rPr>
          <w:color w:val="000000"/>
          <w:sz w:val="22"/>
          <w:szCs w:val="22"/>
          <w:lang w:val="cs-CZ"/>
        </w:rPr>
        <w:t xml:space="preserve">Vám </w:t>
      </w:r>
      <w:r w:rsidRPr="00F25A60">
        <w:rPr>
          <w:color w:val="000000"/>
          <w:sz w:val="22"/>
          <w:szCs w:val="22"/>
          <w:lang w:val="cs-CZ"/>
        </w:rPr>
        <w:t xml:space="preserve">může lékař podle odpovědi na léčbu předepsat </w:t>
      </w:r>
      <w:r w:rsidR="00B56C43" w:rsidRPr="00F25A60">
        <w:rPr>
          <w:color w:val="000000"/>
          <w:sz w:val="22"/>
          <w:szCs w:val="22"/>
          <w:lang w:val="cs-CZ"/>
        </w:rPr>
        <w:t>vyšší</w:t>
      </w:r>
      <w:r w:rsidRPr="00F25A60">
        <w:rPr>
          <w:color w:val="000000"/>
          <w:sz w:val="22"/>
          <w:szCs w:val="22"/>
          <w:lang w:val="cs-CZ"/>
        </w:rPr>
        <w:t xml:space="preserve"> nebo </w:t>
      </w:r>
      <w:r w:rsidR="00B56C43" w:rsidRPr="00F25A60">
        <w:rPr>
          <w:color w:val="000000"/>
          <w:sz w:val="22"/>
          <w:szCs w:val="22"/>
          <w:lang w:val="cs-CZ"/>
        </w:rPr>
        <w:t>nižší</w:t>
      </w:r>
      <w:r w:rsidRPr="00F25A60">
        <w:rPr>
          <w:color w:val="000000"/>
          <w:sz w:val="22"/>
          <w:szCs w:val="22"/>
          <w:lang w:val="cs-CZ"/>
        </w:rPr>
        <w:t xml:space="preserve"> dávky. Jestliže je Vaše denní dávka 800 mg, měl(a) byste užívat </w:t>
      </w:r>
      <w:r w:rsidR="00897AA8" w:rsidRPr="00F25A60">
        <w:rPr>
          <w:color w:val="000000"/>
          <w:sz w:val="22"/>
          <w:szCs w:val="22"/>
          <w:lang w:val="cs-CZ"/>
        </w:rPr>
        <w:t>400 mg</w:t>
      </w:r>
      <w:r w:rsidRPr="00F25A60">
        <w:rPr>
          <w:color w:val="000000"/>
          <w:sz w:val="22"/>
          <w:szCs w:val="22"/>
          <w:lang w:val="cs-CZ"/>
        </w:rPr>
        <w:t xml:space="preserve"> ráno a </w:t>
      </w:r>
      <w:r w:rsidR="00B22BC3" w:rsidRPr="00F25A60">
        <w:rPr>
          <w:color w:val="000000"/>
          <w:sz w:val="22"/>
          <w:szCs w:val="22"/>
          <w:lang w:val="cs-CZ"/>
        </w:rPr>
        <w:t>400 mg</w:t>
      </w:r>
      <w:r w:rsidRPr="00F25A60">
        <w:rPr>
          <w:color w:val="000000"/>
          <w:sz w:val="22"/>
          <w:szCs w:val="22"/>
          <w:lang w:val="cs-CZ"/>
        </w:rPr>
        <w:t xml:space="preserve"> večer.</w:t>
      </w:r>
    </w:p>
    <w:p w14:paraId="0D7D8FE8" w14:textId="77777777" w:rsidR="00E61A01" w:rsidRPr="00F25A60" w:rsidRDefault="00E61A01" w:rsidP="005C56E6">
      <w:pPr>
        <w:pStyle w:val="Text"/>
        <w:widowControl w:val="0"/>
        <w:spacing w:before="0"/>
        <w:jc w:val="left"/>
        <w:rPr>
          <w:color w:val="000000"/>
          <w:sz w:val="22"/>
          <w:szCs w:val="22"/>
          <w:lang w:val="cs-CZ"/>
        </w:rPr>
      </w:pPr>
    </w:p>
    <w:p w14:paraId="2506745A" w14:textId="77777777" w:rsidR="00E61A01" w:rsidRPr="00F25A60" w:rsidRDefault="00E61A01" w:rsidP="005C56E6">
      <w:pPr>
        <w:pStyle w:val="Text"/>
        <w:keepNext/>
        <w:widowControl w:val="0"/>
        <w:spacing w:before="0"/>
        <w:jc w:val="left"/>
        <w:rPr>
          <w:color w:val="000000"/>
          <w:sz w:val="22"/>
          <w:szCs w:val="22"/>
          <w:lang w:val="cs-CZ"/>
        </w:rPr>
      </w:pPr>
      <w:r w:rsidRPr="00F25A60">
        <w:rPr>
          <w:b/>
          <w:color w:val="000000"/>
          <w:sz w:val="22"/>
          <w:szCs w:val="22"/>
          <w:lang w:val="cs-CZ"/>
        </w:rPr>
        <w:t>-</w:t>
      </w:r>
      <w:r w:rsidRPr="00F25A60">
        <w:rPr>
          <w:b/>
          <w:color w:val="000000"/>
          <w:sz w:val="22"/>
          <w:szCs w:val="22"/>
          <w:lang w:val="cs-CZ"/>
        </w:rPr>
        <w:tab/>
        <w:t xml:space="preserve">Jestliže jste léčen(a) pro Ph-pozitivní </w:t>
      </w:r>
      <w:smartTag w:uri="urn:schemas-microsoft-com:office:smarttags" w:element="stockticker">
        <w:r w:rsidRPr="00F25A60">
          <w:rPr>
            <w:b/>
            <w:color w:val="000000"/>
            <w:sz w:val="22"/>
            <w:szCs w:val="22"/>
            <w:lang w:val="cs-CZ"/>
          </w:rPr>
          <w:t>ALL</w:t>
        </w:r>
      </w:smartTag>
      <w:r w:rsidRPr="00F25A60">
        <w:rPr>
          <w:b/>
          <w:color w:val="000000"/>
          <w:sz w:val="22"/>
          <w:szCs w:val="22"/>
          <w:lang w:val="cs-CZ"/>
        </w:rPr>
        <w:t>:</w:t>
      </w:r>
    </w:p>
    <w:p w14:paraId="03AA5599" w14:textId="0DCBC03C" w:rsidR="00E61A01" w:rsidRPr="00F25A60" w:rsidRDefault="00E61A01" w:rsidP="005C56E6">
      <w:pPr>
        <w:pStyle w:val="Text"/>
        <w:widowControl w:val="0"/>
        <w:spacing w:before="0"/>
        <w:ind w:firstLine="600"/>
        <w:jc w:val="left"/>
        <w:rPr>
          <w:color w:val="000000"/>
          <w:sz w:val="22"/>
          <w:szCs w:val="22"/>
          <w:lang w:val="cs-CZ"/>
        </w:rPr>
      </w:pPr>
      <w:r w:rsidRPr="00F25A60">
        <w:rPr>
          <w:color w:val="000000"/>
          <w:sz w:val="22"/>
          <w:szCs w:val="22"/>
          <w:lang w:val="cs-CZ"/>
        </w:rPr>
        <w:t xml:space="preserve">Počáteční dávka je 600 mg užitá </w:t>
      </w:r>
      <w:r w:rsidRPr="00F25A60">
        <w:rPr>
          <w:b/>
          <w:color w:val="000000"/>
          <w:sz w:val="22"/>
          <w:szCs w:val="22"/>
          <w:lang w:val="cs-CZ"/>
        </w:rPr>
        <w:t>jednou</w:t>
      </w:r>
      <w:r w:rsidRPr="00F25A60">
        <w:rPr>
          <w:color w:val="000000"/>
          <w:sz w:val="22"/>
          <w:szCs w:val="22"/>
          <w:lang w:val="cs-CZ"/>
        </w:rPr>
        <w:t xml:space="preserve"> denně.</w:t>
      </w:r>
    </w:p>
    <w:p w14:paraId="38A28B33" w14:textId="77777777" w:rsidR="00E61A01" w:rsidRPr="00F25A60" w:rsidRDefault="00E61A01" w:rsidP="005C56E6">
      <w:pPr>
        <w:pStyle w:val="Text"/>
        <w:widowControl w:val="0"/>
        <w:spacing w:before="0"/>
        <w:jc w:val="left"/>
        <w:rPr>
          <w:color w:val="000000"/>
          <w:sz w:val="22"/>
          <w:szCs w:val="22"/>
          <w:lang w:val="cs-CZ"/>
        </w:rPr>
      </w:pPr>
    </w:p>
    <w:p w14:paraId="4EC2FB58" w14:textId="77777777" w:rsidR="00E61A01" w:rsidRPr="00F25A60" w:rsidRDefault="00E61A01" w:rsidP="005C56E6">
      <w:pPr>
        <w:pStyle w:val="Text"/>
        <w:keepNext/>
        <w:widowControl w:val="0"/>
        <w:spacing w:before="0"/>
        <w:jc w:val="left"/>
        <w:rPr>
          <w:b/>
          <w:color w:val="000000"/>
          <w:sz w:val="22"/>
          <w:szCs w:val="22"/>
          <w:lang w:val="cs-CZ"/>
        </w:rPr>
      </w:pPr>
      <w:r w:rsidRPr="00F25A60">
        <w:rPr>
          <w:b/>
          <w:color w:val="000000"/>
          <w:sz w:val="22"/>
          <w:szCs w:val="22"/>
          <w:lang w:val="cs-CZ"/>
        </w:rPr>
        <w:t>-</w:t>
      </w:r>
      <w:r w:rsidRPr="00F25A60">
        <w:rPr>
          <w:b/>
          <w:color w:val="000000"/>
          <w:sz w:val="22"/>
          <w:szCs w:val="22"/>
          <w:lang w:val="cs-CZ"/>
        </w:rPr>
        <w:tab/>
        <w:t xml:space="preserve">Jestliže jste léčen(a) pro </w:t>
      </w:r>
      <w:smartTag w:uri="urn:schemas-microsoft-com:office:smarttags" w:element="stockticker">
        <w:r w:rsidRPr="00F25A60">
          <w:rPr>
            <w:b/>
            <w:color w:val="000000"/>
            <w:sz w:val="22"/>
            <w:szCs w:val="22"/>
            <w:lang w:val="cs-CZ"/>
          </w:rPr>
          <w:t>MDS</w:t>
        </w:r>
      </w:smartTag>
      <w:r w:rsidRPr="00F25A60">
        <w:rPr>
          <w:b/>
          <w:color w:val="000000"/>
          <w:sz w:val="22"/>
          <w:szCs w:val="22"/>
          <w:lang w:val="cs-CZ"/>
        </w:rPr>
        <w:t>/MPD:</w:t>
      </w:r>
    </w:p>
    <w:p w14:paraId="29313450" w14:textId="2CF550B9" w:rsidR="00E61A01" w:rsidRPr="00F25A60" w:rsidRDefault="00E61A01" w:rsidP="005C56E6">
      <w:pPr>
        <w:pStyle w:val="Text"/>
        <w:widowControl w:val="0"/>
        <w:spacing w:before="0"/>
        <w:ind w:firstLine="600"/>
        <w:jc w:val="left"/>
        <w:rPr>
          <w:color w:val="000000"/>
          <w:sz w:val="22"/>
          <w:szCs w:val="22"/>
          <w:lang w:val="cs-CZ"/>
        </w:rPr>
      </w:pPr>
      <w:r w:rsidRPr="00F25A60">
        <w:rPr>
          <w:color w:val="000000"/>
          <w:sz w:val="22"/>
          <w:szCs w:val="22"/>
          <w:lang w:val="cs-CZ"/>
        </w:rPr>
        <w:t xml:space="preserve">Počáteční dávka je 400 mg užitá </w:t>
      </w:r>
      <w:r w:rsidRPr="00F25A60">
        <w:rPr>
          <w:b/>
          <w:color w:val="000000"/>
          <w:sz w:val="22"/>
          <w:szCs w:val="22"/>
          <w:lang w:val="cs-CZ"/>
        </w:rPr>
        <w:t xml:space="preserve">jednou </w:t>
      </w:r>
      <w:r w:rsidRPr="00F25A60">
        <w:rPr>
          <w:color w:val="000000"/>
          <w:sz w:val="22"/>
          <w:szCs w:val="22"/>
          <w:lang w:val="cs-CZ"/>
        </w:rPr>
        <w:t>denně.</w:t>
      </w:r>
    </w:p>
    <w:p w14:paraId="5FB0B6A1" w14:textId="77777777" w:rsidR="00E61A01" w:rsidRPr="00F25A60" w:rsidRDefault="00E61A01" w:rsidP="005C56E6">
      <w:pPr>
        <w:pStyle w:val="Text"/>
        <w:widowControl w:val="0"/>
        <w:spacing w:before="0"/>
        <w:jc w:val="left"/>
        <w:rPr>
          <w:color w:val="000000"/>
          <w:sz w:val="22"/>
          <w:szCs w:val="22"/>
          <w:lang w:val="cs-CZ"/>
        </w:rPr>
      </w:pPr>
    </w:p>
    <w:p w14:paraId="195B28F7" w14:textId="77777777" w:rsidR="00E61A01" w:rsidRPr="00F25A60" w:rsidRDefault="00E61A01" w:rsidP="005C56E6">
      <w:pPr>
        <w:pStyle w:val="Text"/>
        <w:keepNext/>
        <w:widowControl w:val="0"/>
        <w:spacing w:before="0"/>
        <w:jc w:val="left"/>
        <w:rPr>
          <w:b/>
          <w:color w:val="000000"/>
          <w:sz w:val="22"/>
          <w:szCs w:val="22"/>
          <w:lang w:val="cs-CZ"/>
        </w:rPr>
      </w:pPr>
      <w:r w:rsidRPr="00F25A60">
        <w:rPr>
          <w:color w:val="000000"/>
          <w:sz w:val="22"/>
          <w:szCs w:val="22"/>
          <w:lang w:val="cs-CZ"/>
        </w:rPr>
        <w:t>-</w:t>
      </w:r>
      <w:r w:rsidRPr="00F25A60">
        <w:rPr>
          <w:color w:val="000000"/>
          <w:sz w:val="22"/>
          <w:szCs w:val="22"/>
          <w:lang w:val="cs-CZ"/>
        </w:rPr>
        <w:tab/>
      </w:r>
      <w:r w:rsidRPr="00F25A60">
        <w:rPr>
          <w:b/>
          <w:color w:val="000000"/>
          <w:sz w:val="22"/>
          <w:szCs w:val="22"/>
          <w:lang w:val="cs-CZ"/>
        </w:rPr>
        <w:t>Jestliže jste léčen(a) pro HES/</w:t>
      </w:r>
      <w:smartTag w:uri="urn:schemas-microsoft-com:office:smarttags" w:element="stockticker">
        <w:r w:rsidRPr="00F25A60">
          <w:rPr>
            <w:b/>
            <w:color w:val="000000"/>
            <w:sz w:val="22"/>
            <w:szCs w:val="22"/>
            <w:lang w:val="cs-CZ"/>
          </w:rPr>
          <w:t>CEL</w:t>
        </w:r>
      </w:smartTag>
      <w:r w:rsidRPr="00F25A60">
        <w:rPr>
          <w:b/>
          <w:color w:val="000000"/>
          <w:sz w:val="22"/>
          <w:szCs w:val="22"/>
          <w:lang w:val="cs-CZ"/>
        </w:rPr>
        <w:t>:</w:t>
      </w:r>
    </w:p>
    <w:p w14:paraId="593F437A" w14:textId="149DB3D0" w:rsidR="00E61A01" w:rsidRPr="00F25A60" w:rsidRDefault="00E61A01" w:rsidP="005C56E6">
      <w:pPr>
        <w:pStyle w:val="Text"/>
        <w:widowControl w:val="0"/>
        <w:spacing w:before="0"/>
        <w:ind w:left="600"/>
        <w:jc w:val="left"/>
        <w:rPr>
          <w:color w:val="000000"/>
          <w:sz w:val="22"/>
          <w:szCs w:val="22"/>
          <w:lang w:val="cs-CZ"/>
        </w:rPr>
      </w:pPr>
      <w:r w:rsidRPr="00F25A60">
        <w:rPr>
          <w:color w:val="000000"/>
          <w:sz w:val="22"/>
          <w:szCs w:val="22"/>
          <w:lang w:val="cs-CZ"/>
        </w:rPr>
        <w:t xml:space="preserve">Počáteční dávka 100 mg užitá </w:t>
      </w:r>
      <w:r w:rsidRPr="00F25A60">
        <w:rPr>
          <w:b/>
          <w:color w:val="000000"/>
          <w:sz w:val="22"/>
          <w:szCs w:val="22"/>
          <w:lang w:val="cs-CZ"/>
        </w:rPr>
        <w:t>jednou</w:t>
      </w:r>
      <w:r w:rsidRPr="00F25A60">
        <w:rPr>
          <w:color w:val="000000"/>
          <w:sz w:val="22"/>
          <w:szCs w:val="22"/>
          <w:lang w:val="cs-CZ"/>
        </w:rPr>
        <w:t xml:space="preserve"> denně. Podle Vaší odpovědi na léčbu může lékař zvážit zvýšení dávky na 400 mg užité </w:t>
      </w:r>
      <w:r w:rsidRPr="00F25A60">
        <w:rPr>
          <w:b/>
          <w:color w:val="000000"/>
          <w:sz w:val="22"/>
          <w:szCs w:val="22"/>
          <w:lang w:val="cs-CZ"/>
        </w:rPr>
        <w:t>jednou</w:t>
      </w:r>
      <w:r w:rsidRPr="00F25A60">
        <w:rPr>
          <w:color w:val="000000"/>
          <w:sz w:val="22"/>
          <w:szCs w:val="22"/>
          <w:lang w:val="cs-CZ"/>
        </w:rPr>
        <w:t xml:space="preserve"> denně.</w:t>
      </w:r>
    </w:p>
    <w:p w14:paraId="6B0C7E8D" w14:textId="77777777" w:rsidR="00E61A01" w:rsidRPr="00F25A60" w:rsidRDefault="00E61A01" w:rsidP="005C56E6">
      <w:pPr>
        <w:pStyle w:val="Text"/>
        <w:widowControl w:val="0"/>
        <w:spacing w:before="0"/>
        <w:jc w:val="left"/>
        <w:rPr>
          <w:color w:val="000000"/>
          <w:sz w:val="22"/>
          <w:szCs w:val="22"/>
          <w:lang w:val="cs-CZ"/>
        </w:rPr>
      </w:pPr>
    </w:p>
    <w:p w14:paraId="595FE241" w14:textId="77777777" w:rsidR="00E61A01" w:rsidRPr="00F25A60" w:rsidRDefault="00E61A01" w:rsidP="005C56E6">
      <w:pPr>
        <w:pStyle w:val="Text"/>
        <w:keepNext/>
        <w:widowControl w:val="0"/>
        <w:numPr>
          <w:ilvl w:val="0"/>
          <w:numId w:val="13"/>
        </w:numPr>
        <w:spacing w:before="0"/>
        <w:ind w:left="567" w:hanging="567"/>
        <w:jc w:val="left"/>
        <w:rPr>
          <w:color w:val="000000"/>
          <w:sz w:val="22"/>
          <w:szCs w:val="22"/>
          <w:lang w:val="cs-CZ"/>
        </w:rPr>
      </w:pPr>
      <w:r w:rsidRPr="00F25A60">
        <w:rPr>
          <w:b/>
          <w:color w:val="000000"/>
          <w:sz w:val="22"/>
          <w:szCs w:val="22"/>
          <w:lang w:val="cs-CZ"/>
        </w:rPr>
        <w:t>Jestliže jste léčen(a) pro DFSP:</w:t>
      </w:r>
    </w:p>
    <w:p w14:paraId="4E77BB58" w14:textId="237105AD" w:rsidR="00E61A01" w:rsidRPr="00F25A60" w:rsidRDefault="00E61A01" w:rsidP="005C56E6">
      <w:pPr>
        <w:pStyle w:val="Text"/>
        <w:widowControl w:val="0"/>
        <w:spacing w:before="0"/>
        <w:ind w:left="600"/>
        <w:jc w:val="left"/>
        <w:rPr>
          <w:color w:val="000000"/>
          <w:sz w:val="22"/>
          <w:szCs w:val="22"/>
          <w:lang w:val="cs-CZ"/>
        </w:rPr>
      </w:pPr>
      <w:r w:rsidRPr="00F25A60">
        <w:rPr>
          <w:color w:val="000000"/>
          <w:sz w:val="22"/>
          <w:szCs w:val="22"/>
          <w:lang w:val="cs-CZ"/>
        </w:rPr>
        <w:t xml:space="preserve">Dávka je 800 mg denně užitá jako </w:t>
      </w:r>
      <w:r w:rsidR="00B22BC3" w:rsidRPr="00F25A60">
        <w:rPr>
          <w:color w:val="000000"/>
          <w:sz w:val="22"/>
          <w:szCs w:val="22"/>
          <w:lang w:val="cs-CZ"/>
        </w:rPr>
        <w:t>400 mg</w:t>
      </w:r>
      <w:r w:rsidRPr="00F25A60">
        <w:rPr>
          <w:color w:val="000000"/>
          <w:sz w:val="22"/>
          <w:szCs w:val="22"/>
          <w:lang w:val="cs-CZ"/>
        </w:rPr>
        <w:t xml:space="preserve"> ráno a </w:t>
      </w:r>
      <w:r w:rsidR="00B22BC3" w:rsidRPr="00F25A60">
        <w:rPr>
          <w:color w:val="000000"/>
          <w:sz w:val="22"/>
          <w:szCs w:val="22"/>
          <w:lang w:val="cs-CZ"/>
        </w:rPr>
        <w:t>400 mg</w:t>
      </w:r>
      <w:r w:rsidRPr="00F25A60">
        <w:rPr>
          <w:color w:val="000000"/>
          <w:sz w:val="22"/>
          <w:szCs w:val="22"/>
          <w:lang w:val="cs-CZ"/>
        </w:rPr>
        <w:t xml:space="preserve"> večer.</w:t>
      </w:r>
    </w:p>
    <w:p w14:paraId="3B7EAEC6" w14:textId="77777777" w:rsidR="00782572" w:rsidRPr="00F25A60" w:rsidRDefault="00782572" w:rsidP="005C56E6">
      <w:pPr>
        <w:pStyle w:val="Text"/>
        <w:widowControl w:val="0"/>
        <w:spacing w:before="0"/>
        <w:jc w:val="left"/>
        <w:rPr>
          <w:color w:val="000000"/>
          <w:sz w:val="22"/>
          <w:szCs w:val="22"/>
          <w:lang w:val="cs-CZ"/>
        </w:rPr>
      </w:pPr>
    </w:p>
    <w:p w14:paraId="625AEFBD" w14:textId="58A88290" w:rsidR="00E61A01" w:rsidRPr="00BC48A2" w:rsidRDefault="00782572" w:rsidP="005C56E6">
      <w:pPr>
        <w:pStyle w:val="Text"/>
        <w:widowControl w:val="0"/>
        <w:spacing w:before="0"/>
        <w:jc w:val="left"/>
        <w:rPr>
          <w:color w:val="000000"/>
          <w:sz w:val="22"/>
          <w:szCs w:val="22"/>
          <w:lang w:val="cs-CZ"/>
        </w:rPr>
      </w:pPr>
      <w:r w:rsidRPr="00F25A60">
        <w:rPr>
          <w:color w:val="000000"/>
          <w:sz w:val="22"/>
          <w:szCs w:val="22"/>
          <w:lang w:val="cs-CZ"/>
        </w:rPr>
        <w:t>Dávka 400 mg může být užita jako 1 </w:t>
      </w:r>
      <w:r w:rsidRPr="00BC48A2">
        <w:rPr>
          <w:color w:val="000000"/>
          <w:sz w:val="22"/>
          <w:szCs w:val="22"/>
          <w:lang w:val="cs-CZ"/>
        </w:rPr>
        <w:t xml:space="preserve">tableta </w:t>
      </w:r>
      <w:r w:rsidR="00C44E19" w:rsidRPr="00BC48A2">
        <w:rPr>
          <w:color w:val="000000"/>
          <w:sz w:val="22"/>
          <w:szCs w:val="22"/>
          <w:lang w:val="cs-CZ"/>
        </w:rPr>
        <w:t>o síle</w:t>
      </w:r>
      <w:r w:rsidRPr="00BC48A2">
        <w:rPr>
          <w:color w:val="000000"/>
          <w:sz w:val="22"/>
          <w:szCs w:val="22"/>
          <w:lang w:val="cs-CZ"/>
        </w:rPr>
        <w:t xml:space="preserve"> 400 mg nebo 4 tablety </w:t>
      </w:r>
      <w:r w:rsidR="00C44E19" w:rsidRPr="00BC48A2">
        <w:rPr>
          <w:color w:val="000000"/>
          <w:sz w:val="22"/>
          <w:szCs w:val="22"/>
          <w:lang w:val="cs-CZ"/>
        </w:rPr>
        <w:t>o síle</w:t>
      </w:r>
      <w:r w:rsidRPr="00BC48A2">
        <w:rPr>
          <w:color w:val="000000"/>
          <w:sz w:val="22"/>
          <w:szCs w:val="22"/>
          <w:lang w:val="cs-CZ"/>
        </w:rPr>
        <w:t xml:space="preserve"> 100 mg.</w:t>
      </w:r>
    </w:p>
    <w:p w14:paraId="18179E4F" w14:textId="51BE3C8E" w:rsidR="00782572" w:rsidRPr="00BC48A2" w:rsidRDefault="00782572" w:rsidP="005C56E6">
      <w:pPr>
        <w:pStyle w:val="Text"/>
        <w:widowControl w:val="0"/>
        <w:spacing w:before="0"/>
        <w:jc w:val="left"/>
        <w:rPr>
          <w:color w:val="000000"/>
          <w:sz w:val="22"/>
          <w:szCs w:val="22"/>
          <w:lang w:val="cs-CZ"/>
        </w:rPr>
      </w:pPr>
      <w:r w:rsidRPr="00BC48A2">
        <w:rPr>
          <w:color w:val="000000"/>
          <w:sz w:val="22"/>
          <w:szCs w:val="22"/>
          <w:lang w:val="cs-CZ"/>
        </w:rPr>
        <w:t xml:space="preserve">Dávka 600 mg </w:t>
      </w:r>
      <w:r w:rsidR="00132495" w:rsidRPr="00BC48A2">
        <w:rPr>
          <w:color w:val="000000"/>
          <w:sz w:val="22"/>
          <w:szCs w:val="22"/>
          <w:lang w:val="cs-CZ"/>
        </w:rPr>
        <w:t>může být užita</w:t>
      </w:r>
      <w:r w:rsidRPr="00BC48A2">
        <w:rPr>
          <w:color w:val="000000"/>
          <w:sz w:val="22"/>
          <w:szCs w:val="22"/>
          <w:lang w:val="cs-CZ"/>
        </w:rPr>
        <w:t xml:space="preserve"> jako 1 tableta </w:t>
      </w:r>
      <w:r w:rsidR="00C44E19" w:rsidRPr="00BC48A2">
        <w:rPr>
          <w:color w:val="000000"/>
          <w:sz w:val="22"/>
          <w:szCs w:val="22"/>
          <w:lang w:val="cs-CZ"/>
        </w:rPr>
        <w:t>o síle</w:t>
      </w:r>
      <w:r w:rsidRPr="00BC48A2">
        <w:rPr>
          <w:color w:val="000000"/>
          <w:sz w:val="22"/>
          <w:szCs w:val="22"/>
          <w:lang w:val="cs-CZ"/>
        </w:rPr>
        <w:t xml:space="preserve"> 400 mg plus 2 tablety </w:t>
      </w:r>
      <w:r w:rsidR="00C44E19" w:rsidRPr="00BC48A2">
        <w:rPr>
          <w:color w:val="000000"/>
          <w:sz w:val="22"/>
          <w:szCs w:val="22"/>
          <w:lang w:val="cs-CZ"/>
        </w:rPr>
        <w:t>o síle</w:t>
      </w:r>
      <w:r w:rsidRPr="00BC48A2">
        <w:rPr>
          <w:color w:val="000000"/>
          <w:sz w:val="22"/>
          <w:szCs w:val="22"/>
          <w:lang w:val="cs-CZ"/>
        </w:rPr>
        <w:t xml:space="preserve"> 100 mg</w:t>
      </w:r>
      <w:r w:rsidR="00132495" w:rsidRPr="00BC48A2">
        <w:rPr>
          <w:color w:val="000000"/>
          <w:sz w:val="22"/>
          <w:szCs w:val="22"/>
          <w:lang w:val="cs-CZ"/>
        </w:rPr>
        <w:t xml:space="preserve"> nebo jako 1 tableta </w:t>
      </w:r>
      <w:r w:rsidR="00C44E19" w:rsidRPr="00BC48A2">
        <w:rPr>
          <w:color w:val="000000"/>
          <w:sz w:val="22"/>
          <w:szCs w:val="22"/>
          <w:lang w:val="cs-CZ"/>
        </w:rPr>
        <w:t>o síle</w:t>
      </w:r>
      <w:r w:rsidR="00132495" w:rsidRPr="00BC48A2">
        <w:rPr>
          <w:color w:val="000000"/>
          <w:sz w:val="22"/>
          <w:szCs w:val="22"/>
          <w:lang w:val="cs-CZ"/>
        </w:rPr>
        <w:t xml:space="preserve"> 400 mg plus polovina 1 tablety </w:t>
      </w:r>
      <w:r w:rsidR="00297FE6" w:rsidRPr="00BC48A2">
        <w:rPr>
          <w:color w:val="000000"/>
          <w:sz w:val="22"/>
          <w:szCs w:val="22"/>
          <w:lang w:val="cs-CZ"/>
        </w:rPr>
        <w:t>o síle</w:t>
      </w:r>
      <w:r w:rsidR="00132495" w:rsidRPr="00BC48A2">
        <w:rPr>
          <w:color w:val="000000"/>
          <w:sz w:val="22"/>
          <w:szCs w:val="22"/>
          <w:lang w:val="cs-CZ"/>
        </w:rPr>
        <w:t xml:space="preserve"> 400 mg</w:t>
      </w:r>
      <w:r w:rsidRPr="00BC48A2">
        <w:rPr>
          <w:color w:val="000000"/>
          <w:sz w:val="22"/>
          <w:szCs w:val="22"/>
          <w:lang w:val="cs-CZ"/>
        </w:rPr>
        <w:t>.</w:t>
      </w:r>
    </w:p>
    <w:p w14:paraId="32005F89" w14:textId="03D91CCE" w:rsidR="002920DB" w:rsidRPr="00BC48A2" w:rsidRDefault="002920DB" w:rsidP="005C56E6">
      <w:pPr>
        <w:pStyle w:val="Text"/>
        <w:widowControl w:val="0"/>
        <w:spacing w:before="0"/>
        <w:jc w:val="left"/>
        <w:rPr>
          <w:color w:val="000000"/>
          <w:sz w:val="22"/>
          <w:szCs w:val="22"/>
          <w:lang w:val="cs-CZ"/>
        </w:rPr>
      </w:pPr>
    </w:p>
    <w:p w14:paraId="3B32BF36" w14:textId="0A260734" w:rsidR="009F77D8" w:rsidRDefault="009F77D8" w:rsidP="005C56E6">
      <w:pPr>
        <w:pStyle w:val="Text"/>
        <w:widowControl w:val="0"/>
        <w:spacing w:before="0"/>
        <w:jc w:val="left"/>
        <w:rPr>
          <w:color w:val="000000"/>
          <w:sz w:val="22"/>
          <w:szCs w:val="22"/>
          <w:lang w:val="cs-CZ"/>
        </w:rPr>
      </w:pPr>
      <w:r w:rsidRPr="00BC48A2">
        <w:rPr>
          <w:color w:val="000000"/>
          <w:sz w:val="22"/>
          <w:szCs w:val="22"/>
          <w:lang w:val="cs-CZ"/>
        </w:rPr>
        <w:t>Tablety je možné rozdělit na polovinu rozlomením podél půl</w:t>
      </w:r>
      <w:r w:rsidR="00297FE6" w:rsidRPr="00BC48A2">
        <w:rPr>
          <w:color w:val="000000"/>
          <w:sz w:val="22"/>
          <w:szCs w:val="22"/>
          <w:lang w:val="cs-CZ"/>
        </w:rPr>
        <w:t>i</w:t>
      </w:r>
      <w:r w:rsidRPr="00BC48A2">
        <w:rPr>
          <w:color w:val="000000"/>
          <w:sz w:val="22"/>
          <w:szCs w:val="22"/>
          <w:lang w:val="cs-CZ"/>
        </w:rPr>
        <w:t>cí rýhy.</w:t>
      </w:r>
    </w:p>
    <w:p w14:paraId="7FF0F92E" w14:textId="77777777" w:rsidR="009F77D8" w:rsidRPr="00F25A60" w:rsidRDefault="009F77D8" w:rsidP="005C56E6">
      <w:pPr>
        <w:pStyle w:val="Text"/>
        <w:widowControl w:val="0"/>
        <w:spacing w:before="0"/>
        <w:jc w:val="left"/>
        <w:rPr>
          <w:color w:val="000000"/>
          <w:sz w:val="22"/>
          <w:szCs w:val="22"/>
          <w:lang w:val="cs-CZ"/>
        </w:rPr>
      </w:pPr>
    </w:p>
    <w:p w14:paraId="55AC1E85" w14:textId="77777777" w:rsidR="00E61A01" w:rsidRPr="00F25A60" w:rsidRDefault="00E61A01" w:rsidP="005C56E6">
      <w:pPr>
        <w:pStyle w:val="Text"/>
        <w:keepNext/>
        <w:widowControl w:val="0"/>
        <w:spacing w:before="0"/>
        <w:jc w:val="left"/>
        <w:rPr>
          <w:color w:val="000000"/>
          <w:sz w:val="22"/>
          <w:szCs w:val="22"/>
          <w:lang w:val="cs-CZ"/>
        </w:rPr>
      </w:pPr>
      <w:r w:rsidRPr="00F25A60">
        <w:rPr>
          <w:b/>
          <w:color w:val="000000"/>
          <w:sz w:val="22"/>
          <w:szCs w:val="22"/>
          <w:lang w:val="cs-CZ"/>
        </w:rPr>
        <w:t>Použití u dětí</w:t>
      </w:r>
      <w:r w:rsidR="0064015F" w:rsidRPr="00F25A60">
        <w:rPr>
          <w:b/>
          <w:color w:val="000000"/>
          <w:sz w:val="22"/>
          <w:szCs w:val="22"/>
          <w:lang w:val="cs-CZ"/>
        </w:rPr>
        <w:t xml:space="preserve"> a dospívajících</w:t>
      </w:r>
    </w:p>
    <w:p w14:paraId="471BADA1" w14:textId="58237ABF" w:rsidR="00E61A01" w:rsidRPr="00F25A60" w:rsidRDefault="00E61A01" w:rsidP="005C56E6">
      <w:pPr>
        <w:pStyle w:val="Text"/>
        <w:widowControl w:val="0"/>
        <w:spacing w:before="0"/>
        <w:jc w:val="left"/>
        <w:rPr>
          <w:color w:val="000000"/>
          <w:sz w:val="22"/>
          <w:szCs w:val="22"/>
          <w:lang w:val="cs-CZ"/>
        </w:rPr>
      </w:pPr>
      <w:r w:rsidRPr="00F25A60">
        <w:rPr>
          <w:color w:val="000000"/>
          <w:sz w:val="22"/>
          <w:szCs w:val="22"/>
          <w:lang w:val="cs-CZ"/>
        </w:rPr>
        <w:t xml:space="preserve">Lékař Vám řekne, kolik tablet Glivecu </w:t>
      </w:r>
      <w:r w:rsidR="00B56C43" w:rsidRPr="00F25A60">
        <w:rPr>
          <w:color w:val="000000"/>
          <w:sz w:val="22"/>
          <w:szCs w:val="22"/>
          <w:lang w:val="cs-CZ"/>
        </w:rPr>
        <w:t>má</w:t>
      </w:r>
      <w:r w:rsidRPr="00F25A60">
        <w:rPr>
          <w:color w:val="000000"/>
          <w:sz w:val="22"/>
          <w:szCs w:val="22"/>
          <w:lang w:val="cs-CZ"/>
        </w:rPr>
        <w:t xml:space="preserve"> být Vašemu dítěti </w:t>
      </w:r>
      <w:r w:rsidR="00B56C43" w:rsidRPr="00F25A60">
        <w:rPr>
          <w:color w:val="000000"/>
          <w:sz w:val="22"/>
          <w:szCs w:val="22"/>
          <w:lang w:val="cs-CZ"/>
        </w:rPr>
        <w:t>podáno</w:t>
      </w:r>
      <w:r w:rsidRPr="00F25A60">
        <w:rPr>
          <w:color w:val="000000"/>
          <w:sz w:val="22"/>
          <w:szCs w:val="22"/>
          <w:lang w:val="cs-CZ"/>
        </w:rPr>
        <w:t>. Množství podaného Glivecu závisí na zdravotním stavu Vašeho dítěte, na jeho tělesné hmotnosti a výšce. Celková podaná denní dávka u dětí nesmí překročit dávku 800 mg</w:t>
      </w:r>
      <w:r w:rsidR="004B719A" w:rsidRPr="00F25A60">
        <w:rPr>
          <w:color w:val="000000"/>
          <w:sz w:val="22"/>
          <w:szCs w:val="22"/>
          <w:lang w:val="cs-CZ"/>
        </w:rPr>
        <w:t xml:space="preserve"> pro CML a 600 mg pro </w:t>
      </w:r>
      <w:r w:rsidR="004B719A" w:rsidRPr="00F25A60">
        <w:rPr>
          <w:bCs/>
          <w:color w:val="000000"/>
          <w:sz w:val="22"/>
          <w:szCs w:val="22"/>
          <w:lang w:val="cs-CZ"/>
        </w:rPr>
        <w:t xml:space="preserve">Ph-pozitivní </w:t>
      </w:r>
      <w:smartTag w:uri="urn:schemas-microsoft-com:office:smarttags" w:element="stockticker">
        <w:r w:rsidR="004B719A" w:rsidRPr="00F25A60">
          <w:rPr>
            <w:bCs/>
            <w:color w:val="000000"/>
            <w:sz w:val="22"/>
            <w:szCs w:val="22"/>
            <w:lang w:val="cs-CZ"/>
          </w:rPr>
          <w:t>ALL</w:t>
        </w:r>
      </w:smartTag>
      <w:r w:rsidRPr="00F25A60">
        <w:rPr>
          <w:color w:val="000000"/>
          <w:sz w:val="22"/>
          <w:szCs w:val="22"/>
          <w:lang w:val="cs-CZ"/>
        </w:rPr>
        <w:t>. Léčba může být Vašemu dítěti podávána buď jednou denně, nebo může být dávka rozdělena do dvou podání (polovina dávky ráno a polovina večer).</w:t>
      </w:r>
    </w:p>
    <w:p w14:paraId="0BE0E71D" w14:textId="77777777" w:rsidR="00E61A01" w:rsidRPr="00F25A60" w:rsidRDefault="00E61A01" w:rsidP="005C56E6">
      <w:pPr>
        <w:spacing w:line="240" w:lineRule="auto"/>
      </w:pPr>
    </w:p>
    <w:p w14:paraId="4E0EED0B" w14:textId="77777777" w:rsidR="00E61A01" w:rsidRPr="00F25A60" w:rsidRDefault="00E61A01" w:rsidP="005C56E6">
      <w:pPr>
        <w:pStyle w:val="Text"/>
        <w:keepNext/>
        <w:widowControl w:val="0"/>
        <w:spacing w:before="0"/>
        <w:jc w:val="left"/>
        <w:rPr>
          <w:b/>
          <w:bCs/>
          <w:color w:val="000000"/>
          <w:sz w:val="22"/>
          <w:szCs w:val="22"/>
          <w:lang w:val="cs-CZ"/>
        </w:rPr>
      </w:pPr>
      <w:r w:rsidRPr="00F25A60">
        <w:rPr>
          <w:b/>
          <w:bCs/>
          <w:color w:val="000000"/>
          <w:sz w:val="22"/>
          <w:szCs w:val="22"/>
          <w:lang w:val="cs-CZ"/>
        </w:rPr>
        <w:t>Kdy a jak užívat Glivec</w:t>
      </w:r>
    </w:p>
    <w:p w14:paraId="2DA8B0F7" w14:textId="77777777" w:rsidR="00E61A01" w:rsidRPr="00F25A60" w:rsidRDefault="00E61A01" w:rsidP="005C56E6">
      <w:pPr>
        <w:pStyle w:val="Text"/>
        <w:widowControl w:val="0"/>
        <w:numPr>
          <w:ilvl w:val="0"/>
          <w:numId w:val="13"/>
        </w:numPr>
        <w:spacing w:before="0"/>
        <w:ind w:left="600" w:hanging="600"/>
        <w:jc w:val="left"/>
        <w:rPr>
          <w:color w:val="000000"/>
          <w:sz w:val="22"/>
          <w:szCs w:val="22"/>
          <w:lang w:val="cs-CZ"/>
        </w:rPr>
      </w:pPr>
      <w:r w:rsidRPr="00F25A60">
        <w:rPr>
          <w:b/>
          <w:bCs/>
          <w:color w:val="000000"/>
          <w:sz w:val="22"/>
          <w:szCs w:val="22"/>
          <w:lang w:val="cs-CZ"/>
        </w:rPr>
        <w:t xml:space="preserve">Glivec užívejte s jídlem. </w:t>
      </w:r>
      <w:r w:rsidRPr="00F25A60">
        <w:rPr>
          <w:color w:val="000000"/>
          <w:sz w:val="22"/>
          <w:szCs w:val="22"/>
          <w:lang w:val="cs-CZ"/>
        </w:rPr>
        <w:t>Můžete tak předejít žaludečním potížím při užívání Glivecu.</w:t>
      </w:r>
    </w:p>
    <w:p w14:paraId="3B99B1C6" w14:textId="77777777" w:rsidR="00E61A01" w:rsidRPr="00F25A60" w:rsidRDefault="00E61A01" w:rsidP="005C56E6">
      <w:pPr>
        <w:pStyle w:val="Text"/>
        <w:widowControl w:val="0"/>
        <w:spacing w:before="0"/>
        <w:ind w:left="600" w:hanging="600"/>
        <w:jc w:val="left"/>
        <w:rPr>
          <w:b/>
          <w:bCs/>
          <w:color w:val="000000"/>
          <w:sz w:val="22"/>
          <w:szCs w:val="22"/>
          <w:lang w:val="cs-CZ"/>
        </w:rPr>
      </w:pPr>
      <w:r w:rsidRPr="00F25A60">
        <w:rPr>
          <w:b/>
          <w:bCs/>
          <w:color w:val="000000"/>
          <w:sz w:val="22"/>
          <w:szCs w:val="22"/>
          <w:lang w:val="cs-CZ"/>
        </w:rPr>
        <w:t>-</w:t>
      </w:r>
      <w:r w:rsidRPr="00F25A60">
        <w:rPr>
          <w:b/>
          <w:bCs/>
          <w:color w:val="000000"/>
          <w:sz w:val="22"/>
          <w:szCs w:val="22"/>
          <w:lang w:val="cs-CZ"/>
        </w:rPr>
        <w:tab/>
        <w:t>Tablety polykejte celé a zapijte je velkou sklenicí vody.</w:t>
      </w:r>
    </w:p>
    <w:p w14:paraId="1245BBB2" w14:textId="77777777" w:rsidR="00E61A01" w:rsidRPr="00F25A60" w:rsidRDefault="00E61A01" w:rsidP="005C56E6">
      <w:pPr>
        <w:pStyle w:val="Text"/>
        <w:widowControl w:val="0"/>
        <w:spacing w:before="0"/>
        <w:ind w:left="600" w:hanging="600"/>
        <w:jc w:val="left"/>
        <w:rPr>
          <w:color w:val="000000"/>
          <w:sz w:val="22"/>
          <w:szCs w:val="22"/>
          <w:lang w:val="cs-CZ"/>
        </w:rPr>
      </w:pPr>
    </w:p>
    <w:p w14:paraId="183E4913" w14:textId="77777777" w:rsidR="00E61A01" w:rsidRPr="00F25A60" w:rsidRDefault="00E61A01" w:rsidP="005C56E6">
      <w:pPr>
        <w:pStyle w:val="Text"/>
        <w:keepNext/>
        <w:widowControl w:val="0"/>
        <w:tabs>
          <w:tab w:val="clear" w:pos="567"/>
          <w:tab w:val="left" w:pos="0"/>
        </w:tabs>
        <w:spacing w:before="0"/>
        <w:jc w:val="left"/>
        <w:rPr>
          <w:color w:val="000000"/>
          <w:sz w:val="22"/>
          <w:szCs w:val="22"/>
          <w:lang w:val="cs-CZ"/>
        </w:rPr>
      </w:pPr>
      <w:r w:rsidRPr="00F25A60">
        <w:rPr>
          <w:color w:val="000000"/>
          <w:sz w:val="22"/>
          <w:szCs w:val="22"/>
          <w:lang w:val="cs-CZ"/>
        </w:rPr>
        <w:t>Jestliže nemůžete tablety polykat celé, můžete je rozpustit ve sklenici neperlivé vody nebo v jablečném džusu.</w:t>
      </w:r>
    </w:p>
    <w:p w14:paraId="2886143A" w14:textId="3A2290F9" w:rsidR="00E61A01" w:rsidRPr="00F25A60" w:rsidRDefault="00E61A01" w:rsidP="005C56E6">
      <w:pPr>
        <w:pStyle w:val="Text"/>
        <w:widowControl w:val="0"/>
        <w:numPr>
          <w:ilvl w:val="0"/>
          <w:numId w:val="9"/>
        </w:numPr>
        <w:tabs>
          <w:tab w:val="clear" w:pos="360"/>
        </w:tabs>
        <w:spacing w:before="0"/>
        <w:ind w:left="567" w:hanging="567"/>
        <w:jc w:val="left"/>
        <w:rPr>
          <w:color w:val="000000"/>
          <w:sz w:val="22"/>
          <w:szCs w:val="22"/>
          <w:lang w:val="cs-CZ"/>
        </w:rPr>
      </w:pPr>
      <w:r w:rsidRPr="00F25A60">
        <w:rPr>
          <w:color w:val="000000"/>
          <w:sz w:val="22"/>
          <w:szCs w:val="22"/>
          <w:lang w:val="cs-CZ"/>
        </w:rPr>
        <w:t>Použijte přibližně 50 ml pro každou 100mg tabletu</w:t>
      </w:r>
      <w:r w:rsidR="002920DB" w:rsidRPr="00F25A60">
        <w:rPr>
          <w:color w:val="000000"/>
          <w:sz w:val="22"/>
          <w:szCs w:val="22"/>
          <w:lang w:val="cs-CZ"/>
        </w:rPr>
        <w:t xml:space="preserve"> nebo 200 ml pro každou 400mg tabletu</w:t>
      </w:r>
      <w:r w:rsidRPr="00F25A60">
        <w:rPr>
          <w:color w:val="000000"/>
          <w:sz w:val="22"/>
          <w:szCs w:val="22"/>
          <w:lang w:val="cs-CZ"/>
        </w:rPr>
        <w:t>.</w:t>
      </w:r>
    </w:p>
    <w:p w14:paraId="3AC2C2FF" w14:textId="77777777" w:rsidR="00E61A01" w:rsidRPr="00F25A60" w:rsidRDefault="00E61A01" w:rsidP="005C56E6">
      <w:pPr>
        <w:pStyle w:val="Text"/>
        <w:widowControl w:val="0"/>
        <w:numPr>
          <w:ilvl w:val="0"/>
          <w:numId w:val="9"/>
        </w:numPr>
        <w:tabs>
          <w:tab w:val="clear" w:pos="360"/>
        </w:tabs>
        <w:spacing w:before="0"/>
        <w:ind w:left="567" w:hanging="567"/>
        <w:jc w:val="left"/>
        <w:rPr>
          <w:color w:val="000000"/>
          <w:sz w:val="22"/>
          <w:szCs w:val="22"/>
          <w:lang w:val="cs-CZ"/>
        </w:rPr>
      </w:pPr>
      <w:r w:rsidRPr="00F25A60">
        <w:rPr>
          <w:color w:val="000000"/>
          <w:sz w:val="22"/>
          <w:szCs w:val="22"/>
          <w:lang w:val="cs-CZ"/>
        </w:rPr>
        <w:t>Míchejte lžící, dokud se tablety zcela nerozpustí.</w:t>
      </w:r>
    </w:p>
    <w:p w14:paraId="5CBF86E1" w14:textId="77777777" w:rsidR="00E61A01" w:rsidRPr="00F25A60" w:rsidRDefault="00E61A01" w:rsidP="005C56E6">
      <w:pPr>
        <w:pStyle w:val="Text"/>
        <w:widowControl w:val="0"/>
        <w:numPr>
          <w:ilvl w:val="0"/>
          <w:numId w:val="9"/>
        </w:numPr>
        <w:tabs>
          <w:tab w:val="clear" w:pos="360"/>
        </w:tabs>
        <w:spacing w:before="0"/>
        <w:ind w:left="567" w:hanging="567"/>
        <w:jc w:val="left"/>
        <w:rPr>
          <w:color w:val="000000"/>
          <w:sz w:val="22"/>
          <w:szCs w:val="22"/>
          <w:lang w:val="cs-CZ"/>
        </w:rPr>
      </w:pPr>
      <w:r w:rsidRPr="00F25A60">
        <w:rPr>
          <w:color w:val="000000"/>
          <w:sz w:val="22"/>
          <w:szCs w:val="22"/>
          <w:lang w:val="cs-CZ"/>
        </w:rPr>
        <w:t>Když je tableta rozpuštěná, vypijte ihned celý obsah sklenice. Stopy rozpuštěných tablet mohou zůstat na sklenici.</w:t>
      </w:r>
    </w:p>
    <w:p w14:paraId="3AA64233" w14:textId="77777777" w:rsidR="00E61A01" w:rsidRPr="00F25A60" w:rsidRDefault="00E61A01" w:rsidP="005C56E6">
      <w:pPr>
        <w:pStyle w:val="Text"/>
        <w:widowControl w:val="0"/>
        <w:spacing w:before="0"/>
        <w:jc w:val="left"/>
        <w:rPr>
          <w:color w:val="000000"/>
          <w:sz w:val="22"/>
          <w:szCs w:val="22"/>
          <w:lang w:val="cs-CZ"/>
        </w:rPr>
      </w:pPr>
    </w:p>
    <w:p w14:paraId="17467DEA" w14:textId="77777777" w:rsidR="00E61A01" w:rsidRPr="005C56E6" w:rsidRDefault="00E61A01" w:rsidP="005C56E6">
      <w:pPr>
        <w:keepNext/>
        <w:spacing w:line="240" w:lineRule="auto"/>
        <w:rPr>
          <w:b/>
          <w:bCs/>
          <w:i/>
        </w:rPr>
      </w:pPr>
      <w:r w:rsidRPr="005C56E6">
        <w:rPr>
          <w:b/>
          <w:bCs/>
        </w:rPr>
        <w:t>Jak dlouho se Glivec užívá</w:t>
      </w:r>
    </w:p>
    <w:p w14:paraId="06593641" w14:textId="77777777" w:rsidR="00E61A01" w:rsidRPr="00F25A60" w:rsidRDefault="00E61A01" w:rsidP="005C56E6">
      <w:pPr>
        <w:pStyle w:val="Text"/>
        <w:widowControl w:val="0"/>
        <w:spacing w:before="0"/>
        <w:jc w:val="left"/>
        <w:rPr>
          <w:color w:val="000000"/>
          <w:sz w:val="22"/>
          <w:szCs w:val="22"/>
          <w:lang w:val="cs-CZ"/>
        </w:rPr>
      </w:pPr>
      <w:r w:rsidRPr="00F25A60">
        <w:rPr>
          <w:color w:val="000000"/>
          <w:sz w:val="22"/>
          <w:szCs w:val="22"/>
          <w:lang w:val="cs-CZ"/>
        </w:rPr>
        <w:t>Glivec užívejte denně tak dlouho, jak Vám lékař sdělí.</w:t>
      </w:r>
    </w:p>
    <w:p w14:paraId="27831097" w14:textId="77777777" w:rsidR="00E61A01" w:rsidRPr="00F25A60" w:rsidRDefault="00E61A01" w:rsidP="005C56E6">
      <w:pPr>
        <w:pStyle w:val="Text"/>
        <w:widowControl w:val="0"/>
        <w:spacing w:before="0"/>
        <w:jc w:val="left"/>
        <w:rPr>
          <w:color w:val="000000"/>
          <w:sz w:val="22"/>
          <w:szCs w:val="22"/>
          <w:lang w:val="cs-CZ"/>
        </w:rPr>
      </w:pPr>
    </w:p>
    <w:p w14:paraId="6A203470" w14:textId="3B325D86" w:rsidR="00E61A01" w:rsidRPr="00F25A60" w:rsidRDefault="00E61A01" w:rsidP="005C56E6">
      <w:pPr>
        <w:pStyle w:val="Text"/>
        <w:keepNext/>
        <w:widowControl w:val="0"/>
        <w:spacing w:before="0"/>
        <w:jc w:val="left"/>
        <w:rPr>
          <w:b/>
          <w:sz w:val="22"/>
          <w:szCs w:val="22"/>
          <w:lang w:val="cs-CZ"/>
        </w:rPr>
      </w:pPr>
      <w:r w:rsidRPr="00F25A60">
        <w:rPr>
          <w:b/>
          <w:sz w:val="22"/>
          <w:szCs w:val="22"/>
          <w:lang w:val="cs-CZ"/>
        </w:rPr>
        <w:t>Jestliže jste užil(a) více</w:t>
      </w:r>
      <w:ins w:id="432" w:author="Author">
        <w:r w:rsidR="00F45E3C">
          <w:rPr>
            <w:b/>
            <w:sz w:val="22"/>
            <w:szCs w:val="22"/>
            <w:lang w:val="cs-CZ"/>
          </w:rPr>
          <w:t xml:space="preserve"> přípravku</w:t>
        </w:r>
      </w:ins>
      <w:r w:rsidRPr="00F25A60">
        <w:rPr>
          <w:b/>
          <w:sz w:val="22"/>
          <w:szCs w:val="22"/>
          <w:lang w:val="cs-CZ"/>
        </w:rPr>
        <w:t xml:space="preserve"> Glivec</w:t>
      </w:r>
      <w:del w:id="433" w:author="Author">
        <w:r w:rsidRPr="00F25A60" w:rsidDel="006F4BC6">
          <w:rPr>
            <w:b/>
            <w:sz w:val="22"/>
            <w:szCs w:val="22"/>
            <w:lang w:val="cs-CZ"/>
          </w:rPr>
          <w:delText>u</w:delText>
        </w:r>
      </w:del>
      <w:r w:rsidRPr="00F25A60">
        <w:rPr>
          <w:b/>
          <w:sz w:val="22"/>
          <w:szCs w:val="22"/>
          <w:lang w:val="cs-CZ"/>
        </w:rPr>
        <w:t>, než jste měl(a)</w:t>
      </w:r>
    </w:p>
    <w:p w14:paraId="7088A6BE" w14:textId="77777777" w:rsidR="00E61A01" w:rsidRPr="00F25A60" w:rsidRDefault="00E61A01" w:rsidP="005C56E6">
      <w:pPr>
        <w:pStyle w:val="Text"/>
        <w:widowControl w:val="0"/>
        <w:spacing w:before="0"/>
        <w:jc w:val="left"/>
        <w:rPr>
          <w:color w:val="000000"/>
          <w:sz w:val="22"/>
          <w:szCs w:val="22"/>
          <w:lang w:val="cs-CZ"/>
        </w:rPr>
      </w:pPr>
      <w:r w:rsidRPr="00F25A60">
        <w:rPr>
          <w:color w:val="000000"/>
          <w:sz w:val="22"/>
          <w:szCs w:val="22"/>
          <w:lang w:val="cs-CZ"/>
        </w:rPr>
        <w:t xml:space="preserve">Jestliže jste nedopatřením užil(a) příliš mnoho tablet, sdělte to </w:t>
      </w:r>
      <w:r w:rsidRPr="00F25A60">
        <w:rPr>
          <w:b/>
          <w:bCs/>
          <w:color w:val="000000"/>
          <w:sz w:val="22"/>
          <w:szCs w:val="22"/>
          <w:lang w:val="cs-CZ"/>
        </w:rPr>
        <w:t>ihned svému lékaři.</w:t>
      </w:r>
      <w:r w:rsidRPr="00F25A60">
        <w:rPr>
          <w:color w:val="000000"/>
          <w:sz w:val="22"/>
          <w:szCs w:val="22"/>
          <w:lang w:val="cs-CZ"/>
        </w:rPr>
        <w:t xml:space="preserve"> Můžete potřebovat lékařskou pomoc. </w:t>
      </w:r>
      <w:r w:rsidR="00517330" w:rsidRPr="00F25A60">
        <w:rPr>
          <w:color w:val="000000"/>
          <w:sz w:val="22"/>
          <w:szCs w:val="22"/>
          <w:lang w:val="cs-CZ"/>
        </w:rPr>
        <w:t>Vezměte</w:t>
      </w:r>
      <w:r w:rsidRPr="00F25A60">
        <w:rPr>
          <w:color w:val="000000"/>
          <w:sz w:val="22"/>
          <w:szCs w:val="22"/>
          <w:lang w:val="cs-CZ"/>
        </w:rPr>
        <w:t xml:space="preserve"> balení léku </w:t>
      </w:r>
      <w:r w:rsidR="00517330" w:rsidRPr="00F25A60">
        <w:rPr>
          <w:color w:val="000000"/>
          <w:sz w:val="22"/>
          <w:szCs w:val="22"/>
          <w:lang w:val="cs-CZ"/>
        </w:rPr>
        <w:t xml:space="preserve">s </w:t>
      </w:r>
      <w:r w:rsidRPr="00F25A60">
        <w:rPr>
          <w:color w:val="000000"/>
          <w:sz w:val="22"/>
          <w:szCs w:val="22"/>
          <w:lang w:val="cs-CZ"/>
        </w:rPr>
        <w:t>sebou.</w:t>
      </w:r>
    </w:p>
    <w:p w14:paraId="4571C31B" w14:textId="77777777" w:rsidR="00E61A01" w:rsidRPr="00F25A60" w:rsidRDefault="00E61A01" w:rsidP="005C56E6">
      <w:pPr>
        <w:widowControl w:val="0"/>
        <w:tabs>
          <w:tab w:val="clear" w:pos="567"/>
        </w:tabs>
        <w:spacing w:line="240" w:lineRule="auto"/>
        <w:ind w:right="-2"/>
        <w:rPr>
          <w:color w:val="000000"/>
        </w:rPr>
      </w:pPr>
    </w:p>
    <w:p w14:paraId="3856B4DB" w14:textId="16F20CD2" w:rsidR="00E61A01" w:rsidRPr="00F25A60" w:rsidRDefault="00E61A01" w:rsidP="005C56E6">
      <w:pPr>
        <w:pStyle w:val="Text"/>
        <w:keepNext/>
        <w:widowControl w:val="0"/>
        <w:spacing w:before="0"/>
        <w:jc w:val="left"/>
        <w:rPr>
          <w:b/>
          <w:bCs/>
          <w:color w:val="000000"/>
          <w:sz w:val="22"/>
          <w:szCs w:val="22"/>
          <w:lang w:val="cs-CZ"/>
        </w:rPr>
      </w:pPr>
      <w:r w:rsidRPr="00F25A60">
        <w:rPr>
          <w:b/>
          <w:bCs/>
          <w:color w:val="000000"/>
          <w:sz w:val="22"/>
          <w:szCs w:val="22"/>
          <w:lang w:val="cs-CZ"/>
        </w:rPr>
        <w:t xml:space="preserve">Jestliže jste zapomněl(a) užít </w:t>
      </w:r>
      <w:ins w:id="434" w:author="Author">
        <w:r w:rsidR="002A7DAA">
          <w:rPr>
            <w:b/>
            <w:bCs/>
            <w:color w:val="000000"/>
            <w:sz w:val="22"/>
            <w:szCs w:val="22"/>
            <w:lang w:val="cs-CZ"/>
          </w:rPr>
          <w:t xml:space="preserve">přípravek </w:t>
        </w:r>
      </w:ins>
      <w:r w:rsidRPr="00F25A60">
        <w:rPr>
          <w:b/>
          <w:bCs/>
          <w:color w:val="000000"/>
          <w:sz w:val="22"/>
          <w:szCs w:val="22"/>
          <w:lang w:val="cs-CZ"/>
        </w:rPr>
        <w:t>Glivec</w:t>
      </w:r>
    </w:p>
    <w:p w14:paraId="71650B6C" w14:textId="77777777" w:rsidR="00E61A01" w:rsidRPr="00F25A60" w:rsidRDefault="00E61A01" w:rsidP="005C56E6">
      <w:pPr>
        <w:pStyle w:val="Text"/>
        <w:widowControl w:val="0"/>
        <w:spacing w:before="0"/>
        <w:ind w:left="600" w:hanging="600"/>
        <w:jc w:val="left"/>
        <w:rPr>
          <w:color w:val="000000"/>
          <w:sz w:val="22"/>
          <w:szCs w:val="22"/>
          <w:lang w:val="cs-CZ"/>
        </w:rPr>
      </w:pPr>
      <w:r w:rsidRPr="00F25A60">
        <w:rPr>
          <w:color w:val="000000"/>
          <w:sz w:val="22"/>
          <w:szCs w:val="22"/>
          <w:lang w:val="cs-CZ"/>
        </w:rPr>
        <w:t>-</w:t>
      </w:r>
      <w:r w:rsidRPr="00F25A60">
        <w:rPr>
          <w:color w:val="000000"/>
          <w:sz w:val="22"/>
          <w:szCs w:val="22"/>
          <w:lang w:val="cs-CZ"/>
        </w:rPr>
        <w:tab/>
        <w:t>Jestliže jste zapomněl</w:t>
      </w:r>
      <w:r w:rsidR="00517330" w:rsidRPr="00F25A60">
        <w:rPr>
          <w:color w:val="000000"/>
          <w:sz w:val="22"/>
          <w:szCs w:val="22"/>
          <w:lang w:val="cs-CZ"/>
        </w:rPr>
        <w:t>(a)</w:t>
      </w:r>
      <w:r w:rsidRPr="00F25A60">
        <w:rPr>
          <w:color w:val="000000"/>
          <w:sz w:val="22"/>
          <w:szCs w:val="22"/>
          <w:lang w:val="cs-CZ"/>
        </w:rPr>
        <w:t xml:space="preserve"> užít dávku, užijte ji ihned, jakmile si vzpomenete. Pokud se však blíží doba další dávky, vynechte zapomenutou dávku.</w:t>
      </w:r>
    </w:p>
    <w:p w14:paraId="4C743495" w14:textId="77777777" w:rsidR="00E61A01" w:rsidRPr="00F25A60" w:rsidRDefault="00E61A01" w:rsidP="005C56E6">
      <w:pPr>
        <w:pStyle w:val="Text"/>
        <w:widowControl w:val="0"/>
        <w:spacing w:before="0"/>
        <w:jc w:val="left"/>
        <w:rPr>
          <w:color w:val="000000"/>
          <w:sz w:val="22"/>
          <w:szCs w:val="22"/>
          <w:lang w:val="cs-CZ"/>
        </w:rPr>
      </w:pPr>
      <w:r w:rsidRPr="00F25A60">
        <w:rPr>
          <w:color w:val="000000"/>
          <w:sz w:val="22"/>
          <w:szCs w:val="22"/>
          <w:lang w:val="cs-CZ"/>
        </w:rPr>
        <w:t>-</w:t>
      </w:r>
      <w:r w:rsidRPr="00F25A60">
        <w:rPr>
          <w:color w:val="000000"/>
          <w:sz w:val="22"/>
          <w:szCs w:val="22"/>
          <w:lang w:val="cs-CZ"/>
        </w:rPr>
        <w:tab/>
        <w:t>Poté pokračujte v obvyklém rozvrhu.</w:t>
      </w:r>
    </w:p>
    <w:p w14:paraId="211205D5" w14:textId="77777777" w:rsidR="00E61A01" w:rsidRPr="00F25A60" w:rsidRDefault="00E61A01" w:rsidP="005C56E6">
      <w:pPr>
        <w:pStyle w:val="Text"/>
        <w:widowControl w:val="0"/>
        <w:spacing w:before="0"/>
        <w:jc w:val="left"/>
        <w:rPr>
          <w:color w:val="000000"/>
          <w:sz w:val="22"/>
          <w:szCs w:val="22"/>
          <w:lang w:val="cs-CZ"/>
        </w:rPr>
      </w:pPr>
      <w:r w:rsidRPr="00F25A60">
        <w:rPr>
          <w:color w:val="000000"/>
          <w:sz w:val="22"/>
          <w:szCs w:val="22"/>
          <w:lang w:val="cs-CZ"/>
        </w:rPr>
        <w:t>-</w:t>
      </w:r>
      <w:r w:rsidRPr="00F25A60">
        <w:rPr>
          <w:color w:val="000000"/>
          <w:sz w:val="22"/>
          <w:szCs w:val="22"/>
          <w:lang w:val="cs-CZ"/>
        </w:rPr>
        <w:tab/>
        <w:t>Nezdvoj</w:t>
      </w:r>
      <w:r w:rsidR="0064015F" w:rsidRPr="00F25A60">
        <w:rPr>
          <w:color w:val="000000"/>
          <w:sz w:val="22"/>
          <w:szCs w:val="22"/>
          <w:lang w:val="cs-CZ"/>
        </w:rPr>
        <w:t>násob</w:t>
      </w:r>
      <w:r w:rsidRPr="00F25A60">
        <w:rPr>
          <w:color w:val="000000"/>
          <w:sz w:val="22"/>
          <w:szCs w:val="22"/>
          <w:lang w:val="cs-CZ"/>
        </w:rPr>
        <w:t>ujte následující dávku, abyste nahradil(a) vynechanou dávku.</w:t>
      </w:r>
    </w:p>
    <w:p w14:paraId="4B767DB7" w14:textId="77777777" w:rsidR="00E61A01" w:rsidRPr="00F25A60" w:rsidRDefault="00E61A01" w:rsidP="005C56E6">
      <w:pPr>
        <w:pStyle w:val="Text"/>
        <w:widowControl w:val="0"/>
        <w:spacing w:before="0"/>
        <w:jc w:val="left"/>
        <w:rPr>
          <w:color w:val="000000"/>
          <w:sz w:val="22"/>
          <w:szCs w:val="22"/>
          <w:lang w:val="cs-CZ"/>
        </w:rPr>
      </w:pPr>
    </w:p>
    <w:p w14:paraId="1BC1BE4F" w14:textId="77777777" w:rsidR="00E61A01" w:rsidRPr="00F25A60" w:rsidRDefault="00E61A01" w:rsidP="005C56E6">
      <w:pPr>
        <w:pStyle w:val="Text"/>
        <w:widowControl w:val="0"/>
        <w:spacing w:before="0"/>
        <w:jc w:val="left"/>
        <w:rPr>
          <w:color w:val="000000"/>
          <w:sz w:val="22"/>
          <w:szCs w:val="22"/>
          <w:lang w:val="cs-CZ"/>
        </w:rPr>
      </w:pPr>
      <w:r w:rsidRPr="00F25A60">
        <w:rPr>
          <w:color w:val="000000"/>
          <w:sz w:val="22"/>
          <w:szCs w:val="22"/>
          <w:lang w:val="cs-CZ"/>
        </w:rPr>
        <w:t>Máte-li jakékoli další otázky týkající se užívání tohoto přípravku, zeptejte se svého lékaře</w:t>
      </w:r>
      <w:r w:rsidR="0064015F" w:rsidRPr="00F25A60">
        <w:rPr>
          <w:color w:val="000000"/>
          <w:sz w:val="22"/>
          <w:szCs w:val="22"/>
          <w:lang w:val="cs-CZ"/>
        </w:rPr>
        <w:t>,</w:t>
      </w:r>
      <w:r w:rsidRPr="00F25A60">
        <w:rPr>
          <w:color w:val="000000"/>
          <w:sz w:val="22"/>
          <w:szCs w:val="22"/>
          <w:lang w:val="cs-CZ"/>
        </w:rPr>
        <w:t xml:space="preserve"> lékárníka</w:t>
      </w:r>
      <w:r w:rsidR="0064015F" w:rsidRPr="00F25A60">
        <w:rPr>
          <w:color w:val="000000"/>
          <w:sz w:val="22"/>
          <w:szCs w:val="22"/>
          <w:lang w:val="cs-CZ"/>
        </w:rPr>
        <w:t xml:space="preserve"> nebo zdravotní sestry</w:t>
      </w:r>
      <w:r w:rsidRPr="00F25A60">
        <w:rPr>
          <w:color w:val="000000"/>
          <w:sz w:val="22"/>
          <w:szCs w:val="22"/>
          <w:lang w:val="cs-CZ"/>
        </w:rPr>
        <w:t>.</w:t>
      </w:r>
    </w:p>
    <w:p w14:paraId="72AE9498" w14:textId="77777777" w:rsidR="00E61A01" w:rsidRPr="00F25A60" w:rsidRDefault="00E61A01" w:rsidP="005C56E6">
      <w:pPr>
        <w:widowControl w:val="0"/>
        <w:tabs>
          <w:tab w:val="clear" w:pos="567"/>
        </w:tabs>
        <w:spacing w:line="240" w:lineRule="auto"/>
        <w:ind w:right="-2"/>
        <w:rPr>
          <w:color w:val="000000"/>
        </w:rPr>
      </w:pPr>
    </w:p>
    <w:p w14:paraId="2E877864" w14:textId="77777777" w:rsidR="00E61A01" w:rsidRPr="00F25A60" w:rsidRDefault="00E61A01" w:rsidP="005C56E6">
      <w:pPr>
        <w:widowControl w:val="0"/>
        <w:tabs>
          <w:tab w:val="clear" w:pos="567"/>
        </w:tabs>
        <w:spacing w:line="240" w:lineRule="auto"/>
        <w:ind w:right="-2"/>
        <w:rPr>
          <w:color w:val="000000"/>
        </w:rPr>
      </w:pPr>
    </w:p>
    <w:p w14:paraId="1E2260D5" w14:textId="77777777" w:rsidR="00EA5993" w:rsidRPr="00F25A60" w:rsidRDefault="00EA5993" w:rsidP="005C56E6">
      <w:pPr>
        <w:keepNext/>
        <w:widowControl w:val="0"/>
        <w:tabs>
          <w:tab w:val="clear" w:pos="567"/>
        </w:tabs>
        <w:spacing w:line="240" w:lineRule="auto"/>
        <w:ind w:left="567" w:right="-2" w:hanging="567"/>
        <w:rPr>
          <w:b/>
          <w:bCs/>
          <w:color w:val="000000"/>
        </w:rPr>
      </w:pPr>
      <w:r w:rsidRPr="00F25A60">
        <w:rPr>
          <w:b/>
          <w:bCs/>
          <w:color w:val="000000"/>
        </w:rPr>
        <w:t>4.</w:t>
      </w:r>
      <w:r w:rsidRPr="00F25A60">
        <w:rPr>
          <w:b/>
          <w:bCs/>
          <w:color w:val="000000"/>
        </w:rPr>
        <w:tab/>
        <w:t>Možné nežádoucí účinky</w:t>
      </w:r>
    </w:p>
    <w:p w14:paraId="27E99051" w14:textId="77777777" w:rsidR="00EA5993" w:rsidRPr="00F25A60" w:rsidRDefault="00EA5993" w:rsidP="005C56E6">
      <w:pPr>
        <w:pStyle w:val="Text"/>
        <w:keepNext/>
        <w:widowControl w:val="0"/>
        <w:spacing w:before="0"/>
        <w:jc w:val="left"/>
        <w:rPr>
          <w:color w:val="000000"/>
          <w:sz w:val="22"/>
          <w:szCs w:val="22"/>
          <w:lang w:val="cs-CZ"/>
        </w:rPr>
      </w:pPr>
    </w:p>
    <w:p w14:paraId="46522B19" w14:textId="77777777" w:rsidR="00EA5993" w:rsidRPr="00F25A60" w:rsidRDefault="00EA5993" w:rsidP="005C56E6">
      <w:pPr>
        <w:pStyle w:val="Text"/>
        <w:widowControl w:val="0"/>
        <w:spacing w:before="0"/>
        <w:jc w:val="left"/>
        <w:rPr>
          <w:color w:val="000000"/>
          <w:sz w:val="22"/>
          <w:szCs w:val="22"/>
          <w:lang w:val="cs-CZ"/>
        </w:rPr>
      </w:pPr>
      <w:r w:rsidRPr="00F25A60">
        <w:rPr>
          <w:color w:val="000000"/>
          <w:sz w:val="22"/>
          <w:szCs w:val="22"/>
          <w:lang w:val="cs-CZ"/>
        </w:rPr>
        <w:t xml:space="preserve">Podobně jako všechny léky může mít i tento přípravek nežádoucí účinky, které se ale nemusí vyskytnout u každého. </w:t>
      </w:r>
      <w:r w:rsidR="00F53030" w:rsidRPr="00F25A60">
        <w:rPr>
          <w:color w:val="000000"/>
          <w:sz w:val="22"/>
          <w:szCs w:val="22"/>
          <w:lang w:val="cs-CZ"/>
        </w:rPr>
        <w:t>J</w:t>
      </w:r>
      <w:r w:rsidRPr="00F25A60">
        <w:rPr>
          <w:color w:val="000000"/>
          <w:sz w:val="22"/>
          <w:szCs w:val="22"/>
          <w:lang w:val="cs-CZ"/>
        </w:rPr>
        <w:t xml:space="preserve">sou obvykle </w:t>
      </w:r>
      <w:r w:rsidR="00F53030" w:rsidRPr="00F25A60">
        <w:rPr>
          <w:color w:val="000000"/>
          <w:sz w:val="22"/>
          <w:szCs w:val="22"/>
          <w:lang w:val="cs-CZ"/>
        </w:rPr>
        <w:t>lehké</w:t>
      </w:r>
      <w:r w:rsidRPr="00F25A60">
        <w:rPr>
          <w:color w:val="000000"/>
          <w:sz w:val="22"/>
          <w:szCs w:val="22"/>
          <w:lang w:val="cs-CZ"/>
        </w:rPr>
        <w:t xml:space="preserve"> až středně </w:t>
      </w:r>
      <w:r w:rsidR="00F53030" w:rsidRPr="00F25A60">
        <w:rPr>
          <w:color w:val="000000"/>
          <w:sz w:val="22"/>
          <w:szCs w:val="22"/>
          <w:lang w:val="cs-CZ"/>
        </w:rPr>
        <w:t>těžké</w:t>
      </w:r>
      <w:r w:rsidRPr="00F25A60">
        <w:rPr>
          <w:color w:val="000000"/>
          <w:sz w:val="22"/>
          <w:szCs w:val="22"/>
          <w:lang w:val="cs-CZ"/>
        </w:rPr>
        <w:t>.</w:t>
      </w:r>
    </w:p>
    <w:p w14:paraId="594C3659" w14:textId="77777777" w:rsidR="00EA5993" w:rsidRPr="00F25A60" w:rsidRDefault="00EA5993" w:rsidP="00C23DAE">
      <w:pPr>
        <w:pStyle w:val="CommentText"/>
        <w:widowControl w:val="0"/>
        <w:spacing w:line="240" w:lineRule="auto"/>
        <w:rPr>
          <w:color w:val="000000"/>
          <w:sz w:val="22"/>
          <w:szCs w:val="22"/>
        </w:rPr>
      </w:pPr>
    </w:p>
    <w:p w14:paraId="5BCDCD1F" w14:textId="77777777" w:rsidR="00EA5993" w:rsidRPr="005C56E6" w:rsidRDefault="00EA5993" w:rsidP="00C23DAE">
      <w:pPr>
        <w:keepNext/>
        <w:spacing w:line="240" w:lineRule="auto"/>
        <w:rPr>
          <w:b/>
          <w:bCs/>
        </w:rPr>
      </w:pPr>
      <w:r w:rsidRPr="005C56E6">
        <w:rPr>
          <w:b/>
          <w:bCs/>
        </w:rPr>
        <w:lastRenderedPageBreak/>
        <w:t xml:space="preserve">Některé nežádoucí účinky mohou být závažné. Informujte okamžitě svého lékaře, pokud se u Vás </w:t>
      </w:r>
      <w:r w:rsidR="00F53030" w:rsidRPr="005C56E6">
        <w:rPr>
          <w:b/>
          <w:bCs/>
        </w:rPr>
        <w:t>ob</w:t>
      </w:r>
      <w:r w:rsidRPr="005C56E6">
        <w:rPr>
          <w:b/>
          <w:bCs/>
        </w:rPr>
        <w:t>jeví.</w:t>
      </w:r>
    </w:p>
    <w:p w14:paraId="01430179" w14:textId="77777777" w:rsidR="00EA5993" w:rsidRPr="00F25A60" w:rsidRDefault="00EA5993" w:rsidP="00C23DAE">
      <w:pPr>
        <w:keepNext/>
        <w:widowControl w:val="0"/>
        <w:spacing w:line="240" w:lineRule="auto"/>
        <w:rPr>
          <w:color w:val="000000"/>
        </w:rPr>
      </w:pPr>
    </w:p>
    <w:p w14:paraId="029C1EF5" w14:textId="77777777" w:rsidR="00EA5993" w:rsidRPr="00F25A60" w:rsidRDefault="00EA5993" w:rsidP="005E6174">
      <w:pPr>
        <w:keepNext/>
        <w:keepLines/>
        <w:widowControl w:val="0"/>
        <w:spacing w:line="240" w:lineRule="auto"/>
        <w:rPr>
          <w:bCs/>
          <w:color w:val="000000"/>
        </w:rPr>
      </w:pPr>
      <w:r w:rsidRPr="00F25A60">
        <w:rPr>
          <w:b/>
          <w:bCs/>
          <w:color w:val="000000"/>
        </w:rPr>
        <w:t>Velmi časté</w:t>
      </w:r>
      <w:r w:rsidRPr="00F25A60">
        <w:rPr>
          <w:bCs/>
          <w:color w:val="000000"/>
        </w:rPr>
        <w:t xml:space="preserve"> (mohou postihnout více než 1 z 10 lidí) </w:t>
      </w:r>
      <w:r w:rsidRPr="00F25A60">
        <w:rPr>
          <w:b/>
          <w:bCs/>
          <w:color w:val="000000"/>
        </w:rPr>
        <w:t xml:space="preserve">nebo časté nežádoucí účinky </w:t>
      </w:r>
      <w:r w:rsidRPr="00F25A60">
        <w:rPr>
          <w:bCs/>
          <w:color w:val="000000"/>
        </w:rPr>
        <w:t>(mohou postihnout až 1 z 10 lidí):</w:t>
      </w:r>
    </w:p>
    <w:p w14:paraId="3A5C3F9F" w14:textId="77777777" w:rsidR="00EA5993" w:rsidRPr="00F25A60" w:rsidRDefault="00EA5993" w:rsidP="005E6174">
      <w:pPr>
        <w:pStyle w:val="Text"/>
        <w:keepNext/>
        <w:keepLines/>
        <w:widowControl w:val="0"/>
        <w:numPr>
          <w:ilvl w:val="0"/>
          <w:numId w:val="3"/>
        </w:numPr>
        <w:tabs>
          <w:tab w:val="clear" w:pos="360"/>
        </w:tabs>
        <w:spacing w:before="0"/>
        <w:ind w:left="567" w:hanging="567"/>
        <w:jc w:val="left"/>
        <w:rPr>
          <w:color w:val="000000"/>
          <w:sz w:val="22"/>
          <w:szCs w:val="22"/>
          <w:lang w:val="cs-CZ"/>
        </w:rPr>
      </w:pPr>
      <w:r w:rsidRPr="00F25A60">
        <w:rPr>
          <w:color w:val="000000"/>
          <w:sz w:val="22"/>
          <w:szCs w:val="22"/>
          <w:lang w:val="cs-CZ"/>
        </w:rPr>
        <w:t xml:space="preserve">Rychlý </w:t>
      </w:r>
      <w:r w:rsidR="00F53030" w:rsidRPr="00F25A60">
        <w:rPr>
          <w:color w:val="000000"/>
          <w:sz w:val="22"/>
          <w:szCs w:val="22"/>
          <w:lang w:val="cs-CZ"/>
        </w:rPr>
        <w:t>nárůst tělesné hmotnosti</w:t>
      </w:r>
      <w:r w:rsidRPr="00F25A60">
        <w:rPr>
          <w:color w:val="000000"/>
          <w:sz w:val="22"/>
          <w:szCs w:val="22"/>
          <w:lang w:val="cs-CZ"/>
        </w:rPr>
        <w:t>. Glivec může způsobit zadržování vody v těle (závažná retence tekutin).</w:t>
      </w:r>
    </w:p>
    <w:p w14:paraId="000198F5" w14:textId="77777777" w:rsidR="00EA5993" w:rsidRPr="00F25A60" w:rsidRDefault="00EA5993" w:rsidP="005C56E6">
      <w:pPr>
        <w:pStyle w:val="Text"/>
        <w:widowControl w:val="0"/>
        <w:numPr>
          <w:ilvl w:val="0"/>
          <w:numId w:val="3"/>
        </w:numPr>
        <w:tabs>
          <w:tab w:val="clear" w:pos="360"/>
        </w:tabs>
        <w:spacing w:before="0"/>
        <w:ind w:left="567" w:hanging="567"/>
        <w:jc w:val="left"/>
        <w:rPr>
          <w:color w:val="000000"/>
          <w:sz w:val="22"/>
          <w:szCs w:val="22"/>
          <w:lang w:val="cs-CZ"/>
        </w:rPr>
      </w:pPr>
      <w:r w:rsidRPr="00F25A60">
        <w:rPr>
          <w:color w:val="000000"/>
          <w:sz w:val="22"/>
          <w:szCs w:val="22"/>
          <w:lang w:val="cs-CZ"/>
        </w:rPr>
        <w:t>Příznaky infekce, jako je horečka, silná zimnice, bolest v krku nebo vř</w:t>
      </w:r>
      <w:r w:rsidR="000461A1" w:rsidRPr="00F25A60">
        <w:rPr>
          <w:color w:val="000000"/>
          <w:sz w:val="22"/>
          <w:szCs w:val="22"/>
          <w:lang w:val="cs-CZ"/>
        </w:rPr>
        <w:t>edy</w:t>
      </w:r>
      <w:r w:rsidRPr="00F25A60">
        <w:rPr>
          <w:color w:val="000000"/>
          <w:sz w:val="22"/>
          <w:szCs w:val="22"/>
          <w:lang w:val="cs-CZ"/>
        </w:rPr>
        <w:t xml:space="preserve"> v ústech. Glivec může snižovat počet bílých krvinek v krvi, a tak u Vás může snáze dojít k infekci.</w:t>
      </w:r>
    </w:p>
    <w:p w14:paraId="5855A03B" w14:textId="77777777" w:rsidR="00EA5993" w:rsidRPr="00F25A60" w:rsidRDefault="00EA5993" w:rsidP="005C56E6">
      <w:pPr>
        <w:pStyle w:val="Text"/>
        <w:widowControl w:val="0"/>
        <w:numPr>
          <w:ilvl w:val="0"/>
          <w:numId w:val="3"/>
        </w:numPr>
        <w:tabs>
          <w:tab w:val="clear" w:pos="360"/>
        </w:tabs>
        <w:spacing w:before="0"/>
        <w:ind w:left="567" w:hanging="567"/>
        <w:jc w:val="left"/>
        <w:rPr>
          <w:color w:val="000000"/>
          <w:sz w:val="22"/>
          <w:szCs w:val="22"/>
          <w:lang w:val="cs-CZ"/>
        </w:rPr>
      </w:pPr>
      <w:r w:rsidRPr="00F25A60">
        <w:rPr>
          <w:color w:val="000000"/>
          <w:sz w:val="22"/>
          <w:szCs w:val="22"/>
          <w:lang w:val="cs-CZ"/>
        </w:rPr>
        <w:t xml:space="preserve">Neočekávané krvácení nebo výskyt modřin (bez </w:t>
      </w:r>
      <w:r w:rsidR="000461A1" w:rsidRPr="00F25A60">
        <w:rPr>
          <w:color w:val="000000"/>
          <w:sz w:val="22"/>
          <w:szCs w:val="22"/>
          <w:lang w:val="cs-CZ"/>
        </w:rPr>
        <w:t>toho, abyste se poranila(a)</w:t>
      </w:r>
      <w:r w:rsidRPr="00F25A60">
        <w:rPr>
          <w:color w:val="000000"/>
          <w:sz w:val="22"/>
          <w:szCs w:val="22"/>
          <w:lang w:val="cs-CZ"/>
        </w:rPr>
        <w:t>).</w:t>
      </w:r>
    </w:p>
    <w:p w14:paraId="67F0DE3C" w14:textId="77777777" w:rsidR="00EA5993" w:rsidRPr="00F25A60" w:rsidRDefault="00EA5993" w:rsidP="005C56E6">
      <w:pPr>
        <w:pStyle w:val="Text"/>
        <w:widowControl w:val="0"/>
        <w:spacing w:before="0"/>
        <w:jc w:val="left"/>
        <w:rPr>
          <w:color w:val="000000"/>
          <w:sz w:val="22"/>
          <w:szCs w:val="22"/>
          <w:lang w:val="cs-CZ"/>
        </w:rPr>
      </w:pPr>
    </w:p>
    <w:p w14:paraId="1E8A9398" w14:textId="1339FCE4" w:rsidR="00EA5993" w:rsidRPr="00F25A60" w:rsidRDefault="00EA5993" w:rsidP="005C56E6">
      <w:pPr>
        <w:pStyle w:val="Text"/>
        <w:keepNext/>
        <w:keepLines/>
        <w:widowControl w:val="0"/>
        <w:spacing w:before="0"/>
        <w:jc w:val="left"/>
        <w:rPr>
          <w:bCs/>
          <w:color w:val="000000"/>
          <w:sz w:val="22"/>
          <w:szCs w:val="22"/>
          <w:lang w:val="cs-CZ"/>
        </w:rPr>
      </w:pPr>
      <w:r w:rsidRPr="00F25A60">
        <w:rPr>
          <w:b/>
          <w:bCs/>
          <w:color w:val="000000"/>
          <w:sz w:val="22"/>
          <w:szCs w:val="22"/>
          <w:lang w:val="cs-CZ"/>
        </w:rPr>
        <w:t xml:space="preserve">Méně časté </w:t>
      </w:r>
      <w:r w:rsidRPr="00F25A60">
        <w:rPr>
          <w:bCs/>
          <w:color w:val="000000"/>
          <w:sz w:val="22"/>
          <w:szCs w:val="22"/>
          <w:lang w:val="cs-CZ"/>
        </w:rPr>
        <w:t xml:space="preserve">(mohou postihnout až 1 ze 100 lidí) </w:t>
      </w:r>
      <w:r w:rsidRPr="00F25A60">
        <w:rPr>
          <w:b/>
          <w:bCs/>
          <w:color w:val="000000"/>
          <w:sz w:val="22"/>
          <w:szCs w:val="22"/>
          <w:lang w:val="cs-CZ"/>
        </w:rPr>
        <w:t xml:space="preserve">nebo vzácné nežádoucí účinky </w:t>
      </w:r>
      <w:r w:rsidRPr="00F25A60">
        <w:rPr>
          <w:bCs/>
          <w:color w:val="000000"/>
          <w:sz w:val="22"/>
          <w:szCs w:val="22"/>
          <w:lang w:val="cs-CZ"/>
        </w:rPr>
        <w:t>(mohou postihnout až 1 z 1</w:t>
      </w:r>
      <w:ins w:id="435" w:author="Author">
        <w:r w:rsidR="001D233A">
          <w:rPr>
            <w:bCs/>
            <w:color w:val="000000"/>
            <w:sz w:val="22"/>
            <w:szCs w:val="22"/>
            <w:lang w:val="cs-CZ"/>
          </w:rPr>
          <w:t> </w:t>
        </w:r>
      </w:ins>
      <w:r w:rsidRPr="00F25A60">
        <w:rPr>
          <w:bCs/>
          <w:color w:val="000000"/>
          <w:sz w:val="22"/>
          <w:szCs w:val="22"/>
          <w:lang w:val="cs-CZ"/>
        </w:rPr>
        <w:t>000 lidí):</w:t>
      </w:r>
    </w:p>
    <w:p w14:paraId="454CE1FF" w14:textId="77777777" w:rsidR="00EA5993" w:rsidRPr="00F25A60" w:rsidRDefault="00EA5993" w:rsidP="005C56E6">
      <w:pPr>
        <w:pStyle w:val="Text"/>
        <w:widowControl w:val="0"/>
        <w:numPr>
          <w:ilvl w:val="0"/>
          <w:numId w:val="3"/>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Bolest na hrudi, nepravidelný srdeční tep (</w:t>
      </w:r>
      <w:r w:rsidR="000461A1" w:rsidRPr="00F25A60">
        <w:rPr>
          <w:color w:val="000000"/>
          <w:sz w:val="22"/>
          <w:szCs w:val="22"/>
          <w:lang w:val="cs-CZ"/>
        </w:rPr>
        <w:t xml:space="preserve">známky </w:t>
      </w:r>
      <w:r w:rsidRPr="00F25A60">
        <w:rPr>
          <w:color w:val="000000"/>
          <w:sz w:val="22"/>
          <w:szCs w:val="22"/>
          <w:lang w:val="cs-CZ"/>
        </w:rPr>
        <w:t>srdečních potíží).</w:t>
      </w:r>
    </w:p>
    <w:p w14:paraId="3186BAD2" w14:textId="77777777" w:rsidR="00EA5993" w:rsidRPr="00F25A60" w:rsidRDefault="00EA5993" w:rsidP="005C56E6">
      <w:pPr>
        <w:pStyle w:val="Text"/>
        <w:widowControl w:val="0"/>
        <w:numPr>
          <w:ilvl w:val="0"/>
          <w:numId w:val="3"/>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Kašel, ztížené nebo bolestivé dýchání (</w:t>
      </w:r>
      <w:r w:rsidR="000461A1" w:rsidRPr="00F25A60">
        <w:rPr>
          <w:color w:val="000000"/>
          <w:sz w:val="22"/>
          <w:szCs w:val="22"/>
          <w:lang w:val="cs-CZ"/>
        </w:rPr>
        <w:t>známky</w:t>
      </w:r>
      <w:r w:rsidRPr="00F25A60">
        <w:rPr>
          <w:color w:val="000000"/>
          <w:sz w:val="22"/>
          <w:szCs w:val="22"/>
          <w:lang w:val="cs-CZ"/>
        </w:rPr>
        <w:t xml:space="preserve"> plicních potíží).</w:t>
      </w:r>
    </w:p>
    <w:p w14:paraId="18B9D332" w14:textId="77777777" w:rsidR="00EA5993" w:rsidRPr="00F25A60" w:rsidRDefault="00EA5993" w:rsidP="005C56E6">
      <w:pPr>
        <w:pStyle w:val="Text"/>
        <w:widowControl w:val="0"/>
        <w:numPr>
          <w:ilvl w:val="0"/>
          <w:numId w:val="3"/>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Točení hlavy, závratě nebo mdloby (</w:t>
      </w:r>
      <w:r w:rsidR="000461A1" w:rsidRPr="00F25A60">
        <w:rPr>
          <w:color w:val="000000"/>
          <w:sz w:val="22"/>
          <w:szCs w:val="22"/>
          <w:lang w:val="cs-CZ"/>
        </w:rPr>
        <w:t>známky</w:t>
      </w:r>
      <w:r w:rsidRPr="00F25A60">
        <w:rPr>
          <w:color w:val="000000"/>
          <w:sz w:val="22"/>
          <w:szCs w:val="22"/>
          <w:lang w:val="cs-CZ"/>
        </w:rPr>
        <w:t xml:space="preserve"> nízkého krevního tlaku).</w:t>
      </w:r>
    </w:p>
    <w:p w14:paraId="2BE7F4E4" w14:textId="77777777" w:rsidR="00EA5993" w:rsidRPr="00F25A60" w:rsidRDefault="000461A1" w:rsidP="005C56E6">
      <w:pPr>
        <w:pStyle w:val="Text"/>
        <w:widowControl w:val="0"/>
        <w:numPr>
          <w:ilvl w:val="0"/>
          <w:numId w:val="8"/>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Nevolnost (p</w:t>
      </w:r>
      <w:r w:rsidR="00EA5993" w:rsidRPr="00F25A60">
        <w:rPr>
          <w:color w:val="000000"/>
          <w:sz w:val="22"/>
          <w:szCs w:val="22"/>
          <w:lang w:val="cs-CZ"/>
        </w:rPr>
        <w:t>ocit na zvracení</w:t>
      </w:r>
      <w:r w:rsidRPr="00F25A60">
        <w:rPr>
          <w:color w:val="000000"/>
          <w:sz w:val="22"/>
          <w:szCs w:val="22"/>
          <w:lang w:val="cs-CZ"/>
        </w:rPr>
        <w:t>)</w:t>
      </w:r>
      <w:r w:rsidR="00EA5993" w:rsidRPr="00F25A60">
        <w:rPr>
          <w:color w:val="000000"/>
          <w:sz w:val="22"/>
          <w:szCs w:val="22"/>
          <w:lang w:val="cs-CZ"/>
        </w:rPr>
        <w:t>, se ztrátou chuti k jídlu, tmavě zabarvená moč, žloutnutí kůže nebo očního bělma (</w:t>
      </w:r>
      <w:r w:rsidRPr="00F25A60">
        <w:rPr>
          <w:color w:val="000000"/>
          <w:sz w:val="22"/>
          <w:szCs w:val="22"/>
          <w:lang w:val="cs-CZ"/>
        </w:rPr>
        <w:t>známky</w:t>
      </w:r>
      <w:r w:rsidR="00EA5993" w:rsidRPr="00F25A60">
        <w:rPr>
          <w:color w:val="000000"/>
          <w:sz w:val="22"/>
          <w:szCs w:val="22"/>
          <w:lang w:val="cs-CZ"/>
        </w:rPr>
        <w:t xml:space="preserve"> jaterních potíží).</w:t>
      </w:r>
    </w:p>
    <w:p w14:paraId="7CAA8C7E" w14:textId="77777777" w:rsidR="00EA5993" w:rsidRPr="00F25A60" w:rsidRDefault="00EA5993" w:rsidP="005C56E6">
      <w:pPr>
        <w:pStyle w:val="Text"/>
        <w:widowControl w:val="0"/>
        <w:numPr>
          <w:ilvl w:val="0"/>
          <w:numId w:val="8"/>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 xml:space="preserve">Vyrážka, červená kůže s puchýřky na rtech, očích, kůži nebo v ústech, olupování kůže, horečka, </w:t>
      </w:r>
      <w:r w:rsidR="000461A1" w:rsidRPr="00F25A60">
        <w:rPr>
          <w:color w:val="000000"/>
          <w:sz w:val="22"/>
          <w:szCs w:val="22"/>
          <w:lang w:val="cs-CZ"/>
        </w:rPr>
        <w:t>vystouplá červená</w:t>
      </w:r>
      <w:r w:rsidRPr="00F25A60">
        <w:rPr>
          <w:color w:val="000000"/>
          <w:sz w:val="22"/>
          <w:szCs w:val="22"/>
          <w:lang w:val="cs-CZ"/>
        </w:rPr>
        <w:t xml:space="preserve"> nebo nachová místa na kůži, svědění, pocit pálení, puchýřkovitá vyrážka (</w:t>
      </w:r>
      <w:r w:rsidR="000461A1" w:rsidRPr="00F25A60">
        <w:rPr>
          <w:color w:val="000000"/>
          <w:sz w:val="22"/>
          <w:szCs w:val="22"/>
          <w:lang w:val="cs-CZ"/>
        </w:rPr>
        <w:t>známky</w:t>
      </w:r>
      <w:r w:rsidRPr="00F25A60">
        <w:rPr>
          <w:color w:val="000000"/>
          <w:sz w:val="22"/>
          <w:szCs w:val="22"/>
          <w:lang w:val="cs-CZ"/>
        </w:rPr>
        <w:t xml:space="preserve"> kožních potíží).</w:t>
      </w:r>
    </w:p>
    <w:p w14:paraId="35DCAA6C" w14:textId="77777777" w:rsidR="00EA5993" w:rsidRPr="00F25A60" w:rsidRDefault="00EA5993" w:rsidP="005C56E6">
      <w:pPr>
        <w:pStyle w:val="Text"/>
        <w:widowControl w:val="0"/>
        <w:numPr>
          <w:ilvl w:val="0"/>
          <w:numId w:val="8"/>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Siln</w:t>
      </w:r>
      <w:r w:rsidR="000461A1" w:rsidRPr="00F25A60">
        <w:rPr>
          <w:color w:val="000000"/>
          <w:sz w:val="22"/>
          <w:szCs w:val="22"/>
          <w:lang w:val="cs-CZ"/>
        </w:rPr>
        <w:t>á</w:t>
      </w:r>
      <w:r w:rsidRPr="00F25A60">
        <w:rPr>
          <w:color w:val="000000"/>
          <w:sz w:val="22"/>
          <w:szCs w:val="22"/>
          <w:lang w:val="cs-CZ"/>
        </w:rPr>
        <w:t xml:space="preserve"> bolest břicha, krev ve zvratcích, stolici nebo v moči, černá stolice (</w:t>
      </w:r>
      <w:r w:rsidR="000461A1" w:rsidRPr="00F25A60">
        <w:rPr>
          <w:color w:val="000000"/>
          <w:sz w:val="22"/>
          <w:szCs w:val="22"/>
          <w:lang w:val="cs-CZ"/>
        </w:rPr>
        <w:t>známky</w:t>
      </w:r>
      <w:r w:rsidRPr="00F25A60">
        <w:rPr>
          <w:color w:val="000000"/>
          <w:sz w:val="22"/>
          <w:szCs w:val="22"/>
          <w:lang w:val="cs-CZ"/>
        </w:rPr>
        <w:t xml:space="preserve"> potíží zažívacího traktu).</w:t>
      </w:r>
    </w:p>
    <w:p w14:paraId="6D82B365" w14:textId="77777777" w:rsidR="00EA5993" w:rsidRPr="00F25A60" w:rsidRDefault="00EA5993" w:rsidP="005C56E6">
      <w:pPr>
        <w:pStyle w:val="Text"/>
        <w:widowControl w:val="0"/>
        <w:numPr>
          <w:ilvl w:val="0"/>
          <w:numId w:val="8"/>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Závažný pokles výdeje moči, pocit žízně (</w:t>
      </w:r>
      <w:r w:rsidR="000461A1" w:rsidRPr="00F25A60">
        <w:rPr>
          <w:color w:val="000000"/>
          <w:sz w:val="22"/>
          <w:szCs w:val="22"/>
          <w:lang w:val="cs-CZ"/>
        </w:rPr>
        <w:t>známky</w:t>
      </w:r>
      <w:r w:rsidRPr="00F25A60">
        <w:rPr>
          <w:color w:val="000000"/>
          <w:sz w:val="22"/>
          <w:szCs w:val="22"/>
          <w:lang w:val="cs-CZ"/>
        </w:rPr>
        <w:t xml:space="preserve"> potíží ledvin).</w:t>
      </w:r>
    </w:p>
    <w:p w14:paraId="4A291271" w14:textId="77777777" w:rsidR="00EA5993" w:rsidRPr="00F25A60" w:rsidRDefault="000461A1" w:rsidP="005C56E6">
      <w:pPr>
        <w:pStyle w:val="Text"/>
        <w:widowControl w:val="0"/>
        <w:numPr>
          <w:ilvl w:val="0"/>
          <w:numId w:val="8"/>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N</w:t>
      </w:r>
      <w:r w:rsidR="00EA5993" w:rsidRPr="00F25A60">
        <w:rPr>
          <w:color w:val="000000"/>
          <w:sz w:val="22"/>
          <w:szCs w:val="22"/>
          <w:lang w:val="cs-CZ"/>
        </w:rPr>
        <w:t>evolnost (</w:t>
      </w:r>
      <w:r w:rsidRPr="00F25A60">
        <w:rPr>
          <w:color w:val="000000"/>
          <w:sz w:val="22"/>
          <w:szCs w:val="22"/>
          <w:lang w:val="cs-CZ"/>
        </w:rPr>
        <w:t>pocit na zvracení</w:t>
      </w:r>
      <w:r w:rsidR="00EA5993" w:rsidRPr="00F25A60">
        <w:rPr>
          <w:color w:val="000000"/>
          <w:sz w:val="22"/>
          <w:szCs w:val="22"/>
          <w:lang w:val="cs-CZ"/>
        </w:rPr>
        <w:t>) s průjmem a zvracením, bolest břicha nebo horečka (</w:t>
      </w:r>
      <w:r w:rsidRPr="00F25A60">
        <w:rPr>
          <w:color w:val="000000"/>
          <w:sz w:val="22"/>
          <w:szCs w:val="22"/>
          <w:lang w:val="cs-CZ"/>
        </w:rPr>
        <w:t>známky</w:t>
      </w:r>
      <w:r w:rsidR="00EA5993" w:rsidRPr="00F25A60">
        <w:rPr>
          <w:color w:val="000000"/>
          <w:sz w:val="22"/>
          <w:szCs w:val="22"/>
          <w:lang w:val="cs-CZ"/>
        </w:rPr>
        <w:t xml:space="preserve"> střevních potíží).</w:t>
      </w:r>
    </w:p>
    <w:p w14:paraId="24B5507E" w14:textId="77777777" w:rsidR="00EA5993" w:rsidRPr="00F25A60" w:rsidRDefault="00EA5993" w:rsidP="005C56E6">
      <w:pPr>
        <w:pStyle w:val="Text"/>
        <w:widowControl w:val="0"/>
        <w:numPr>
          <w:ilvl w:val="0"/>
          <w:numId w:val="8"/>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Silné bolesti hlavy, slabost nebo ochromení končetin nebo obličeje, potíže s mluvením, náhlá ztráta vědomí (příznaky potíží nervového systému jako je krvácení nebo otoky uvnitř lebky/mozku).</w:t>
      </w:r>
    </w:p>
    <w:p w14:paraId="5ADDCAA3" w14:textId="77777777" w:rsidR="00EA5993" w:rsidRPr="00F25A60" w:rsidRDefault="00EA5993" w:rsidP="005C56E6">
      <w:pPr>
        <w:pStyle w:val="Text"/>
        <w:widowControl w:val="0"/>
        <w:numPr>
          <w:ilvl w:val="0"/>
          <w:numId w:val="8"/>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Bledá kůže, pocit únavy a dušnost a tmavá moč (</w:t>
      </w:r>
      <w:r w:rsidR="000461A1" w:rsidRPr="00F25A60">
        <w:rPr>
          <w:color w:val="000000"/>
          <w:sz w:val="22"/>
          <w:szCs w:val="22"/>
          <w:lang w:val="cs-CZ"/>
        </w:rPr>
        <w:t>známky</w:t>
      </w:r>
      <w:r w:rsidRPr="00F25A60">
        <w:rPr>
          <w:color w:val="000000"/>
          <w:sz w:val="22"/>
          <w:szCs w:val="22"/>
          <w:lang w:val="cs-CZ"/>
        </w:rPr>
        <w:t xml:space="preserve"> </w:t>
      </w:r>
      <w:r w:rsidR="000461A1" w:rsidRPr="00F25A60">
        <w:rPr>
          <w:color w:val="000000"/>
          <w:sz w:val="22"/>
          <w:szCs w:val="22"/>
          <w:lang w:val="cs-CZ"/>
        </w:rPr>
        <w:t>nízkého</w:t>
      </w:r>
      <w:r w:rsidRPr="00F25A60">
        <w:rPr>
          <w:color w:val="000000"/>
          <w:sz w:val="22"/>
          <w:szCs w:val="22"/>
          <w:lang w:val="cs-CZ"/>
        </w:rPr>
        <w:t xml:space="preserve"> množství červených krvinek).</w:t>
      </w:r>
    </w:p>
    <w:p w14:paraId="09B3B964" w14:textId="77777777" w:rsidR="00EA5993" w:rsidRPr="00F25A60" w:rsidRDefault="00EA5993" w:rsidP="005C56E6">
      <w:pPr>
        <w:pStyle w:val="Text"/>
        <w:widowControl w:val="0"/>
        <w:numPr>
          <w:ilvl w:val="0"/>
          <w:numId w:val="8"/>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Bolest očí nebo zhoršené vidění, krvácení do očí.</w:t>
      </w:r>
    </w:p>
    <w:p w14:paraId="4EDBF390" w14:textId="1FA72DCC" w:rsidR="00EA5993" w:rsidRDefault="00EA5993" w:rsidP="005C56E6">
      <w:pPr>
        <w:pStyle w:val="Text"/>
        <w:widowControl w:val="0"/>
        <w:numPr>
          <w:ilvl w:val="0"/>
          <w:numId w:val="8"/>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 xml:space="preserve">Bolest </w:t>
      </w:r>
      <w:r w:rsidR="00207643">
        <w:rPr>
          <w:color w:val="000000"/>
          <w:sz w:val="22"/>
          <w:szCs w:val="22"/>
          <w:lang w:val="cs-CZ"/>
        </w:rPr>
        <w:t>kostí nebo kloubů (známky osteonekrózy)</w:t>
      </w:r>
      <w:r w:rsidRPr="00F25A60">
        <w:rPr>
          <w:color w:val="000000"/>
          <w:sz w:val="22"/>
          <w:szCs w:val="22"/>
          <w:lang w:val="cs-CZ"/>
        </w:rPr>
        <w:t>.</w:t>
      </w:r>
    </w:p>
    <w:p w14:paraId="2D2516AF" w14:textId="26697D23" w:rsidR="00207643" w:rsidRPr="00F25A60" w:rsidRDefault="00207643" w:rsidP="005C56E6">
      <w:pPr>
        <w:pStyle w:val="Text"/>
        <w:widowControl w:val="0"/>
        <w:numPr>
          <w:ilvl w:val="0"/>
          <w:numId w:val="8"/>
        </w:numPr>
        <w:tabs>
          <w:tab w:val="clear" w:pos="360"/>
          <w:tab w:val="clear" w:pos="567"/>
        </w:tabs>
        <w:spacing w:before="0"/>
        <w:ind w:left="567" w:hanging="567"/>
        <w:jc w:val="left"/>
        <w:rPr>
          <w:color w:val="000000"/>
          <w:sz w:val="22"/>
          <w:szCs w:val="22"/>
          <w:lang w:val="cs-CZ"/>
        </w:rPr>
      </w:pPr>
      <w:r>
        <w:rPr>
          <w:color w:val="000000"/>
          <w:sz w:val="22"/>
          <w:szCs w:val="22"/>
          <w:lang w:val="cs-CZ"/>
        </w:rPr>
        <w:t>Puchýře na kůži nebo sliznicích (známky pemfigu).</w:t>
      </w:r>
    </w:p>
    <w:p w14:paraId="671BCB07" w14:textId="77777777" w:rsidR="00EA5993" w:rsidRPr="00F25A60" w:rsidRDefault="00EA5993" w:rsidP="005C56E6">
      <w:pPr>
        <w:pStyle w:val="Text"/>
        <w:widowControl w:val="0"/>
        <w:numPr>
          <w:ilvl w:val="0"/>
          <w:numId w:val="8"/>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Necitlivé nebo studené prsty na rukou i nohou (</w:t>
      </w:r>
      <w:r w:rsidR="000461A1" w:rsidRPr="00F25A60">
        <w:rPr>
          <w:color w:val="000000"/>
          <w:sz w:val="22"/>
          <w:szCs w:val="22"/>
          <w:lang w:val="cs-CZ"/>
        </w:rPr>
        <w:t>známky</w:t>
      </w:r>
      <w:r w:rsidRPr="00F25A60">
        <w:rPr>
          <w:color w:val="000000"/>
          <w:sz w:val="22"/>
          <w:szCs w:val="22"/>
          <w:lang w:val="cs-CZ"/>
        </w:rPr>
        <w:t xml:space="preserve"> Raynaudova syndromu).</w:t>
      </w:r>
    </w:p>
    <w:p w14:paraId="3048C514" w14:textId="77777777" w:rsidR="00EA5993" w:rsidRPr="00F25A60" w:rsidRDefault="00EA5993" w:rsidP="005C56E6">
      <w:pPr>
        <w:pStyle w:val="Text"/>
        <w:widowControl w:val="0"/>
        <w:numPr>
          <w:ilvl w:val="0"/>
          <w:numId w:val="8"/>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Náhlé otoky a zčervenání kůže (</w:t>
      </w:r>
      <w:r w:rsidR="000461A1" w:rsidRPr="00F25A60">
        <w:rPr>
          <w:color w:val="000000"/>
          <w:sz w:val="22"/>
          <w:szCs w:val="22"/>
          <w:lang w:val="cs-CZ"/>
        </w:rPr>
        <w:t>známky</w:t>
      </w:r>
      <w:r w:rsidRPr="00F25A60">
        <w:rPr>
          <w:color w:val="000000"/>
          <w:sz w:val="22"/>
          <w:szCs w:val="22"/>
          <w:lang w:val="cs-CZ"/>
        </w:rPr>
        <w:t xml:space="preserve"> kožní infekce zvané celulitida).</w:t>
      </w:r>
    </w:p>
    <w:p w14:paraId="72BD5B91" w14:textId="77777777" w:rsidR="00EA5993" w:rsidRPr="00F25A60" w:rsidRDefault="00EA5993" w:rsidP="005C56E6">
      <w:pPr>
        <w:pStyle w:val="Text"/>
        <w:widowControl w:val="0"/>
        <w:numPr>
          <w:ilvl w:val="0"/>
          <w:numId w:val="8"/>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Potíže se sluchem.</w:t>
      </w:r>
    </w:p>
    <w:p w14:paraId="656EB891" w14:textId="77777777" w:rsidR="00EA5993" w:rsidRPr="00F25A60" w:rsidRDefault="00EA5993" w:rsidP="005C56E6">
      <w:pPr>
        <w:pStyle w:val="Text"/>
        <w:widowControl w:val="0"/>
        <w:numPr>
          <w:ilvl w:val="0"/>
          <w:numId w:val="8"/>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Svalová slabost a svalové křeče s abnormálním srdečním rytmem (</w:t>
      </w:r>
      <w:r w:rsidR="000461A1" w:rsidRPr="00F25A60">
        <w:rPr>
          <w:color w:val="000000"/>
          <w:sz w:val="22"/>
          <w:szCs w:val="22"/>
          <w:lang w:val="cs-CZ"/>
        </w:rPr>
        <w:t>známky</w:t>
      </w:r>
      <w:r w:rsidRPr="00F25A60">
        <w:rPr>
          <w:color w:val="000000"/>
          <w:sz w:val="22"/>
          <w:szCs w:val="22"/>
          <w:lang w:val="cs-CZ"/>
        </w:rPr>
        <w:t xml:space="preserve"> změn hladiny draslíku v krvi).</w:t>
      </w:r>
    </w:p>
    <w:p w14:paraId="63AB8C48" w14:textId="77777777" w:rsidR="00EA5993" w:rsidRPr="00F25A60" w:rsidRDefault="00EA5993" w:rsidP="005C56E6">
      <w:pPr>
        <w:pStyle w:val="Text"/>
        <w:widowControl w:val="0"/>
        <w:numPr>
          <w:ilvl w:val="0"/>
          <w:numId w:val="8"/>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Podlitiny.</w:t>
      </w:r>
    </w:p>
    <w:p w14:paraId="47319ECA" w14:textId="77777777" w:rsidR="00EA5993" w:rsidRPr="00F25A60" w:rsidRDefault="00EA5993" w:rsidP="005C56E6">
      <w:pPr>
        <w:pStyle w:val="Text"/>
        <w:widowControl w:val="0"/>
        <w:numPr>
          <w:ilvl w:val="0"/>
          <w:numId w:val="8"/>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 xml:space="preserve">Bolest </w:t>
      </w:r>
      <w:r w:rsidR="000461A1" w:rsidRPr="00F25A60">
        <w:rPr>
          <w:color w:val="000000"/>
          <w:sz w:val="22"/>
          <w:szCs w:val="22"/>
          <w:lang w:val="cs-CZ"/>
        </w:rPr>
        <w:t>břicha</w:t>
      </w:r>
      <w:r w:rsidRPr="00F25A60">
        <w:rPr>
          <w:color w:val="000000"/>
          <w:sz w:val="22"/>
          <w:szCs w:val="22"/>
          <w:lang w:val="cs-CZ"/>
        </w:rPr>
        <w:t xml:space="preserve"> s nevolnost</w:t>
      </w:r>
      <w:r w:rsidR="000461A1" w:rsidRPr="00F25A60">
        <w:rPr>
          <w:color w:val="000000"/>
          <w:sz w:val="22"/>
          <w:szCs w:val="22"/>
          <w:lang w:val="cs-CZ"/>
        </w:rPr>
        <w:t>í</w:t>
      </w:r>
      <w:r w:rsidRPr="00F25A60">
        <w:rPr>
          <w:color w:val="000000"/>
          <w:sz w:val="22"/>
          <w:szCs w:val="22"/>
          <w:lang w:val="cs-CZ"/>
        </w:rPr>
        <w:t xml:space="preserve"> (</w:t>
      </w:r>
      <w:r w:rsidR="000461A1" w:rsidRPr="00F25A60">
        <w:rPr>
          <w:color w:val="000000"/>
          <w:sz w:val="22"/>
          <w:szCs w:val="22"/>
          <w:lang w:val="cs-CZ"/>
        </w:rPr>
        <w:t>pocit na zvracení</w:t>
      </w:r>
      <w:r w:rsidRPr="00F25A60">
        <w:rPr>
          <w:color w:val="000000"/>
          <w:sz w:val="22"/>
          <w:szCs w:val="22"/>
          <w:lang w:val="cs-CZ"/>
        </w:rPr>
        <w:t>).</w:t>
      </w:r>
    </w:p>
    <w:p w14:paraId="55A59628" w14:textId="77777777" w:rsidR="00EA5993" w:rsidRPr="00F25A60" w:rsidRDefault="00EA5993" w:rsidP="005C56E6">
      <w:pPr>
        <w:pStyle w:val="Text"/>
        <w:widowControl w:val="0"/>
        <w:numPr>
          <w:ilvl w:val="0"/>
          <w:numId w:val="8"/>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 xml:space="preserve">Svalové křeče s horečkou, </w:t>
      </w:r>
      <w:r w:rsidR="000461A1" w:rsidRPr="00F25A60">
        <w:rPr>
          <w:color w:val="000000"/>
          <w:sz w:val="22"/>
          <w:szCs w:val="22"/>
          <w:lang w:val="cs-CZ"/>
        </w:rPr>
        <w:t>červenohnědou</w:t>
      </w:r>
      <w:r w:rsidRPr="00F25A60">
        <w:rPr>
          <w:color w:val="000000"/>
          <w:sz w:val="22"/>
          <w:szCs w:val="22"/>
          <w:lang w:val="cs-CZ"/>
        </w:rPr>
        <w:t xml:space="preserve"> močí, bolestí svalů nebo svalovou ochablostí (</w:t>
      </w:r>
      <w:r w:rsidR="000461A1" w:rsidRPr="00F25A60">
        <w:rPr>
          <w:color w:val="000000"/>
          <w:sz w:val="22"/>
          <w:szCs w:val="22"/>
          <w:lang w:val="cs-CZ"/>
        </w:rPr>
        <w:t>známky</w:t>
      </w:r>
      <w:r w:rsidRPr="00F25A60">
        <w:rPr>
          <w:color w:val="000000"/>
          <w:sz w:val="22"/>
          <w:szCs w:val="22"/>
          <w:lang w:val="cs-CZ"/>
        </w:rPr>
        <w:t xml:space="preserve"> svalových potíží).</w:t>
      </w:r>
    </w:p>
    <w:p w14:paraId="4C7E5027" w14:textId="77777777" w:rsidR="00EA5993" w:rsidRPr="00F25A60" w:rsidRDefault="00EA5993" w:rsidP="005C56E6">
      <w:pPr>
        <w:pStyle w:val="Text"/>
        <w:widowControl w:val="0"/>
        <w:numPr>
          <w:ilvl w:val="0"/>
          <w:numId w:val="8"/>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 xml:space="preserve">Bolest </w:t>
      </w:r>
      <w:r w:rsidR="000461A1" w:rsidRPr="00F25A60">
        <w:rPr>
          <w:color w:val="000000"/>
          <w:sz w:val="22"/>
          <w:szCs w:val="22"/>
          <w:lang w:val="cs-CZ"/>
        </w:rPr>
        <w:t xml:space="preserve">v oblasti </w:t>
      </w:r>
      <w:r w:rsidRPr="00F25A60">
        <w:rPr>
          <w:color w:val="000000"/>
          <w:sz w:val="22"/>
          <w:szCs w:val="22"/>
          <w:lang w:val="cs-CZ"/>
        </w:rPr>
        <w:t xml:space="preserve">pánve někdy spojená s </w:t>
      </w:r>
      <w:r w:rsidR="000461A1" w:rsidRPr="00F25A60">
        <w:rPr>
          <w:color w:val="000000"/>
          <w:sz w:val="22"/>
          <w:szCs w:val="22"/>
          <w:lang w:val="cs-CZ"/>
        </w:rPr>
        <w:t>pocitem na zvracení</w:t>
      </w:r>
      <w:r w:rsidRPr="00F25A60">
        <w:rPr>
          <w:color w:val="000000"/>
          <w:sz w:val="22"/>
          <w:szCs w:val="22"/>
          <w:lang w:val="cs-CZ"/>
        </w:rPr>
        <w:t xml:space="preserve"> a zvracením, s neočekávaným vaginálním (poševním) krvácením, pocit závrati,</w:t>
      </w:r>
      <w:r w:rsidR="0071222E" w:rsidRPr="00F25A60">
        <w:rPr>
          <w:color w:val="000000"/>
          <w:sz w:val="22"/>
          <w:szCs w:val="22"/>
          <w:lang w:val="cs-CZ"/>
        </w:rPr>
        <w:t xml:space="preserve"> </w:t>
      </w:r>
      <w:r w:rsidRPr="00F25A60">
        <w:rPr>
          <w:color w:val="000000"/>
          <w:sz w:val="22"/>
          <w:szCs w:val="22"/>
          <w:lang w:val="cs-CZ"/>
        </w:rPr>
        <w:t>nebo mdloby z důvodu nízkého krevního tlaku (</w:t>
      </w:r>
      <w:r w:rsidR="000461A1" w:rsidRPr="00F25A60">
        <w:rPr>
          <w:color w:val="000000"/>
          <w:sz w:val="22"/>
          <w:szCs w:val="22"/>
          <w:lang w:val="cs-CZ"/>
        </w:rPr>
        <w:t>známky</w:t>
      </w:r>
      <w:r w:rsidRPr="00F25A60">
        <w:rPr>
          <w:color w:val="000000"/>
          <w:sz w:val="22"/>
          <w:szCs w:val="22"/>
          <w:lang w:val="cs-CZ"/>
        </w:rPr>
        <w:t xml:space="preserve"> potíží</w:t>
      </w:r>
      <w:r w:rsidR="000461A1" w:rsidRPr="00F25A60">
        <w:rPr>
          <w:color w:val="000000"/>
          <w:sz w:val="22"/>
          <w:szCs w:val="22"/>
          <w:lang w:val="cs-CZ"/>
        </w:rPr>
        <w:t xml:space="preserve"> s </w:t>
      </w:r>
      <w:r w:rsidRPr="00F25A60">
        <w:rPr>
          <w:color w:val="000000"/>
          <w:sz w:val="22"/>
          <w:szCs w:val="22"/>
          <w:lang w:val="cs-CZ"/>
        </w:rPr>
        <w:t>vaječník</w:t>
      </w:r>
      <w:r w:rsidR="000461A1" w:rsidRPr="00F25A60">
        <w:rPr>
          <w:color w:val="000000"/>
          <w:sz w:val="22"/>
          <w:szCs w:val="22"/>
          <w:lang w:val="cs-CZ"/>
        </w:rPr>
        <w:t>y</w:t>
      </w:r>
      <w:r w:rsidRPr="00F25A60">
        <w:rPr>
          <w:color w:val="000000"/>
          <w:sz w:val="22"/>
          <w:szCs w:val="22"/>
          <w:lang w:val="cs-CZ"/>
        </w:rPr>
        <w:t xml:space="preserve"> nebo děloh</w:t>
      </w:r>
      <w:r w:rsidR="000461A1" w:rsidRPr="00F25A60">
        <w:rPr>
          <w:color w:val="000000"/>
          <w:sz w:val="22"/>
          <w:szCs w:val="22"/>
          <w:lang w:val="cs-CZ"/>
        </w:rPr>
        <w:t>ou</w:t>
      </w:r>
      <w:r w:rsidRPr="00F25A60">
        <w:rPr>
          <w:color w:val="000000"/>
          <w:sz w:val="22"/>
          <w:szCs w:val="22"/>
          <w:lang w:val="cs-CZ"/>
        </w:rPr>
        <w:t>).</w:t>
      </w:r>
    </w:p>
    <w:p w14:paraId="24D5B6EB" w14:textId="77777777" w:rsidR="00EA5993" w:rsidRPr="00F25A60" w:rsidRDefault="000461A1" w:rsidP="005C56E6">
      <w:pPr>
        <w:pStyle w:val="Text"/>
        <w:widowControl w:val="0"/>
        <w:numPr>
          <w:ilvl w:val="0"/>
          <w:numId w:val="8"/>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Pocit na zvracení, dušnost</w:t>
      </w:r>
      <w:r w:rsidR="00EA5993" w:rsidRPr="00F25A60">
        <w:rPr>
          <w:color w:val="000000"/>
          <w:sz w:val="22"/>
          <w:szCs w:val="22"/>
          <w:lang w:val="cs-CZ"/>
        </w:rPr>
        <w:t xml:space="preserve">, nepravidelný srdeční tep, zakalená moč, únava a/nebo kloubní potíže spojené s neobvyklými výsledky laboratorních testů (např. vysoká hladina draslíku, kyseliny močové a </w:t>
      </w:r>
      <w:r w:rsidR="000E57B2" w:rsidRPr="00F25A60">
        <w:rPr>
          <w:color w:val="000000"/>
          <w:sz w:val="22"/>
          <w:szCs w:val="22"/>
          <w:lang w:val="cs-CZ"/>
        </w:rPr>
        <w:t>vápníku</w:t>
      </w:r>
      <w:r w:rsidR="00EA5993" w:rsidRPr="00F25A60">
        <w:rPr>
          <w:color w:val="000000"/>
          <w:sz w:val="22"/>
          <w:szCs w:val="22"/>
          <w:lang w:val="cs-CZ"/>
        </w:rPr>
        <w:t xml:space="preserve"> a nízké hladiny </w:t>
      </w:r>
      <w:r w:rsidR="000E57B2" w:rsidRPr="00F25A60">
        <w:rPr>
          <w:color w:val="000000"/>
          <w:sz w:val="22"/>
          <w:szCs w:val="22"/>
          <w:lang w:val="cs-CZ"/>
        </w:rPr>
        <w:t>fosforu</w:t>
      </w:r>
      <w:r w:rsidR="00EA5993" w:rsidRPr="00F25A60">
        <w:rPr>
          <w:color w:val="000000"/>
          <w:sz w:val="22"/>
          <w:szCs w:val="22"/>
          <w:lang w:val="cs-CZ"/>
        </w:rPr>
        <w:t xml:space="preserve"> v krvi).</w:t>
      </w:r>
    </w:p>
    <w:p w14:paraId="35D72B8A" w14:textId="77777777" w:rsidR="00894B06" w:rsidRPr="00F25A60" w:rsidRDefault="00894B06" w:rsidP="005C56E6">
      <w:pPr>
        <w:pStyle w:val="Text"/>
        <w:widowControl w:val="0"/>
        <w:numPr>
          <w:ilvl w:val="0"/>
          <w:numId w:val="8"/>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Krevní sraženiny v malých cévách (trombotická mikroangiopatie).</w:t>
      </w:r>
    </w:p>
    <w:p w14:paraId="1AAE22A1" w14:textId="77777777" w:rsidR="004B719A" w:rsidRPr="00F25A60" w:rsidRDefault="004B719A" w:rsidP="005C56E6">
      <w:pPr>
        <w:pStyle w:val="Text"/>
        <w:widowControl w:val="0"/>
        <w:spacing w:before="0"/>
        <w:jc w:val="left"/>
        <w:rPr>
          <w:color w:val="000000"/>
          <w:sz w:val="22"/>
          <w:szCs w:val="22"/>
          <w:lang w:val="cs-CZ"/>
        </w:rPr>
      </w:pPr>
    </w:p>
    <w:p w14:paraId="257337A2" w14:textId="77777777" w:rsidR="004B719A" w:rsidRPr="00F25A60" w:rsidRDefault="004B719A" w:rsidP="005C56E6">
      <w:pPr>
        <w:pStyle w:val="Text"/>
        <w:keepNext/>
        <w:widowControl w:val="0"/>
        <w:spacing w:before="0"/>
        <w:jc w:val="left"/>
        <w:rPr>
          <w:color w:val="000000"/>
          <w:sz w:val="22"/>
          <w:szCs w:val="22"/>
          <w:lang w:val="cs-CZ"/>
        </w:rPr>
      </w:pPr>
      <w:r w:rsidRPr="00F25A60">
        <w:rPr>
          <w:b/>
          <w:color w:val="000000"/>
          <w:sz w:val="22"/>
          <w:szCs w:val="22"/>
          <w:lang w:val="cs-CZ"/>
        </w:rPr>
        <w:lastRenderedPageBreak/>
        <w:t>Není známo</w:t>
      </w:r>
      <w:r w:rsidR="000E57B2" w:rsidRPr="00F25A60">
        <w:rPr>
          <w:b/>
          <w:bCs/>
          <w:color w:val="000000"/>
          <w:sz w:val="22"/>
          <w:szCs w:val="22"/>
          <w:lang w:val="cs-CZ"/>
        </w:rPr>
        <w:t xml:space="preserve"> </w:t>
      </w:r>
      <w:r w:rsidR="000E57B2" w:rsidRPr="00F25A60">
        <w:rPr>
          <w:color w:val="000000"/>
          <w:sz w:val="22"/>
          <w:szCs w:val="22"/>
          <w:lang w:val="cs-CZ"/>
        </w:rPr>
        <w:t xml:space="preserve">(četnost </w:t>
      </w:r>
      <w:r w:rsidR="000E57B2" w:rsidRPr="00F25A60">
        <w:rPr>
          <w:sz w:val="22"/>
          <w:szCs w:val="22"/>
          <w:lang w:val="cs-CZ" w:eastAsia="zh-CN"/>
        </w:rPr>
        <w:t>z dostupných údajů nelze určit</w:t>
      </w:r>
      <w:r w:rsidR="000E57B2" w:rsidRPr="00F25A60">
        <w:rPr>
          <w:color w:val="000000"/>
          <w:sz w:val="22"/>
          <w:szCs w:val="22"/>
          <w:lang w:val="cs-CZ"/>
        </w:rPr>
        <w:t>)</w:t>
      </w:r>
      <w:r w:rsidRPr="00F25A60">
        <w:rPr>
          <w:color w:val="000000"/>
          <w:sz w:val="22"/>
          <w:szCs w:val="22"/>
          <w:lang w:val="cs-CZ"/>
        </w:rPr>
        <w:t>:</w:t>
      </w:r>
    </w:p>
    <w:p w14:paraId="5029FDB8" w14:textId="77777777" w:rsidR="004B719A" w:rsidRPr="00F25A60" w:rsidRDefault="004B719A" w:rsidP="005E6174">
      <w:pPr>
        <w:pStyle w:val="Text"/>
        <w:keepNext/>
        <w:keepLines/>
        <w:widowControl w:val="0"/>
        <w:numPr>
          <w:ilvl w:val="0"/>
          <w:numId w:val="30"/>
        </w:numPr>
        <w:tabs>
          <w:tab w:val="clear" w:pos="357"/>
          <w:tab w:val="clear" w:pos="567"/>
        </w:tabs>
        <w:suppressAutoHyphens w:val="0"/>
        <w:spacing w:before="0"/>
        <w:ind w:left="567" w:hanging="567"/>
        <w:jc w:val="left"/>
        <w:rPr>
          <w:sz w:val="22"/>
          <w:szCs w:val="22"/>
          <w:lang w:val="cs-CZ"/>
        </w:rPr>
      </w:pPr>
      <w:r w:rsidRPr="00F25A60">
        <w:rPr>
          <w:sz w:val="22"/>
          <w:szCs w:val="22"/>
          <w:lang w:val="cs-CZ"/>
        </w:rPr>
        <w:t>Kombinace závažné rozsáhlé vyrážky, pocitu nevolnosti, horečky, vysokého počtu určitého typu bílých krvinek či žlutá barva kůže nebo očí (</w:t>
      </w:r>
      <w:r w:rsidR="00EF31B4" w:rsidRPr="00F25A60">
        <w:rPr>
          <w:color w:val="000000"/>
          <w:sz w:val="22"/>
          <w:szCs w:val="22"/>
          <w:lang w:val="cs-CZ"/>
        </w:rPr>
        <w:t>známky</w:t>
      </w:r>
      <w:r w:rsidRPr="00F25A60">
        <w:rPr>
          <w:sz w:val="22"/>
          <w:szCs w:val="22"/>
          <w:lang w:val="cs-CZ"/>
        </w:rPr>
        <w:t xml:space="preserve"> žloutenky) s dušností, bolestí/nepříjemným pocitem na hrudi, výrazným snížením objemu moči a pocitem žízně atd. (</w:t>
      </w:r>
      <w:r w:rsidR="00EF31B4" w:rsidRPr="00F25A60">
        <w:rPr>
          <w:color w:val="000000"/>
          <w:sz w:val="22"/>
          <w:szCs w:val="22"/>
          <w:lang w:val="cs-CZ"/>
        </w:rPr>
        <w:t>známky</w:t>
      </w:r>
      <w:r w:rsidRPr="00F25A60">
        <w:rPr>
          <w:sz w:val="22"/>
          <w:szCs w:val="22"/>
          <w:lang w:val="cs-CZ"/>
        </w:rPr>
        <w:t xml:space="preserve"> alergické reakce spojené s léčbou).</w:t>
      </w:r>
    </w:p>
    <w:p w14:paraId="75F75AB3" w14:textId="77777777" w:rsidR="0039076B" w:rsidRPr="00F25A60" w:rsidRDefault="0039076B" w:rsidP="005E6174">
      <w:pPr>
        <w:pStyle w:val="Text"/>
        <w:keepNext/>
        <w:widowControl w:val="0"/>
        <w:numPr>
          <w:ilvl w:val="0"/>
          <w:numId w:val="30"/>
        </w:numPr>
        <w:tabs>
          <w:tab w:val="clear" w:pos="357"/>
          <w:tab w:val="clear" w:pos="567"/>
        </w:tabs>
        <w:suppressAutoHyphens w:val="0"/>
        <w:spacing w:before="0"/>
        <w:ind w:left="567" w:hanging="567"/>
        <w:jc w:val="left"/>
        <w:rPr>
          <w:sz w:val="22"/>
          <w:szCs w:val="22"/>
          <w:lang w:val="cs-CZ"/>
        </w:rPr>
      </w:pPr>
      <w:r w:rsidRPr="00F25A60">
        <w:rPr>
          <w:sz w:val="22"/>
          <w:szCs w:val="22"/>
          <w:lang w:val="cs-CZ"/>
        </w:rPr>
        <w:t>Chronické selhání ledvin.</w:t>
      </w:r>
    </w:p>
    <w:p w14:paraId="2D5F8395" w14:textId="77777777" w:rsidR="004A788B" w:rsidRPr="00F25A60" w:rsidRDefault="004A788B" w:rsidP="005E6174">
      <w:pPr>
        <w:pStyle w:val="Text"/>
        <w:keepNext/>
        <w:keepLines/>
        <w:widowControl w:val="0"/>
        <w:numPr>
          <w:ilvl w:val="0"/>
          <w:numId w:val="30"/>
        </w:numPr>
        <w:tabs>
          <w:tab w:val="clear" w:pos="357"/>
          <w:tab w:val="clear" w:pos="567"/>
        </w:tabs>
        <w:suppressAutoHyphens w:val="0"/>
        <w:spacing w:before="0"/>
        <w:ind w:left="567" w:hanging="567"/>
        <w:jc w:val="left"/>
        <w:rPr>
          <w:sz w:val="22"/>
          <w:szCs w:val="22"/>
          <w:lang w:val="cs-CZ"/>
        </w:rPr>
      </w:pPr>
      <w:r w:rsidRPr="00F25A60">
        <w:rPr>
          <w:sz w:val="22"/>
          <w:szCs w:val="22"/>
          <w:lang w:val="cs-CZ"/>
        </w:rPr>
        <w:t>Recidiva (reaktivace) hepatitidy B, pokud jste v minulosti měl(a) toto onemocnění (infekce jater).</w:t>
      </w:r>
    </w:p>
    <w:p w14:paraId="4447BD07" w14:textId="77777777" w:rsidR="004B719A" w:rsidRPr="00F25A60" w:rsidRDefault="004B719A" w:rsidP="005C56E6">
      <w:pPr>
        <w:pStyle w:val="Text"/>
        <w:widowControl w:val="0"/>
        <w:spacing w:before="0"/>
        <w:jc w:val="left"/>
        <w:rPr>
          <w:color w:val="000000"/>
          <w:sz w:val="22"/>
          <w:szCs w:val="22"/>
          <w:lang w:val="cs-CZ"/>
        </w:rPr>
      </w:pPr>
    </w:p>
    <w:p w14:paraId="0F2B7D7A" w14:textId="77777777" w:rsidR="00EA5993" w:rsidRPr="00F25A60" w:rsidRDefault="00EA5993" w:rsidP="005C56E6">
      <w:pPr>
        <w:pStyle w:val="Text"/>
        <w:widowControl w:val="0"/>
        <w:spacing w:before="0"/>
        <w:jc w:val="left"/>
        <w:rPr>
          <w:b/>
          <w:bCs/>
          <w:color w:val="000000"/>
          <w:sz w:val="22"/>
          <w:szCs w:val="22"/>
          <w:lang w:val="cs-CZ"/>
        </w:rPr>
      </w:pPr>
      <w:r w:rsidRPr="00F25A60">
        <w:rPr>
          <w:color w:val="000000"/>
          <w:sz w:val="22"/>
          <w:szCs w:val="22"/>
          <w:lang w:val="cs-CZ"/>
        </w:rPr>
        <w:t xml:space="preserve">Pokud se u Vás projeví jakýkoli z výše uvedených nežádoucích účinků, </w:t>
      </w:r>
      <w:r w:rsidRPr="00F25A60">
        <w:rPr>
          <w:b/>
          <w:bCs/>
          <w:color w:val="000000"/>
          <w:sz w:val="22"/>
          <w:szCs w:val="22"/>
          <w:lang w:val="cs-CZ"/>
        </w:rPr>
        <w:t>oznamte to okamžitě svému lékaři.</w:t>
      </w:r>
    </w:p>
    <w:p w14:paraId="1279732F" w14:textId="77777777" w:rsidR="00EA5993" w:rsidRPr="00F25A60" w:rsidRDefault="00EA5993" w:rsidP="005C56E6">
      <w:pPr>
        <w:pStyle w:val="Text"/>
        <w:widowControl w:val="0"/>
        <w:spacing w:before="0"/>
        <w:jc w:val="left"/>
        <w:rPr>
          <w:color w:val="000000"/>
          <w:sz w:val="22"/>
          <w:szCs w:val="22"/>
          <w:lang w:val="cs-CZ"/>
        </w:rPr>
      </w:pPr>
    </w:p>
    <w:p w14:paraId="58449EF3" w14:textId="77777777" w:rsidR="00EA5993" w:rsidRPr="00F25A60" w:rsidRDefault="00EA5993" w:rsidP="005C56E6">
      <w:pPr>
        <w:pStyle w:val="Text"/>
        <w:keepNext/>
        <w:widowControl w:val="0"/>
        <w:spacing w:before="0"/>
        <w:jc w:val="left"/>
        <w:rPr>
          <w:b/>
          <w:bCs/>
          <w:color w:val="000000"/>
          <w:sz w:val="22"/>
          <w:szCs w:val="22"/>
          <w:lang w:val="cs-CZ"/>
        </w:rPr>
      </w:pPr>
      <w:r w:rsidRPr="00F25A60">
        <w:rPr>
          <w:b/>
          <w:bCs/>
          <w:color w:val="000000"/>
          <w:sz w:val="22"/>
          <w:szCs w:val="22"/>
          <w:lang w:val="cs-CZ"/>
        </w:rPr>
        <w:t>Jiné nežádoucí účinky mohou zahrnovat:</w:t>
      </w:r>
    </w:p>
    <w:p w14:paraId="5B92B80D" w14:textId="77777777" w:rsidR="00EA5993" w:rsidRPr="00F25A60" w:rsidRDefault="00EA5993" w:rsidP="005C56E6">
      <w:pPr>
        <w:pStyle w:val="Text"/>
        <w:keepNext/>
        <w:widowControl w:val="0"/>
        <w:spacing w:before="0"/>
        <w:jc w:val="left"/>
        <w:rPr>
          <w:color w:val="000000"/>
          <w:sz w:val="22"/>
          <w:szCs w:val="22"/>
          <w:lang w:val="cs-CZ"/>
        </w:rPr>
      </w:pPr>
    </w:p>
    <w:p w14:paraId="26ABBA84" w14:textId="77777777" w:rsidR="00EA5993" w:rsidRPr="00F25A60" w:rsidRDefault="00EA5993" w:rsidP="005C56E6">
      <w:pPr>
        <w:pStyle w:val="Text"/>
        <w:keepNext/>
        <w:widowControl w:val="0"/>
        <w:spacing w:before="0"/>
        <w:jc w:val="left"/>
        <w:rPr>
          <w:bCs/>
          <w:color w:val="000000"/>
          <w:sz w:val="22"/>
          <w:szCs w:val="22"/>
          <w:lang w:val="cs-CZ"/>
        </w:rPr>
      </w:pPr>
      <w:r w:rsidRPr="00F25A60">
        <w:rPr>
          <w:b/>
          <w:bCs/>
          <w:color w:val="000000"/>
          <w:sz w:val="22"/>
          <w:szCs w:val="22"/>
          <w:lang w:val="cs-CZ"/>
        </w:rPr>
        <w:t xml:space="preserve">Velmi časté </w:t>
      </w:r>
      <w:r w:rsidRPr="00F25A60">
        <w:rPr>
          <w:bCs/>
          <w:color w:val="000000"/>
          <w:sz w:val="22"/>
          <w:szCs w:val="22"/>
          <w:lang w:val="cs-CZ"/>
        </w:rPr>
        <w:t>(mohou postihnout více než 1 z 10 lidí):</w:t>
      </w:r>
    </w:p>
    <w:p w14:paraId="251F3418" w14:textId="77777777" w:rsidR="00EA5993" w:rsidRPr="00F25A60" w:rsidRDefault="00EA5993" w:rsidP="005C56E6">
      <w:pPr>
        <w:pStyle w:val="Text"/>
        <w:widowControl w:val="0"/>
        <w:numPr>
          <w:ilvl w:val="0"/>
          <w:numId w:val="17"/>
        </w:numPr>
        <w:spacing w:before="0"/>
        <w:ind w:hanging="720"/>
        <w:jc w:val="left"/>
        <w:rPr>
          <w:color w:val="000000"/>
          <w:sz w:val="22"/>
          <w:szCs w:val="22"/>
          <w:lang w:val="cs-CZ"/>
        </w:rPr>
      </w:pPr>
      <w:r w:rsidRPr="00F25A60">
        <w:rPr>
          <w:color w:val="000000"/>
          <w:sz w:val="22"/>
          <w:szCs w:val="22"/>
          <w:lang w:val="cs-CZ"/>
        </w:rPr>
        <w:t>Bolest hlavy nebo pocit únavy.</w:t>
      </w:r>
    </w:p>
    <w:p w14:paraId="391E43E7" w14:textId="77777777" w:rsidR="00EA5993" w:rsidRPr="00F25A60" w:rsidRDefault="00EF31B4" w:rsidP="005C56E6">
      <w:pPr>
        <w:pStyle w:val="Text"/>
        <w:widowControl w:val="0"/>
        <w:numPr>
          <w:ilvl w:val="0"/>
          <w:numId w:val="17"/>
        </w:numPr>
        <w:spacing w:before="0"/>
        <w:ind w:hanging="720"/>
        <w:jc w:val="left"/>
        <w:rPr>
          <w:color w:val="000000"/>
          <w:sz w:val="22"/>
          <w:szCs w:val="22"/>
          <w:lang w:val="cs-CZ"/>
        </w:rPr>
      </w:pPr>
      <w:r w:rsidRPr="00F25A60">
        <w:rPr>
          <w:color w:val="000000"/>
          <w:sz w:val="22"/>
          <w:szCs w:val="22"/>
          <w:lang w:val="cs-CZ"/>
        </w:rPr>
        <w:t>N</w:t>
      </w:r>
      <w:r w:rsidR="00EA5993" w:rsidRPr="00F25A60">
        <w:rPr>
          <w:color w:val="000000"/>
          <w:sz w:val="22"/>
          <w:szCs w:val="22"/>
          <w:lang w:val="cs-CZ"/>
        </w:rPr>
        <w:t>evolnost (</w:t>
      </w:r>
      <w:r w:rsidRPr="00F25A60">
        <w:rPr>
          <w:color w:val="000000"/>
          <w:sz w:val="22"/>
          <w:szCs w:val="22"/>
          <w:lang w:val="cs-CZ"/>
        </w:rPr>
        <w:t>pocit na zvracení</w:t>
      </w:r>
      <w:r w:rsidR="00EA5993" w:rsidRPr="00F25A60">
        <w:rPr>
          <w:color w:val="000000"/>
          <w:sz w:val="22"/>
          <w:szCs w:val="22"/>
          <w:lang w:val="cs-CZ"/>
        </w:rPr>
        <w:t>), zvracení, průjem nebo porucha zažívání.</w:t>
      </w:r>
    </w:p>
    <w:p w14:paraId="591FBDD2" w14:textId="77777777" w:rsidR="00EA5993" w:rsidRPr="00F25A60" w:rsidRDefault="00EA5993" w:rsidP="005C56E6">
      <w:pPr>
        <w:pStyle w:val="Text"/>
        <w:widowControl w:val="0"/>
        <w:numPr>
          <w:ilvl w:val="0"/>
          <w:numId w:val="17"/>
        </w:numPr>
        <w:spacing w:before="0"/>
        <w:ind w:hanging="720"/>
        <w:jc w:val="left"/>
        <w:rPr>
          <w:color w:val="000000"/>
          <w:sz w:val="22"/>
          <w:szCs w:val="22"/>
          <w:lang w:val="cs-CZ"/>
        </w:rPr>
      </w:pPr>
      <w:r w:rsidRPr="00F25A60">
        <w:rPr>
          <w:color w:val="000000"/>
          <w:sz w:val="22"/>
          <w:szCs w:val="22"/>
          <w:lang w:val="cs-CZ"/>
        </w:rPr>
        <w:t>Vyrážka.</w:t>
      </w:r>
    </w:p>
    <w:p w14:paraId="31C21761" w14:textId="77777777" w:rsidR="00EA5993" w:rsidRPr="00F25A60" w:rsidRDefault="00EA5993" w:rsidP="005C56E6">
      <w:pPr>
        <w:pStyle w:val="Text"/>
        <w:widowControl w:val="0"/>
        <w:numPr>
          <w:ilvl w:val="0"/>
          <w:numId w:val="17"/>
        </w:numPr>
        <w:tabs>
          <w:tab w:val="clear" w:pos="567"/>
          <w:tab w:val="clear" w:pos="720"/>
        </w:tabs>
        <w:spacing w:before="0"/>
        <w:ind w:left="567" w:hanging="567"/>
        <w:jc w:val="left"/>
        <w:rPr>
          <w:color w:val="000000"/>
          <w:sz w:val="22"/>
          <w:szCs w:val="22"/>
          <w:lang w:val="cs-CZ"/>
        </w:rPr>
      </w:pPr>
      <w:r w:rsidRPr="00F25A60">
        <w:rPr>
          <w:color w:val="000000"/>
          <w:sz w:val="22"/>
          <w:szCs w:val="22"/>
          <w:lang w:val="cs-CZ"/>
        </w:rPr>
        <w:t>Svalové křeče nebo bolest kloubů, svalů a kostí</w:t>
      </w:r>
      <w:r w:rsidR="00515354" w:rsidRPr="00F25A60">
        <w:rPr>
          <w:color w:val="000000"/>
          <w:sz w:val="22"/>
          <w:szCs w:val="22"/>
          <w:lang w:val="cs-CZ"/>
        </w:rPr>
        <w:t xml:space="preserve"> během užívání přípravku Glivec nebo po ukončení léčby.</w:t>
      </w:r>
    </w:p>
    <w:p w14:paraId="7E07A1E7" w14:textId="77777777" w:rsidR="00EA5993" w:rsidRPr="00F25A60" w:rsidRDefault="00EA5993" w:rsidP="005C56E6">
      <w:pPr>
        <w:pStyle w:val="Text"/>
        <w:widowControl w:val="0"/>
        <w:numPr>
          <w:ilvl w:val="0"/>
          <w:numId w:val="17"/>
        </w:numPr>
        <w:spacing w:before="0"/>
        <w:ind w:hanging="720"/>
        <w:jc w:val="left"/>
        <w:rPr>
          <w:color w:val="000000"/>
          <w:sz w:val="22"/>
          <w:szCs w:val="22"/>
          <w:lang w:val="cs-CZ"/>
        </w:rPr>
      </w:pPr>
      <w:r w:rsidRPr="00F25A60">
        <w:rPr>
          <w:color w:val="000000"/>
          <w:sz w:val="22"/>
          <w:szCs w:val="22"/>
          <w:lang w:val="cs-CZ"/>
        </w:rPr>
        <w:t>Otoky, jako např. otoky kolem kotníků nebo oteklé oči.</w:t>
      </w:r>
    </w:p>
    <w:p w14:paraId="05DB0791" w14:textId="77777777" w:rsidR="00EA5993" w:rsidRPr="00F25A60" w:rsidRDefault="00EA5993" w:rsidP="005C56E6">
      <w:pPr>
        <w:pStyle w:val="Text"/>
        <w:keepNext/>
        <w:widowControl w:val="0"/>
        <w:numPr>
          <w:ilvl w:val="0"/>
          <w:numId w:val="17"/>
        </w:numPr>
        <w:spacing w:before="0"/>
        <w:ind w:hanging="720"/>
        <w:jc w:val="left"/>
        <w:rPr>
          <w:color w:val="000000"/>
          <w:sz w:val="22"/>
          <w:szCs w:val="22"/>
          <w:lang w:val="cs-CZ"/>
        </w:rPr>
      </w:pPr>
      <w:r w:rsidRPr="00F25A60">
        <w:rPr>
          <w:color w:val="000000"/>
          <w:sz w:val="22"/>
          <w:szCs w:val="22"/>
          <w:lang w:val="cs-CZ"/>
        </w:rPr>
        <w:t xml:space="preserve">Zvýšení </w:t>
      </w:r>
      <w:r w:rsidR="00EF31B4" w:rsidRPr="00F25A60">
        <w:rPr>
          <w:color w:val="000000"/>
          <w:sz w:val="22"/>
          <w:szCs w:val="22"/>
          <w:lang w:val="cs-CZ"/>
        </w:rPr>
        <w:t xml:space="preserve">tělesné </w:t>
      </w:r>
      <w:r w:rsidRPr="00F25A60">
        <w:rPr>
          <w:color w:val="000000"/>
          <w:sz w:val="22"/>
          <w:szCs w:val="22"/>
          <w:lang w:val="cs-CZ"/>
        </w:rPr>
        <w:t>hmotnosti.</w:t>
      </w:r>
    </w:p>
    <w:p w14:paraId="3EBE07D6" w14:textId="77777777" w:rsidR="00EF31B4" w:rsidRPr="00F25A60" w:rsidRDefault="00EF31B4" w:rsidP="005C56E6">
      <w:pPr>
        <w:pStyle w:val="Text"/>
        <w:widowControl w:val="0"/>
        <w:spacing w:before="0"/>
        <w:jc w:val="left"/>
        <w:rPr>
          <w:color w:val="000000"/>
          <w:sz w:val="22"/>
          <w:szCs w:val="22"/>
          <w:lang w:val="cs-CZ"/>
        </w:rPr>
      </w:pPr>
      <w:r w:rsidRPr="00F25A60">
        <w:rPr>
          <w:color w:val="000000"/>
          <w:sz w:val="22"/>
          <w:szCs w:val="22"/>
          <w:lang w:val="cs-CZ"/>
        </w:rPr>
        <w:t xml:space="preserve">Pokud se kterýkoli z těchto nežádoucích účinků objeví v závažné formě, </w:t>
      </w:r>
      <w:r w:rsidRPr="00F25A60">
        <w:rPr>
          <w:b/>
          <w:color w:val="000000"/>
          <w:sz w:val="22"/>
          <w:szCs w:val="22"/>
          <w:lang w:val="cs-CZ"/>
        </w:rPr>
        <w:t>oznamte to svému lékaři</w:t>
      </w:r>
      <w:r w:rsidRPr="00F25A60">
        <w:rPr>
          <w:color w:val="000000"/>
          <w:sz w:val="22"/>
          <w:szCs w:val="22"/>
          <w:lang w:val="cs-CZ"/>
        </w:rPr>
        <w:t>.</w:t>
      </w:r>
    </w:p>
    <w:p w14:paraId="1B3F857F" w14:textId="77777777" w:rsidR="00EF31B4" w:rsidRPr="00F25A60" w:rsidRDefault="00EF31B4" w:rsidP="005C56E6">
      <w:pPr>
        <w:pStyle w:val="Text"/>
        <w:widowControl w:val="0"/>
        <w:spacing w:before="0"/>
        <w:jc w:val="left"/>
        <w:rPr>
          <w:color w:val="000000"/>
          <w:sz w:val="22"/>
          <w:szCs w:val="22"/>
          <w:lang w:val="cs-CZ"/>
        </w:rPr>
      </w:pPr>
    </w:p>
    <w:p w14:paraId="6EF10A10" w14:textId="77777777" w:rsidR="00EA5993" w:rsidRPr="00F25A60" w:rsidRDefault="00EA5993" w:rsidP="005C56E6">
      <w:pPr>
        <w:pStyle w:val="Text"/>
        <w:widowControl w:val="0"/>
        <w:spacing w:before="0"/>
        <w:jc w:val="left"/>
        <w:rPr>
          <w:color w:val="000000"/>
          <w:sz w:val="22"/>
          <w:szCs w:val="22"/>
          <w:lang w:val="cs-CZ"/>
        </w:rPr>
      </w:pPr>
    </w:p>
    <w:p w14:paraId="301BF91B" w14:textId="77777777" w:rsidR="00EA5993" w:rsidRPr="00F25A60" w:rsidRDefault="00EA5993" w:rsidP="005C56E6">
      <w:pPr>
        <w:pStyle w:val="Text"/>
        <w:keepNext/>
        <w:widowControl w:val="0"/>
        <w:spacing w:before="0"/>
        <w:jc w:val="left"/>
        <w:rPr>
          <w:color w:val="000000"/>
          <w:sz w:val="22"/>
          <w:szCs w:val="22"/>
          <w:lang w:val="cs-CZ"/>
        </w:rPr>
      </w:pPr>
      <w:r w:rsidRPr="00F25A60">
        <w:rPr>
          <w:b/>
          <w:bCs/>
          <w:color w:val="000000"/>
          <w:sz w:val="22"/>
          <w:szCs w:val="22"/>
          <w:lang w:val="cs-CZ"/>
        </w:rPr>
        <w:t xml:space="preserve">Časté </w:t>
      </w:r>
      <w:r w:rsidRPr="00F25A60">
        <w:rPr>
          <w:bCs/>
          <w:color w:val="000000"/>
          <w:sz w:val="22"/>
          <w:szCs w:val="22"/>
          <w:lang w:val="cs-CZ"/>
        </w:rPr>
        <w:t>(mohou postihnout až 1 z 10 lidí):</w:t>
      </w:r>
    </w:p>
    <w:p w14:paraId="3C304CDD" w14:textId="77777777" w:rsidR="00EA5993" w:rsidRPr="00F25A60" w:rsidRDefault="00EA5993" w:rsidP="005C56E6">
      <w:pPr>
        <w:pStyle w:val="Text"/>
        <w:widowControl w:val="0"/>
        <w:numPr>
          <w:ilvl w:val="0"/>
          <w:numId w:val="20"/>
        </w:numPr>
        <w:tabs>
          <w:tab w:val="clear" w:pos="360"/>
        </w:tabs>
        <w:spacing w:before="0"/>
        <w:ind w:left="600" w:hanging="600"/>
        <w:jc w:val="left"/>
        <w:rPr>
          <w:color w:val="000000"/>
          <w:sz w:val="22"/>
          <w:szCs w:val="22"/>
          <w:lang w:val="cs-CZ"/>
        </w:rPr>
      </w:pPr>
      <w:r w:rsidRPr="00F25A60">
        <w:rPr>
          <w:color w:val="000000"/>
          <w:sz w:val="22"/>
          <w:szCs w:val="22"/>
          <w:lang w:val="cs-CZ"/>
        </w:rPr>
        <w:t xml:space="preserve">Nechutenství, ztráta </w:t>
      </w:r>
      <w:r w:rsidR="00EF31B4" w:rsidRPr="00F25A60">
        <w:rPr>
          <w:color w:val="000000"/>
          <w:sz w:val="22"/>
          <w:szCs w:val="22"/>
          <w:lang w:val="cs-CZ"/>
        </w:rPr>
        <w:t xml:space="preserve">tělesné </w:t>
      </w:r>
      <w:r w:rsidRPr="00F25A60">
        <w:rPr>
          <w:color w:val="000000"/>
          <w:sz w:val="22"/>
          <w:szCs w:val="22"/>
          <w:lang w:val="cs-CZ"/>
        </w:rPr>
        <w:t xml:space="preserve">hmotnosti nebo </w:t>
      </w:r>
      <w:r w:rsidR="00EF31B4" w:rsidRPr="00F25A60">
        <w:rPr>
          <w:color w:val="000000"/>
          <w:sz w:val="22"/>
          <w:szCs w:val="22"/>
          <w:lang w:val="cs-CZ"/>
        </w:rPr>
        <w:t>porucha</w:t>
      </w:r>
      <w:r w:rsidRPr="00F25A60">
        <w:rPr>
          <w:color w:val="000000"/>
          <w:sz w:val="22"/>
          <w:szCs w:val="22"/>
          <w:lang w:val="cs-CZ"/>
        </w:rPr>
        <w:t xml:space="preserve"> chuti k jídlu.</w:t>
      </w:r>
    </w:p>
    <w:p w14:paraId="24017BC6" w14:textId="77777777" w:rsidR="00EA5993" w:rsidRPr="00F25A60" w:rsidRDefault="00EA5993" w:rsidP="005C56E6">
      <w:pPr>
        <w:pStyle w:val="Text"/>
        <w:widowControl w:val="0"/>
        <w:numPr>
          <w:ilvl w:val="0"/>
          <w:numId w:val="20"/>
        </w:numPr>
        <w:tabs>
          <w:tab w:val="clear" w:pos="360"/>
        </w:tabs>
        <w:spacing w:before="0"/>
        <w:ind w:left="600" w:hanging="600"/>
        <w:jc w:val="left"/>
        <w:rPr>
          <w:color w:val="000000"/>
          <w:sz w:val="22"/>
          <w:szCs w:val="22"/>
          <w:lang w:val="cs-CZ"/>
        </w:rPr>
      </w:pPr>
      <w:r w:rsidRPr="00F25A60">
        <w:rPr>
          <w:color w:val="000000"/>
          <w:sz w:val="22"/>
          <w:szCs w:val="22"/>
          <w:lang w:val="cs-CZ"/>
        </w:rPr>
        <w:t>Pocit závratě a slabosti.</w:t>
      </w:r>
    </w:p>
    <w:p w14:paraId="67F62B53" w14:textId="77777777" w:rsidR="00EA5993" w:rsidRPr="00F25A60" w:rsidRDefault="00EA5993" w:rsidP="005C56E6">
      <w:pPr>
        <w:pStyle w:val="Text"/>
        <w:widowControl w:val="0"/>
        <w:numPr>
          <w:ilvl w:val="0"/>
          <w:numId w:val="20"/>
        </w:numPr>
        <w:tabs>
          <w:tab w:val="clear" w:pos="360"/>
        </w:tabs>
        <w:spacing w:before="0"/>
        <w:ind w:left="600" w:hanging="600"/>
        <w:jc w:val="left"/>
        <w:rPr>
          <w:color w:val="000000"/>
          <w:sz w:val="22"/>
          <w:szCs w:val="22"/>
          <w:lang w:val="cs-CZ"/>
        </w:rPr>
      </w:pPr>
      <w:r w:rsidRPr="00F25A60">
        <w:rPr>
          <w:color w:val="000000"/>
          <w:sz w:val="22"/>
          <w:szCs w:val="22"/>
          <w:lang w:val="cs-CZ"/>
        </w:rPr>
        <w:t>Potíže se spánkem (nespavost).</w:t>
      </w:r>
    </w:p>
    <w:p w14:paraId="69E90B88" w14:textId="77777777" w:rsidR="00EA5993" w:rsidRPr="00F25A60" w:rsidRDefault="00EA5993" w:rsidP="005C56E6">
      <w:pPr>
        <w:pStyle w:val="Text"/>
        <w:widowControl w:val="0"/>
        <w:numPr>
          <w:ilvl w:val="0"/>
          <w:numId w:val="20"/>
        </w:numPr>
        <w:tabs>
          <w:tab w:val="clear" w:pos="360"/>
        </w:tabs>
        <w:spacing w:before="0"/>
        <w:ind w:left="600" w:hanging="600"/>
        <w:jc w:val="left"/>
        <w:rPr>
          <w:color w:val="000000"/>
          <w:sz w:val="22"/>
          <w:szCs w:val="22"/>
          <w:lang w:val="cs-CZ"/>
        </w:rPr>
      </w:pPr>
      <w:r w:rsidRPr="00F25A60">
        <w:rPr>
          <w:color w:val="000000"/>
          <w:sz w:val="22"/>
          <w:szCs w:val="22"/>
          <w:lang w:val="cs-CZ"/>
        </w:rPr>
        <w:t>Výtok z očí se svěděním, zarudnutí a otoky (zánět spojivek), zvýšená produkce slz nebo neostré vidění.</w:t>
      </w:r>
    </w:p>
    <w:p w14:paraId="2C6C4E54" w14:textId="77777777" w:rsidR="00EA5993" w:rsidRPr="00F25A60" w:rsidRDefault="00EA5993" w:rsidP="005C56E6">
      <w:pPr>
        <w:pStyle w:val="Text"/>
        <w:widowControl w:val="0"/>
        <w:numPr>
          <w:ilvl w:val="0"/>
          <w:numId w:val="19"/>
        </w:numPr>
        <w:spacing w:before="0"/>
        <w:ind w:hanging="720"/>
        <w:jc w:val="left"/>
        <w:rPr>
          <w:color w:val="000000"/>
          <w:sz w:val="22"/>
          <w:szCs w:val="22"/>
          <w:lang w:val="cs-CZ"/>
        </w:rPr>
      </w:pPr>
      <w:r w:rsidRPr="00F25A60">
        <w:rPr>
          <w:color w:val="000000"/>
          <w:sz w:val="22"/>
          <w:szCs w:val="22"/>
          <w:lang w:val="cs-CZ"/>
        </w:rPr>
        <w:t>Krvácení z nosu.</w:t>
      </w:r>
    </w:p>
    <w:p w14:paraId="5205B1E6" w14:textId="77777777" w:rsidR="00EA5993" w:rsidRPr="00F25A60" w:rsidRDefault="00EA5993" w:rsidP="005C56E6">
      <w:pPr>
        <w:pStyle w:val="Text"/>
        <w:widowControl w:val="0"/>
        <w:numPr>
          <w:ilvl w:val="0"/>
          <w:numId w:val="19"/>
        </w:numPr>
        <w:spacing w:before="0"/>
        <w:ind w:hanging="720"/>
        <w:jc w:val="left"/>
        <w:rPr>
          <w:color w:val="000000"/>
          <w:sz w:val="22"/>
          <w:szCs w:val="22"/>
          <w:lang w:val="cs-CZ"/>
        </w:rPr>
      </w:pPr>
      <w:r w:rsidRPr="00F25A60">
        <w:rPr>
          <w:color w:val="000000"/>
          <w:sz w:val="22"/>
          <w:szCs w:val="22"/>
          <w:lang w:val="cs-CZ"/>
        </w:rPr>
        <w:t>Bolest nebo zduření břicha, nadýmání, pálení žáhy nebo zácpa.</w:t>
      </w:r>
    </w:p>
    <w:p w14:paraId="3F86A609" w14:textId="77777777" w:rsidR="00EA5993" w:rsidRPr="00F25A60" w:rsidRDefault="00EA5993" w:rsidP="005C56E6">
      <w:pPr>
        <w:pStyle w:val="Text"/>
        <w:widowControl w:val="0"/>
        <w:numPr>
          <w:ilvl w:val="0"/>
          <w:numId w:val="19"/>
        </w:numPr>
        <w:spacing w:before="0"/>
        <w:ind w:hanging="720"/>
        <w:jc w:val="left"/>
        <w:rPr>
          <w:color w:val="000000"/>
          <w:sz w:val="22"/>
          <w:szCs w:val="22"/>
          <w:lang w:val="cs-CZ"/>
        </w:rPr>
      </w:pPr>
      <w:r w:rsidRPr="00F25A60">
        <w:rPr>
          <w:color w:val="000000"/>
          <w:sz w:val="22"/>
          <w:szCs w:val="22"/>
          <w:lang w:val="cs-CZ"/>
        </w:rPr>
        <w:t>Svědění.</w:t>
      </w:r>
    </w:p>
    <w:p w14:paraId="2B9C8D2C" w14:textId="77777777" w:rsidR="00EA5993" w:rsidRPr="00F25A60" w:rsidRDefault="00EA5993" w:rsidP="005C56E6">
      <w:pPr>
        <w:pStyle w:val="Text"/>
        <w:widowControl w:val="0"/>
        <w:numPr>
          <w:ilvl w:val="0"/>
          <w:numId w:val="19"/>
        </w:numPr>
        <w:spacing w:before="0"/>
        <w:ind w:hanging="720"/>
        <w:jc w:val="left"/>
        <w:rPr>
          <w:color w:val="000000"/>
          <w:sz w:val="22"/>
          <w:szCs w:val="22"/>
          <w:lang w:val="cs-CZ"/>
        </w:rPr>
      </w:pPr>
      <w:r w:rsidRPr="00F25A60">
        <w:rPr>
          <w:color w:val="000000"/>
          <w:sz w:val="22"/>
          <w:szCs w:val="22"/>
          <w:lang w:val="cs-CZ"/>
        </w:rPr>
        <w:t>Neobvyklá ztráta vlasů nebo jejich prořídnutí.</w:t>
      </w:r>
    </w:p>
    <w:p w14:paraId="2FE0AC06" w14:textId="77777777" w:rsidR="00EA5993" w:rsidRPr="00F25A60" w:rsidRDefault="00EA5993" w:rsidP="005C56E6">
      <w:pPr>
        <w:pStyle w:val="Text"/>
        <w:widowControl w:val="0"/>
        <w:numPr>
          <w:ilvl w:val="0"/>
          <w:numId w:val="18"/>
        </w:numPr>
        <w:spacing w:before="0"/>
        <w:ind w:hanging="720"/>
        <w:jc w:val="left"/>
        <w:rPr>
          <w:color w:val="000000"/>
          <w:sz w:val="22"/>
          <w:szCs w:val="22"/>
          <w:lang w:val="cs-CZ"/>
        </w:rPr>
      </w:pPr>
      <w:r w:rsidRPr="00F25A60">
        <w:rPr>
          <w:color w:val="000000"/>
          <w:sz w:val="22"/>
          <w:szCs w:val="22"/>
          <w:lang w:val="cs-CZ"/>
        </w:rPr>
        <w:t>Znecitlivění rukou nebo nohou.</w:t>
      </w:r>
    </w:p>
    <w:p w14:paraId="59343041" w14:textId="77777777" w:rsidR="00EA5993" w:rsidRPr="00F25A60" w:rsidRDefault="00EA5993" w:rsidP="005C56E6">
      <w:pPr>
        <w:pStyle w:val="Text"/>
        <w:widowControl w:val="0"/>
        <w:numPr>
          <w:ilvl w:val="0"/>
          <w:numId w:val="18"/>
        </w:numPr>
        <w:spacing w:before="0"/>
        <w:ind w:hanging="720"/>
        <w:jc w:val="left"/>
        <w:rPr>
          <w:color w:val="000000"/>
          <w:sz w:val="22"/>
          <w:szCs w:val="22"/>
          <w:lang w:val="cs-CZ"/>
        </w:rPr>
      </w:pPr>
      <w:r w:rsidRPr="00F25A60">
        <w:rPr>
          <w:color w:val="000000"/>
          <w:sz w:val="22"/>
          <w:szCs w:val="22"/>
          <w:lang w:val="cs-CZ"/>
        </w:rPr>
        <w:t>Vř</w:t>
      </w:r>
      <w:r w:rsidR="00EF31B4" w:rsidRPr="00F25A60">
        <w:rPr>
          <w:color w:val="000000"/>
          <w:sz w:val="22"/>
          <w:szCs w:val="22"/>
          <w:lang w:val="cs-CZ"/>
        </w:rPr>
        <w:t>edy</w:t>
      </w:r>
      <w:r w:rsidRPr="00F25A60">
        <w:rPr>
          <w:color w:val="000000"/>
          <w:sz w:val="22"/>
          <w:szCs w:val="22"/>
          <w:lang w:val="cs-CZ"/>
        </w:rPr>
        <w:t xml:space="preserve"> v ústech.</w:t>
      </w:r>
    </w:p>
    <w:p w14:paraId="422C11CB" w14:textId="77777777" w:rsidR="00EA5993" w:rsidRPr="00F25A60" w:rsidRDefault="00EA5993" w:rsidP="005C56E6">
      <w:pPr>
        <w:pStyle w:val="Text"/>
        <w:widowControl w:val="0"/>
        <w:numPr>
          <w:ilvl w:val="0"/>
          <w:numId w:val="18"/>
        </w:numPr>
        <w:spacing w:before="0"/>
        <w:ind w:hanging="720"/>
        <w:jc w:val="left"/>
        <w:rPr>
          <w:color w:val="000000"/>
          <w:sz w:val="22"/>
          <w:szCs w:val="22"/>
          <w:lang w:val="cs-CZ"/>
        </w:rPr>
      </w:pPr>
      <w:r w:rsidRPr="00F25A60">
        <w:rPr>
          <w:color w:val="000000"/>
          <w:sz w:val="22"/>
          <w:szCs w:val="22"/>
          <w:lang w:val="cs-CZ"/>
        </w:rPr>
        <w:t>Bolesti kloubů s otoky.</w:t>
      </w:r>
    </w:p>
    <w:p w14:paraId="2FB36CF8" w14:textId="77777777" w:rsidR="00EA5993" w:rsidRPr="00F25A60" w:rsidRDefault="00EA5993" w:rsidP="005C56E6">
      <w:pPr>
        <w:pStyle w:val="Text"/>
        <w:widowControl w:val="0"/>
        <w:numPr>
          <w:ilvl w:val="0"/>
          <w:numId w:val="18"/>
        </w:numPr>
        <w:spacing w:before="0"/>
        <w:ind w:hanging="720"/>
        <w:jc w:val="left"/>
        <w:rPr>
          <w:color w:val="000000"/>
          <w:sz w:val="22"/>
          <w:szCs w:val="22"/>
          <w:lang w:val="cs-CZ"/>
        </w:rPr>
      </w:pPr>
      <w:r w:rsidRPr="00F25A60">
        <w:rPr>
          <w:color w:val="000000"/>
          <w:sz w:val="22"/>
          <w:szCs w:val="22"/>
          <w:lang w:val="cs-CZ"/>
        </w:rPr>
        <w:t xml:space="preserve">Sucho v ústech, suchá </w:t>
      </w:r>
      <w:r w:rsidR="00EF31B4" w:rsidRPr="00F25A60">
        <w:rPr>
          <w:color w:val="000000"/>
          <w:sz w:val="22"/>
          <w:szCs w:val="22"/>
          <w:lang w:val="cs-CZ"/>
        </w:rPr>
        <w:t>kůže</w:t>
      </w:r>
      <w:r w:rsidRPr="00F25A60">
        <w:rPr>
          <w:color w:val="000000"/>
          <w:sz w:val="22"/>
          <w:szCs w:val="22"/>
          <w:lang w:val="cs-CZ"/>
        </w:rPr>
        <w:t xml:space="preserve"> nebo suché oči.</w:t>
      </w:r>
    </w:p>
    <w:p w14:paraId="11681FDE" w14:textId="77777777" w:rsidR="00EA5993" w:rsidRPr="00F25A60" w:rsidRDefault="00EA5993" w:rsidP="005C56E6">
      <w:pPr>
        <w:pStyle w:val="Text"/>
        <w:widowControl w:val="0"/>
        <w:numPr>
          <w:ilvl w:val="0"/>
          <w:numId w:val="18"/>
        </w:numPr>
        <w:spacing w:before="0"/>
        <w:ind w:hanging="720"/>
        <w:jc w:val="left"/>
        <w:rPr>
          <w:color w:val="000000"/>
          <w:sz w:val="22"/>
          <w:szCs w:val="22"/>
          <w:lang w:val="cs-CZ"/>
        </w:rPr>
      </w:pPr>
      <w:r w:rsidRPr="00F25A60">
        <w:rPr>
          <w:color w:val="000000"/>
          <w:sz w:val="22"/>
          <w:szCs w:val="22"/>
          <w:lang w:val="cs-CZ"/>
        </w:rPr>
        <w:t>Snížená nebo zvýšená citlivost kůže.</w:t>
      </w:r>
    </w:p>
    <w:p w14:paraId="629B3CD9" w14:textId="77777777" w:rsidR="00EA5993" w:rsidRPr="00F25A60" w:rsidRDefault="00EA5993" w:rsidP="005C56E6">
      <w:pPr>
        <w:pStyle w:val="Text"/>
        <w:keepNext/>
        <w:widowControl w:val="0"/>
        <w:numPr>
          <w:ilvl w:val="0"/>
          <w:numId w:val="18"/>
        </w:numPr>
        <w:spacing w:before="0"/>
        <w:ind w:hanging="720"/>
        <w:jc w:val="left"/>
        <w:rPr>
          <w:color w:val="000000"/>
          <w:sz w:val="22"/>
          <w:szCs w:val="22"/>
          <w:lang w:val="cs-CZ"/>
        </w:rPr>
      </w:pPr>
      <w:r w:rsidRPr="00F25A60">
        <w:rPr>
          <w:color w:val="000000"/>
          <w:sz w:val="22"/>
          <w:szCs w:val="22"/>
          <w:lang w:val="cs-CZ"/>
        </w:rPr>
        <w:t xml:space="preserve">Návaly horka, </w:t>
      </w:r>
      <w:r w:rsidR="00EF31B4" w:rsidRPr="00F25A60">
        <w:rPr>
          <w:color w:val="000000"/>
          <w:sz w:val="22"/>
          <w:szCs w:val="22"/>
          <w:lang w:val="cs-CZ"/>
        </w:rPr>
        <w:t>zimnice</w:t>
      </w:r>
      <w:r w:rsidRPr="00F25A60">
        <w:rPr>
          <w:color w:val="000000"/>
          <w:sz w:val="22"/>
          <w:szCs w:val="22"/>
          <w:lang w:val="cs-CZ"/>
        </w:rPr>
        <w:t xml:space="preserve"> nebo noční pocení.</w:t>
      </w:r>
    </w:p>
    <w:p w14:paraId="787A2952" w14:textId="77777777" w:rsidR="00EF31B4" w:rsidRPr="00F25A60" w:rsidRDefault="00EF31B4" w:rsidP="005C56E6">
      <w:pPr>
        <w:pStyle w:val="Text"/>
        <w:widowControl w:val="0"/>
        <w:spacing w:before="0"/>
        <w:jc w:val="left"/>
        <w:rPr>
          <w:color w:val="000000"/>
          <w:sz w:val="22"/>
          <w:szCs w:val="22"/>
          <w:lang w:val="cs-CZ"/>
        </w:rPr>
      </w:pPr>
      <w:r w:rsidRPr="00F25A60">
        <w:rPr>
          <w:color w:val="000000"/>
          <w:sz w:val="22"/>
          <w:szCs w:val="22"/>
          <w:lang w:val="cs-CZ"/>
        </w:rPr>
        <w:t xml:space="preserve">Pokud se kterýkoli z těchto nežádoucích účinků objeví v závažné formě, </w:t>
      </w:r>
      <w:r w:rsidRPr="00F25A60">
        <w:rPr>
          <w:b/>
          <w:color w:val="000000"/>
          <w:sz w:val="22"/>
          <w:szCs w:val="22"/>
          <w:lang w:val="cs-CZ"/>
        </w:rPr>
        <w:t>sdělte to svému lékaři</w:t>
      </w:r>
      <w:r w:rsidRPr="00F25A60">
        <w:rPr>
          <w:color w:val="000000"/>
          <w:sz w:val="22"/>
          <w:szCs w:val="22"/>
          <w:lang w:val="cs-CZ"/>
        </w:rPr>
        <w:t>.</w:t>
      </w:r>
    </w:p>
    <w:p w14:paraId="01901C7D" w14:textId="46A1CADE" w:rsidR="00EF31B4" w:rsidRDefault="00EF31B4" w:rsidP="005C56E6">
      <w:pPr>
        <w:pStyle w:val="Text"/>
        <w:widowControl w:val="0"/>
        <w:spacing w:before="0"/>
        <w:jc w:val="left"/>
        <w:rPr>
          <w:color w:val="000000"/>
          <w:sz w:val="22"/>
          <w:szCs w:val="22"/>
          <w:lang w:val="cs-CZ"/>
        </w:rPr>
      </w:pPr>
    </w:p>
    <w:p w14:paraId="77A69EDA" w14:textId="15B30153" w:rsidR="00614F5E" w:rsidRDefault="00614F5E" w:rsidP="005C56E6">
      <w:pPr>
        <w:pStyle w:val="Text"/>
        <w:keepNext/>
        <w:widowControl w:val="0"/>
        <w:spacing w:before="0"/>
        <w:jc w:val="left"/>
        <w:rPr>
          <w:color w:val="000000"/>
          <w:sz w:val="22"/>
          <w:szCs w:val="22"/>
          <w:lang w:val="cs-CZ"/>
        </w:rPr>
      </w:pPr>
      <w:r w:rsidRPr="000A07A4">
        <w:rPr>
          <w:b/>
          <w:color w:val="000000"/>
          <w:sz w:val="22"/>
          <w:szCs w:val="22"/>
          <w:lang w:val="cs-CZ"/>
        </w:rPr>
        <w:t>Méně časté</w:t>
      </w:r>
      <w:r>
        <w:rPr>
          <w:color w:val="000000"/>
          <w:sz w:val="22"/>
          <w:szCs w:val="22"/>
          <w:lang w:val="cs-CZ"/>
        </w:rPr>
        <w:t xml:space="preserve"> (mohou postihnout až 1 ze 100 lidí)</w:t>
      </w:r>
      <w:r w:rsidR="00FD18AC">
        <w:rPr>
          <w:color w:val="000000"/>
          <w:sz w:val="22"/>
          <w:szCs w:val="22"/>
          <w:lang w:val="cs-CZ"/>
        </w:rPr>
        <w:t>:</w:t>
      </w:r>
    </w:p>
    <w:p w14:paraId="3A804816" w14:textId="77777777" w:rsidR="0099123D" w:rsidRPr="00F25A60" w:rsidRDefault="0099123D" w:rsidP="005C56E6">
      <w:pPr>
        <w:pStyle w:val="Text"/>
        <w:widowControl w:val="0"/>
        <w:numPr>
          <w:ilvl w:val="0"/>
          <w:numId w:val="35"/>
        </w:numPr>
        <w:tabs>
          <w:tab w:val="clear" w:pos="357"/>
          <w:tab w:val="clear" w:pos="567"/>
        </w:tabs>
        <w:spacing w:before="0"/>
        <w:ind w:left="567" w:hanging="567"/>
        <w:jc w:val="left"/>
        <w:rPr>
          <w:color w:val="000000"/>
          <w:sz w:val="22"/>
          <w:szCs w:val="22"/>
          <w:lang w:val="cs-CZ"/>
        </w:rPr>
      </w:pPr>
      <w:r>
        <w:rPr>
          <w:color w:val="000000"/>
          <w:sz w:val="22"/>
          <w:szCs w:val="22"/>
          <w:lang w:val="cs-CZ"/>
        </w:rPr>
        <w:t>Bolestivé červené bulky na kůži, bolest kůže, zarudnutí kůže (zánět tukové tkáně pod kůží)</w:t>
      </w:r>
      <w:r w:rsidRPr="00F25A60">
        <w:rPr>
          <w:color w:val="000000"/>
          <w:sz w:val="22"/>
          <w:szCs w:val="22"/>
          <w:lang w:val="cs-CZ"/>
        </w:rPr>
        <w:t>.</w:t>
      </w:r>
    </w:p>
    <w:p w14:paraId="4E2902A3" w14:textId="77777777" w:rsidR="00614F5E" w:rsidRPr="00BC48A2"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cs-CZ"/>
        </w:rPr>
      </w:pPr>
      <w:r w:rsidRPr="00BC48A2">
        <w:rPr>
          <w:color w:val="000000"/>
          <w:sz w:val="22"/>
          <w:szCs w:val="22"/>
          <w:lang w:val="cs-CZ"/>
        </w:rPr>
        <w:t>Kašel, rýma nebo ucpaný nos, pocit tíhy nebo bolesti při stlačení oblasti nad očima nebo po stranách nosu, ucpaný nos, kýchání, bolest v krku, s bolestí hlavy nebo bez ní (známky infekce horních cest dýchacích).</w:t>
      </w:r>
    </w:p>
    <w:p w14:paraId="1657015B" w14:textId="6B94AD1E" w:rsidR="00614F5E" w:rsidRPr="00BC48A2"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cs-CZ"/>
        </w:rPr>
      </w:pPr>
      <w:r w:rsidRPr="00BC48A2">
        <w:rPr>
          <w:color w:val="000000"/>
          <w:sz w:val="22"/>
          <w:szCs w:val="22"/>
          <w:lang w:val="cs-CZ"/>
        </w:rPr>
        <w:t xml:space="preserve">Silná bolest hlavy pociťovaná jako pulzující bolest nebo pocit pulzování, obvykle na jedné straně hlavy a často doprovázená </w:t>
      </w:r>
      <w:r w:rsidR="00240D23" w:rsidRPr="00BC48A2">
        <w:rPr>
          <w:color w:val="000000"/>
          <w:sz w:val="22"/>
          <w:szCs w:val="22"/>
          <w:lang w:val="cs-CZ"/>
        </w:rPr>
        <w:t>pocitem na zvracení</w:t>
      </w:r>
      <w:r w:rsidRPr="00BC48A2">
        <w:rPr>
          <w:color w:val="000000"/>
          <w:sz w:val="22"/>
          <w:szCs w:val="22"/>
          <w:lang w:val="cs-CZ"/>
        </w:rPr>
        <w:t>, zvracením a citlivostí na světlo nebo zvuk (známky migrény).</w:t>
      </w:r>
    </w:p>
    <w:p w14:paraId="22DBC73E"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Příznaky</w:t>
      </w:r>
      <w:proofErr w:type="spellEnd"/>
      <w:r>
        <w:rPr>
          <w:color w:val="000000"/>
          <w:sz w:val="22"/>
          <w:szCs w:val="22"/>
          <w:lang w:val="en-GB"/>
        </w:rPr>
        <w:t xml:space="preserve"> </w:t>
      </w:r>
      <w:proofErr w:type="spellStart"/>
      <w:r>
        <w:rPr>
          <w:color w:val="000000"/>
          <w:sz w:val="22"/>
          <w:szCs w:val="22"/>
          <w:lang w:val="en-GB"/>
        </w:rPr>
        <w:t>podobné</w:t>
      </w:r>
      <w:proofErr w:type="spellEnd"/>
      <w:r>
        <w:rPr>
          <w:color w:val="000000"/>
          <w:sz w:val="22"/>
          <w:szCs w:val="22"/>
          <w:lang w:val="en-GB"/>
        </w:rPr>
        <w:t xml:space="preserve"> </w:t>
      </w:r>
      <w:proofErr w:type="spellStart"/>
      <w:r>
        <w:rPr>
          <w:color w:val="000000"/>
          <w:sz w:val="22"/>
          <w:szCs w:val="22"/>
          <w:lang w:val="en-GB"/>
        </w:rPr>
        <w:t>chřipce</w:t>
      </w:r>
      <w:proofErr w:type="spellEnd"/>
      <w:r>
        <w:rPr>
          <w:color w:val="000000"/>
          <w:sz w:val="22"/>
          <w:szCs w:val="22"/>
          <w:lang w:val="en-GB"/>
        </w:rPr>
        <w:t xml:space="preserve"> (</w:t>
      </w:r>
      <w:proofErr w:type="spellStart"/>
      <w:r>
        <w:rPr>
          <w:color w:val="000000"/>
          <w:sz w:val="22"/>
          <w:szCs w:val="22"/>
          <w:lang w:val="en-GB"/>
        </w:rPr>
        <w:t>chřipka</w:t>
      </w:r>
      <w:proofErr w:type="spellEnd"/>
      <w:r>
        <w:rPr>
          <w:color w:val="000000"/>
          <w:sz w:val="22"/>
          <w:szCs w:val="22"/>
          <w:lang w:val="en-GB"/>
        </w:rPr>
        <w:t>).</w:t>
      </w:r>
    </w:p>
    <w:p w14:paraId="64775E6D"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Bolest</w:t>
      </w:r>
      <w:proofErr w:type="spellEnd"/>
      <w:r>
        <w:rPr>
          <w:color w:val="000000"/>
          <w:sz w:val="22"/>
          <w:szCs w:val="22"/>
          <w:lang w:val="en-GB"/>
        </w:rPr>
        <w:t xml:space="preserve"> </w:t>
      </w:r>
      <w:proofErr w:type="spellStart"/>
      <w:r>
        <w:rPr>
          <w:color w:val="000000"/>
          <w:sz w:val="22"/>
          <w:szCs w:val="22"/>
          <w:lang w:val="en-GB"/>
        </w:rPr>
        <w:t>nebo</w:t>
      </w:r>
      <w:proofErr w:type="spellEnd"/>
      <w:r>
        <w:rPr>
          <w:color w:val="000000"/>
          <w:sz w:val="22"/>
          <w:szCs w:val="22"/>
          <w:lang w:val="en-GB"/>
        </w:rPr>
        <w:t xml:space="preserve"> </w:t>
      </w:r>
      <w:proofErr w:type="spellStart"/>
      <w:r>
        <w:rPr>
          <w:color w:val="000000"/>
          <w:sz w:val="22"/>
          <w:szCs w:val="22"/>
          <w:lang w:val="en-GB"/>
        </w:rPr>
        <w:t>pocit</w:t>
      </w:r>
      <w:proofErr w:type="spellEnd"/>
      <w:r>
        <w:rPr>
          <w:color w:val="000000"/>
          <w:sz w:val="22"/>
          <w:szCs w:val="22"/>
          <w:lang w:val="en-GB"/>
        </w:rPr>
        <w:t xml:space="preserve"> </w:t>
      </w:r>
      <w:proofErr w:type="spellStart"/>
      <w:r>
        <w:rPr>
          <w:color w:val="000000"/>
          <w:sz w:val="22"/>
          <w:szCs w:val="22"/>
          <w:lang w:val="en-GB"/>
        </w:rPr>
        <w:t>pálení</w:t>
      </w:r>
      <w:proofErr w:type="spellEnd"/>
      <w:r>
        <w:rPr>
          <w:color w:val="000000"/>
          <w:sz w:val="22"/>
          <w:szCs w:val="22"/>
          <w:lang w:val="en-GB"/>
        </w:rPr>
        <w:t xml:space="preserve"> </w:t>
      </w:r>
      <w:proofErr w:type="spellStart"/>
      <w:r>
        <w:rPr>
          <w:color w:val="000000"/>
          <w:sz w:val="22"/>
          <w:szCs w:val="22"/>
          <w:lang w:val="en-GB"/>
        </w:rPr>
        <w:t>při</w:t>
      </w:r>
      <w:proofErr w:type="spellEnd"/>
      <w:r>
        <w:rPr>
          <w:color w:val="000000"/>
          <w:sz w:val="22"/>
          <w:szCs w:val="22"/>
          <w:lang w:val="en-GB"/>
        </w:rPr>
        <w:t xml:space="preserve"> </w:t>
      </w:r>
      <w:proofErr w:type="spellStart"/>
      <w:r>
        <w:rPr>
          <w:color w:val="000000"/>
          <w:sz w:val="22"/>
          <w:szCs w:val="22"/>
          <w:lang w:val="en-GB"/>
        </w:rPr>
        <w:t>močení</w:t>
      </w:r>
      <w:proofErr w:type="spellEnd"/>
      <w:r>
        <w:rPr>
          <w:color w:val="000000"/>
          <w:sz w:val="22"/>
          <w:szCs w:val="22"/>
          <w:lang w:val="en-GB"/>
        </w:rPr>
        <w:t xml:space="preserve">, </w:t>
      </w:r>
      <w:proofErr w:type="spellStart"/>
      <w:r>
        <w:rPr>
          <w:color w:val="000000"/>
          <w:sz w:val="22"/>
          <w:szCs w:val="22"/>
          <w:lang w:val="en-GB"/>
        </w:rPr>
        <w:t>zvýšená</w:t>
      </w:r>
      <w:proofErr w:type="spellEnd"/>
      <w:r>
        <w:rPr>
          <w:color w:val="000000"/>
          <w:sz w:val="22"/>
          <w:szCs w:val="22"/>
          <w:lang w:val="en-GB"/>
        </w:rPr>
        <w:t xml:space="preserve"> </w:t>
      </w:r>
      <w:proofErr w:type="spellStart"/>
      <w:r>
        <w:rPr>
          <w:color w:val="000000"/>
          <w:sz w:val="22"/>
          <w:szCs w:val="22"/>
          <w:lang w:val="en-GB"/>
        </w:rPr>
        <w:t>tělesná</w:t>
      </w:r>
      <w:proofErr w:type="spellEnd"/>
      <w:r>
        <w:rPr>
          <w:color w:val="000000"/>
          <w:sz w:val="22"/>
          <w:szCs w:val="22"/>
          <w:lang w:val="en-GB"/>
        </w:rPr>
        <w:t xml:space="preserve"> </w:t>
      </w:r>
      <w:proofErr w:type="spellStart"/>
      <w:r>
        <w:rPr>
          <w:color w:val="000000"/>
          <w:sz w:val="22"/>
          <w:szCs w:val="22"/>
          <w:lang w:val="en-GB"/>
        </w:rPr>
        <w:t>teplota</w:t>
      </w:r>
      <w:proofErr w:type="spellEnd"/>
      <w:r>
        <w:rPr>
          <w:color w:val="000000"/>
          <w:sz w:val="22"/>
          <w:szCs w:val="22"/>
          <w:lang w:val="en-GB"/>
        </w:rPr>
        <w:t xml:space="preserve">, </w:t>
      </w:r>
      <w:proofErr w:type="spellStart"/>
      <w:r>
        <w:rPr>
          <w:color w:val="000000"/>
          <w:sz w:val="22"/>
          <w:szCs w:val="22"/>
          <w:lang w:val="en-GB"/>
        </w:rPr>
        <w:t>bolest</w:t>
      </w:r>
      <w:proofErr w:type="spellEnd"/>
      <w:r>
        <w:rPr>
          <w:color w:val="000000"/>
          <w:sz w:val="22"/>
          <w:szCs w:val="22"/>
          <w:lang w:val="en-GB"/>
        </w:rPr>
        <w:t xml:space="preserve"> v </w:t>
      </w:r>
      <w:proofErr w:type="spellStart"/>
      <w:r>
        <w:rPr>
          <w:color w:val="000000"/>
          <w:sz w:val="22"/>
          <w:szCs w:val="22"/>
          <w:lang w:val="en-GB"/>
        </w:rPr>
        <w:t>tříslech</w:t>
      </w:r>
      <w:proofErr w:type="spellEnd"/>
      <w:r>
        <w:rPr>
          <w:color w:val="000000"/>
          <w:sz w:val="22"/>
          <w:szCs w:val="22"/>
          <w:lang w:val="en-GB"/>
        </w:rPr>
        <w:t xml:space="preserve"> </w:t>
      </w:r>
      <w:proofErr w:type="spellStart"/>
      <w:r>
        <w:rPr>
          <w:color w:val="000000"/>
          <w:sz w:val="22"/>
          <w:szCs w:val="22"/>
          <w:lang w:val="en-GB"/>
        </w:rPr>
        <w:t>nebo</w:t>
      </w:r>
      <w:proofErr w:type="spellEnd"/>
      <w:r>
        <w:rPr>
          <w:color w:val="000000"/>
          <w:sz w:val="22"/>
          <w:szCs w:val="22"/>
          <w:lang w:val="en-GB"/>
        </w:rPr>
        <w:t xml:space="preserve"> v </w:t>
      </w:r>
      <w:proofErr w:type="spellStart"/>
      <w:r>
        <w:rPr>
          <w:color w:val="000000"/>
          <w:sz w:val="22"/>
          <w:szCs w:val="22"/>
          <w:lang w:val="en-GB"/>
        </w:rPr>
        <w:t>oblasti</w:t>
      </w:r>
      <w:proofErr w:type="spellEnd"/>
      <w:r>
        <w:rPr>
          <w:color w:val="000000"/>
          <w:sz w:val="22"/>
          <w:szCs w:val="22"/>
          <w:lang w:val="en-GB"/>
        </w:rPr>
        <w:t xml:space="preserve"> </w:t>
      </w:r>
      <w:proofErr w:type="spellStart"/>
      <w:r>
        <w:rPr>
          <w:color w:val="000000"/>
          <w:sz w:val="22"/>
          <w:szCs w:val="22"/>
          <w:lang w:val="en-GB"/>
        </w:rPr>
        <w:t>pánve</w:t>
      </w:r>
      <w:proofErr w:type="spellEnd"/>
      <w:r>
        <w:rPr>
          <w:color w:val="000000"/>
          <w:sz w:val="22"/>
          <w:szCs w:val="22"/>
          <w:lang w:val="en-GB"/>
        </w:rPr>
        <w:t xml:space="preserve">, </w:t>
      </w:r>
      <w:proofErr w:type="spellStart"/>
      <w:r>
        <w:rPr>
          <w:color w:val="000000"/>
          <w:sz w:val="22"/>
          <w:szCs w:val="22"/>
          <w:lang w:val="en-GB"/>
        </w:rPr>
        <w:t>červená</w:t>
      </w:r>
      <w:proofErr w:type="spellEnd"/>
      <w:r>
        <w:rPr>
          <w:color w:val="000000"/>
          <w:sz w:val="22"/>
          <w:szCs w:val="22"/>
          <w:lang w:val="en-GB"/>
        </w:rPr>
        <w:t xml:space="preserve"> </w:t>
      </w:r>
      <w:proofErr w:type="spellStart"/>
      <w:r>
        <w:rPr>
          <w:color w:val="000000"/>
          <w:sz w:val="22"/>
          <w:szCs w:val="22"/>
          <w:lang w:val="en-GB"/>
        </w:rPr>
        <w:t>nebo</w:t>
      </w:r>
      <w:proofErr w:type="spellEnd"/>
      <w:r>
        <w:rPr>
          <w:color w:val="000000"/>
          <w:sz w:val="22"/>
          <w:szCs w:val="22"/>
          <w:lang w:val="en-GB"/>
        </w:rPr>
        <w:t xml:space="preserve"> </w:t>
      </w:r>
      <w:proofErr w:type="spellStart"/>
      <w:r>
        <w:rPr>
          <w:color w:val="000000"/>
          <w:sz w:val="22"/>
          <w:szCs w:val="22"/>
          <w:lang w:val="en-GB"/>
        </w:rPr>
        <w:t>hnědá</w:t>
      </w:r>
      <w:proofErr w:type="spellEnd"/>
      <w:r>
        <w:rPr>
          <w:color w:val="000000"/>
          <w:sz w:val="22"/>
          <w:szCs w:val="22"/>
          <w:lang w:val="en-GB"/>
        </w:rPr>
        <w:t xml:space="preserve"> </w:t>
      </w:r>
      <w:proofErr w:type="spellStart"/>
      <w:r>
        <w:rPr>
          <w:color w:val="000000"/>
          <w:sz w:val="22"/>
          <w:szCs w:val="22"/>
          <w:lang w:val="en-GB"/>
        </w:rPr>
        <w:t>nebo</w:t>
      </w:r>
      <w:proofErr w:type="spellEnd"/>
      <w:r>
        <w:rPr>
          <w:color w:val="000000"/>
          <w:sz w:val="22"/>
          <w:szCs w:val="22"/>
          <w:lang w:val="en-GB"/>
        </w:rPr>
        <w:t xml:space="preserve"> </w:t>
      </w:r>
      <w:proofErr w:type="spellStart"/>
      <w:r>
        <w:rPr>
          <w:color w:val="000000"/>
          <w:sz w:val="22"/>
          <w:szCs w:val="22"/>
          <w:lang w:val="en-GB"/>
        </w:rPr>
        <w:t>zakalená</w:t>
      </w:r>
      <w:proofErr w:type="spellEnd"/>
      <w:r>
        <w:rPr>
          <w:color w:val="000000"/>
          <w:sz w:val="22"/>
          <w:szCs w:val="22"/>
          <w:lang w:val="en-GB"/>
        </w:rPr>
        <w:t xml:space="preserve"> </w:t>
      </w:r>
      <w:proofErr w:type="spellStart"/>
      <w:r>
        <w:rPr>
          <w:color w:val="000000"/>
          <w:sz w:val="22"/>
          <w:szCs w:val="22"/>
          <w:lang w:val="en-GB"/>
        </w:rPr>
        <w:t>moč</w:t>
      </w:r>
      <w:proofErr w:type="spellEnd"/>
      <w:r>
        <w:rPr>
          <w:color w:val="000000"/>
          <w:sz w:val="22"/>
          <w:szCs w:val="22"/>
          <w:lang w:val="en-GB"/>
        </w:rPr>
        <w:t xml:space="preserve"> (</w:t>
      </w:r>
      <w:proofErr w:type="spellStart"/>
      <w:r>
        <w:rPr>
          <w:color w:val="000000"/>
          <w:sz w:val="22"/>
          <w:szCs w:val="22"/>
          <w:lang w:val="en-GB"/>
        </w:rPr>
        <w:t>známky</w:t>
      </w:r>
      <w:proofErr w:type="spellEnd"/>
      <w:r>
        <w:rPr>
          <w:color w:val="000000"/>
          <w:sz w:val="22"/>
          <w:szCs w:val="22"/>
          <w:lang w:val="en-GB"/>
        </w:rPr>
        <w:t xml:space="preserve"> </w:t>
      </w:r>
      <w:proofErr w:type="spellStart"/>
      <w:r>
        <w:rPr>
          <w:color w:val="000000"/>
          <w:sz w:val="22"/>
          <w:szCs w:val="22"/>
          <w:lang w:val="en-GB"/>
        </w:rPr>
        <w:t>infekce</w:t>
      </w:r>
      <w:proofErr w:type="spellEnd"/>
      <w:r>
        <w:rPr>
          <w:color w:val="000000"/>
          <w:sz w:val="22"/>
          <w:szCs w:val="22"/>
          <w:lang w:val="en-GB"/>
        </w:rPr>
        <w:t xml:space="preserve"> </w:t>
      </w:r>
      <w:proofErr w:type="spellStart"/>
      <w:r>
        <w:rPr>
          <w:color w:val="000000"/>
          <w:sz w:val="22"/>
          <w:szCs w:val="22"/>
          <w:lang w:val="en-GB"/>
        </w:rPr>
        <w:t>močových</w:t>
      </w:r>
      <w:proofErr w:type="spellEnd"/>
      <w:r>
        <w:rPr>
          <w:color w:val="000000"/>
          <w:sz w:val="22"/>
          <w:szCs w:val="22"/>
          <w:lang w:val="en-GB"/>
        </w:rPr>
        <w:t xml:space="preserve"> </w:t>
      </w:r>
      <w:proofErr w:type="spellStart"/>
      <w:r>
        <w:rPr>
          <w:color w:val="000000"/>
          <w:sz w:val="22"/>
          <w:szCs w:val="22"/>
          <w:lang w:val="en-GB"/>
        </w:rPr>
        <w:t>cest</w:t>
      </w:r>
      <w:proofErr w:type="spellEnd"/>
      <w:r>
        <w:rPr>
          <w:color w:val="000000"/>
          <w:sz w:val="22"/>
          <w:szCs w:val="22"/>
          <w:lang w:val="en-GB"/>
        </w:rPr>
        <w:t>).</w:t>
      </w:r>
    </w:p>
    <w:p w14:paraId="526E71AF"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Bolest</w:t>
      </w:r>
      <w:proofErr w:type="spellEnd"/>
      <w:r>
        <w:rPr>
          <w:color w:val="000000"/>
          <w:sz w:val="22"/>
          <w:szCs w:val="22"/>
          <w:lang w:val="en-GB"/>
        </w:rPr>
        <w:t xml:space="preserve"> a </w:t>
      </w:r>
      <w:proofErr w:type="spellStart"/>
      <w:r>
        <w:rPr>
          <w:color w:val="000000"/>
          <w:sz w:val="22"/>
          <w:szCs w:val="22"/>
          <w:lang w:val="en-GB"/>
        </w:rPr>
        <w:t>otoky</w:t>
      </w:r>
      <w:proofErr w:type="spellEnd"/>
      <w:r>
        <w:rPr>
          <w:color w:val="000000"/>
          <w:sz w:val="22"/>
          <w:szCs w:val="22"/>
          <w:lang w:val="en-GB"/>
        </w:rPr>
        <w:t xml:space="preserve"> </w:t>
      </w:r>
      <w:proofErr w:type="spellStart"/>
      <w:r>
        <w:rPr>
          <w:color w:val="000000"/>
          <w:sz w:val="22"/>
          <w:szCs w:val="22"/>
          <w:lang w:val="en-GB"/>
        </w:rPr>
        <w:t>kloubů</w:t>
      </w:r>
      <w:proofErr w:type="spellEnd"/>
      <w:r>
        <w:rPr>
          <w:color w:val="000000"/>
          <w:sz w:val="22"/>
          <w:szCs w:val="22"/>
          <w:lang w:val="en-GB"/>
        </w:rPr>
        <w:t xml:space="preserve"> (</w:t>
      </w:r>
      <w:proofErr w:type="spellStart"/>
      <w:r>
        <w:rPr>
          <w:color w:val="000000"/>
          <w:sz w:val="22"/>
          <w:szCs w:val="22"/>
          <w:lang w:val="en-GB"/>
        </w:rPr>
        <w:t>známky</w:t>
      </w:r>
      <w:proofErr w:type="spellEnd"/>
      <w:r>
        <w:rPr>
          <w:color w:val="000000"/>
          <w:sz w:val="22"/>
          <w:szCs w:val="22"/>
          <w:lang w:val="en-GB"/>
        </w:rPr>
        <w:t xml:space="preserve"> </w:t>
      </w:r>
      <w:proofErr w:type="spellStart"/>
      <w:r>
        <w:rPr>
          <w:color w:val="000000"/>
          <w:sz w:val="22"/>
          <w:szCs w:val="22"/>
          <w:lang w:val="en-GB"/>
        </w:rPr>
        <w:t>artralgie</w:t>
      </w:r>
      <w:proofErr w:type="spellEnd"/>
      <w:r>
        <w:rPr>
          <w:color w:val="000000"/>
          <w:sz w:val="22"/>
          <w:szCs w:val="22"/>
          <w:lang w:val="en-GB"/>
        </w:rPr>
        <w:t>).</w:t>
      </w:r>
    </w:p>
    <w:p w14:paraId="720C2A9A"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lastRenderedPageBreak/>
        <w:t>Neustálý</w:t>
      </w:r>
      <w:proofErr w:type="spellEnd"/>
      <w:r>
        <w:rPr>
          <w:color w:val="000000"/>
          <w:sz w:val="22"/>
          <w:szCs w:val="22"/>
          <w:lang w:val="en-GB"/>
        </w:rPr>
        <w:t xml:space="preserve"> </w:t>
      </w:r>
      <w:proofErr w:type="spellStart"/>
      <w:r>
        <w:rPr>
          <w:color w:val="000000"/>
          <w:sz w:val="22"/>
          <w:szCs w:val="22"/>
          <w:lang w:val="en-GB"/>
        </w:rPr>
        <w:t>pocit</w:t>
      </w:r>
      <w:proofErr w:type="spellEnd"/>
      <w:r>
        <w:rPr>
          <w:color w:val="000000"/>
          <w:sz w:val="22"/>
          <w:szCs w:val="22"/>
          <w:lang w:val="en-GB"/>
        </w:rPr>
        <w:t xml:space="preserve"> </w:t>
      </w:r>
      <w:proofErr w:type="spellStart"/>
      <w:r>
        <w:rPr>
          <w:color w:val="000000"/>
          <w:sz w:val="22"/>
          <w:szCs w:val="22"/>
          <w:lang w:val="en-GB"/>
        </w:rPr>
        <w:t>smutku</w:t>
      </w:r>
      <w:proofErr w:type="spellEnd"/>
      <w:r>
        <w:rPr>
          <w:color w:val="000000"/>
          <w:sz w:val="22"/>
          <w:szCs w:val="22"/>
          <w:lang w:val="en-GB"/>
        </w:rPr>
        <w:t xml:space="preserve"> a </w:t>
      </w:r>
      <w:proofErr w:type="spellStart"/>
      <w:r>
        <w:rPr>
          <w:color w:val="000000"/>
          <w:sz w:val="22"/>
          <w:szCs w:val="22"/>
          <w:lang w:val="en-GB"/>
        </w:rPr>
        <w:t>ztráty</w:t>
      </w:r>
      <w:proofErr w:type="spellEnd"/>
      <w:r>
        <w:rPr>
          <w:color w:val="000000"/>
          <w:sz w:val="22"/>
          <w:szCs w:val="22"/>
          <w:lang w:val="en-GB"/>
        </w:rPr>
        <w:t xml:space="preserve"> </w:t>
      </w:r>
      <w:proofErr w:type="spellStart"/>
      <w:r>
        <w:rPr>
          <w:color w:val="000000"/>
          <w:sz w:val="22"/>
          <w:szCs w:val="22"/>
          <w:lang w:val="en-GB"/>
        </w:rPr>
        <w:t>zájmu</w:t>
      </w:r>
      <w:proofErr w:type="spellEnd"/>
      <w:r>
        <w:rPr>
          <w:color w:val="000000"/>
          <w:sz w:val="22"/>
          <w:szCs w:val="22"/>
          <w:lang w:val="en-GB"/>
        </w:rPr>
        <w:t xml:space="preserve">, </w:t>
      </w:r>
      <w:proofErr w:type="spellStart"/>
      <w:r>
        <w:rPr>
          <w:color w:val="000000"/>
          <w:sz w:val="22"/>
          <w:szCs w:val="22"/>
          <w:lang w:val="en-GB"/>
        </w:rPr>
        <w:t>který</w:t>
      </w:r>
      <w:proofErr w:type="spellEnd"/>
      <w:r>
        <w:rPr>
          <w:color w:val="000000"/>
          <w:sz w:val="22"/>
          <w:szCs w:val="22"/>
          <w:lang w:val="en-GB"/>
        </w:rPr>
        <w:t xml:space="preserve"> </w:t>
      </w:r>
      <w:proofErr w:type="spellStart"/>
      <w:r>
        <w:rPr>
          <w:color w:val="000000"/>
          <w:sz w:val="22"/>
          <w:szCs w:val="22"/>
          <w:lang w:val="en-GB"/>
        </w:rPr>
        <w:t>Vám</w:t>
      </w:r>
      <w:proofErr w:type="spellEnd"/>
      <w:r>
        <w:rPr>
          <w:color w:val="000000"/>
          <w:sz w:val="22"/>
          <w:szCs w:val="22"/>
          <w:lang w:val="en-GB"/>
        </w:rPr>
        <w:t xml:space="preserve"> </w:t>
      </w:r>
      <w:proofErr w:type="spellStart"/>
      <w:r>
        <w:rPr>
          <w:color w:val="000000"/>
          <w:sz w:val="22"/>
          <w:szCs w:val="22"/>
          <w:lang w:val="en-GB"/>
        </w:rPr>
        <w:t>brání</w:t>
      </w:r>
      <w:proofErr w:type="spellEnd"/>
      <w:r>
        <w:rPr>
          <w:color w:val="000000"/>
          <w:sz w:val="22"/>
          <w:szCs w:val="22"/>
          <w:lang w:val="en-GB"/>
        </w:rPr>
        <w:t xml:space="preserve"> </w:t>
      </w:r>
      <w:proofErr w:type="spellStart"/>
      <w:r>
        <w:rPr>
          <w:color w:val="000000"/>
          <w:sz w:val="22"/>
          <w:szCs w:val="22"/>
          <w:lang w:val="en-GB"/>
        </w:rPr>
        <w:t>ve</w:t>
      </w:r>
      <w:proofErr w:type="spellEnd"/>
      <w:r>
        <w:rPr>
          <w:color w:val="000000"/>
          <w:sz w:val="22"/>
          <w:szCs w:val="22"/>
          <w:lang w:val="en-GB"/>
        </w:rPr>
        <w:t xml:space="preserve"> </w:t>
      </w:r>
      <w:proofErr w:type="spellStart"/>
      <w:r>
        <w:rPr>
          <w:color w:val="000000"/>
          <w:sz w:val="22"/>
          <w:szCs w:val="22"/>
          <w:lang w:val="en-GB"/>
        </w:rPr>
        <w:t>vykonávání</w:t>
      </w:r>
      <w:proofErr w:type="spellEnd"/>
      <w:r>
        <w:rPr>
          <w:color w:val="000000"/>
          <w:sz w:val="22"/>
          <w:szCs w:val="22"/>
          <w:lang w:val="en-GB"/>
        </w:rPr>
        <w:t xml:space="preserve"> </w:t>
      </w:r>
      <w:proofErr w:type="spellStart"/>
      <w:r>
        <w:rPr>
          <w:color w:val="000000"/>
          <w:sz w:val="22"/>
          <w:szCs w:val="22"/>
          <w:lang w:val="en-GB"/>
        </w:rPr>
        <w:t>běžných</w:t>
      </w:r>
      <w:proofErr w:type="spellEnd"/>
      <w:r>
        <w:rPr>
          <w:color w:val="000000"/>
          <w:sz w:val="22"/>
          <w:szCs w:val="22"/>
          <w:lang w:val="en-GB"/>
        </w:rPr>
        <w:t xml:space="preserve"> </w:t>
      </w:r>
      <w:proofErr w:type="spellStart"/>
      <w:r>
        <w:rPr>
          <w:color w:val="000000"/>
          <w:sz w:val="22"/>
          <w:szCs w:val="22"/>
          <w:lang w:val="en-GB"/>
        </w:rPr>
        <w:t>činností</w:t>
      </w:r>
      <w:proofErr w:type="spellEnd"/>
      <w:r>
        <w:rPr>
          <w:color w:val="000000"/>
          <w:sz w:val="22"/>
          <w:szCs w:val="22"/>
          <w:lang w:val="en-GB"/>
        </w:rPr>
        <w:t xml:space="preserve"> (</w:t>
      </w:r>
      <w:proofErr w:type="spellStart"/>
      <w:r>
        <w:rPr>
          <w:color w:val="000000"/>
          <w:sz w:val="22"/>
          <w:szCs w:val="22"/>
          <w:lang w:val="en-GB"/>
        </w:rPr>
        <w:t>známky</w:t>
      </w:r>
      <w:proofErr w:type="spellEnd"/>
      <w:r>
        <w:rPr>
          <w:color w:val="000000"/>
          <w:sz w:val="22"/>
          <w:szCs w:val="22"/>
          <w:lang w:val="en-GB"/>
        </w:rPr>
        <w:t xml:space="preserve"> </w:t>
      </w:r>
      <w:proofErr w:type="spellStart"/>
      <w:r>
        <w:rPr>
          <w:color w:val="000000"/>
          <w:sz w:val="22"/>
          <w:szCs w:val="22"/>
          <w:lang w:val="en-GB"/>
        </w:rPr>
        <w:t>deprese</w:t>
      </w:r>
      <w:proofErr w:type="spellEnd"/>
      <w:r>
        <w:rPr>
          <w:color w:val="000000"/>
          <w:sz w:val="22"/>
          <w:szCs w:val="22"/>
          <w:lang w:val="en-GB"/>
        </w:rPr>
        <w:t>).</w:t>
      </w:r>
    </w:p>
    <w:p w14:paraId="57CB4297" w14:textId="2D814D8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Pocit</w:t>
      </w:r>
      <w:proofErr w:type="spellEnd"/>
      <w:r>
        <w:rPr>
          <w:color w:val="000000"/>
          <w:sz w:val="22"/>
          <w:szCs w:val="22"/>
          <w:lang w:val="en-GB"/>
        </w:rPr>
        <w:t xml:space="preserve"> </w:t>
      </w:r>
      <w:proofErr w:type="spellStart"/>
      <w:r>
        <w:rPr>
          <w:color w:val="000000"/>
          <w:sz w:val="22"/>
          <w:szCs w:val="22"/>
          <w:lang w:val="en-GB"/>
        </w:rPr>
        <w:t>strachu</w:t>
      </w:r>
      <w:proofErr w:type="spellEnd"/>
      <w:r>
        <w:rPr>
          <w:color w:val="000000"/>
          <w:sz w:val="22"/>
          <w:szCs w:val="22"/>
          <w:lang w:val="en-GB"/>
        </w:rPr>
        <w:t xml:space="preserve"> </w:t>
      </w:r>
      <w:proofErr w:type="gramStart"/>
      <w:r>
        <w:rPr>
          <w:color w:val="000000"/>
          <w:sz w:val="22"/>
          <w:szCs w:val="22"/>
          <w:lang w:val="en-GB"/>
        </w:rPr>
        <w:t>a</w:t>
      </w:r>
      <w:proofErr w:type="gramEnd"/>
      <w:r>
        <w:rPr>
          <w:color w:val="000000"/>
          <w:sz w:val="22"/>
          <w:szCs w:val="22"/>
          <w:lang w:val="en-GB"/>
        </w:rPr>
        <w:t xml:space="preserve"> </w:t>
      </w:r>
      <w:proofErr w:type="spellStart"/>
      <w:r>
        <w:rPr>
          <w:color w:val="000000"/>
          <w:sz w:val="22"/>
          <w:szCs w:val="22"/>
          <w:lang w:val="en-GB"/>
        </w:rPr>
        <w:t>obav</w:t>
      </w:r>
      <w:proofErr w:type="spellEnd"/>
      <w:r>
        <w:rPr>
          <w:color w:val="000000"/>
          <w:sz w:val="22"/>
          <w:szCs w:val="22"/>
          <w:lang w:val="en-GB"/>
        </w:rPr>
        <w:t xml:space="preserve"> </w:t>
      </w:r>
      <w:proofErr w:type="spellStart"/>
      <w:r>
        <w:rPr>
          <w:color w:val="000000"/>
          <w:sz w:val="22"/>
          <w:szCs w:val="22"/>
          <w:lang w:val="en-GB"/>
        </w:rPr>
        <w:t>spolu</w:t>
      </w:r>
      <w:proofErr w:type="spellEnd"/>
      <w:r>
        <w:rPr>
          <w:color w:val="000000"/>
          <w:sz w:val="22"/>
          <w:szCs w:val="22"/>
          <w:lang w:val="en-GB"/>
        </w:rPr>
        <w:t xml:space="preserve"> s </w:t>
      </w:r>
      <w:proofErr w:type="spellStart"/>
      <w:r>
        <w:rPr>
          <w:color w:val="000000"/>
          <w:sz w:val="22"/>
          <w:szCs w:val="22"/>
          <w:lang w:val="en-GB"/>
        </w:rPr>
        <w:t>fyzickými</w:t>
      </w:r>
      <w:proofErr w:type="spellEnd"/>
      <w:r>
        <w:rPr>
          <w:color w:val="000000"/>
          <w:sz w:val="22"/>
          <w:szCs w:val="22"/>
          <w:lang w:val="en-GB"/>
        </w:rPr>
        <w:t xml:space="preserve"> </w:t>
      </w:r>
      <w:proofErr w:type="spellStart"/>
      <w:r>
        <w:rPr>
          <w:color w:val="000000"/>
          <w:sz w:val="22"/>
          <w:szCs w:val="22"/>
          <w:lang w:val="en-GB"/>
        </w:rPr>
        <w:t>příznaky</w:t>
      </w:r>
      <w:proofErr w:type="spellEnd"/>
      <w:r>
        <w:rPr>
          <w:color w:val="000000"/>
          <w:sz w:val="22"/>
          <w:szCs w:val="22"/>
          <w:lang w:val="en-GB"/>
        </w:rPr>
        <w:t xml:space="preserve">, </w:t>
      </w:r>
      <w:proofErr w:type="spellStart"/>
      <w:r>
        <w:rPr>
          <w:color w:val="000000"/>
          <w:sz w:val="22"/>
          <w:szCs w:val="22"/>
          <w:lang w:val="en-GB"/>
        </w:rPr>
        <w:t>jako</w:t>
      </w:r>
      <w:proofErr w:type="spellEnd"/>
      <w:r>
        <w:rPr>
          <w:color w:val="000000"/>
          <w:sz w:val="22"/>
          <w:szCs w:val="22"/>
          <w:lang w:val="en-GB"/>
        </w:rPr>
        <w:t xml:space="preserve"> je </w:t>
      </w:r>
      <w:proofErr w:type="spellStart"/>
      <w:r>
        <w:rPr>
          <w:color w:val="000000"/>
          <w:sz w:val="22"/>
          <w:szCs w:val="22"/>
          <w:lang w:val="en-GB"/>
        </w:rPr>
        <w:t>bušení</w:t>
      </w:r>
      <w:proofErr w:type="spellEnd"/>
      <w:r>
        <w:rPr>
          <w:color w:val="000000"/>
          <w:sz w:val="22"/>
          <w:szCs w:val="22"/>
          <w:lang w:val="en-GB"/>
        </w:rPr>
        <w:t xml:space="preserve"> </w:t>
      </w:r>
      <w:proofErr w:type="spellStart"/>
      <w:r>
        <w:rPr>
          <w:color w:val="000000"/>
          <w:sz w:val="22"/>
          <w:szCs w:val="22"/>
          <w:lang w:val="en-GB"/>
        </w:rPr>
        <w:t>srdce</w:t>
      </w:r>
      <w:proofErr w:type="spellEnd"/>
      <w:r>
        <w:rPr>
          <w:color w:val="000000"/>
          <w:sz w:val="22"/>
          <w:szCs w:val="22"/>
          <w:lang w:val="en-GB"/>
        </w:rPr>
        <w:t xml:space="preserve">, </w:t>
      </w:r>
      <w:proofErr w:type="spellStart"/>
      <w:r>
        <w:rPr>
          <w:color w:val="000000"/>
          <w:sz w:val="22"/>
          <w:szCs w:val="22"/>
          <w:lang w:val="en-GB"/>
        </w:rPr>
        <w:t>pocení</w:t>
      </w:r>
      <w:proofErr w:type="spellEnd"/>
      <w:r>
        <w:rPr>
          <w:color w:val="000000"/>
          <w:sz w:val="22"/>
          <w:szCs w:val="22"/>
          <w:lang w:val="en-GB"/>
        </w:rPr>
        <w:t xml:space="preserve">, </w:t>
      </w:r>
      <w:proofErr w:type="spellStart"/>
      <w:r>
        <w:rPr>
          <w:color w:val="000000"/>
          <w:sz w:val="22"/>
          <w:szCs w:val="22"/>
          <w:lang w:val="en-GB"/>
        </w:rPr>
        <w:t>třes</w:t>
      </w:r>
      <w:proofErr w:type="spellEnd"/>
      <w:r>
        <w:rPr>
          <w:color w:val="000000"/>
          <w:sz w:val="22"/>
          <w:szCs w:val="22"/>
          <w:lang w:val="en-GB"/>
        </w:rPr>
        <w:t xml:space="preserve">, </w:t>
      </w:r>
      <w:proofErr w:type="spellStart"/>
      <w:r>
        <w:rPr>
          <w:color w:val="000000"/>
          <w:sz w:val="22"/>
          <w:szCs w:val="22"/>
          <w:lang w:val="en-GB"/>
        </w:rPr>
        <w:t>sucho</w:t>
      </w:r>
      <w:proofErr w:type="spellEnd"/>
      <w:r>
        <w:rPr>
          <w:color w:val="000000"/>
          <w:sz w:val="22"/>
          <w:szCs w:val="22"/>
          <w:lang w:val="en-GB"/>
        </w:rPr>
        <w:t xml:space="preserve"> v</w:t>
      </w:r>
      <w:ins w:id="436" w:author="Author">
        <w:r w:rsidR="00CC53BE" w:rsidRPr="00F25A60">
          <w:rPr>
            <w:color w:val="000000"/>
          </w:rPr>
          <w:t> </w:t>
        </w:r>
      </w:ins>
      <w:del w:id="437" w:author="Author">
        <w:r w:rsidDel="00CC53BE">
          <w:rPr>
            <w:color w:val="000000"/>
            <w:sz w:val="22"/>
            <w:szCs w:val="22"/>
            <w:lang w:val="en-GB"/>
          </w:rPr>
          <w:delText xml:space="preserve"> </w:delText>
        </w:r>
      </w:del>
      <w:proofErr w:type="spellStart"/>
      <w:r>
        <w:rPr>
          <w:color w:val="000000"/>
          <w:sz w:val="22"/>
          <w:szCs w:val="22"/>
          <w:lang w:val="en-GB"/>
        </w:rPr>
        <w:t>ústech</w:t>
      </w:r>
      <w:proofErr w:type="spellEnd"/>
      <w:r>
        <w:rPr>
          <w:color w:val="000000"/>
          <w:sz w:val="22"/>
          <w:szCs w:val="22"/>
          <w:lang w:val="en-GB"/>
        </w:rPr>
        <w:t xml:space="preserve"> (</w:t>
      </w:r>
      <w:proofErr w:type="spellStart"/>
      <w:r>
        <w:rPr>
          <w:color w:val="000000"/>
          <w:sz w:val="22"/>
          <w:szCs w:val="22"/>
          <w:lang w:val="en-GB"/>
        </w:rPr>
        <w:t>známky</w:t>
      </w:r>
      <w:proofErr w:type="spellEnd"/>
      <w:r>
        <w:rPr>
          <w:color w:val="000000"/>
          <w:sz w:val="22"/>
          <w:szCs w:val="22"/>
          <w:lang w:val="en-GB"/>
        </w:rPr>
        <w:t xml:space="preserve"> </w:t>
      </w:r>
      <w:proofErr w:type="spellStart"/>
      <w:r>
        <w:rPr>
          <w:color w:val="000000"/>
          <w:sz w:val="22"/>
          <w:szCs w:val="22"/>
          <w:lang w:val="en-GB"/>
        </w:rPr>
        <w:t>úzkosti</w:t>
      </w:r>
      <w:proofErr w:type="spellEnd"/>
      <w:r>
        <w:rPr>
          <w:color w:val="000000"/>
          <w:sz w:val="22"/>
          <w:szCs w:val="22"/>
          <w:lang w:val="en-GB"/>
        </w:rPr>
        <w:t>).</w:t>
      </w:r>
    </w:p>
    <w:p w14:paraId="2BC68362" w14:textId="57E00D6F" w:rsidR="00614F5E" w:rsidRDefault="00240D23"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Spavost</w:t>
      </w:r>
      <w:proofErr w:type="spellEnd"/>
      <w:r w:rsidR="00614F5E">
        <w:rPr>
          <w:color w:val="000000"/>
          <w:sz w:val="22"/>
          <w:szCs w:val="22"/>
          <w:lang w:val="en-GB"/>
        </w:rPr>
        <w:t>/</w:t>
      </w:r>
      <w:proofErr w:type="spellStart"/>
      <w:r w:rsidR="00614F5E">
        <w:rPr>
          <w:color w:val="000000"/>
          <w:sz w:val="22"/>
          <w:szCs w:val="22"/>
          <w:lang w:val="en-GB"/>
        </w:rPr>
        <w:t>ospalost</w:t>
      </w:r>
      <w:proofErr w:type="spellEnd"/>
      <w:r w:rsidR="00614F5E">
        <w:rPr>
          <w:color w:val="000000"/>
          <w:sz w:val="22"/>
          <w:szCs w:val="22"/>
          <w:lang w:val="en-GB"/>
        </w:rPr>
        <w:t>/</w:t>
      </w:r>
      <w:proofErr w:type="spellStart"/>
      <w:r w:rsidR="00614F5E">
        <w:rPr>
          <w:color w:val="000000"/>
          <w:sz w:val="22"/>
          <w:szCs w:val="22"/>
          <w:lang w:val="en-GB"/>
        </w:rPr>
        <w:t>nadměrný</w:t>
      </w:r>
      <w:proofErr w:type="spellEnd"/>
      <w:r w:rsidR="00614F5E">
        <w:rPr>
          <w:color w:val="000000"/>
          <w:sz w:val="22"/>
          <w:szCs w:val="22"/>
          <w:lang w:val="en-GB"/>
        </w:rPr>
        <w:t xml:space="preserve"> </w:t>
      </w:r>
      <w:proofErr w:type="spellStart"/>
      <w:r w:rsidR="00614F5E">
        <w:rPr>
          <w:color w:val="000000"/>
          <w:sz w:val="22"/>
          <w:szCs w:val="22"/>
          <w:lang w:val="en-GB"/>
        </w:rPr>
        <w:t>spánek</w:t>
      </w:r>
      <w:proofErr w:type="spellEnd"/>
      <w:r w:rsidR="00614F5E">
        <w:rPr>
          <w:color w:val="000000"/>
          <w:sz w:val="22"/>
          <w:szCs w:val="22"/>
          <w:lang w:val="en-GB"/>
        </w:rPr>
        <w:t>.</w:t>
      </w:r>
    </w:p>
    <w:p w14:paraId="79AB08FC" w14:textId="49704BDE"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Třes</w:t>
      </w:r>
      <w:proofErr w:type="spellEnd"/>
      <w:r>
        <w:rPr>
          <w:color w:val="000000"/>
          <w:sz w:val="22"/>
          <w:szCs w:val="22"/>
          <w:lang w:val="en-GB"/>
        </w:rPr>
        <w:t xml:space="preserve"> (tremor).</w:t>
      </w:r>
    </w:p>
    <w:p w14:paraId="3184A934" w14:textId="77777777" w:rsidR="00614F5E" w:rsidRPr="00F77042"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Zhoršení</w:t>
      </w:r>
      <w:proofErr w:type="spellEnd"/>
      <w:r>
        <w:rPr>
          <w:color w:val="000000"/>
          <w:sz w:val="22"/>
          <w:szCs w:val="22"/>
          <w:lang w:val="en-GB"/>
        </w:rPr>
        <w:t xml:space="preserve"> </w:t>
      </w:r>
      <w:proofErr w:type="spellStart"/>
      <w:r>
        <w:rPr>
          <w:color w:val="000000"/>
          <w:sz w:val="22"/>
          <w:szCs w:val="22"/>
          <w:lang w:val="en-GB"/>
        </w:rPr>
        <w:t>paměti</w:t>
      </w:r>
      <w:proofErr w:type="spellEnd"/>
      <w:r w:rsidRPr="00F77042">
        <w:rPr>
          <w:color w:val="000000"/>
          <w:sz w:val="22"/>
          <w:szCs w:val="22"/>
          <w:lang w:val="en-GB"/>
        </w:rPr>
        <w:t>.</w:t>
      </w:r>
    </w:p>
    <w:p w14:paraId="495BFAE5"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Silné</w:t>
      </w:r>
      <w:proofErr w:type="spellEnd"/>
      <w:r>
        <w:rPr>
          <w:color w:val="000000"/>
          <w:sz w:val="22"/>
          <w:szCs w:val="22"/>
          <w:lang w:val="en-GB"/>
        </w:rPr>
        <w:t xml:space="preserve"> </w:t>
      </w:r>
      <w:proofErr w:type="spellStart"/>
      <w:r>
        <w:rPr>
          <w:color w:val="000000"/>
          <w:sz w:val="22"/>
          <w:szCs w:val="22"/>
          <w:lang w:val="en-GB"/>
        </w:rPr>
        <w:t>nutkání</w:t>
      </w:r>
      <w:proofErr w:type="spellEnd"/>
      <w:r>
        <w:rPr>
          <w:color w:val="000000"/>
          <w:sz w:val="22"/>
          <w:szCs w:val="22"/>
          <w:lang w:val="en-GB"/>
        </w:rPr>
        <w:t xml:space="preserve"> </w:t>
      </w:r>
      <w:proofErr w:type="spellStart"/>
      <w:r>
        <w:rPr>
          <w:color w:val="000000"/>
          <w:sz w:val="22"/>
          <w:szCs w:val="22"/>
          <w:lang w:val="en-GB"/>
        </w:rPr>
        <w:t>hýbat</w:t>
      </w:r>
      <w:proofErr w:type="spellEnd"/>
      <w:r>
        <w:rPr>
          <w:color w:val="000000"/>
          <w:sz w:val="22"/>
          <w:szCs w:val="22"/>
          <w:lang w:val="en-GB"/>
        </w:rPr>
        <w:t xml:space="preserve"> </w:t>
      </w:r>
      <w:proofErr w:type="spellStart"/>
      <w:r>
        <w:rPr>
          <w:color w:val="000000"/>
          <w:sz w:val="22"/>
          <w:szCs w:val="22"/>
          <w:lang w:val="en-GB"/>
        </w:rPr>
        <w:t>nohama</w:t>
      </w:r>
      <w:proofErr w:type="spellEnd"/>
      <w:r>
        <w:rPr>
          <w:color w:val="000000"/>
          <w:sz w:val="22"/>
          <w:szCs w:val="22"/>
          <w:lang w:val="en-GB"/>
        </w:rPr>
        <w:t xml:space="preserve"> (</w:t>
      </w:r>
      <w:proofErr w:type="spellStart"/>
      <w:r>
        <w:rPr>
          <w:color w:val="000000"/>
          <w:sz w:val="22"/>
          <w:szCs w:val="22"/>
          <w:lang w:val="en-GB"/>
        </w:rPr>
        <w:t>syndrom</w:t>
      </w:r>
      <w:proofErr w:type="spellEnd"/>
      <w:r>
        <w:rPr>
          <w:color w:val="000000"/>
          <w:sz w:val="22"/>
          <w:szCs w:val="22"/>
          <w:lang w:val="en-GB"/>
        </w:rPr>
        <w:t xml:space="preserve"> </w:t>
      </w:r>
      <w:proofErr w:type="spellStart"/>
      <w:r>
        <w:rPr>
          <w:color w:val="000000"/>
          <w:sz w:val="22"/>
          <w:szCs w:val="22"/>
          <w:lang w:val="en-GB"/>
        </w:rPr>
        <w:t>neklidných</w:t>
      </w:r>
      <w:proofErr w:type="spellEnd"/>
      <w:r>
        <w:rPr>
          <w:color w:val="000000"/>
          <w:sz w:val="22"/>
          <w:szCs w:val="22"/>
          <w:lang w:val="en-GB"/>
        </w:rPr>
        <w:t xml:space="preserve"> </w:t>
      </w:r>
      <w:proofErr w:type="spellStart"/>
      <w:r>
        <w:rPr>
          <w:color w:val="000000"/>
          <w:sz w:val="22"/>
          <w:szCs w:val="22"/>
          <w:lang w:val="en-GB"/>
        </w:rPr>
        <w:t>nohou</w:t>
      </w:r>
      <w:proofErr w:type="spellEnd"/>
      <w:r>
        <w:rPr>
          <w:color w:val="000000"/>
          <w:sz w:val="22"/>
          <w:szCs w:val="22"/>
          <w:lang w:val="en-GB"/>
        </w:rPr>
        <w:t>).</w:t>
      </w:r>
    </w:p>
    <w:p w14:paraId="68B4F636" w14:textId="57DBA1B8"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Sluchové</w:t>
      </w:r>
      <w:proofErr w:type="spellEnd"/>
      <w:r>
        <w:rPr>
          <w:color w:val="000000"/>
          <w:sz w:val="22"/>
          <w:szCs w:val="22"/>
          <w:lang w:val="en-GB"/>
        </w:rPr>
        <w:t xml:space="preserve"> </w:t>
      </w:r>
      <w:proofErr w:type="spellStart"/>
      <w:r w:rsidR="00240D23">
        <w:rPr>
          <w:color w:val="000000"/>
          <w:sz w:val="22"/>
          <w:szCs w:val="22"/>
          <w:lang w:val="en-GB"/>
        </w:rPr>
        <w:t>vjemy</w:t>
      </w:r>
      <w:proofErr w:type="spellEnd"/>
      <w:r>
        <w:rPr>
          <w:color w:val="000000"/>
          <w:sz w:val="22"/>
          <w:szCs w:val="22"/>
          <w:lang w:val="en-GB"/>
        </w:rPr>
        <w:t xml:space="preserve"> (</w:t>
      </w:r>
      <w:proofErr w:type="spellStart"/>
      <w:r>
        <w:rPr>
          <w:color w:val="000000"/>
          <w:sz w:val="22"/>
          <w:szCs w:val="22"/>
          <w:lang w:val="en-GB"/>
        </w:rPr>
        <w:t>např</w:t>
      </w:r>
      <w:proofErr w:type="spellEnd"/>
      <w:r>
        <w:rPr>
          <w:color w:val="000000"/>
          <w:sz w:val="22"/>
          <w:szCs w:val="22"/>
          <w:lang w:val="en-GB"/>
        </w:rPr>
        <w:t xml:space="preserve">. </w:t>
      </w:r>
      <w:proofErr w:type="spellStart"/>
      <w:r>
        <w:rPr>
          <w:color w:val="000000"/>
          <w:sz w:val="22"/>
          <w:szCs w:val="22"/>
          <w:lang w:val="en-GB"/>
        </w:rPr>
        <w:t>zvonění</w:t>
      </w:r>
      <w:proofErr w:type="spellEnd"/>
      <w:r>
        <w:rPr>
          <w:color w:val="000000"/>
          <w:sz w:val="22"/>
          <w:szCs w:val="22"/>
          <w:lang w:val="en-GB"/>
        </w:rPr>
        <w:t xml:space="preserve">, </w:t>
      </w:r>
      <w:proofErr w:type="spellStart"/>
      <w:r>
        <w:rPr>
          <w:color w:val="000000"/>
          <w:sz w:val="22"/>
          <w:szCs w:val="22"/>
          <w:lang w:val="en-GB"/>
        </w:rPr>
        <w:t>hučení</w:t>
      </w:r>
      <w:proofErr w:type="spellEnd"/>
      <w:r>
        <w:rPr>
          <w:color w:val="000000"/>
          <w:sz w:val="22"/>
          <w:szCs w:val="22"/>
          <w:lang w:val="en-GB"/>
        </w:rPr>
        <w:t xml:space="preserve">) v </w:t>
      </w:r>
      <w:proofErr w:type="spellStart"/>
      <w:r>
        <w:rPr>
          <w:color w:val="000000"/>
          <w:sz w:val="22"/>
          <w:szCs w:val="22"/>
          <w:lang w:val="en-GB"/>
        </w:rPr>
        <w:t>uších</w:t>
      </w:r>
      <w:proofErr w:type="spellEnd"/>
      <w:r>
        <w:rPr>
          <w:color w:val="000000"/>
          <w:sz w:val="22"/>
          <w:szCs w:val="22"/>
          <w:lang w:val="en-GB"/>
        </w:rPr>
        <w:t xml:space="preserve">, </w:t>
      </w:r>
      <w:proofErr w:type="spellStart"/>
      <w:r>
        <w:rPr>
          <w:color w:val="000000"/>
          <w:sz w:val="22"/>
          <w:szCs w:val="22"/>
          <w:lang w:val="en-GB"/>
        </w:rPr>
        <w:t>které</w:t>
      </w:r>
      <w:proofErr w:type="spellEnd"/>
      <w:r>
        <w:rPr>
          <w:color w:val="000000"/>
          <w:sz w:val="22"/>
          <w:szCs w:val="22"/>
          <w:lang w:val="en-GB"/>
        </w:rPr>
        <w:t xml:space="preserve"> </w:t>
      </w:r>
      <w:proofErr w:type="spellStart"/>
      <w:r>
        <w:rPr>
          <w:color w:val="000000"/>
          <w:sz w:val="22"/>
          <w:szCs w:val="22"/>
          <w:lang w:val="en-GB"/>
        </w:rPr>
        <w:t>nemají</w:t>
      </w:r>
      <w:proofErr w:type="spellEnd"/>
      <w:r>
        <w:rPr>
          <w:color w:val="000000"/>
          <w:sz w:val="22"/>
          <w:szCs w:val="22"/>
          <w:lang w:val="en-GB"/>
        </w:rPr>
        <w:t xml:space="preserve"> </w:t>
      </w:r>
      <w:proofErr w:type="spellStart"/>
      <w:r>
        <w:rPr>
          <w:color w:val="000000"/>
          <w:sz w:val="22"/>
          <w:szCs w:val="22"/>
          <w:lang w:val="en-GB"/>
        </w:rPr>
        <w:t>žádný</w:t>
      </w:r>
      <w:proofErr w:type="spellEnd"/>
      <w:r>
        <w:rPr>
          <w:color w:val="000000"/>
          <w:sz w:val="22"/>
          <w:szCs w:val="22"/>
          <w:lang w:val="en-GB"/>
        </w:rPr>
        <w:t xml:space="preserve"> </w:t>
      </w:r>
      <w:proofErr w:type="spellStart"/>
      <w:r>
        <w:rPr>
          <w:color w:val="000000"/>
          <w:sz w:val="22"/>
          <w:szCs w:val="22"/>
          <w:lang w:val="en-GB"/>
        </w:rPr>
        <w:t>vnější</w:t>
      </w:r>
      <w:proofErr w:type="spellEnd"/>
      <w:r>
        <w:rPr>
          <w:color w:val="000000"/>
          <w:sz w:val="22"/>
          <w:szCs w:val="22"/>
          <w:lang w:val="en-GB"/>
        </w:rPr>
        <w:t xml:space="preserve"> </w:t>
      </w:r>
      <w:proofErr w:type="spellStart"/>
      <w:r>
        <w:rPr>
          <w:color w:val="000000"/>
          <w:sz w:val="22"/>
          <w:szCs w:val="22"/>
          <w:lang w:val="en-GB"/>
        </w:rPr>
        <w:t>zdroj</w:t>
      </w:r>
      <w:proofErr w:type="spellEnd"/>
      <w:r>
        <w:rPr>
          <w:color w:val="000000"/>
          <w:sz w:val="22"/>
          <w:szCs w:val="22"/>
          <w:lang w:val="en-GB"/>
        </w:rPr>
        <w:t xml:space="preserve"> (</w:t>
      </w:r>
      <w:proofErr w:type="spellStart"/>
      <w:r>
        <w:rPr>
          <w:color w:val="000000"/>
          <w:sz w:val="22"/>
          <w:szCs w:val="22"/>
          <w:lang w:val="en-GB"/>
        </w:rPr>
        <w:t>tinitus</w:t>
      </w:r>
      <w:proofErr w:type="spellEnd"/>
      <w:r>
        <w:rPr>
          <w:color w:val="000000"/>
          <w:sz w:val="22"/>
          <w:szCs w:val="22"/>
          <w:lang w:val="en-GB"/>
        </w:rPr>
        <w:t>).</w:t>
      </w:r>
    </w:p>
    <w:p w14:paraId="0156595A"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r>
        <w:rPr>
          <w:color w:val="000000"/>
          <w:sz w:val="22"/>
          <w:szCs w:val="22"/>
          <w:lang w:val="en-GB"/>
        </w:rPr>
        <w:t xml:space="preserve">Vysoký </w:t>
      </w:r>
      <w:proofErr w:type="spellStart"/>
      <w:r>
        <w:rPr>
          <w:color w:val="000000"/>
          <w:sz w:val="22"/>
          <w:szCs w:val="22"/>
          <w:lang w:val="en-GB"/>
        </w:rPr>
        <w:t>krevní</w:t>
      </w:r>
      <w:proofErr w:type="spellEnd"/>
      <w:r>
        <w:rPr>
          <w:color w:val="000000"/>
          <w:sz w:val="22"/>
          <w:szCs w:val="22"/>
          <w:lang w:val="en-GB"/>
        </w:rPr>
        <w:t xml:space="preserve"> </w:t>
      </w:r>
      <w:proofErr w:type="spellStart"/>
      <w:r>
        <w:rPr>
          <w:color w:val="000000"/>
          <w:sz w:val="22"/>
          <w:szCs w:val="22"/>
          <w:lang w:val="en-GB"/>
        </w:rPr>
        <w:t>tlak</w:t>
      </w:r>
      <w:proofErr w:type="spellEnd"/>
      <w:r>
        <w:rPr>
          <w:color w:val="000000"/>
          <w:sz w:val="22"/>
          <w:szCs w:val="22"/>
          <w:lang w:val="en-GB"/>
        </w:rPr>
        <w:t xml:space="preserve"> (</w:t>
      </w:r>
      <w:proofErr w:type="spellStart"/>
      <w:r>
        <w:rPr>
          <w:color w:val="000000"/>
          <w:sz w:val="22"/>
          <w:szCs w:val="22"/>
          <w:lang w:val="en-GB"/>
        </w:rPr>
        <w:t>hypertenze</w:t>
      </w:r>
      <w:proofErr w:type="spellEnd"/>
      <w:r>
        <w:rPr>
          <w:color w:val="000000"/>
          <w:sz w:val="22"/>
          <w:szCs w:val="22"/>
          <w:lang w:val="en-GB"/>
        </w:rPr>
        <w:t>).</w:t>
      </w:r>
    </w:p>
    <w:p w14:paraId="68AE7C1A"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Říhání</w:t>
      </w:r>
      <w:proofErr w:type="spellEnd"/>
      <w:r>
        <w:rPr>
          <w:color w:val="000000"/>
          <w:sz w:val="22"/>
          <w:szCs w:val="22"/>
          <w:lang w:val="en-GB"/>
        </w:rPr>
        <w:t>.</w:t>
      </w:r>
    </w:p>
    <w:p w14:paraId="08DBEA4F"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Zánět</w:t>
      </w:r>
      <w:proofErr w:type="spellEnd"/>
      <w:r>
        <w:rPr>
          <w:color w:val="000000"/>
          <w:sz w:val="22"/>
          <w:szCs w:val="22"/>
          <w:lang w:val="en-GB"/>
        </w:rPr>
        <w:t xml:space="preserve"> </w:t>
      </w:r>
      <w:proofErr w:type="spellStart"/>
      <w:r>
        <w:rPr>
          <w:color w:val="000000"/>
          <w:sz w:val="22"/>
          <w:szCs w:val="22"/>
          <w:lang w:val="en-GB"/>
        </w:rPr>
        <w:t>rtů</w:t>
      </w:r>
      <w:proofErr w:type="spellEnd"/>
      <w:r>
        <w:rPr>
          <w:color w:val="000000"/>
          <w:sz w:val="22"/>
          <w:szCs w:val="22"/>
          <w:lang w:val="en-GB"/>
        </w:rPr>
        <w:t>.</w:t>
      </w:r>
    </w:p>
    <w:p w14:paraId="77B8971D"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Obtížné</w:t>
      </w:r>
      <w:proofErr w:type="spellEnd"/>
      <w:r>
        <w:rPr>
          <w:color w:val="000000"/>
          <w:sz w:val="22"/>
          <w:szCs w:val="22"/>
          <w:lang w:val="en-GB"/>
        </w:rPr>
        <w:t xml:space="preserve"> </w:t>
      </w:r>
      <w:proofErr w:type="spellStart"/>
      <w:r>
        <w:rPr>
          <w:color w:val="000000"/>
          <w:sz w:val="22"/>
          <w:szCs w:val="22"/>
          <w:lang w:val="en-GB"/>
        </w:rPr>
        <w:t>polykání</w:t>
      </w:r>
      <w:proofErr w:type="spellEnd"/>
      <w:r>
        <w:rPr>
          <w:color w:val="000000"/>
          <w:sz w:val="22"/>
          <w:szCs w:val="22"/>
          <w:lang w:val="en-GB"/>
        </w:rPr>
        <w:t>.</w:t>
      </w:r>
    </w:p>
    <w:p w14:paraId="7F8A1922"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Zvýšené</w:t>
      </w:r>
      <w:proofErr w:type="spellEnd"/>
      <w:r>
        <w:rPr>
          <w:color w:val="000000"/>
          <w:sz w:val="22"/>
          <w:szCs w:val="22"/>
          <w:lang w:val="en-GB"/>
        </w:rPr>
        <w:t xml:space="preserve"> </w:t>
      </w:r>
      <w:proofErr w:type="spellStart"/>
      <w:r>
        <w:rPr>
          <w:color w:val="000000"/>
          <w:sz w:val="22"/>
          <w:szCs w:val="22"/>
          <w:lang w:val="en-GB"/>
        </w:rPr>
        <w:t>pocení</w:t>
      </w:r>
      <w:proofErr w:type="spellEnd"/>
      <w:r>
        <w:rPr>
          <w:color w:val="000000"/>
          <w:sz w:val="22"/>
          <w:szCs w:val="22"/>
          <w:lang w:val="en-GB"/>
        </w:rPr>
        <w:t>.</w:t>
      </w:r>
    </w:p>
    <w:p w14:paraId="6FF3393D" w14:textId="1968D7FD" w:rsidR="00614F5E" w:rsidRDefault="00AD17C2"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Změna</w:t>
      </w:r>
      <w:proofErr w:type="spellEnd"/>
      <w:r>
        <w:rPr>
          <w:color w:val="000000"/>
          <w:sz w:val="22"/>
          <w:szCs w:val="22"/>
          <w:lang w:val="en-GB"/>
        </w:rPr>
        <w:t xml:space="preserve"> </w:t>
      </w:r>
      <w:proofErr w:type="spellStart"/>
      <w:r>
        <w:rPr>
          <w:color w:val="000000"/>
          <w:sz w:val="22"/>
          <w:szCs w:val="22"/>
          <w:lang w:val="en-GB"/>
        </w:rPr>
        <w:t>barvy</w:t>
      </w:r>
      <w:proofErr w:type="spellEnd"/>
      <w:r w:rsidR="00614F5E">
        <w:rPr>
          <w:color w:val="000000"/>
          <w:sz w:val="22"/>
          <w:szCs w:val="22"/>
          <w:lang w:val="en-GB"/>
        </w:rPr>
        <w:t xml:space="preserve"> </w:t>
      </w:r>
      <w:proofErr w:type="spellStart"/>
      <w:r w:rsidR="00614F5E">
        <w:rPr>
          <w:color w:val="000000"/>
          <w:sz w:val="22"/>
          <w:szCs w:val="22"/>
          <w:lang w:val="en-GB"/>
        </w:rPr>
        <w:t>kůže</w:t>
      </w:r>
      <w:proofErr w:type="spellEnd"/>
      <w:r w:rsidR="00614F5E">
        <w:rPr>
          <w:color w:val="000000"/>
          <w:sz w:val="22"/>
          <w:szCs w:val="22"/>
          <w:lang w:val="en-GB"/>
        </w:rPr>
        <w:t>.</w:t>
      </w:r>
    </w:p>
    <w:p w14:paraId="60E7DE28"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Lámavé</w:t>
      </w:r>
      <w:proofErr w:type="spellEnd"/>
      <w:r>
        <w:rPr>
          <w:color w:val="000000"/>
          <w:sz w:val="22"/>
          <w:szCs w:val="22"/>
          <w:lang w:val="en-GB"/>
        </w:rPr>
        <w:t xml:space="preserve"> </w:t>
      </w:r>
      <w:proofErr w:type="spellStart"/>
      <w:r>
        <w:rPr>
          <w:color w:val="000000"/>
          <w:sz w:val="22"/>
          <w:szCs w:val="22"/>
          <w:lang w:val="en-GB"/>
        </w:rPr>
        <w:t>nehty</w:t>
      </w:r>
      <w:proofErr w:type="spellEnd"/>
      <w:r>
        <w:rPr>
          <w:color w:val="000000"/>
          <w:sz w:val="22"/>
          <w:szCs w:val="22"/>
          <w:lang w:val="en-GB"/>
        </w:rPr>
        <w:t>.</w:t>
      </w:r>
    </w:p>
    <w:p w14:paraId="3A428E41"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Červené</w:t>
      </w:r>
      <w:proofErr w:type="spellEnd"/>
      <w:r>
        <w:rPr>
          <w:color w:val="000000"/>
          <w:sz w:val="22"/>
          <w:szCs w:val="22"/>
          <w:lang w:val="en-GB"/>
        </w:rPr>
        <w:t xml:space="preserve"> </w:t>
      </w:r>
      <w:proofErr w:type="spellStart"/>
      <w:r>
        <w:rPr>
          <w:color w:val="000000"/>
          <w:sz w:val="22"/>
          <w:szCs w:val="22"/>
          <w:lang w:val="en-GB"/>
        </w:rPr>
        <w:t>pupínky</w:t>
      </w:r>
      <w:proofErr w:type="spellEnd"/>
      <w:r>
        <w:rPr>
          <w:color w:val="000000"/>
          <w:sz w:val="22"/>
          <w:szCs w:val="22"/>
          <w:lang w:val="en-GB"/>
        </w:rPr>
        <w:t xml:space="preserve"> </w:t>
      </w:r>
      <w:proofErr w:type="spellStart"/>
      <w:r>
        <w:rPr>
          <w:color w:val="000000"/>
          <w:sz w:val="22"/>
          <w:szCs w:val="22"/>
          <w:lang w:val="en-GB"/>
        </w:rPr>
        <w:t>nebo</w:t>
      </w:r>
      <w:proofErr w:type="spellEnd"/>
      <w:r>
        <w:rPr>
          <w:color w:val="000000"/>
          <w:sz w:val="22"/>
          <w:szCs w:val="22"/>
          <w:lang w:val="en-GB"/>
        </w:rPr>
        <w:t xml:space="preserve"> </w:t>
      </w:r>
      <w:proofErr w:type="spellStart"/>
      <w:r>
        <w:rPr>
          <w:color w:val="000000"/>
          <w:sz w:val="22"/>
          <w:szCs w:val="22"/>
          <w:lang w:val="en-GB"/>
        </w:rPr>
        <w:t>pupínky</w:t>
      </w:r>
      <w:proofErr w:type="spellEnd"/>
      <w:r>
        <w:rPr>
          <w:color w:val="000000"/>
          <w:sz w:val="22"/>
          <w:szCs w:val="22"/>
          <w:lang w:val="en-GB"/>
        </w:rPr>
        <w:t xml:space="preserve"> s </w:t>
      </w:r>
      <w:proofErr w:type="spellStart"/>
      <w:r>
        <w:rPr>
          <w:color w:val="000000"/>
          <w:sz w:val="22"/>
          <w:szCs w:val="22"/>
          <w:lang w:val="en-GB"/>
        </w:rPr>
        <w:t>bílou</w:t>
      </w:r>
      <w:proofErr w:type="spellEnd"/>
      <w:r>
        <w:rPr>
          <w:color w:val="000000"/>
          <w:sz w:val="22"/>
          <w:szCs w:val="22"/>
          <w:lang w:val="en-GB"/>
        </w:rPr>
        <w:t xml:space="preserve"> </w:t>
      </w:r>
      <w:proofErr w:type="spellStart"/>
      <w:r>
        <w:rPr>
          <w:color w:val="000000"/>
          <w:sz w:val="22"/>
          <w:szCs w:val="22"/>
          <w:lang w:val="en-GB"/>
        </w:rPr>
        <w:t>hlavičkou</w:t>
      </w:r>
      <w:proofErr w:type="spellEnd"/>
      <w:r>
        <w:rPr>
          <w:color w:val="000000"/>
          <w:sz w:val="22"/>
          <w:szCs w:val="22"/>
          <w:lang w:val="en-GB"/>
        </w:rPr>
        <w:t xml:space="preserve"> </w:t>
      </w:r>
      <w:proofErr w:type="spellStart"/>
      <w:r>
        <w:rPr>
          <w:color w:val="000000"/>
          <w:sz w:val="22"/>
          <w:szCs w:val="22"/>
          <w:lang w:val="en-GB"/>
        </w:rPr>
        <w:t>kolem</w:t>
      </w:r>
      <w:proofErr w:type="spellEnd"/>
      <w:r>
        <w:rPr>
          <w:color w:val="000000"/>
          <w:sz w:val="22"/>
          <w:szCs w:val="22"/>
          <w:lang w:val="en-GB"/>
        </w:rPr>
        <w:t xml:space="preserve"> </w:t>
      </w:r>
      <w:proofErr w:type="spellStart"/>
      <w:r>
        <w:rPr>
          <w:color w:val="000000"/>
          <w:sz w:val="22"/>
          <w:szCs w:val="22"/>
          <w:lang w:val="en-GB"/>
        </w:rPr>
        <w:t>kořínků</w:t>
      </w:r>
      <w:proofErr w:type="spellEnd"/>
      <w:r>
        <w:rPr>
          <w:color w:val="000000"/>
          <w:sz w:val="22"/>
          <w:szCs w:val="22"/>
          <w:lang w:val="en-GB"/>
        </w:rPr>
        <w:t xml:space="preserve"> </w:t>
      </w:r>
      <w:proofErr w:type="spellStart"/>
      <w:r>
        <w:rPr>
          <w:color w:val="000000"/>
          <w:sz w:val="22"/>
          <w:szCs w:val="22"/>
          <w:lang w:val="en-GB"/>
        </w:rPr>
        <w:t>vlasů</w:t>
      </w:r>
      <w:proofErr w:type="spellEnd"/>
      <w:r>
        <w:rPr>
          <w:color w:val="000000"/>
          <w:sz w:val="22"/>
          <w:szCs w:val="22"/>
          <w:lang w:val="en-GB"/>
        </w:rPr>
        <w:t xml:space="preserve">, </w:t>
      </w:r>
      <w:proofErr w:type="spellStart"/>
      <w:r>
        <w:rPr>
          <w:color w:val="000000"/>
          <w:sz w:val="22"/>
          <w:szCs w:val="22"/>
          <w:lang w:val="en-GB"/>
        </w:rPr>
        <w:t>případně</w:t>
      </w:r>
      <w:proofErr w:type="spellEnd"/>
      <w:r>
        <w:rPr>
          <w:color w:val="000000"/>
          <w:sz w:val="22"/>
          <w:szCs w:val="22"/>
          <w:lang w:val="en-GB"/>
        </w:rPr>
        <w:t xml:space="preserve"> s </w:t>
      </w:r>
      <w:proofErr w:type="spellStart"/>
      <w:r>
        <w:rPr>
          <w:color w:val="000000"/>
          <w:sz w:val="22"/>
          <w:szCs w:val="22"/>
          <w:lang w:val="en-GB"/>
        </w:rPr>
        <w:t>bolestí</w:t>
      </w:r>
      <w:proofErr w:type="spellEnd"/>
      <w:r>
        <w:rPr>
          <w:color w:val="000000"/>
          <w:sz w:val="22"/>
          <w:szCs w:val="22"/>
          <w:lang w:val="en-GB"/>
        </w:rPr>
        <w:t xml:space="preserve">, </w:t>
      </w:r>
      <w:proofErr w:type="spellStart"/>
      <w:r>
        <w:rPr>
          <w:color w:val="000000"/>
          <w:sz w:val="22"/>
          <w:szCs w:val="22"/>
          <w:lang w:val="en-GB"/>
        </w:rPr>
        <w:t>svěděním</w:t>
      </w:r>
      <w:proofErr w:type="spellEnd"/>
      <w:r>
        <w:rPr>
          <w:color w:val="000000"/>
          <w:sz w:val="22"/>
          <w:szCs w:val="22"/>
          <w:lang w:val="en-GB"/>
        </w:rPr>
        <w:t xml:space="preserve"> </w:t>
      </w:r>
      <w:proofErr w:type="spellStart"/>
      <w:r>
        <w:rPr>
          <w:color w:val="000000"/>
          <w:sz w:val="22"/>
          <w:szCs w:val="22"/>
          <w:lang w:val="en-GB"/>
        </w:rPr>
        <w:t>nebo</w:t>
      </w:r>
      <w:proofErr w:type="spellEnd"/>
      <w:r>
        <w:rPr>
          <w:color w:val="000000"/>
          <w:sz w:val="22"/>
          <w:szCs w:val="22"/>
          <w:lang w:val="en-GB"/>
        </w:rPr>
        <w:t xml:space="preserve"> </w:t>
      </w:r>
      <w:proofErr w:type="spellStart"/>
      <w:r>
        <w:rPr>
          <w:color w:val="000000"/>
          <w:sz w:val="22"/>
          <w:szCs w:val="22"/>
          <w:lang w:val="en-GB"/>
        </w:rPr>
        <w:t>pocitem</w:t>
      </w:r>
      <w:proofErr w:type="spellEnd"/>
      <w:r>
        <w:rPr>
          <w:color w:val="000000"/>
          <w:sz w:val="22"/>
          <w:szCs w:val="22"/>
          <w:lang w:val="en-GB"/>
        </w:rPr>
        <w:t xml:space="preserve"> </w:t>
      </w:r>
      <w:proofErr w:type="spellStart"/>
      <w:r>
        <w:rPr>
          <w:color w:val="000000"/>
          <w:sz w:val="22"/>
          <w:szCs w:val="22"/>
          <w:lang w:val="en-GB"/>
        </w:rPr>
        <w:t>pálení</w:t>
      </w:r>
      <w:proofErr w:type="spellEnd"/>
      <w:r>
        <w:rPr>
          <w:color w:val="000000"/>
          <w:sz w:val="22"/>
          <w:szCs w:val="22"/>
          <w:lang w:val="en-GB"/>
        </w:rPr>
        <w:t xml:space="preserve"> (</w:t>
      </w:r>
      <w:proofErr w:type="spellStart"/>
      <w:r>
        <w:rPr>
          <w:color w:val="000000"/>
          <w:sz w:val="22"/>
          <w:szCs w:val="22"/>
          <w:lang w:val="en-GB"/>
        </w:rPr>
        <w:t>známky</w:t>
      </w:r>
      <w:proofErr w:type="spellEnd"/>
      <w:r>
        <w:rPr>
          <w:color w:val="000000"/>
          <w:sz w:val="22"/>
          <w:szCs w:val="22"/>
          <w:lang w:val="en-GB"/>
        </w:rPr>
        <w:t xml:space="preserve"> </w:t>
      </w:r>
      <w:proofErr w:type="spellStart"/>
      <w:r>
        <w:rPr>
          <w:color w:val="000000"/>
          <w:sz w:val="22"/>
          <w:szCs w:val="22"/>
          <w:lang w:val="en-GB"/>
        </w:rPr>
        <w:t>zánětu</w:t>
      </w:r>
      <w:proofErr w:type="spellEnd"/>
      <w:r>
        <w:rPr>
          <w:color w:val="000000"/>
          <w:sz w:val="22"/>
          <w:szCs w:val="22"/>
          <w:lang w:val="en-GB"/>
        </w:rPr>
        <w:t xml:space="preserve"> </w:t>
      </w:r>
      <w:proofErr w:type="spellStart"/>
      <w:r>
        <w:rPr>
          <w:color w:val="000000"/>
          <w:sz w:val="22"/>
          <w:szCs w:val="22"/>
          <w:lang w:val="en-GB"/>
        </w:rPr>
        <w:t>vlasových</w:t>
      </w:r>
      <w:proofErr w:type="spellEnd"/>
      <w:r>
        <w:rPr>
          <w:color w:val="000000"/>
          <w:sz w:val="22"/>
          <w:szCs w:val="22"/>
          <w:lang w:val="en-GB"/>
        </w:rPr>
        <w:t xml:space="preserve"> </w:t>
      </w:r>
      <w:proofErr w:type="spellStart"/>
      <w:r>
        <w:rPr>
          <w:color w:val="000000"/>
          <w:sz w:val="22"/>
          <w:szCs w:val="22"/>
          <w:lang w:val="en-GB"/>
        </w:rPr>
        <w:t>folikulů</w:t>
      </w:r>
      <w:proofErr w:type="spellEnd"/>
      <w:r>
        <w:rPr>
          <w:color w:val="000000"/>
          <w:sz w:val="22"/>
          <w:szCs w:val="22"/>
          <w:lang w:val="en-GB"/>
        </w:rPr>
        <w:t xml:space="preserve">, </w:t>
      </w:r>
      <w:proofErr w:type="spellStart"/>
      <w:r>
        <w:rPr>
          <w:color w:val="000000"/>
          <w:sz w:val="22"/>
          <w:szCs w:val="22"/>
          <w:lang w:val="en-GB"/>
        </w:rPr>
        <w:t>nazývaných</w:t>
      </w:r>
      <w:proofErr w:type="spellEnd"/>
      <w:r>
        <w:rPr>
          <w:color w:val="000000"/>
          <w:sz w:val="22"/>
          <w:szCs w:val="22"/>
          <w:lang w:val="en-GB"/>
        </w:rPr>
        <w:t xml:space="preserve"> </w:t>
      </w:r>
      <w:proofErr w:type="spellStart"/>
      <w:r>
        <w:rPr>
          <w:color w:val="000000"/>
          <w:sz w:val="22"/>
          <w:szCs w:val="22"/>
          <w:lang w:val="en-GB"/>
        </w:rPr>
        <w:t>také</w:t>
      </w:r>
      <w:proofErr w:type="spellEnd"/>
      <w:r>
        <w:rPr>
          <w:color w:val="000000"/>
          <w:sz w:val="22"/>
          <w:szCs w:val="22"/>
          <w:lang w:val="en-GB"/>
        </w:rPr>
        <w:t xml:space="preserve"> </w:t>
      </w:r>
      <w:proofErr w:type="spellStart"/>
      <w:r>
        <w:rPr>
          <w:color w:val="000000"/>
          <w:sz w:val="22"/>
          <w:szCs w:val="22"/>
          <w:lang w:val="en-GB"/>
        </w:rPr>
        <w:t>folikulitida</w:t>
      </w:r>
      <w:proofErr w:type="spellEnd"/>
      <w:r>
        <w:rPr>
          <w:color w:val="000000"/>
          <w:sz w:val="22"/>
          <w:szCs w:val="22"/>
          <w:lang w:val="en-GB"/>
        </w:rPr>
        <w:t>).</w:t>
      </w:r>
    </w:p>
    <w:p w14:paraId="265838C5"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Kožní</w:t>
      </w:r>
      <w:proofErr w:type="spellEnd"/>
      <w:r>
        <w:rPr>
          <w:color w:val="000000"/>
          <w:sz w:val="22"/>
          <w:szCs w:val="22"/>
          <w:lang w:val="en-GB"/>
        </w:rPr>
        <w:t xml:space="preserve"> </w:t>
      </w:r>
      <w:proofErr w:type="spellStart"/>
      <w:r>
        <w:rPr>
          <w:color w:val="000000"/>
          <w:sz w:val="22"/>
          <w:szCs w:val="22"/>
          <w:lang w:val="en-GB"/>
        </w:rPr>
        <w:t>vyrážka</w:t>
      </w:r>
      <w:proofErr w:type="spellEnd"/>
      <w:r>
        <w:rPr>
          <w:color w:val="000000"/>
          <w:sz w:val="22"/>
          <w:szCs w:val="22"/>
          <w:lang w:val="en-GB"/>
        </w:rPr>
        <w:t xml:space="preserve"> s </w:t>
      </w:r>
      <w:proofErr w:type="spellStart"/>
      <w:r>
        <w:rPr>
          <w:color w:val="000000"/>
          <w:sz w:val="22"/>
          <w:szCs w:val="22"/>
          <w:lang w:val="en-GB"/>
        </w:rPr>
        <w:t>odlupováním</w:t>
      </w:r>
      <w:proofErr w:type="spellEnd"/>
      <w:r>
        <w:rPr>
          <w:color w:val="000000"/>
          <w:sz w:val="22"/>
          <w:szCs w:val="22"/>
          <w:lang w:val="en-GB"/>
        </w:rPr>
        <w:t xml:space="preserve"> </w:t>
      </w:r>
      <w:proofErr w:type="spellStart"/>
      <w:r>
        <w:rPr>
          <w:color w:val="000000"/>
          <w:sz w:val="22"/>
          <w:szCs w:val="22"/>
          <w:lang w:val="en-GB"/>
        </w:rPr>
        <w:t>nebo</w:t>
      </w:r>
      <w:proofErr w:type="spellEnd"/>
      <w:r>
        <w:rPr>
          <w:color w:val="000000"/>
          <w:sz w:val="22"/>
          <w:szCs w:val="22"/>
          <w:lang w:val="en-GB"/>
        </w:rPr>
        <w:t xml:space="preserve"> </w:t>
      </w:r>
      <w:proofErr w:type="spellStart"/>
      <w:r>
        <w:rPr>
          <w:color w:val="000000"/>
          <w:sz w:val="22"/>
          <w:szCs w:val="22"/>
          <w:lang w:val="en-GB"/>
        </w:rPr>
        <w:t>olupováním</w:t>
      </w:r>
      <w:proofErr w:type="spellEnd"/>
      <w:r>
        <w:rPr>
          <w:color w:val="000000"/>
          <w:sz w:val="22"/>
          <w:szCs w:val="22"/>
          <w:lang w:val="en-GB"/>
        </w:rPr>
        <w:t xml:space="preserve"> (</w:t>
      </w:r>
      <w:proofErr w:type="spellStart"/>
      <w:r>
        <w:rPr>
          <w:color w:val="000000"/>
          <w:sz w:val="22"/>
          <w:szCs w:val="22"/>
          <w:lang w:val="en-GB"/>
        </w:rPr>
        <w:t>exfoliativní</w:t>
      </w:r>
      <w:proofErr w:type="spellEnd"/>
      <w:r>
        <w:rPr>
          <w:color w:val="000000"/>
          <w:sz w:val="22"/>
          <w:szCs w:val="22"/>
          <w:lang w:val="en-GB"/>
        </w:rPr>
        <w:t xml:space="preserve"> </w:t>
      </w:r>
      <w:proofErr w:type="spellStart"/>
      <w:r>
        <w:rPr>
          <w:color w:val="000000"/>
          <w:sz w:val="22"/>
          <w:szCs w:val="22"/>
          <w:lang w:val="en-GB"/>
        </w:rPr>
        <w:t>dermatitida</w:t>
      </w:r>
      <w:proofErr w:type="spellEnd"/>
      <w:r>
        <w:rPr>
          <w:color w:val="000000"/>
          <w:sz w:val="22"/>
          <w:szCs w:val="22"/>
          <w:lang w:val="en-GB"/>
        </w:rPr>
        <w:t>).</w:t>
      </w:r>
    </w:p>
    <w:p w14:paraId="21869949"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Zvětšení</w:t>
      </w:r>
      <w:proofErr w:type="spellEnd"/>
      <w:r>
        <w:rPr>
          <w:color w:val="000000"/>
          <w:sz w:val="22"/>
          <w:szCs w:val="22"/>
          <w:lang w:val="en-GB"/>
        </w:rPr>
        <w:t xml:space="preserve"> </w:t>
      </w:r>
      <w:proofErr w:type="spellStart"/>
      <w:r>
        <w:rPr>
          <w:color w:val="000000"/>
          <w:sz w:val="22"/>
          <w:szCs w:val="22"/>
          <w:lang w:val="en-GB"/>
        </w:rPr>
        <w:t>prsou</w:t>
      </w:r>
      <w:proofErr w:type="spellEnd"/>
      <w:r>
        <w:rPr>
          <w:color w:val="000000"/>
          <w:sz w:val="22"/>
          <w:szCs w:val="22"/>
          <w:lang w:val="en-GB"/>
        </w:rPr>
        <w:t xml:space="preserve"> (</w:t>
      </w:r>
      <w:proofErr w:type="spellStart"/>
      <w:r>
        <w:rPr>
          <w:color w:val="000000"/>
          <w:sz w:val="22"/>
          <w:szCs w:val="22"/>
          <w:lang w:val="en-GB"/>
        </w:rPr>
        <w:t>může</w:t>
      </w:r>
      <w:proofErr w:type="spellEnd"/>
      <w:r>
        <w:rPr>
          <w:color w:val="000000"/>
          <w:sz w:val="22"/>
          <w:szCs w:val="22"/>
          <w:lang w:val="en-GB"/>
        </w:rPr>
        <w:t xml:space="preserve"> se </w:t>
      </w:r>
      <w:proofErr w:type="spellStart"/>
      <w:r>
        <w:rPr>
          <w:color w:val="000000"/>
          <w:sz w:val="22"/>
          <w:szCs w:val="22"/>
          <w:lang w:val="en-GB"/>
        </w:rPr>
        <w:t>objevit</w:t>
      </w:r>
      <w:proofErr w:type="spellEnd"/>
      <w:r>
        <w:rPr>
          <w:color w:val="000000"/>
          <w:sz w:val="22"/>
          <w:szCs w:val="22"/>
          <w:lang w:val="en-GB"/>
        </w:rPr>
        <w:t xml:space="preserve"> u </w:t>
      </w:r>
      <w:proofErr w:type="spellStart"/>
      <w:r>
        <w:rPr>
          <w:color w:val="000000"/>
          <w:sz w:val="22"/>
          <w:szCs w:val="22"/>
          <w:lang w:val="en-GB"/>
        </w:rPr>
        <w:t>mužů</w:t>
      </w:r>
      <w:proofErr w:type="spellEnd"/>
      <w:r>
        <w:rPr>
          <w:color w:val="000000"/>
          <w:sz w:val="22"/>
          <w:szCs w:val="22"/>
          <w:lang w:val="en-GB"/>
        </w:rPr>
        <w:t xml:space="preserve"> </w:t>
      </w:r>
      <w:proofErr w:type="spellStart"/>
      <w:r>
        <w:rPr>
          <w:color w:val="000000"/>
          <w:sz w:val="22"/>
          <w:szCs w:val="22"/>
          <w:lang w:val="en-GB"/>
        </w:rPr>
        <w:t>nebo</w:t>
      </w:r>
      <w:proofErr w:type="spellEnd"/>
      <w:r>
        <w:rPr>
          <w:color w:val="000000"/>
          <w:sz w:val="22"/>
          <w:szCs w:val="22"/>
          <w:lang w:val="en-GB"/>
        </w:rPr>
        <w:t xml:space="preserve"> </w:t>
      </w:r>
      <w:proofErr w:type="spellStart"/>
      <w:r>
        <w:rPr>
          <w:color w:val="000000"/>
          <w:sz w:val="22"/>
          <w:szCs w:val="22"/>
          <w:lang w:val="en-GB"/>
        </w:rPr>
        <w:t>žen</w:t>
      </w:r>
      <w:proofErr w:type="spellEnd"/>
      <w:r>
        <w:rPr>
          <w:color w:val="000000"/>
          <w:sz w:val="22"/>
          <w:szCs w:val="22"/>
          <w:lang w:val="en-GB"/>
        </w:rPr>
        <w:t>).</w:t>
      </w:r>
    </w:p>
    <w:p w14:paraId="43B35671"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Tupá</w:t>
      </w:r>
      <w:proofErr w:type="spellEnd"/>
      <w:r>
        <w:rPr>
          <w:color w:val="000000"/>
          <w:sz w:val="22"/>
          <w:szCs w:val="22"/>
          <w:lang w:val="en-GB"/>
        </w:rPr>
        <w:t xml:space="preserve"> </w:t>
      </w:r>
      <w:proofErr w:type="spellStart"/>
      <w:r>
        <w:rPr>
          <w:color w:val="000000"/>
          <w:sz w:val="22"/>
          <w:szCs w:val="22"/>
          <w:lang w:val="en-GB"/>
        </w:rPr>
        <w:t>bolest</w:t>
      </w:r>
      <w:proofErr w:type="spellEnd"/>
      <w:r>
        <w:rPr>
          <w:color w:val="000000"/>
          <w:sz w:val="22"/>
          <w:szCs w:val="22"/>
          <w:lang w:val="en-GB"/>
        </w:rPr>
        <w:t xml:space="preserve"> a/</w:t>
      </w:r>
      <w:proofErr w:type="spellStart"/>
      <w:r>
        <w:rPr>
          <w:color w:val="000000"/>
          <w:sz w:val="22"/>
          <w:szCs w:val="22"/>
          <w:lang w:val="en-GB"/>
        </w:rPr>
        <w:t>nebo</w:t>
      </w:r>
      <w:proofErr w:type="spellEnd"/>
      <w:r>
        <w:rPr>
          <w:color w:val="000000"/>
          <w:sz w:val="22"/>
          <w:szCs w:val="22"/>
          <w:lang w:val="en-GB"/>
        </w:rPr>
        <w:t xml:space="preserve"> </w:t>
      </w:r>
      <w:proofErr w:type="spellStart"/>
      <w:r>
        <w:rPr>
          <w:color w:val="000000"/>
          <w:sz w:val="22"/>
          <w:szCs w:val="22"/>
          <w:lang w:val="en-GB"/>
        </w:rPr>
        <w:t>pocit</w:t>
      </w:r>
      <w:proofErr w:type="spellEnd"/>
      <w:r>
        <w:rPr>
          <w:color w:val="000000"/>
          <w:sz w:val="22"/>
          <w:szCs w:val="22"/>
          <w:lang w:val="en-GB"/>
        </w:rPr>
        <w:t xml:space="preserve"> </w:t>
      </w:r>
      <w:proofErr w:type="spellStart"/>
      <w:r>
        <w:rPr>
          <w:color w:val="000000"/>
          <w:sz w:val="22"/>
          <w:szCs w:val="22"/>
          <w:lang w:val="en-GB"/>
        </w:rPr>
        <w:t>tíhy</w:t>
      </w:r>
      <w:proofErr w:type="spellEnd"/>
      <w:r>
        <w:rPr>
          <w:color w:val="000000"/>
          <w:sz w:val="22"/>
          <w:szCs w:val="22"/>
          <w:lang w:val="en-GB"/>
        </w:rPr>
        <w:t xml:space="preserve"> </w:t>
      </w:r>
      <w:proofErr w:type="spellStart"/>
      <w:r>
        <w:rPr>
          <w:color w:val="000000"/>
          <w:sz w:val="22"/>
          <w:szCs w:val="22"/>
          <w:lang w:val="en-GB"/>
        </w:rPr>
        <w:t>ve</w:t>
      </w:r>
      <w:proofErr w:type="spellEnd"/>
      <w:r>
        <w:rPr>
          <w:color w:val="000000"/>
          <w:sz w:val="22"/>
          <w:szCs w:val="22"/>
          <w:lang w:val="en-GB"/>
        </w:rPr>
        <w:t xml:space="preserve"> </w:t>
      </w:r>
      <w:proofErr w:type="spellStart"/>
      <w:r>
        <w:rPr>
          <w:color w:val="000000"/>
          <w:sz w:val="22"/>
          <w:szCs w:val="22"/>
          <w:lang w:val="en-GB"/>
        </w:rPr>
        <w:t>varlatech</w:t>
      </w:r>
      <w:proofErr w:type="spellEnd"/>
      <w:r>
        <w:rPr>
          <w:color w:val="000000"/>
          <w:sz w:val="22"/>
          <w:szCs w:val="22"/>
          <w:lang w:val="en-GB"/>
        </w:rPr>
        <w:t xml:space="preserve"> </w:t>
      </w:r>
      <w:proofErr w:type="spellStart"/>
      <w:r>
        <w:rPr>
          <w:color w:val="000000"/>
          <w:sz w:val="22"/>
          <w:szCs w:val="22"/>
          <w:lang w:val="en-GB"/>
        </w:rPr>
        <w:t>nebo</w:t>
      </w:r>
      <w:proofErr w:type="spellEnd"/>
      <w:r>
        <w:rPr>
          <w:color w:val="000000"/>
          <w:sz w:val="22"/>
          <w:szCs w:val="22"/>
          <w:lang w:val="en-GB"/>
        </w:rPr>
        <w:t xml:space="preserve"> </w:t>
      </w:r>
      <w:proofErr w:type="spellStart"/>
      <w:r>
        <w:rPr>
          <w:color w:val="000000"/>
          <w:sz w:val="22"/>
          <w:szCs w:val="22"/>
          <w:lang w:val="en-GB"/>
        </w:rPr>
        <w:t>podbříšku</w:t>
      </w:r>
      <w:proofErr w:type="spellEnd"/>
      <w:r>
        <w:rPr>
          <w:color w:val="000000"/>
          <w:sz w:val="22"/>
          <w:szCs w:val="22"/>
          <w:lang w:val="en-GB"/>
        </w:rPr>
        <w:t xml:space="preserve">, </w:t>
      </w:r>
      <w:proofErr w:type="spellStart"/>
      <w:r>
        <w:rPr>
          <w:color w:val="000000"/>
          <w:sz w:val="22"/>
          <w:szCs w:val="22"/>
          <w:lang w:val="en-GB"/>
        </w:rPr>
        <w:t>bolest</w:t>
      </w:r>
      <w:proofErr w:type="spellEnd"/>
      <w:r>
        <w:rPr>
          <w:color w:val="000000"/>
          <w:sz w:val="22"/>
          <w:szCs w:val="22"/>
          <w:lang w:val="en-GB"/>
        </w:rPr>
        <w:t xml:space="preserve"> </w:t>
      </w:r>
      <w:proofErr w:type="spellStart"/>
      <w:r>
        <w:rPr>
          <w:color w:val="000000"/>
          <w:sz w:val="22"/>
          <w:szCs w:val="22"/>
          <w:lang w:val="en-GB"/>
        </w:rPr>
        <w:t>při</w:t>
      </w:r>
      <w:proofErr w:type="spellEnd"/>
      <w:r>
        <w:rPr>
          <w:color w:val="000000"/>
          <w:sz w:val="22"/>
          <w:szCs w:val="22"/>
          <w:lang w:val="en-GB"/>
        </w:rPr>
        <w:t xml:space="preserve"> </w:t>
      </w:r>
      <w:proofErr w:type="spellStart"/>
      <w:r>
        <w:rPr>
          <w:color w:val="000000"/>
          <w:sz w:val="22"/>
          <w:szCs w:val="22"/>
          <w:lang w:val="en-GB"/>
        </w:rPr>
        <w:t>močení</w:t>
      </w:r>
      <w:proofErr w:type="spellEnd"/>
      <w:r>
        <w:rPr>
          <w:color w:val="000000"/>
          <w:sz w:val="22"/>
          <w:szCs w:val="22"/>
          <w:lang w:val="en-GB"/>
        </w:rPr>
        <w:t xml:space="preserve">, </w:t>
      </w:r>
      <w:proofErr w:type="spellStart"/>
      <w:r>
        <w:rPr>
          <w:color w:val="000000"/>
          <w:sz w:val="22"/>
          <w:szCs w:val="22"/>
          <w:lang w:val="en-GB"/>
        </w:rPr>
        <w:t>pohlavním</w:t>
      </w:r>
      <w:proofErr w:type="spellEnd"/>
      <w:r>
        <w:rPr>
          <w:color w:val="000000"/>
          <w:sz w:val="22"/>
          <w:szCs w:val="22"/>
          <w:lang w:val="en-GB"/>
        </w:rPr>
        <w:t xml:space="preserve"> </w:t>
      </w:r>
      <w:proofErr w:type="spellStart"/>
      <w:r>
        <w:rPr>
          <w:color w:val="000000"/>
          <w:sz w:val="22"/>
          <w:szCs w:val="22"/>
          <w:lang w:val="en-GB"/>
        </w:rPr>
        <w:t>styku</w:t>
      </w:r>
      <w:proofErr w:type="spellEnd"/>
      <w:r>
        <w:rPr>
          <w:color w:val="000000"/>
          <w:sz w:val="22"/>
          <w:szCs w:val="22"/>
          <w:lang w:val="en-GB"/>
        </w:rPr>
        <w:t xml:space="preserve"> </w:t>
      </w:r>
      <w:proofErr w:type="spellStart"/>
      <w:r>
        <w:rPr>
          <w:color w:val="000000"/>
          <w:sz w:val="22"/>
          <w:szCs w:val="22"/>
          <w:lang w:val="en-GB"/>
        </w:rPr>
        <w:t>nebo</w:t>
      </w:r>
      <w:proofErr w:type="spellEnd"/>
      <w:r>
        <w:rPr>
          <w:color w:val="000000"/>
          <w:sz w:val="22"/>
          <w:szCs w:val="22"/>
          <w:lang w:val="en-GB"/>
        </w:rPr>
        <w:t xml:space="preserve"> </w:t>
      </w:r>
      <w:proofErr w:type="spellStart"/>
      <w:r>
        <w:rPr>
          <w:color w:val="000000"/>
          <w:sz w:val="22"/>
          <w:szCs w:val="22"/>
          <w:lang w:val="en-GB"/>
        </w:rPr>
        <w:t>ejakulaci</w:t>
      </w:r>
      <w:proofErr w:type="spellEnd"/>
      <w:r>
        <w:rPr>
          <w:color w:val="000000"/>
          <w:sz w:val="22"/>
          <w:szCs w:val="22"/>
          <w:lang w:val="en-GB"/>
        </w:rPr>
        <w:t xml:space="preserve">, </w:t>
      </w:r>
      <w:proofErr w:type="spellStart"/>
      <w:r>
        <w:rPr>
          <w:color w:val="000000"/>
          <w:sz w:val="22"/>
          <w:szCs w:val="22"/>
          <w:lang w:val="en-GB"/>
        </w:rPr>
        <w:t>krev</w:t>
      </w:r>
      <w:proofErr w:type="spellEnd"/>
      <w:r>
        <w:rPr>
          <w:color w:val="000000"/>
          <w:sz w:val="22"/>
          <w:szCs w:val="22"/>
          <w:lang w:val="en-GB"/>
        </w:rPr>
        <w:t xml:space="preserve"> v </w:t>
      </w:r>
      <w:proofErr w:type="spellStart"/>
      <w:r>
        <w:rPr>
          <w:color w:val="000000"/>
          <w:sz w:val="22"/>
          <w:szCs w:val="22"/>
          <w:lang w:val="en-GB"/>
        </w:rPr>
        <w:t>moči</w:t>
      </w:r>
      <w:proofErr w:type="spellEnd"/>
      <w:r>
        <w:rPr>
          <w:color w:val="000000"/>
          <w:sz w:val="22"/>
          <w:szCs w:val="22"/>
          <w:lang w:val="en-GB"/>
        </w:rPr>
        <w:t xml:space="preserve"> (</w:t>
      </w:r>
      <w:proofErr w:type="spellStart"/>
      <w:r>
        <w:rPr>
          <w:color w:val="000000"/>
          <w:sz w:val="22"/>
          <w:szCs w:val="22"/>
          <w:lang w:val="en-GB"/>
        </w:rPr>
        <w:t>známky</w:t>
      </w:r>
      <w:proofErr w:type="spellEnd"/>
      <w:r>
        <w:rPr>
          <w:color w:val="000000"/>
          <w:sz w:val="22"/>
          <w:szCs w:val="22"/>
          <w:lang w:val="en-GB"/>
        </w:rPr>
        <w:t xml:space="preserve"> </w:t>
      </w:r>
      <w:proofErr w:type="spellStart"/>
      <w:r>
        <w:rPr>
          <w:color w:val="000000"/>
          <w:sz w:val="22"/>
          <w:szCs w:val="22"/>
          <w:lang w:val="en-GB"/>
        </w:rPr>
        <w:t>otoku</w:t>
      </w:r>
      <w:proofErr w:type="spellEnd"/>
      <w:r>
        <w:rPr>
          <w:color w:val="000000"/>
          <w:sz w:val="22"/>
          <w:szCs w:val="22"/>
          <w:lang w:val="en-GB"/>
        </w:rPr>
        <w:t xml:space="preserve"> </w:t>
      </w:r>
      <w:proofErr w:type="spellStart"/>
      <w:r>
        <w:rPr>
          <w:color w:val="000000"/>
          <w:sz w:val="22"/>
          <w:szCs w:val="22"/>
          <w:lang w:val="en-GB"/>
        </w:rPr>
        <w:t>varlat</w:t>
      </w:r>
      <w:proofErr w:type="spellEnd"/>
      <w:r>
        <w:rPr>
          <w:color w:val="000000"/>
          <w:sz w:val="22"/>
          <w:szCs w:val="22"/>
          <w:lang w:val="en-GB"/>
        </w:rPr>
        <w:t>).</w:t>
      </w:r>
    </w:p>
    <w:p w14:paraId="52080D7C"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Neschopnost</w:t>
      </w:r>
      <w:proofErr w:type="spellEnd"/>
      <w:r>
        <w:rPr>
          <w:color w:val="000000"/>
          <w:sz w:val="22"/>
          <w:szCs w:val="22"/>
          <w:lang w:val="en-GB"/>
        </w:rPr>
        <w:t xml:space="preserve"> </w:t>
      </w:r>
      <w:proofErr w:type="spellStart"/>
      <w:r>
        <w:rPr>
          <w:color w:val="000000"/>
          <w:sz w:val="22"/>
          <w:szCs w:val="22"/>
          <w:lang w:val="en-GB"/>
        </w:rPr>
        <w:t>dosáhnout</w:t>
      </w:r>
      <w:proofErr w:type="spellEnd"/>
      <w:r>
        <w:rPr>
          <w:color w:val="000000"/>
          <w:sz w:val="22"/>
          <w:szCs w:val="22"/>
          <w:lang w:val="en-GB"/>
        </w:rPr>
        <w:t xml:space="preserve"> </w:t>
      </w:r>
      <w:proofErr w:type="spellStart"/>
      <w:r>
        <w:rPr>
          <w:color w:val="000000"/>
          <w:sz w:val="22"/>
          <w:szCs w:val="22"/>
          <w:lang w:val="en-GB"/>
        </w:rPr>
        <w:t>nebo</w:t>
      </w:r>
      <w:proofErr w:type="spellEnd"/>
      <w:r>
        <w:rPr>
          <w:color w:val="000000"/>
          <w:sz w:val="22"/>
          <w:szCs w:val="22"/>
          <w:lang w:val="en-GB"/>
        </w:rPr>
        <w:t xml:space="preserve"> </w:t>
      </w:r>
      <w:proofErr w:type="spellStart"/>
      <w:r>
        <w:rPr>
          <w:color w:val="000000"/>
          <w:sz w:val="22"/>
          <w:szCs w:val="22"/>
          <w:lang w:val="en-GB"/>
        </w:rPr>
        <w:t>udržet</w:t>
      </w:r>
      <w:proofErr w:type="spellEnd"/>
      <w:r>
        <w:rPr>
          <w:color w:val="000000"/>
          <w:sz w:val="22"/>
          <w:szCs w:val="22"/>
          <w:lang w:val="en-GB"/>
        </w:rPr>
        <w:t xml:space="preserve"> </w:t>
      </w:r>
      <w:proofErr w:type="spellStart"/>
      <w:r>
        <w:rPr>
          <w:color w:val="000000"/>
          <w:sz w:val="22"/>
          <w:szCs w:val="22"/>
          <w:lang w:val="en-GB"/>
        </w:rPr>
        <w:t>erekci</w:t>
      </w:r>
      <w:proofErr w:type="spellEnd"/>
      <w:r>
        <w:rPr>
          <w:color w:val="000000"/>
          <w:sz w:val="22"/>
          <w:szCs w:val="22"/>
          <w:lang w:val="en-GB"/>
        </w:rPr>
        <w:t xml:space="preserve"> (</w:t>
      </w:r>
      <w:proofErr w:type="spellStart"/>
      <w:r>
        <w:rPr>
          <w:color w:val="000000"/>
          <w:sz w:val="22"/>
          <w:szCs w:val="22"/>
          <w:lang w:val="en-GB"/>
        </w:rPr>
        <w:t>erektilní</w:t>
      </w:r>
      <w:proofErr w:type="spellEnd"/>
      <w:r>
        <w:rPr>
          <w:color w:val="000000"/>
          <w:sz w:val="22"/>
          <w:szCs w:val="22"/>
          <w:lang w:val="en-GB"/>
        </w:rPr>
        <w:t xml:space="preserve"> </w:t>
      </w:r>
      <w:proofErr w:type="spellStart"/>
      <w:r>
        <w:rPr>
          <w:color w:val="000000"/>
          <w:sz w:val="22"/>
          <w:szCs w:val="22"/>
          <w:lang w:val="en-GB"/>
        </w:rPr>
        <w:t>dysfunkce</w:t>
      </w:r>
      <w:proofErr w:type="spellEnd"/>
      <w:r>
        <w:rPr>
          <w:color w:val="000000"/>
          <w:sz w:val="22"/>
          <w:szCs w:val="22"/>
          <w:lang w:val="en-GB"/>
        </w:rPr>
        <w:t>).</w:t>
      </w:r>
    </w:p>
    <w:p w14:paraId="19FA1F1F"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Silná</w:t>
      </w:r>
      <w:proofErr w:type="spellEnd"/>
      <w:r>
        <w:rPr>
          <w:color w:val="000000"/>
          <w:sz w:val="22"/>
          <w:szCs w:val="22"/>
          <w:lang w:val="en-GB"/>
        </w:rPr>
        <w:t xml:space="preserve"> </w:t>
      </w:r>
      <w:proofErr w:type="spellStart"/>
      <w:r>
        <w:rPr>
          <w:color w:val="000000"/>
          <w:sz w:val="22"/>
          <w:szCs w:val="22"/>
          <w:lang w:val="en-GB"/>
        </w:rPr>
        <w:t>nebo</w:t>
      </w:r>
      <w:proofErr w:type="spellEnd"/>
      <w:r>
        <w:rPr>
          <w:color w:val="000000"/>
          <w:sz w:val="22"/>
          <w:szCs w:val="22"/>
          <w:lang w:val="en-GB"/>
        </w:rPr>
        <w:t xml:space="preserve"> </w:t>
      </w:r>
      <w:proofErr w:type="spellStart"/>
      <w:r>
        <w:rPr>
          <w:color w:val="000000"/>
          <w:sz w:val="22"/>
          <w:szCs w:val="22"/>
          <w:lang w:val="en-GB"/>
        </w:rPr>
        <w:t>nepravidelná</w:t>
      </w:r>
      <w:proofErr w:type="spellEnd"/>
      <w:r>
        <w:rPr>
          <w:color w:val="000000"/>
          <w:sz w:val="22"/>
          <w:szCs w:val="22"/>
          <w:lang w:val="en-GB"/>
        </w:rPr>
        <w:t xml:space="preserve"> </w:t>
      </w:r>
      <w:proofErr w:type="spellStart"/>
      <w:r>
        <w:rPr>
          <w:color w:val="000000"/>
          <w:sz w:val="22"/>
          <w:szCs w:val="22"/>
          <w:lang w:val="en-GB"/>
        </w:rPr>
        <w:t>menstruace</w:t>
      </w:r>
      <w:proofErr w:type="spellEnd"/>
      <w:r>
        <w:rPr>
          <w:color w:val="000000"/>
          <w:sz w:val="22"/>
          <w:szCs w:val="22"/>
          <w:lang w:val="en-GB"/>
        </w:rPr>
        <w:t>.</w:t>
      </w:r>
    </w:p>
    <w:p w14:paraId="2B88B045"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Potíže</w:t>
      </w:r>
      <w:proofErr w:type="spellEnd"/>
      <w:r>
        <w:rPr>
          <w:color w:val="000000"/>
          <w:sz w:val="22"/>
          <w:szCs w:val="22"/>
          <w:lang w:val="en-GB"/>
        </w:rPr>
        <w:t xml:space="preserve"> s </w:t>
      </w:r>
      <w:proofErr w:type="spellStart"/>
      <w:r>
        <w:rPr>
          <w:color w:val="000000"/>
          <w:sz w:val="22"/>
          <w:szCs w:val="22"/>
          <w:lang w:val="en-GB"/>
        </w:rPr>
        <w:t>dosažením</w:t>
      </w:r>
      <w:proofErr w:type="spellEnd"/>
      <w:r>
        <w:rPr>
          <w:color w:val="000000"/>
          <w:sz w:val="22"/>
          <w:szCs w:val="22"/>
          <w:lang w:val="en-GB"/>
        </w:rPr>
        <w:t>/</w:t>
      </w:r>
      <w:proofErr w:type="spellStart"/>
      <w:r>
        <w:rPr>
          <w:color w:val="000000"/>
          <w:sz w:val="22"/>
          <w:szCs w:val="22"/>
          <w:lang w:val="en-GB"/>
        </w:rPr>
        <w:t>udržením</w:t>
      </w:r>
      <w:proofErr w:type="spellEnd"/>
      <w:r>
        <w:rPr>
          <w:color w:val="000000"/>
          <w:sz w:val="22"/>
          <w:szCs w:val="22"/>
          <w:lang w:val="en-GB"/>
        </w:rPr>
        <w:t xml:space="preserve"> </w:t>
      </w:r>
      <w:proofErr w:type="spellStart"/>
      <w:r>
        <w:rPr>
          <w:color w:val="000000"/>
          <w:sz w:val="22"/>
          <w:szCs w:val="22"/>
          <w:lang w:val="en-GB"/>
        </w:rPr>
        <w:t>sexuálního</w:t>
      </w:r>
      <w:proofErr w:type="spellEnd"/>
      <w:r>
        <w:rPr>
          <w:color w:val="000000"/>
          <w:sz w:val="22"/>
          <w:szCs w:val="22"/>
          <w:lang w:val="en-GB"/>
        </w:rPr>
        <w:t xml:space="preserve"> </w:t>
      </w:r>
      <w:proofErr w:type="spellStart"/>
      <w:r>
        <w:rPr>
          <w:color w:val="000000"/>
          <w:sz w:val="22"/>
          <w:szCs w:val="22"/>
          <w:lang w:val="en-GB"/>
        </w:rPr>
        <w:t>vzrušení</w:t>
      </w:r>
      <w:proofErr w:type="spellEnd"/>
      <w:r>
        <w:rPr>
          <w:color w:val="000000"/>
          <w:sz w:val="22"/>
          <w:szCs w:val="22"/>
          <w:lang w:val="en-GB"/>
        </w:rPr>
        <w:t>.</w:t>
      </w:r>
    </w:p>
    <w:p w14:paraId="35DF0FE6"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Snížená</w:t>
      </w:r>
      <w:proofErr w:type="spellEnd"/>
      <w:r>
        <w:rPr>
          <w:color w:val="000000"/>
          <w:sz w:val="22"/>
          <w:szCs w:val="22"/>
          <w:lang w:val="en-GB"/>
        </w:rPr>
        <w:t xml:space="preserve"> </w:t>
      </w:r>
      <w:proofErr w:type="spellStart"/>
      <w:r>
        <w:rPr>
          <w:color w:val="000000"/>
          <w:sz w:val="22"/>
          <w:szCs w:val="22"/>
          <w:lang w:val="en-GB"/>
        </w:rPr>
        <w:t>sexuální</w:t>
      </w:r>
      <w:proofErr w:type="spellEnd"/>
      <w:r>
        <w:rPr>
          <w:color w:val="000000"/>
          <w:sz w:val="22"/>
          <w:szCs w:val="22"/>
          <w:lang w:val="en-GB"/>
        </w:rPr>
        <w:t xml:space="preserve"> </w:t>
      </w:r>
      <w:proofErr w:type="spellStart"/>
      <w:r>
        <w:rPr>
          <w:color w:val="000000"/>
          <w:sz w:val="22"/>
          <w:szCs w:val="22"/>
          <w:lang w:val="en-GB"/>
        </w:rPr>
        <w:t>touha</w:t>
      </w:r>
      <w:proofErr w:type="spellEnd"/>
      <w:r>
        <w:rPr>
          <w:color w:val="000000"/>
          <w:sz w:val="22"/>
          <w:szCs w:val="22"/>
          <w:lang w:val="en-GB"/>
        </w:rPr>
        <w:t>.</w:t>
      </w:r>
    </w:p>
    <w:p w14:paraId="4971B34F"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Bolest</w:t>
      </w:r>
      <w:proofErr w:type="spellEnd"/>
      <w:r>
        <w:rPr>
          <w:color w:val="000000"/>
          <w:sz w:val="22"/>
          <w:szCs w:val="22"/>
          <w:lang w:val="en-GB"/>
        </w:rPr>
        <w:t xml:space="preserve"> </w:t>
      </w:r>
      <w:proofErr w:type="spellStart"/>
      <w:r>
        <w:rPr>
          <w:color w:val="000000"/>
          <w:sz w:val="22"/>
          <w:szCs w:val="22"/>
          <w:lang w:val="en-GB"/>
        </w:rPr>
        <w:t>bradavek</w:t>
      </w:r>
      <w:proofErr w:type="spellEnd"/>
      <w:r>
        <w:rPr>
          <w:color w:val="000000"/>
          <w:sz w:val="22"/>
          <w:szCs w:val="22"/>
          <w:lang w:val="en-GB"/>
        </w:rPr>
        <w:t>.</w:t>
      </w:r>
    </w:p>
    <w:p w14:paraId="29F8C5DA" w14:textId="1FD802DC"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Celk</w:t>
      </w:r>
      <w:r w:rsidR="00AD17C2">
        <w:rPr>
          <w:color w:val="000000"/>
          <w:sz w:val="22"/>
          <w:szCs w:val="22"/>
          <w:lang w:val="en-GB"/>
        </w:rPr>
        <w:t>ový</w:t>
      </w:r>
      <w:proofErr w:type="spellEnd"/>
      <w:r w:rsidR="00AD17C2">
        <w:rPr>
          <w:color w:val="000000"/>
          <w:sz w:val="22"/>
          <w:szCs w:val="22"/>
          <w:lang w:val="en-GB"/>
        </w:rPr>
        <w:t xml:space="preserve"> </w:t>
      </w:r>
      <w:proofErr w:type="spellStart"/>
      <w:r w:rsidR="00AD17C2">
        <w:rPr>
          <w:color w:val="000000"/>
          <w:sz w:val="22"/>
          <w:szCs w:val="22"/>
          <w:lang w:val="en-GB"/>
        </w:rPr>
        <w:t>pocit</w:t>
      </w:r>
      <w:proofErr w:type="spellEnd"/>
      <w:r w:rsidR="00AD17C2">
        <w:rPr>
          <w:color w:val="000000"/>
          <w:sz w:val="22"/>
          <w:szCs w:val="22"/>
          <w:lang w:val="en-GB"/>
        </w:rPr>
        <w:t xml:space="preserve"> </w:t>
      </w:r>
      <w:proofErr w:type="spellStart"/>
      <w:r w:rsidR="00AD17C2">
        <w:rPr>
          <w:color w:val="000000"/>
          <w:sz w:val="22"/>
          <w:szCs w:val="22"/>
          <w:lang w:val="en-GB"/>
        </w:rPr>
        <w:t>ne</w:t>
      </w:r>
      <w:r w:rsidR="00240D23">
        <w:rPr>
          <w:color w:val="000000"/>
          <w:sz w:val="22"/>
          <w:szCs w:val="22"/>
          <w:lang w:val="en-GB"/>
        </w:rPr>
        <w:t>moci</w:t>
      </w:r>
      <w:proofErr w:type="spellEnd"/>
      <w:r w:rsidR="00AD17C2">
        <w:rPr>
          <w:color w:val="000000"/>
          <w:sz w:val="22"/>
          <w:szCs w:val="22"/>
          <w:lang w:val="en-GB"/>
        </w:rPr>
        <w:t xml:space="preserve"> (</w:t>
      </w:r>
      <w:proofErr w:type="spellStart"/>
      <w:r w:rsidR="00AD17C2">
        <w:rPr>
          <w:color w:val="000000"/>
          <w:sz w:val="22"/>
          <w:szCs w:val="22"/>
          <w:lang w:val="en-GB"/>
        </w:rPr>
        <w:t>malátnost</w:t>
      </w:r>
      <w:proofErr w:type="spellEnd"/>
      <w:r>
        <w:rPr>
          <w:color w:val="000000"/>
          <w:sz w:val="22"/>
          <w:szCs w:val="22"/>
          <w:lang w:val="en-GB"/>
        </w:rPr>
        <w:t>).</w:t>
      </w:r>
    </w:p>
    <w:p w14:paraId="47CB021A" w14:textId="77777777" w:rsidR="00614F5E" w:rsidRPr="00BC48A2"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fr-CH"/>
        </w:rPr>
      </w:pPr>
      <w:r w:rsidRPr="00BC48A2">
        <w:rPr>
          <w:color w:val="000000"/>
          <w:sz w:val="22"/>
          <w:szCs w:val="22"/>
          <w:lang w:val="fr-CH"/>
        </w:rPr>
        <w:t>Virová infekce, jako je opar.</w:t>
      </w:r>
    </w:p>
    <w:p w14:paraId="521C8B57" w14:textId="77777777" w:rsidR="00614F5E" w:rsidRPr="00BC48A2"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fr-CH"/>
        </w:rPr>
      </w:pPr>
      <w:r w:rsidRPr="00BC48A2">
        <w:rPr>
          <w:color w:val="000000"/>
          <w:sz w:val="22"/>
          <w:szCs w:val="22"/>
          <w:lang w:val="fr-CH"/>
        </w:rPr>
        <w:t>Bolest dolní části zad způsobená poruchou ledvin.</w:t>
      </w:r>
    </w:p>
    <w:p w14:paraId="2C1A7806"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Zvýšená</w:t>
      </w:r>
      <w:proofErr w:type="spellEnd"/>
      <w:r>
        <w:rPr>
          <w:color w:val="000000"/>
          <w:sz w:val="22"/>
          <w:szCs w:val="22"/>
          <w:lang w:val="en-GB"/>
        </w:rPr>
        <w:t xml:space="preserve"> </w:t>
      </w:r>
      <w:proofErr w:type="spellStart"/>
      <w:r>
        <w:rPr>
          <w:color w:val="000000"/>
          <w:sz w:val="22"/>
          <w:szCs w:val="22"/>
          <w:lang w:val="en-GB"/>
        </w:rPr>
        <w:t>frekvence</w:t>
      </w:r>
      <w:proofErr w:type="spellEnd"/>
      <w:r>
        <w:rPr>
          <w:color w:val="000000"/>
          <w:sz w:val="22"/>
          <w:szCs w:val="22"/>
          <w:lang w:val="en-GB"/>
        </w:rPr>
        <w:t xml:space="preserve"> </w:t>
      </w:r>
      <w:proofErr w:type="spellStart"/>
      <w:r>
        <w:rPr>
          <w:color w:val="000000"/>
          <w:sz w:val="22"/>
          <w:szCs w:val="22"/>
          <w:lang w:val="en-GB"/>
        </w:rPr>
        <w:t>močení</w:t>
      </w:r>
      <w:proofErr w:type="spellEnd"/>
      <w:r>
        <w:rPr>
          <w:color w:val="000000"/>
          <w:sz w:val="22"/>
          <w:szCs w:val="22"/>
          <w:lang w:val="en-GB"/>
        </w:rPr>
        <w:t>.</w:t>
      </w:r>
    </w:p>
    <w:p w14:paraId="0E7B5BD8"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Zvýšená</w:t>
      </w:r>
      <w:proofErr w:type="spellEnd"/>
      <w:r>
        <w:rPr>
          <w:color w:val="000000"/>
          <w:sz w:val="22"/>
          <w:szCs w:val="22"/>
          <w:lang w:val="en-GB"/>
        </w:rPr>
        <w:t xml:space="preserve"> </w:t>
      </w:r>
      <w:proofErr w:type="spellStart"/>
      <w:r>
        <w:rPr>
          <w:color w:val="000000"/>
          <w:sz w:val="22"/>
          <w:szCs w:val="22"/>
          <w:lang w:val="en-GB"/>
        </w:rPr>
        <w:t>chuť</w:t>
      </w:r>
      <w:proofErr w:type="spellEnd"/>
      <w:r>
        <w:rPr>
          <w:color w:val="000000"/>
          <w:sz w:val="22"/>
          <w:szCs w:val="22"/>
          <w:lang w:val="en-GB"/>
        </w:rPr>
        <w:t xml:space="preserve"> k </w:t>
      </w:r>
      <w:proofErr w:type="spellStart"/>
      <w:r>
        <w:rPr>
          <w:color w:val="000000"/>
          <w:sz w:val="22"/>
          <w:szCs w:val="22"/>
          <w:lang w:val="en-GB"/>
        </w:rPr>
        <w:t>jídlu</w:t>
      </w:r>
      <w:proofErr w:type="spellEnd"/>
      <w:r>
        <w:rPr>
          <w:color w:val="000000"/>
          <w:sz w:val="22"/>
          <w:szCs w:val="22"/>
          <w:lang w:val="en-GB"/>
        </w:rPr>
        <w:t>.</w:t>
      </w:r>
    </w:p>
    <w:p w14:paraId="2D7F22E5" w14:textId="3CF284CB"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Bolest</w:t>
      </w:r>
      <w:proofErr w:type="spellEnd"/>
      <w:r>
        <w:rPr>
          <w:color w:val="000000"/>
          <w:sz w:val="22"/>
          <w:szCs w:val="22"/>
          <w:lang w:val="en-GB"/>
        </w:rPr>
        <w:t xml:space="preserve"> </w:t>
      </w:r>
      <w:proofErr w:type="spellStart"/>
      <w:r>
        <w:rPr>
          <w:color w:val="000000"/>
          <w:sz w:val="22"/>
          <w:szCs w:val="22"/>
          <w:lang w:val="en-GB"/>
        </w:rPr>
        <w:t>nebo</w:t>
      </w:r>
      <w:proofErr w:type="spellEnd"/>
      <w:r>
        <w:rPr>
          <w:color w:val="000000"/>
          <w:sz w:val="22"/>
          <w:szCs w:val="22"/>
          <w:lang w:val="en-GB"/>
        </w:rPr>
        <w:t xml:space="preserve"> </w:t>
      </w:r>
      <w:proofErr w:type="spellStart"/>
      <w:r>
        <w:rPr>
          <w:color w:val="000000"/>
          <w:sz w:val="22"/>
          <w:szCs w:val="22"/>
          <w:lang w:val="en-GB"/>
        </w:rPr>
        <w:t>pocit</w:t>
      </w:r>
      <w:proofErr w:type="spellEnd"/>
      <w:r>
        <w:rPr>
          <w:color w:val="000000"/>
          <w:sz w:val="22"/>
          <w:szCs w:val="22"/>
          <w:lang w:val="en-GB"/>
        </w:rPr>
        <w:t xml:space="preserve"> </w:t>
      </w:r>
      <w:proofErr w:type="spellStart"/>
      <w:r>
        <w:rPr>
          <w:color w:val="000000"/>
          <w:sz w:val="22"/>
          <w:szCs w:val="22"/>
          <w:lang w:val="en-GB"/>
        </w:rPr>
        <w:t>pálení</w:t>
      </w:r>
      <w:proofErr w:type="spellEnd"/>
      <w:r>
        <w:rPr>
          <w:color w:val="000000"/>
          <w:sz w:val="22"/>
          <w:szCs w:val="22"/>
          <w:lang w:val="en-GB"/>
        </w:rPr>
        <w:t xml:space="preserve"> v </w:t>
      </w:r>
      <w:proofErr w:type="spellStart"/>
      <w:r>
        <w:rPr>
          <w:color w:val="000000"/>
          <w:sz w:val="22"/>
          <w:szCs w:val="22"/>
          <w:lang w:val="en-GB"/>
        </w:rPr>
        <w:t>horní</w:t>
      </w:r>
      <w:proofErr w:type="spellEnd"/>
      <w:r>
        <w:rPr>
          <w:color w:val="000000"/>
          <w:sz w:val="22"/>
          <w:szCs w:val="22"/>
          <w:lang w:val="en-GB"/>
        </w:rPr>
        <w:t xml:space="preserve"> </w:t>
      </w:r>
      <w:proofErr w:type="spellStart"/>
      <w:r>
        <w:rPr>
          <w:color w:val="000000"/>
          <w:sz w:val="22"/>
          <w:szCs w:val="22"/>
          <w:lang w:val="en-GB"/>
        </w:rPr>
        <w:t>části</w:t>
      </w:r>
      <w:proofErr w:type="spellEnd"/>
      <w:r>
        <w:rPr>
          <w:color w:val="000000"/>
          <w:sz w:val="22"/>
          <w:szCs w:val="22"/>
          <w:lang w:val="en-GB"/>
        </w:rPr>
        <w:t xml:space="preserve"> </w:t>
      </w:r>
      <w:proofErr w:type="spellStart"/>
      <w:r>
        <w:rPr>
          <w:color w:val="000000"/>
          <w:sz w:val="22"/>
          <w:szCs w:val="22"/>
          <w:lang w:val="en-GB"/>
        </w:rPr>
        <w:t>břicha</w:t>
      </w:r>
      <w:proofErr w:type="spellEnd"/>
      <w:r>
        <w:rPr>
          <w:color w:val="000000"/>
          <w:sz w:val="22"/>
          <w:szCs w:val="22"/>
          <w:lang w:val="en-GB"/>
        </w:rPr>
        <w:t xml:space="preserve"> a/</w:t>
      </w:r>
      <w:proofErr w:type="spellStart"/>
      <w:r>
        <w:rPr>
          <w:color w:val="000000"/>
          <w:sz w:val="22"/>
          <w:szCs w:val="22"/>
          <w:lang w:val="en-GB"/>
        </w:rPr>
        <w:t>nebo</w:t>
      </w:r>
      <w:proofErr w:type="spellEnd"/>
      <w:r>
        <w:rPr>
          <w:color w:val="000000"/>
          <w:sz w:val="22"/>
          <w:szCs w:val="22"/>
          <w:lang w:val="en-GB"/>
        </w:rPr>
        <w:t xml:space="preserve"> </w:t>
      </w:r>
      <w:proofErr w:type="spellStart"/>
      <w:r>
        <w:rPr>
          <w:color w:val="000000"/>
          <w:sz w:val="22"/>
          <w:szCs w:val="22"/>
          <w:lang w:val="en-GB"/>
        </w:rPr>
        <w:t>hrudníku</w:t>
      </w:r>
      <w:proofErr w:type="spellEnd"/>
      <w:r>
        <w:rPr>
          <w:color w:val="000000"/>
          <w:sz w:val="22"/>
          <w:szCs w:val="22"/>
          <w:lang w:val="en-GB"/>
        </w:rPr>
        <w:t xml:space="preserve"> (</w:t>
      </w:r>
      <w:proofErr w:type="spellStart"/>
      <w:r>
        <w:rPr>
          <w:color w:val="000000"/>
          <w:sz w:val="22"/>
          <w:szCs w:val="22"/>
          <w:lang w:val="en-GB"/>
        </w:rPr>
        <w:t>pálení</w:t>
      </w:r>
      <w:proofErr w:type="spellEnd"/>
      <w:r>
        <w:rPr>
          <w:color w:val="000000"/>
          <w:sz w:val="22"/>
          <w:szCs w:val="22"/>
          <w:lang w:val="en-GB"/>
        </w:rPr>
        <w:t xml:space="preserve"> </w:t>
      </w:r>
      <w:proofErr w:type="spellStart"/>
      <w:r>
        <w:rPr>
          <w:color w:val="000000"/>
          <w:sz w:val="22"/>
          <w:szCs w:val="22"/>
          <w:lang w:val="en-GB"/>
        </w:rPr>
        <w:t>žáhy</w:t>
      </w:r>
      <w:proofErr w:type="spellEnd"/>
      <w:r>
        <w:rPr>
          <w:color w:val="000000"/>
          <w:sz w:val="22"/>
          <w:szCs w:val="22"/>
          <w:lang w:val="en-GB"/>
        </w:rPr>
        <w:t xml:space="preserve">), </w:t>
      </w:r>
      <w:proofErr w:type="spellStart"/>
      <w:r w:rsidR="00240D23">
        <w:rPr>
          <w:color w:val="000000"/>
          <w:sz w:val="22"/>
          <w:szCs w:val="22"/>
          <w:lang w:val="en-GB"/>
        </w:rPr>
        <w:t>pocit</w:t>
      </w:r>
      <w:proofErr w:type="spellEnd"/>
      <w:r w:rsidR="00240D23">
        <w:rPr>
          <w:color w:val="000000"/>
          <w:sz w:val="22"/>
          <w:szCs w:val="22"/>
          <w:lang w:val="en-GB"/>
        </w:rPr>
        <w:t xml:space="preserve"> </w:t>
      </w:r>
      <w:proofErr w:type="spellStart"/>
      <w:r w:rsidR="00240D23">
        <w:rPr>
          <w:color w:val="000000"/>
          <w:sz w:val="22"/>
          <w:szCs w:val="22"/>
          <w:lang w:val="en-GB"/>
        </w:rPr>
        <w:t>na</w:t>
      </w:r>
      <w:proofErr w:type="spellEnd"/>
      <w:r w:rsidR="00240D23">
        <w:rPr>
          <w:color w:val="000000"/>
          <w:sz w:val="22"/>
          <w:szCs w:val="22"/>
          <w:lang w:val="en-GB"/>
        </w:rPr>
        <w:t xml:space="preserve"> </w:t>
      </w:r>
      <w:proofErr w:type="spellStart"/>
      <w:r w:rsidR="00240D23">
        <w:rPr>
          <w:color w:val="000000"/>
          <w:sz w:val="22"/>
          <w:szCs w:val="22"/>
          <w:lang w:val="en-GB"/>
        </w:rPr>
        <w:t>zvracení</w:t>
      </w:r>
      <w:proofErr w:type="spellEnd"/>
      <w:r>
        <w:rPr>
          <w:color w:val="000000"/>
          <w:sz w:val="22"/>
          <w:szCs w:val="22"/>
          <w:lang w:val="en-GB"/>
        </w:rPr>
        <w:t xml:space="preserve">, </w:t>
      </w:r>
      <w:proofErr w:type="spellStart"/>
      <w:r>
        <w:rPr>
          <w:color w:val="000000"/>
          <w:sz w:val="22"/>
          <w:szCs w:val="22"/>
          <w:lang w:val="en-GB"/>
        </w:rPr>
        <w:t>zvracení</w:t>
      </w:r>
      <w:proofErr w:type="spellEnd"/>
      <w:r>
        <w:rPr>
          <w:color w:val="000000"/>
          <w:sz w:val="22"/>
          <w:szCs w:val="22"/>
          <w:lang w:val="en-GB"/>
        </w:rPr>
        <w:t xml:space="preserve">, </w:t>
      </w:r>
      <w:proofErr w:type="spellStart"/>
      <w:r>
        <w:rPr>
          <w:color w:val="000000"/>
          <w:sz w:val="22"/>
          <w:szCs w:val="22"/>
          <w:lang w:val="en-GB"/>
        </w:rPr>
        <w:t>kyselý</w:t>
      </w:r>
      <w:proofErr w:type="spellEnd"/>
      <w:r>
        <w:rPr>
          <w:color w:val="000000"/>
          <w:sz w:val="22"/>
          <w:szCs w:val="22"/>
          <w:lang w:val="en-GB"/>
        </w:rPr>
        <w:t xml:space="preserve"> reflux, </w:t>
      </w:r>
      <w:proofErr w:type="spellStart"/>
      <w:r>
        <w:rPr>
          <w:color w:val="000000"/>
          <w:sz w:val="22"/>
          <w:szCs w:val="22"/>
          <w:lang w:val="en-GB"/>
        </w:rPr>
        <w:t>pocit</w:t>
      </w:r>
      <w:proofErr w:type="spellEnd"/>
      <w:r>
        <w:rPr>
          <w:color w:val="000000"/>
          <w:sz w:val="22"/>
          <w:szCs w:val="22"/>
          <w:lang w:val="en-GB"/>
        </w:rPr>
        <w:t xml:space="preserve"> </w:t>
      </w:r>
      <w:proofErr w:type="spellStart"/>
      <w:r>
        <w:rPr>
          <w:color w:val="000000"/>
          <w:sz w:val="22"/>
          <w:szCs w:val="22"/>
          <w:lang w:val="en-GB"/>
        </w:rPr>
        <w:t>plnosti</w:t>
      </w:r>
      <w:proofErr w:type="spellEnd"/>
      <w:r>
        <w:rPr>
          <w:color w:val="000000"/>
          <w:sz w:val="22"/>
          <w:szCs w:val="22"/>
          <w:lang w:val="en-GB"/>
        </w:rPr>
        <w:t xml:space="preserve"> a </w:t>
      </w:r>
      <w:proofErr w:type="spellStart"/>
      <w:r>
        <w:rPr>
          <w:color w:val="000000"/>
          <w:sz w:val="22"/>
          <w:szCs w:val="22"/>
          <w:lang w:val="en-GB"/>
        </w:rPr>
        <w:t>nadýmání</w:t>
      </w:r>
      <w:proofErr w:type="spellEnd"/>
      <w:r>
        <w:rPr>
          <w:color w:val="000000"/>
          <w:sz w:val="22"/>
          <w:szCs w:val="22"/>
          <w:lang w:val="en-GB"/>
        </w:rPr>
        <w:t xml:space="preserve">, </w:t>
      </w:r>
      <w:proofErr w:type="spellStart"/>
      <w:r>
        <w:rPr>
          <w:color w:val="000000"/>
          <w:sz w:val="22"/>
          <w:szCs w:val="22"/>
          <w:lang w:val="en-GB"/>
        </w:rPr>
        <w:t>černě</w:t>
      </w:r>
      <w:proofErr w:type="spellEnd"/>
      <w:r>
        <w:rPr>
          <w:color w:val="000000"/>
          <w:sz w:val="22"/>
          <w:szCs w:val="22"/>
          <w:lang w:val="en-GB"/>
        </w:rPr>
        <w:t xml:space="preserve"> </w:t>
      </w:r>
      <w:proofErr w:type="spellStart"/>
      <w:r>
        <w:rPr>
          <w:color w:val="000000"/>
          <w:sz w:val="22"/>
          <w:szCs w:val="22"/>
          <w:lang w:val="en-GB"/>
        </w:rPr>
        <w:t>zbarvená</w:t>
      </w:r>
      <w:proofErr w:type="spellEnd"/>
      <w:r>
        <w:rPr>
          <w:color w:val="000000"/>
          <w:sz w:val="22"/>
          <w:szCs w:val="22"/>
          <w:lang w:val="en-GB"/>
        </w:rPr>
        <w:t xml:space="preserve"> </w:t>
      </w:r>
      <w:proofErr w:type="spellStart"/>
      <w:r>
        <w:rPr>
          <w:color w:val="000000"/>
          <w:sz w:val="22"/>
          <w:szCs w:val="22"/>
          <w:lang w:val="en-GB"/>
        </w:rPr>
        <w:t>stolice</w:t>
      </w:r>
      <w:proofErr w:type="spellEnd"/>
      <w:r>
        <w:rPr>
          <w:color w:val="000000"/>
          <w:sz w:val="22"/>
          <w:szCs w:val="22"/>
          <w:lang w:val="en-GB"/>
        </w:rPr>
        <w:t xml:space="preserve"> (</w:t>
      </w:r>
      <w:proofErr w:type="spellStart"/>
      <w:r>
        <w:rPr>
          <w:color w:val="000000"/>
          <w:sz w:val="22"/>
          <w:szCs w:val="22"/>
          <w:lang w:val="en-GB"/>
        </w:rPr>
        <w:t>známky</w:t>
      </w:r>
      <w:proofErr w:type="spellEnd"/>
      <w:r>
        <w:rPr>
          <w:color w:val="000000"/>
          <w:sz w:val="22"/>
          <w:szCs w:val="22"/>
          <w:lang w:val="en-GB"/>
        </w:rPr>
        <w:t xml:space="preserve"> </w:t>
      </w:r>
      <w:proofErr w:type="spellStart"/>
      <w:r>
        <w:rPr>
          <w:color w:val="000000"/>
          <w:sz w:val="22"/>
          <w:szCs w:val="22"/>
          <w:lang w:val="en-GB"/>
        </w:rPr>
        <w:t>žaludečního</w:t>
      </w:r>
      <w:proofErr w:type="spellEnd"/>
      <w:r>
        <w:rPr>
          <w:color w:val="000000"/>
          <w:sz w:val="22"/>
          <w:szCs w:val="22"/>
          <w:lang w:val="en-GB"/>
        </w:rPr>
        <w:t xml:space="preserve"> </w:t>
      </w:r>
      <w:proofErr w:type="spellStart"/>
      <w:r>
        <w:rPr>
          <w:color w:val="000000"/>
          <w:sz w:val="22"/>
          <w:szCs w:val="22"/>
          <w:lang w:val="en-GB"/>
        </w:rPr>
        <w:t>vředu</w:t>
      </w:r>
      <w:proofErr w:type="spellEnd"/>
      <w:r>
        <w:rPr>
          <w:color w:val="000000"/>
          <w:sz w:val="22"/>
          <w:szCs w:val="22"/>
          <w:lang w:val="en-GB"/>
        </w:rPr>
        <w:t>).</w:t>
      </w:r>
    </w:p>
    <w:p w14:paraId="016A723A"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Ztuhlost</w:t>
      </w:r>
      <w:proofErr w:type="spellEnd"/>
      <w:r>
        <w:rPr>
          <w:color w:val="000000"/>
          <w:sz w:val="22"/>
          <w:szCs w:val="22"/>
          <w:lang w:val="en-GB"/>
        </w:rPr>
        <w:t xml:space="preserve"> </w:t>
      </w:r>
      <w:proofErr w:type="spellStart"/>
      <w:r>
        <w:rPr>
          <w:color w:val="000000"/>
          <w:sz w:val="22"/>
          <w:szCs w:val="22"/>
          <w:lang w:val="en-GB"/>
        </w:rPr>
        <w:t>kloubů</w:t>
      </w:r>
      <w:proofErr w:type="spellEnd"/>
      <w:r>
        <w:rPr>
          <w:color w:val="000000"/>
          <w:sz w:val="22"/>
          <w:szCs w:val="22"/>
          <w:lang w:val="en-GB"/>
        </w:rPr>
        <w:t xml:space="preserve"> a </w:t>
      </w:r>
      <w:proofErr w:type="spellStart"/>
      <w:r>
        <w:rPr>
          <w:color w:val="000000"/>
          <w:sz w:val="22"/>
          <w:szCs w:val="22"/>
          <w:lang w:val="en-GB"/>
        </w:rPr>
        <w:t>svalů</w:t>
      </w:r>
      <w:proofErr w:type="spellEnd"/>
      <w:r>
        <w:rPr>
          <w:color w:val="000000"/>
          <w:sz w:val="22"/>
          <w:szCs w:val="22"/>
          <w:lang w:val="en-GB"/>
        </w:rPr>
        <w:t>.</w:t>
      </w:r>
    </w:p>
    <w:p w14:paraId="6BACD609" w14:textId="77777777" w:rsidR="00614F5E" w:rsidRPr="00FA2474" w:rsidRDefault="00614F5E" w:rsidP="005C56E6">
      <w:pPr>
        <w:pStyle w:val="Text"/>
        <w:widowControl w:val="0"/>
        <w:numPr>
          <w:ilvl w:val="0"/>
          <w:numId w:val="35"/>
        </w:numPr>
        <w:tabs>
          <w:tab w:val="clear" w:pos="357"/>
          <w:tab w:val="clear" w:pos="567"/>
        </w:tabs>
        <w:suppressAutoHyphens w:val="0"/>
        <w:spacing w:before="0"/>
        <w:ind w:left="567" w:hanging="567"/>
        <w:jc w:val="left"/>
        <w:rPr>
          <w:bCs/>
          <w:color w:val="000000"/>
          <w:sz w:val="22"/>
          <w:szCs w:val="22"/>
          <w:lang w:val="en-GB"/>
        </w:rPr>
      </w:pPr>
      <w:proofErr w:type="spellStart"/>
      <w:r>
        <w:rPr>
          <w:color w:val="000000"/>
          <w:sz w:val="22"/>
          <w:szCs w:val="22"/>
          <w:lang w:val="en-GB"/>
        </w:rPr>
        <w:t>Abnormální</w:t>
      </w:r>
      <w:proofErr w:type="spellEnd"/>
      <w:r>
        <w:rPr>
          <w:color w:val="000000"/>
          <w:sz w:val="22"/>
          <w:szCs w:val="22"/>
          <w:lang w:val="en-GB"/>
        </w:rPr>
        <w:t xml:space="preserve"> </w:t>
      </w:r>
      <w:proofErr w:type="spellStart"/>
      <w:r>
        <w:rPr>
          <w:color w:val="000000"/>
          <w:sz w:val="22"/>
          <w:szCs w:val="22"/>
          <w:lang w:val="en-GB"/>
        </w:rPr>
        <w:t>výsledky</w:t>
      </w:r>
      <w:proofErr w:type="spellEnd"/>
      <w:r>
        <w:rPr>
          <w:color w:val="000000"/>
          <w:sz w:val="22"/>
          <w:szCs w:val="22"/>
          <w:lang w:val="en-GB"/>
        </w:rPr>
        <w:t xml:space="preserve"> </w:t>
      </w:r>
      <w:proofErr w:type="spellStart"/>
      <w:r>
        <w:rPr>
          <w:color w:val="000000"/>
          <w:sz w:val="22"/>
          <w:szCs w:val="22"/>
          <w:lang w:val="en-GB"/>
        </w:rPr>
        <w:t>laboratorních</w:t>
      </w:r>
      <w:proofErr w:type="spellEnd"/>
      <w:r>
        <w:rPr>
          <w:color w:val="000000"/>
          <w:sz w:val="22"/>
          <w:szCs w:val="22"/>
          <w:lang w:val="en-GB"/>
        </w:rPr>
        <w:t xml:space="preserve"> </w:t>
      </w:r>
      <w:proofErr w:type="spellStart"/>
      <w:r>
        <w:rPr>
          <w:color w:val="000000"/>
          <w:sz w:val="22"/>
          <w:szCs w:val="22"/>
          <w:lang w:val="en-GB"/>
        </w:rPr>
        <w:t>testů</w:t>
      </w:r>
      <w:proofErr w:type="spellEnd"/>
      <w:r w:rsidRPr="00F32592">
        <w:rPr>
          <w:color w:val="000000"/>
          <w:sz w:val="22"/>
          <w:szCs w:val="22"/>
          <w:lang w:val="en-GB"/>
        </w:rPr>
        <w:t>.</w:t>
      </w:r>
    </w:p>
    <w:p w14:paraId="1A3546AA" w14:textId="77777777" w:rsidR="0099123D" w:rsidRPr="00F25A60" w:rsidRDefault="0099123D" w:rsidP="005C56E6">
      <w:pPr>
        <w:pStyle w:val="Text"/>
        <w:keepNext/>
        <w:widowControl w:val="0"/>
        <w:spacing w:before="0"/>
        <w:jc w:val="left"/>
        <w:rPr>
          <w:color w:val="000000"/>
          <w:sz w:val="22"/>
          <w:szCs w:val="22"/>
          <w:lang w:val="cs-CZ"/>
        </w:rPr>
      </w:pPr>
      <w:r w:rsidRPr="00F25A60">
        <w:rPr>
          <w:color w:val="000000"/>
          <w:sz w:val="22"/>
          <w:szCs w:val="22"/>
          <w:lang w:val="cs-CZ"/>
        </w:rPr>
        <w:t xml:space="preserve">Pokud se kterýkoli z těchto nežádoucích účinků objeví v závažné formě, </w:t>
      </w:r>
      <w:r w:rsidRPr="00F25A60">
        <w:rPr>
          <w:b/>
          <w:color w:val="000000"/>
          <w:sz w:val="22"/>
          <w:szCs w:val="22"/>
          <w:lang w:val="cs-CZ"/>
        </w:rPr>
        <w:t>sdělte to svému lékaři</w:t>
      </w:r>
      <w:r w:rsidRPr="00F25A60">
        <w:rPr>
          <w:color w:val="000000"/>
          <w:sz w:val="22"/>
          <w:szCs w:val="22"/>
          <w:lang w:val="cs-CZ"/>
        </w:rPr>
        <w:t>.</w:t>
      </w:r>
    </w:p>
    <w:p w14:paraId="609C1599" w14:textId="77777777" w:rsidR="00614F5E" w:rsidRDefault="00614F5E" w:rsidP="005C56E6">
      <w:pPr>
        <w:pStyle w:val="Text"/>
        <w:widowControl w:val="0"/>
        <w:spacing w:before="0"/>
        <w:jc w:val="left"/>
        <w:rPr>
          <w:color w:val="000000"/>
          <w:sz w:val="22"/>
          <w:szCs w:val="22"/>
          <w:lang w:val="en-GB"/>
        </w:rPr>
      </w:pPr>
    </w:p>
    <w:p w14:paraId="5EF57D66" w14:textId="260662D1" w:rsidR="00614F5E" w:rsidRPr="00BC48A2" w:rsidRDefault="00614F5E" w:rsidP="005C56E6">
      <w:pPr>
        <w:pStyle w:val="Text"/>
        <w:keepNext/>
        <w:widowControl w:val="0"/>
        <w:spacing w:before="0"/>
        <w:jc w:val="left"/>
        <w:rPr>
          <w:color w:val="000000"/>
          <w:sz w:val="22"/>
          <w:szCs w:val="22"/>
          <w:lang w:val="fr-CH"/>
        </w:rPr>
      </w:pPr>
      <w:r w:rsidRPr="00BC48A2">
        <w:rPr>
          <w:b/>
          <w:color w:val="000000"/>
          <w:sz w:val="22"/>
          <w:szCs w:val="22"/>
          <w:lang w:val="fr-CH"/>
        </w:rPr>
        <w:t xml:space="preserve">Vzácné </w:t>
      </w:r>
      <w:r w:rsidRPr="00BC48A2">
        <w:rPr>
          <w:color w:val="000000"/>
          <w:sz w:val="22"/>
          <w:szCs w:val="22"/>
          <w:lang w:val="fr-CH"/>
        </w:rPr>
        <w:t>(mohou postihnout až 1 z 1</w:t>
      </w:r>
      <w:ins w:id="438" w:author="Author">
        <w:r w:rsidR="00F12EE1">
          <w:rPr>
            <w:color w:val="000000"/>
            <w:sz w:val="22"/>
            <w:szCs w:val="22"/>
            <w:lang w:val="fr-CH"/>
          </w:rPr>
          <w:t> </w:t>
        </w:r>
      </w:ins>
      <w:del w:id="439" w:author="Author">
        <w:r w:rsidRPr="00BC48A2" w:rsidDel="00F12EE1">
          <w:rPr>
            <w:color w:val="000000"/>
            <w:sz w:val="22"/>
            <w:szCs w:val="22"/>
            <w:lang w:val="fr-CH"/>
          </w:rPr>
          <w:delText xml:space="preserve"> </w:delText>
        </w:r>
      </w:del>
      <w:r w:rsidRPr="00BC48A2">
        <w:rPr>
          <w:color w:val="000000"/>
          <w:sz w:val="22"/>
          <w:szCs w:val="22"/>
          <w:lang w:val="fr-CH"/>
        </w:rPr>
        <w:t>000 lidí)</w:t>
      </w:r>
    </w:p>
    <w:p w14:paraId="0AD8A4B3" w14:textId="77777777" w:rsidR="00614F5E"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Zmatenost</w:t>
      </w:r>
      <w:proofErr w:type="spellEnd"/>
      <w:r>
        <w:rPr>
          <w:color w:val="000000"/>
          <w:sz w:val="22"/>
          <w:szCs w:val="22"/>
          <w:lang w:val="en-GB"/>
        </w:rPr>
        <w:t>.</w:t>
      </w:r>
    </w:p>
    <w:p w14:paraId="12BA5D2A" w14:textId="6710C849" w:rsidR="00EC1207" w:rsidRDefault="00D454A3"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Záchvat</w:t>
      </w:r>
      <w:proofErr w:type="spellEnd"/>
      <w:r>
        <w:rPr>
          <w:color w:val="000000"/>
          <w:sz w:val="22"/>
          <w:szCs w:val="22"/>
          <w:lang w:val="en-GB"/>
        </w:rPr>
        <w:t xml:space="preserve"> s </w:t>
      </w:r>
      <w:proofErr w:type="spellStart"/>
      <w:r>
        <w:rPr>
          <w:color w:val="000000"/>
          <w:sz w:val="22"/>
          <w:szCs w:val="22"/>
          <w:lang w:val="en-GB"/>
        </w:rPr>
        <w:t>křečemi</w:t>
      </w:r>
      <w:proofErr w:type="spellEnd"/>
      <w:r>
        <w:rPr>
          <w:color w:val="000000"/>
          <w:sz w:val="22"/>
          <w:szCs w:val="22"/>
          <w:lang w:val="en-GB"/>
        </w:rPr>
        <w:t xml:space="preserve"> </w:t>
      </w:r>
      <w:proofErr w:type="spellStart"/>
      <w:r w:rsidR="007140D5">
        <w:rPr>
          <w:color w:val="000000"/>
          <w:sz w:val="22"/>
          <w:szCs w:val="22"/>
          <w:lang w:val="en-GB"/>
        </w:rPr>
        <w:t>doprovázený</w:t>
      </w:r>
      <w:proofErr w:type="spellEnd"/>
      <w:r>
        <w:rPr>
          <w:color w:val="000000"/>
          <w:sz w:val="22"/>
          <w:szCs w:val="22"/>
          <w:lang w:val="en-GB"/>
        </w:rPr>
        <w:t xml:space="preserve"> </w:t>
      </w:r>
      <w:proofErr w:type="spellStart"/>
      <w:r>
        <w:rPr>
          <w:color w:val="000000"/>
          <w:sz w:val="22"/>
          <w:szCs w:val="22"/>
          <w:lang w:val="en-GB"/>
        </w:rPr>
        <w:t>poruchou</w:t>
      </w:r>
      <w:proofErr w:type="spellEnd"/>
      <w:r>
        <w:rPr>
          <w:color w:val="000000"/>
          <w:sz w:val="22"/>
          <w:szCs w:val="22"/>
          <w:lang w:val="en-GB"/>
        </w:rPr>
        <w:t xml:space="preserve"> </w:t>
      </w:r>
      <w:proofErr w:type="spellStart"/>
      <w:r>
        <w:rPr>
          <w:color w:val="000000"/>
          <w:sz w:val="22"/>
          <w:szCs w:val="22"/>
          <w:lang w:val="en-GB"/>
        </w:rPr>
        <w:t>vědomí</w:t>
      </w:r>
      <w:proofErr w:type="spellEnd"/>
      <w:r w:rsidR="00EC1207">
        <w:rPr>
          <w:color w:val="000000"/>
          <w:sz w:val="22"/>
          <w:szCs w:val="22"/>
          <w:lang w:val="en-GB"/>
        </w:rPr>
        <w:t xml:space="preserve"> (</w:t>
      </w:r>
      <w:proofErr w:type="spellStart"/>
      <w:r w:rsidR="00EC1207">
        <w:rPr>
          <w:color w:val="000000"/>
          <w:sz w:val="22"/>
          <w:szCs w:val="22"/>
          <w:lang w:val="en-GB"/>
        </w:rPr>
        <w:t>konvulze</w:t>
      </w:r>
      <w:proofErr w:type="spellEnd"/>
      <w:r w:rsidR="00EC1207">
        <w:rPr>
          <w:color w:val="000000"/>
          <w:sz w:val="22"/>
          <w:szCs w:val="22"/>
          <w:lang w:val="en-GB"/>
        </w:rPr>
        <w:t>)</w:t>
      </w:r>
      <w:r w:rsidR="006052B6">
        <w:rPr>
          <w:color w:val="000000"/>
          <w:sz w:val="22"/>
          <w:szCs w:val="22"/>
          <w:lang w:val="en-GB"/>
        </w:rPr>
        <w:t>.</w:t>
      </w:r>
    </w:p>
    <w:p w14:paraId="47F089A1" w14:textId="3433170F" w:rsidR="00614F5E" w:rsidRPr="00FD18AC" w:rsidRDefault="00614F5E" w:rsidP="005C56E6">
      <w:pPr>
        <w:pStyle w:val="Text"/>
        <w:widowControl w:val="0"/>
        <w:numPr>
          <w:ilvl w:val="0"/>
          <w:numId w:val="35"/>
        </w:numPr>
        <w:tabs>
          <w:tab w:val="clear" w:pos="357"/>
          <w:tab w:val="clear" w:pos="567"/>
        </w:tabs>
        <w:suppressAutoHyphens w:val="0"/>
        <w:spacing w:before="0"/>
        <w:ind w:left="567" w:hanging="567"/>
        <w:jc w:val="left"/>
        <w:rPr>
          <w:color w:val="000000"/>
          <w:sz w:val="22"/>
          <w:szCs w:val="22"/>
          <w:lang w:val="en-GB"/>
        </w:rPr>
      </w:pPr>
      <w:proofErr w:type="spellStart"/>
      <w:r>
        <w:rPr>
          <w:color w:val="000000"/>
          <w:sz w:val="22"/>
          <w:szCs w:val="22"/>
          <w:lang w:val="en-GB"/>
        </w:rPr>
        <w:t>Změna</w:t>
      </w:r>
      <w:proofErr w:type="spellEnd"/>
      <w:r>
        <w:rPr>
          <w:color w:val="000000"/>
          <w:sz w:val="22"/>
          <w:szCs w:val="22"/>
          <w:lang w:val="en-GB"/>
        </w:rPr>
        <w:t xml:space="preserve"> </w:t>
      </w:r>
      <w:proofErr w:type="spellStart"/>
      <w:r>
        <w:rPr>
          <w:color w:val="000000"/>
          <w:sz w:val="22"/>
          <w:szCs w:val="22"/>
          <w:lang w:val="en-GB"/>
        </w:rPr>
        <w:t>barvy</w:t>
      </w:r>
      <w:proofErr w:type="spellEnd"/>
      <w:r>
        <w:rPr>
          <w:color w:val="000000"/>
          <w:sz w:val="22"/>
          <w:szCs w:val="22"/>
          <w:lang w:val="en-GB"/>
        </w:rPr>
        <w:t xml:space="preserve"> </w:t>
      </w:r>
      <w:proofErr w:type="spellStart"/>
      <w:r>
        <w:rPr>
          <w:color w:val="000000"/>
          <w:sz w:val="22"/>
          <w:szCs w:val="22"/>
          <w:lang w:val="en-GB"/>
        </w:rPr>
        <w:t>nehtů</w:t>
      </w:r>
      <w:proofErr w:type="spellEnd"/>
      <w:r w:rsidRPr="00F32592">
        <w:rPr>
          <w:color w:val="000000"/>
          <w:sz w:val="22"/>
          <w:szCs w:val="22"/>
          <w:lang w:val="en-GB"/>
        </w:rPr>
        <w:t>.</w:t>
      </w:r>
    </w:p>
    <w:p w14:paraId="10A197E4" w14:textId="77777777" w:rsidR="00EA5993" w:rsidRPr="00F25A60" w:rsidRDefault="00EA5993" w:rsidP="005C56E6">
      <w:pPr>
        <w:pStyle w:val="Text"/>
        <w:widowControl w:val="0"/>
        <w:spacing w:before="0"/>
        <w:jc w:val="left"/>
        <w:rPr>
          <w:color w:val="000000"/>
          <w:sz w:val="22"/>
          <w:szCs w:val="22"/>
          <w:lang w:val="cs-CZ"/>
        </w:rPr>
      </w:pPr>
    </w:p>
    <w:p w14:paraId="224CCD50" w14:textId="77777777" w:rsidR="00EA5993" w:rsidRPr="00F25A60" w:rsidRDefault="00EA5993" w:rsidP="005C56E6">
      <w:pPr>
        <w:pStyle w:val="Text"/>
        <w:keepNext/>
        <w:widowControl w:val="0"/>
        <w:spacing w:before="0"/>
        <w:jc w:val="left"/>
        <w:rPr>
          <w:bCs/>
          <w:color w:val="000000"/>
          <w:sz w:val="22"/>
          <w:szCs w:val="22"/>
          <w:lang w:val="cs-CZ"/>
        </w:rPr>
      </w:pPr>
      <w:r w:rsidRPr="00F25A60">
        <w:rPr>
          <w:b/>
          <w:bCs/>
          <w:color w:val="000000"/>
          <w:sz w:val="22"/>
          <w:szCs w:val="22"/>
          <w:lang w:val="cs-CZ"/>
        </w:rPr>
        <w:t xml:space="preserve">Není známo </w:t>
      </w:r>
      <w:r w:rsidRPr="00F25A60">
        <w:rPr>
          <w:color w:val="000000"/>
          <w:sz w:val="22"/>
          <w:szCs w:val="22"/>
          <w:lang w:val="cs-CZ"/>
        </w:rPr>
        <w:t xml:space="preserve">(četnost </w:t>
      </w:r>
      <w:r w:rsidRPr="00F25A60">
        <w:rPr>
          <w:sz w:val="22"/>
          <w:szCs w:val="22"/>
          <w:lang w:val="cs-CZ" w:eastAsia="zh-CN"/>
        </w:rPr>
        <w:t>z dostupných údajů nelze určit</w:t>
      </w:r>
      <w:r w:rsidRPr="00F25A60">
        <w:rPr>
          <w:color w:val="000000"/>
          <w:sz w:val="22"/>
          <w:szCs w:val="22"/>
          <w:lang w:val="cs-CZ"/>
        </w:rPr>
        <w:t>):</w:t>
      </w:r>
    </w:p>
    <w:p w14:paraId="776D3FFA" w14:textId="77777777" w:rsidR="00EA5993" w:rsidRPr="00F25A60" w:rsidRDefault="00EA5993" w:rsidP="005C56E6">
      <w:pPr>
        <w:pStyle w:val="Text"/>
        <w:widowControl w:val="0"/>
        <w:numPr>
          <w:ilvl w:val="0"/>
          <w:numId w:val="14"/>
        </w:numPr>
        <w:tabs>
          <w:tab w:val="clear" w:pos="567"/>
          <w:tab w:val="clear" w:pos="720"/>
        </w:tabs>
        <w:spacing w:before="0"/>
        <w:ind w:left="567" w:hanging="567"/>
        <w:jc w:val="left"/>
        <w:rPr>
          <w:color w:val="000000"/>
          <w:sz w:val="22"/>
          <w:szCs w:val="22"/>
          <w:lang w:val="cs-CZ"/>
        </w:rPr>
      </w:pPr>
      <w:r w:rsidRPr="00F25A60">
        <w:rPr>
          <w:color w:val="000000"/>
          <w:sz w:val="22"/>
          <w:szCs w:val="22"/>
          <w:lang w:val="cs-CZ"/>
        </w:rPr>
        <w:t>Zčervenání a/nebo otoky dlaní rukou a chodidel, které mohou být doprovázené pocitem brnění a pálení.</w:t>
      </w:r>
    </w:p>
    <w:p w14:paraId="353C4E13" w14:textId="77777777" w:rsidR="008E362E" w:rsidRPr="00F25A60" w:rsidRDefault="008E362E" w:rsidP="005C56E6">
      <w:pPr>
        <w:pStyle w:val="Text"/>
        <w:widowControl w:val="0"/>
        <w:numPr>
          <w:ilvl w:val="0"/>
          <w:numId w:val="14"/>
        </w:numPr>
        <w:tabs>
          <w:tab w:val="clear" w:pos="567"/>
          <w:tab w:val="clear" w:pos="720"/>
        </w:tabs>
        <w:spacing w:before="0"/>
        <w:ind w:left="567" w:hanging="567"/>
        <w:jc w:val="left"/>
        <w:rPr>
          <w:color w:val="000000"/>
          <w:sz w:val="22"/>
          <w:szCs w:val="22"/>
          <w:lang w:val="cs-CZ"/>
        </w:rPr>
      </w:pPr>
      <w:r w:rsidRPr="00F25A60">
        <w:rPr>
          <w:color w:val="000000"/>
          <w:sz w:val="22"/>
          <w:szCs w:val="22"/>
          <w:lang w:val="cs-CZ"/>
        </w:rPr>
        <w:t>Bolestivé a/nebo puchýřovité kožní léze.</w:t>
      </w:r>
    </w:p>
    <w:p w14:paraId="658BEE84" w14:textId="77777777" w:rsidR="00EA5993" w:rsidRPr="00F25A60" w:rsidRDefault="00EA5993" w:rsidP="005C56E6">
      <w:pPr>
        <w:pStyle w:val="Text"/>
        <w:keepNext/>
        <w:widowControl w:val="0"/>
        <w:numPr>
          <w:ilvl w:val="0"/>
          <w:numId w:val="14"/>
        </w:numPr>
        <w:tabs>
          <w:tab w:val="clear" w:pos="567"/>
          <w:tab w:val="clear" w:pos="720"/>
        </w:tabs>
        <w:spacing w:before="0"/>
        <w:ind w:left="567" w:hanging="567"/>
        <w:jc w:val="left"/>
        <w:rPr>
          <w:color w:val="000000"/>
          <w:sz w:val="22"/>
          <w:szCs w:val="22"/>
          <w:lang w:val="cs-CZ"/>
        </w:rPr>
      </w:pPr>
      <w:r w:rsidRPr="00F25A60">
        <w:rPr>
          <w:color w:val="000000"/>
          <w:sz w:val="22"/>
          <w:szCs w:val="22"/>
          <w:lang w:val="cs-CZ"/>
        </w:rPr>
        <w:t>Zpomalení růstu u dětí a dospívajících.</w:t>
      </w:r>
    </w:p>
    <w:p w14:paraId="444A1FF6" w14:textId="77777777" w:rsidR="00EF31B4" w:rsidRPr="00F25A60" w:rsidRDefault="00EF31B4" w:rsidP="005C56E6">
      <w:pPr>
        <w:pStyle w:val="Text"/>
        <w:widowControl w:val="0"/>
        <w:spacing w:before="0"/>
        <w:jc w:val="left"/>
        <w:rPr>
          <w:color w:val="000000"/>
          <w:sz w:val="22"/>
          <w:szCs w:val="22"/>
          <w:lang w:val="cs-CZ"/>
        </w:rPr>
      </w:pPr>
      <w:r w:rsidRPr="00F25A60">
        <w:rPr>
          <w:color w:val="000000"/>
          <w:sz w:val="22"/>
          <w:szCs w:val="22"/>
          <w:lang w:val="cs-CZ"/>
        </w:rPr>
        <w:t xml:space="preserve">Pokud se kterýkoli z těchto nežádoucích účinků objeví v závažné formě, </w:t>
      </w:r>
      <w:r w:rsidRPr="00F25A60">
        <w:rPr>
          <w:b/>
          <w:color w:val="000000"/>
          <w:sz w:val="22"/>
          <w:szCs w:val="22"/>
          <w:lang w:val="cs-CZ"/>
        </w:rPr>
        <w:t>sdělte to svému lékaři</w:t>
      </w:r>
      <w:r w:rsidRPr="00F25A60">
        <w:rPr>
          <w:color w:val="000000"/>
          <w:sz w:val="22"/>
          <w:szCs w:val="22"/>
          <w:lang w:val="cs-CZ"/>
        </w:rPr>
        <w:t>.</w:t>
      </w:r>
    </w:p>
    <w:p w14:paraId="6AB8EA52" w14:textId="77777777" w:rsidR="00EA5993" w:rsidRPr="00F25A60" w:rsidRDefault="00EA5993" w:rsidP="005C56E6">
      <w:pPr>
        <w:pStyle w:val="Text"/>
        <w:widowControl w:val="0"/>
        <w:spacing w:before="0"/>
        <w:jc w:val="left"/>
        <w:rPr>
          <w:color w:val="000000"/>
          <w:sz w:val="22"/>
          <w:szCs w:val="22"/>
          <w:lang w:val="cs-CZ"/>
        </w:rPr>
      </w:pPr>
    </w:p>
    <w:p w14:paraId="53023058" w14:textId="77777777" w:rsidR="00EA5993" w:rsidRPr="00F25A60" w:rsidRDefault="00EA5993" w:rsidP="005C56E6">
      <w:pPr>
        <w:keepNext/>
        <w:widowControl w:val="0"/>
        <w:numPr>
          <w:ilvl w:val="12"/>
          <w:numId w:val="0"/>
        </w:numPr>
        <w:spacing w:line="240" w:lineRule="auto"/>
        <w:rPr>
          <w:b/>
          <w:noProof/>
          <w:szCs w:val="24"/>
        </w:rPr>
      </w:pPr>
      <w:r w:rsidRPr="00F25A60">
        <w:rPr>
          <w:b/>
          <w:noProof/>
          <w:szCs w:val="24"/>
        </w:rPr>
        <w:lastRenderedPageBreak/>
        <w:t>Hlášení nežádoucích účinků</w:t>
      </w:r>
    </w:p>
    <w:p w14:paraId="160570AB" w14:textId="4CEC472D" w:rsidR="00EA5993" w:rsidRPr="00F25A60" w:rsidRDefault="00EA5993" w:rsidP="005E6174">
      <w:pPr>
        <w:keepLines/>
        <w:widowControl w:val="0"/>
        <w:spacing w:line="240" w:lineRule="auto"/>
        <w:rPr>
          <w:noProof/>
          <w:szCs w:val="24"/>
        </w:rPr>
      </w:pPr>
      <w:r w:rsidRPr="00F25A60">
        <w:t>Pokud se u Vás vyskytne kterýkoli z nežádoucích účinků, sdělte to svému lékaři, lékárníkovi nebo zdravotní sestře. Stejně postupujte v případě jakýchkoli nežádoucích účinků, které nejsou uvedeny v této příbalové informaci.</w:t>
      </w:r>
      <w:r w:rsidRPr="00F25A60">
        <w:rPr>
          <w:noProof/>
          <w:szCs w:val="24"/>
        </w:rPr>
        <w:t xml:space="preserve"> Nežádoucí účinky můžete hlásit </w:t>
      </w:r>
      <w:r w:rsidRPr="00F25A60">
        <w:rPr>
          <w:szCs w:val="24"/>
        </w:rPr>
        <w:t xml:space="preserve">také přímo </w:t>
      </w:r>
      <w:r w:rsidRPr="00F25A60">
        <w:rPr>
          <w:noProof/>
          <w:szCs w:val="24"/>
        </w:rPr>
        <w:t xml:space="preserve">prostřednictvím </w:t>
      </w:r>
      <w:r w:rsidRPr="00F25A60">
        <w:rPr>
          <w:noProof/>
          <w:szCs w:val="24"/>
          <w:shd w:val="pct15" w:color="auto" w:fill="auto"/>
        </w:rPr>
        <w:t>národního systému hlášení nežádoucích účinků uvedeného v </w:t>
      </w:r>
      <w:r>
        <w:fldChar w:fldCharType="begin"/>
      </w:r>
      <w:ins w:id="440" w:author="Author">
        <w:r w:rsidR="00FD05F1">
          <w:instrText>HYPERLINK "https://www.ema.europa.eu/documents/template-form/qrd-appendix-v-adverse-drug-reaction-reporting-details_en.docx"</w:instrText>
        </w:r>
      </w:ins>
      <w:del w:id="441" w:author="Author">
        <w:r w:rsidDel="00FD05F1">
          <w:delInstrText>HYPERLINK "http://www.ema.europa.eu/docs/en_GB/document_library/Template_or_form/2013/03/WC500139752.doc"</w:delInstrText>
        </w:r>
      </w:del>
      <w:r>
        <w:fldChar w:fldCharType="separate"/>
      </w:r>
      <w:r w:rsidRPr="00F25A60">
        <w:rPr>
          <w:rStyle w:val="Hyperlink"/>
          <w:noProof/>
          <w:szCs w:val="24"/>
          <w:shd w:val="pct15" w:color="auto" w:fill="auto"/>
        </w:rPr>
        <w:t>Dodatku V</w:t>
      </w:r>
      <w:r>
        <w:fldChar w:fldCharType="end"/>
      </w:r>
      <w:r w:rsidRPr="00F25A60">
        <w:rPr>
          <w:noProof/>
          <w:szCs w:val="24"/>
        </w:rPr>
        <w:t>. Nahlášením nežádoucích účinků můžete přispět k získání více informací o bezpečnosti tohoto přípravku.</w:t>
      </w:r>
    </w:p>
    <w:p w14:paraId="69C01BA6" w14:textId="77777777" w:rsidR="00EA5993" w:rsidRPr="00F25A60" w:rsidRDefault="00EA5993" w:rsidP="005C56E6">
      <w:pPr>
        <w:widowControl w:val="0"/>
        <w:tabs>
          <w:tab w:val="clear" w:pos="567"/>
        </w:tabs>
        <w:spacing w:line="240" w:lineRule="auto"/>
        <w:ind w:right="-2"/>
        <w:rPr>
          <w:color w:val="000000"/>
        </w:rPr>
      </w:pPr>
    </w:p>
    <w:p w14:paraId="09F18CBE" w14:textId="77777777" w:rsidR="00EA5993" w:rsidRPr="00F25A60" w:rsidRDefault="00EA5993" w:rsidP="005C56E6">
      <w:pPr>
        <w:widowControl w:val="0"/>
        <w:tabs>
          <w:tab w:val="clear" w:pos="567"/>
        </w:tabs>
        <w:spacing w:line="240" w:lineRule="auto"/>
        <w:ind w:right="-2"/>
        <w:rPr>
          <w:color w:val="000000"/>
        </w:rPr>
      </w:pPr>
    </w:p>
    <w:p w14:paraId="12B11BE9" w14:textId="77777777" w:rsidR="00E92109" w:rsidRPr="00F25A60" w:rsidRDefault="00E92109" w:rsidP="005C56E6">
      <w:pPr>
        <w:keepNext/>
        <w:widowControl w:val="0"/>
        <w:tabs>
          <w:tab w:val="clear" w:pos="567"/>
        </w:tabs>
        <w:spacing w:line="240" w:lineRule="auto"/>
        <w:ind w:left="567" w:hanging="567"/>
        <w:rPr>
          <w:b/>
          <w:bCs/>
          <w:color w:val="000000"/>
        </w:rPr>
      </w:pPr>
      <w:r w:rsidRPr="00F25A60">
        <w:rPr>
          <w:b/>
          <w:bCs/>
          <w:color w:val="000000"/>
        </w:rPr>
        <w:t>5.</w:t>
      </w:r>
      <w:r w:rsidRPr="00F25A60">
        <w:rPr>
          <w:b/>
          <w:bCs/>
          <w:color w:val="000000"/>
        </w:rPr>
        <w:tab/>
        <w:t>Jak Glivec uchovávat</w:t>
      </w:r>
    </w:p>
    <w:p w14:paraId="2F8866AE" w14:textId="77777777" w:rsidR="00E92109" w:rsidRPr="00F25A60" w:rsidRDefault="00E92109" w:rsidP="005C56E6">
      <w:pPr>
        <w:keepNext/>
        <w:widowControl w:val="0"/>
        <w:tabs>
          <w:tab w:val="clear" w:pos="567"/>
        </w:tabs>
        <w:spacing w:line="240" w:lineRule="auto"/>
        <w:rPr>
          <w:color w:val="000000"/>
        </w:rPr>
      </w:pPr>
    </w:p>
    <w:p w14:paraId="1ED7DB0F" w14:textId="77777777" w:rsidR="00E92109" w:rsidRPr="00F25A60" w:rsidRDefault="00E92109" w:rsidP="005C56E6">
      <w:pPr>
        <w:pStyle w:val="Text"/>
        <w:widowControl w:val="0"/>
        <w:numPr>
          <w:ilvl w:val="0"/>
          <w:numId w:val="6"/>
        </w:numPr>
        <w:tabs>
          <w:tab w:val="clear" w:pos="360"/>
          <w:tab w:val="clear" w:pos="567"/>
        </w:tabs>
        <w:spacing w:before="0"/>
        <w:ind w:left="567" w:hanging="567"/>
        <w:rPr>
          <w:color w:val="000000"/>
          <w:sz w:val="22"/>
          <w:szCs w:val="22"/>
          <w:lang w:val="cs-CZ"/>
        </w:rPr>
      </w:pPr>
      <w:r w:rsidRPr="00F25A60">
        <w:rPr>
          <w:color w:val="000000"/>
          <w:sz w:val="22"/>
          <w:szCs w:val="22"/>
          <w:lang w:val="cs-CZ"/>
        </w:rPr>
        <w:t>Uchovávejte tento přípravek mimo dohled a dosah dětí.</w:t>
      </w:r>
    </w:p>
    <w:p w14:paraId="59FB8A9E" w14:textId="76B4A37F" w:rsidR="00E92109" w:rsidRPr="00F25A60" w:rsidRDefault="00E92109" w:rsidP="005C56E6">
      <w:pPr>
        <w:pStyle w:val="Text"/>
        <w:widowControl w:val="0"/>
        <w:numPr>
          <w:ilvl w:val="0"/>
          <w:numId w:val="6"/>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Nepoužívejte tento přípravek po uplynutí doby použitelnosti uvedené na krabičce</w:t>
      </w:r>
      <w:r w:rsidR="008E362E" w:rsidRPr="00F25A60">
        <w:rPr>
          <w:color w:val="000000"/>
          <w:sz w:val="22"/>
          <w:szCs w:val="22"/>
          <w:lang w:val="cs-CZ"/>
        </w:rPr>
        <w:t xml:space="preserve"> za „EXP“</w:t>
      </w:r>
      <w:r w:rsidRPr="00F25A60">
        <w:rPr>
          <w:color w:val="000000"/>
          <w:sz w:val="22"/>
          <w:szCs w:val="22"/>
          <w:lang w:val="cs-CZ"/>
        </w:rPr>
        <w:t>.</w:t>
      </w:r>
    </w:p>
    <w:p w14:paraId="0AF12D0F" w14:textId="6E74B23D" w:rsidR="004C2307" w:rsidRPr="00F25A60" w:rsidRDefault="004C2307" w:rsidP="005C56E6">
      <w:pPr>
        <w:pStyle w:val="Text"/>
        <w:widowControl w:val="0"/>
        <w:numPr>
          <w:ilvl w:val="0"/>
          <w:numId w:val="6"/>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Teplota uchovávání</w:t>
      </w:r>
    </w:p>
    <w:p w14:paraId="2201A3C5" w14:textId="5EA64CEA" w:rsidR="00E92109" w:rsidRPr="00F25A60" w:rsidRDefault="004C2307" w:rsidP="005C56E6">
      <w:pPr>
        <w:pStyle w:val="Text"/>
        <w:widowControl w:val="0"/>
        <w:numPr>
          <w:ilvl w:val="0"/>
          <w:numId w:val="6"/>
        </w:numPr>
        <w:tabs>
          <w:tab w:val="clear" w:pos="360"/>
          <w:tab w:val="clear" w:pos="567"/>
        </w:tabs>
        <w:spacing w:before="0"/>
        <w:ind w:left="1124" w:hanging="562"/>
        <w:jc w:val="left"/>
        <w:rPr>
          <w:color w:val="000000"/>
          <w:sz w:val="22"/>
          <w:szCs w:val="22"/>
          <w:lang w:val="cs-CZ"/>
        </w:rPr>
      </w:pPr>
      <w:r w:rsidRPr="00F25A60">
        <w:rPr>
          <w:color w:val="000000"/>
          <w:sz w:val="22"/>
          <w:szCs w:val="22"/>
          <w:lang w:val="cs-CZ"/>
        </w:rPr>
        <w:t xml:space="preserve">Glivec 100 mg potahované tablety: </w:t>
      </w:r>
      <w:r w:rsidR="00E92109" w:rsidRPr="00F25A60">
        <w:rPr>
          <w:color w:val="000000"/>
          <w:sz w:val="22"/>
          <w:szCs w:val="22"/>
          <w:lang w:val="cs-CZ"/>
        </w:rPr>
        <w:t>Neuchovávejte při teplotě nad 30</w:t>
      </w:r>
      <w:r w:rsidR="00EF31B4" w:rsidRPr="00F25A60">
        <w:rPr>
          <w:color w:val="000000"/>
          <w:sz w:val="22"/>
          <w:szCs w:val="22"/>
          <w:lang w:val="cs-CZ"/>
        </w:rPr>
        <w:t> </w:t>
      </w:r>
      <w:r w:rsidR="00E92109" w:rsidRPr="00F25A60">
        <w:rPr>
          <w:color w:val="000000"/>
          <w:sz w:val="22"/>
          <w:szCs w:val="22"/>
          <w:lang w:val="cs-CZ"/>
        </w:rPr>
        <w:t>°C.</w:t>
      </w:r>
    </w:p>
    <w:p w14:paraId="2CE19C94" w14:textId="58AC41C7" w:rsidR="004C2307" w:rsidRPr="00F25A60" w:rsidRDefault="004C2307" w:rsidP="005C56E6">
      <w:pPr>
        <w:pStyle w:val="Text"/>
        <w:widowControl w:val="0"/>
        <w:numPr>
          <w:ilvl w:val="0"/>
          <w:numId w:val="6"/>
        </w:numPr>
        <w:tabs>
          <w:tab w:val="clear" w:pos="360"/>
          <w:tab w:val="clear" w:pos="567"/>
        </w:tabs>
        <w:spacing w:before="0"/>
        <w:ind w:left="1124" w:hanging="562"/>
        <w:jc w:val="left"/>
        <w:rPr>
          <w:color w:val="000000"/>
          <w:sz w:val="22"/>
          <w:szCs w:val="22"/>
          <w:lang w:val="cs-CZ"/>
        </w:rPr>
      </w:pPr>
      <w:r w:rsidRPr="00F25A60">
        <w:rPr>
          <w:color w:val="000000"/>
          <w:sz w:val="22"/>
          <w:szCs w:val="22"/>
          <w:lang w:val="cs-CZ"/>
        </w:rPr>
        <w:t>Glivec 400 mg potahované tablety: Uchovávejte při teplotě do 25 °C.</w:t>
      </w:r>
    </w:p>
    <w:p w14:paraId="33F48446" w14:textId="77777777" w:rsidR="00E92109" w:rsidRPr="00F25A60" w:rsidRDefault="00E92109" w:rsidP="005C56E6">
      <w:pPr>
        <w:pStyle w:val="Text"/>
        <w:widowControl w:val="0"/>
        <w:numPr>
          <w:ilvl w:val="0"/>
          <w:numId w:val="6"/>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Uchovávejte v původním obalu, aby byl přípravek chráněn před vlhkostí.</w:t>
      </w:r>
    </w:p>
    <w:p w14:paraId="468344C0" w14:textId="77777777" w:rsidR="00E92109" w:rsidRPr="00F25A60" w:rsidRDefault="00E92109" w:rsidP="005C56E6">
      <w:pPr>
        <w:pStyle w:val="Text"/>
        <w:widowControl w:val="0"/>
        <w:numPr>
          <w:ilvl w:val="0"/>
          <w:numId w:val="6"/>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Nepoužívejte, jestliže je obal poškozený nebo zaznamenáte známky jeho porušení.</w:t>
      </w:r>
    </w:p>
    <w:p w14:paraId="34F152FE" w14:textId="77777777" w:rsidR="00AF0B73" w:rsidRPr="00F25A60" w:rsidRDefault="00AF0B73" w:rsidP="005C56E6">
      <w:pPr>
        <w:pStyle w:val="Text"/>
        <w:widowControl w:val="0"/>
        <w:numPr>
          <w:ilvl w:val="0"/>
          <w:numId w:val="6"/>
        </w:numPr>
        <w:tabs>
          <w:tab w:val="clear" w:pos="360"/>
          <w:tab w:val="clear" w:pos="567"/>
        </w:tabs>
        <w:spacing w:before="0"/>
        <w:ind w:left="567" w:hanging="567"/>
        <w:jc w:val="left"/>
        <w:rPr>
          <w:color w:val="000000"/>
          <w:sz w:val="22"/>
          <w:szCs w:val="22"/>
          <w:lang w:val="cs-CZ"/>
        </w:rPr>
      </w:pPr>
      <w:r w:rsidRPr="00F25A60">
        <w:rPr>
          <w:color w:val="000000"/>
          <w:sz w:val="22"/>
          <w:szCs w:val="22"/>
          <w:lang w:val="cs-CZ"/>
        </w:rPr>
        <w:t>Nevyhazujte žádné léčivé přípravky do odpadních vod nebo domácího odpadu. Zeptejte se svého lékárníka, jak naložit s přípravky, které již nepoužíváte. Tato opatření pomáhají chránit životní prostředí.</w:t>
      </w:r>
    </w:p>
    <w:p w14:paraId="29099A90" w14:textId="77777777" w:rsidR="00E92109" w:rsidRPr="00F25A60" w:rsidRDefault="00E92109" w:rsidP="005C56E6">
      <w:pPr>
        <w:widowControl w:val="0"/>
        <w:tabs>
          <w:tab w:val="clear" w:pos="567"/>
        </w:tabs>
        <w:spacing w:line="240" w:lineRule="auto"/>
        <w:ind w:right="-2"/>
        <w:rPr>
          <w:color w:val="000000"/>
        </w:rPr>
      </w:pPr>
    </w:p>
    <w:p w14:paraId="707B5A4E" w14:textId="77777777" w:rsidR="00E92109" w:rsidRPr="00F25A60" w:rsidRDefault="00E92109" w:rsidP="005C56E6">
      <w:pPr>
        <w:widowControl w:val="0"/>
        <w:tabs>
          <w:tab w:val="clear" w:pos="567"/>
        </w:tabs>
        <w:spacing w:line="240" w:lineRule="auto"/>
        <w:ind w:right="-2"/>
        <w:rPr>
          <w:color w:val="000000"/>
        </w:rPr>
      </w:pPr>
    </w:p>
    <w:p w14:paraId="474453ED" w14:textId="77777777" w:rsidR="00E61A01" w:rsidRPr="00F25A60" w:rsidRDefault="00E61A01" w:rsidP="005C56E6">
      <w:pPr>
        <w:keepNext/>
        <w:widowControl w:val="0"/>
        <w:tabs>
          <w:tab w:val="clear" w:pos="567"/>
        </w:tabs>
        <w:spacing w:line="240" w:lineRule="auto"/>
        <w:rPr>
          <w:b/>
          <w:bCs/>
          <w:caps/>
          <w:color w:val="000000"/>
        </w:rPr>
      </w:pPr>
      <w:r w:rsidRPr="00F25A60">
        <w:rPr>
          <w:b/>
          <w:bCs/>
          <w:caps/>
          <w:color w:val="000000"/>
        </w:rPr>
        <w:t>6.</w:t>
      </w:r>
      <w:r w:rsidRPr="00F25A60">
        <w:rPr>
          <w:b/>
          <w:bCs/>
          <w:caps/>
          <w:color w:val="000000"/>
        </w:rPr>
        <w:tab/>
      </w:r>
      <w:r w:rsidR="0020295F" w:rsidRPr="00F25A60">
        <w:rPr>
          <w:b/>
          <w:bCs/>
          <w:caps/>
          <w:color w:val="000000"/>
        </w:rPr>
        <w:t>O</w:t>
      </w:r>
      <w:r w:rsidR="0020295F" w:rsidRPr="00F25A60">
        <w:rPr>
          <w:b/>
          <w:bCs/>
          <w:color w:val="000000"/>
        </w:rPr>
        <w:t>bsah balení a další informace</w:t>
      </w:r>
    </w:p>
    <w:p w14:paraId="23549306" w14:textId="77777777" w:rsidR="00E61A01" w:rsidRPr="00F25A60" w:rsidRDefault="00E61A01" w:rsidP="005C56E6">
      <w:pPr>
        <w:keepNext/>
        <w:widowControl w:val="0"/>
        <w:tabs>
          <w:tab w:val="clear" w:pos="567"/>
        </w:tabs>
        <w:spacing w:line="240" w:lineRule="auto"/>
        <w:rPr>
          <w:color w:val="000000"/>
        </w:rPr>
      </w:pPr>
    </w:p>
    <w:p w14:paraId="7E99248B" w14:textId="77777777" w:rsidR="00E61A01" w:rsidRPr="00F25A60" w:rsidRDefault="00E61A01" w:rsidP="005C56E6">
      <w:pPr>
        <w:keepNext/>
        <w:widowControl w:val="0"/>
        <w:tabs>
          <w:tab w:val="clear" w:pos="567"/>
        </w:tabs>
        <w:spacing w:line="240" w:lineRule="auto"/>
        <w:rPr>
          <w:b/>
          <w:bCs/>
          <w:color w:val="000000"/>
        </w:rPr>
      </w:pPr>
      <w:r w:rsidRPr="00F25A60">
        <w:rPr>
          <w:b/>
          <w:bCs/>
          <w:color w:val="000000"/>
        </w:rPr>
        <w:t>Co Glivec obsahuje</w:t>
      </w:r>
    </w:p>
    <w:p w14:paraId="4450AA02" w14:textId="49D8A33B" w:rsidR="002920DB" w:rsidRPr="0048111F" w:rsidRDefault="00E61A01" w:rsidP="005C56E6">
      <w:pPr>
        <w:widowControl w:val="0"/>
        <w:numPr>
          <w:ilvl w:val="0"/>
          <w:numId w:val="13"/>
        </w:numPr>
        <w:tabs>
          <w:tab w:val="clear" w:pos="567"/>
        </w:tabs>
        <w:spacing w:line="240" w:lineRule="auto"/>
        <w:ind w:left="567" w:right="-2" w:hanging="567"/>
        <w:rPr>
          <w:color w:val="000000"/>
        </w:rPr>
      </w:pPr>
      <w:r w:rsidRPr="0048111F">
        <w:rPr>
          <w:color w:val="000000"/>
        </w:rPr>
        <w:t>Léčivou látkou je imatinib</w:t>
      </w:r>
      <w:del w:id="442" w:author="Author">
        <w:r w:rsidRPr="0048111F" w:rsidDel="00FC590D">
          <w:rPr>
            <w:color w:val="000000"/>
          </w:rPr>
          <w:delText>i</w:delText>
        </w:r>
      </w:del>
      <w:ins w:id="443" w:author="Author">
        <w:r w:rsidR="00FC590D" w:rsidRPr="0048111F">
          <w:rPr>
            <w:color w:val="000000"/>
          </w:rPr>
          <w:t>-</w:t>
        </w:r>
      </w:ins>
      <w:del w:id="444" w:author="Author">
        <w:r w:rsidRPr="0048111F" w:rsidDel="00FC590D">
          <w:rPr>
            <w:color w:val="000000"/>
          </w:rPr>
          <w:delText xml:space="preserve"> </w:delText>
        </w:r>
      </w:del>
      <w:r w:rsidRPr="0048111F">
        <w:rPr>
          <w:color w:val="000000"/>
        </w:rPr>
        <w:t>mesil</w:t>
      </w:r>
      <w:ins w:id="445" w:author="Author">
        <w:r w:rsidR="00FC590D" w:rsidRPr="0048111F">
          <w:rPr>
            <w:color w:val="000000"/>
          </w:rPr>
          <w:t>át</w:t>
        </w:r>
      </w:ins>
      <w:del w:id="446" w:author="Author">
        <w:r w:rsidRPr="0048111F" w:rsidDel="00FC590D">
          <w:rPr>
            <w:color w:val="000000"/>
          </w:rPr>
          <w:delText>as</w:delText>
        </w:r>
      </w:del>
      <w:r w:rsidRPr="0048111F">
        <w:rPr>
          <w:color w:val="000000"/>
        </w:rPr>
        <w:t>.</w:t>
      </w:r>
    </w:p>
    <w:p w14:paraId="541BE0C1" w14:textId="4FE2E91E" w:rsidR="00E61A01" w:rsidRPr="0048111F" w:rsidRDefault="00E61A01" w:rsidP="005C56E6">
      <w:pPr>
        <w:widowControl w:val="0"/>
        <w:numPr>
          <w:ilvl w:val="0"/>
          <w:numId w:val="13"/>
        </w:numPr>
        <w:tabs>
          <w:tab w:val="clear" w:pos="567"/>
        </w:tabs>
        <w:spacing w:line="240" w:lineRule="auto"/>
        <w:ind w:left="1124" w:hanging="562"/>
        <w:rPr>
          <w:color w:val="000000"/>
        </w:rPr>
      </w:pPr>
      <w:r w:rsidRPr="0048111F">
        <w:rPr>
          <w:color w:val="000000"/>
        </w:rPr>
        <w:t xml:space="preserve">Jedna </w:t>
      </w:r>
      <w:r w:rsidR="002920DB" w:rsidRPr="0048111F">
        <w:rPr>
          <w:color w:val="000000"/>
        </w:rPr>
        <w:t>100</w:t>
      </w:r>
      <w:del w:id="447" w:author="Author">
        <w:r w:rsidR="002920DB" w:rsidRPr="0048111F" w:rsidDel="009C3228">
          <w:rPr>
            <w:color w:val="000000"/>
          </w:rPr>
          <w:delText> </w:delText>
        </w:r>
      </w:del>
      <w:r w:rsidR="002920DB" w:rsidRPr="0048111F">
        <w:rPr>
          <w:color w:val="000000"/>
        </w:rPr>
        <w:t xml:space="preserve">mg </w:t>
      </w:r>
      <w:r w:rsidRPr="0048111F">
        <w:rPr>
          <w:color w:val="000000"/>
        </w:rPr>
        <w:t xml:space="preserve">tableta Glivecu obsahuje </w:t>
      </w:r>
      <w:ins w:id="448" w:author="Author">
        <w:r w:rsidR="009C3228" w:rsidRPr="0048111F">
          <w:rPr>
            <w:color w:val="000000"/>
          </w:rPr>
          <w:t>100</w:t>
        </w:r>
        <w:r w:rsidR="0048111F" w:rsidRPr="0048111F">
          <w:rPr>
            <w:color w:val="000000"/>
          </w:rPr>
          <w:t> </w:t>
        </w:r>
        <w:r w:rsidR="009C3228" w:rsidRPr="0048111F">
          <w:rPr>
            <w:color w:val="000000"/>
          </w:rPr>
          <w:t xml:space="preserve">mg </w:t>
        </w:r>
      </w:ins>
      <w:r w:rsidR="00D25C0D" w:rsidRPr="0048111F">
        <w:rPr>
          <w:color w:val="000000"/>
        </w:rPr>
        <w:t>imatinib</w:t>
      </w:r>
      <w:ins w:id="449" w:author="Author">
        <w:r w:rsidR="009C3228" w:rsidRPr="0048111F">
          <w:rPr>
            <w:color w:val="000000"/>
          </w:rPr>
          <w:t>u</w:t>
        </w:r>
      </w:ins>
      <w:del w:id="450" w:author="Author">
        <w:r w:rsidR="00D25C0D" w:rsidRPr="0048111F" w:rsidDel="00C55EF6">
          <w:rPr>
            <w:color w:val="000000"/>
          </w:rPr>
          <w:delText>um</w:delText>
        </w:r>
        <w:r w:rsidR="00D25C0D" w:rsidRPr="0048111F" w:rsidDel="009C3228">
          <w:rPr>
            <w:color w:val="000000"/>
          </w:rPr>
          <w:delText xml:space="preserve"> </w:delText>
        </w:r>
        <w:r w:rsidRPr="0048111F" w:rsidDel="009C3228">
          <w:rPr>
            <w:color w:val="000000"/>
          </w:rPr>
          <w:delText>100 mg</w:delText>
        </w:r>
      </w:del>
      <w:r w:rsidRPr="0048111F">
        <w:rPr>
          <w:color w:val="000000"/>
        </w:rPr>
        <w:t xml:space="preserve"> </w:t>
      </w:r>
      <w:r w:rsidR="0020295F" w:rsidRPr="0048111F">
        <w:rPr>
          <w:color w:val="000000"/>
        </w:rPr>
        <w:t>(</w:t>
      </w:r>
      <w:ins w:id="451" w:author="Author">
        <w:r w:rsidR="009C3228" w:rsidRPr="0048111F">
          <w:rPr>
            <w:color w:val="000000"/>
          </w:rPr>
          <w:t>ve formě</w:t>
        </w:r>
      </w:ins>
      <w:del w:id="452" w:author="Author">
        <w:r w:rsidR="0020295F" w:rsidRPr="0048111F" w:rsidDel="009C3228">
          <w:rPr>
            <w:color w:val="000000"/>
          </w:rPr>
          <w:delText xml:space="preserve">jako </w:delText>
        </w:r>
        <w:r w:rsidR="00D25C0D" w:rsidRPr="0048111F" w:rsidDel="009C3228">
          <w:rPr>
            <w:color w:val="000000"/>
          </w:rPr>
          <w:delText>imatinibi</w:delText>
        </w:r>
      </w:del>
      <w:ins w:id="453" w:author="Author">
        <w:del w:id="454" w:author="Author">
          <w:r w:rsidR="00C55EF6" w:rsidRPr="0048111F" w:rsidDel="009C3228">
            <w:rPr>
              <w:color w:val="000000"/>
            </w:rPr>
            <w:delText>-</w:delText>
          </w:r>
        </w:del>
      </w:ins>
      <w:del w:id="455" w:author="Author">
        <w:r w:rsidR="00D25C0D" w:rsidRPr="0048111F" w:rsidDel="009C3228">
          <w:rPr>
            <w:color w:val="000000"/>
          </w:rPr>
          <w:delText xml:space="preserve"> </w:delText>
        </w:r>
      </w:del>
      <w:ins w:id="456" w:author="Author">
        <w:r w:rsidR="009C3228" w:rsidRPr="0048111F">
          <w:rPr>
            <w:color w:val="000000"/>
          </w:rPr>
          <w:t xml:space="preserve"> </w:t>
        </w:r>
      </w:ins>
      <w:r w:rsidRPr="0048111F">
        <w:rPr>
          <w:color w:val="000000"/>
        </w:rPr>
        <w:t>mes</w:t>
      </w:r>
      <w:r w:rsidR="00D25C0D" w:rsidRPr="0048111F">
        <w:rPr>
          <w:color w:val="000000"/>
        </w:rPr>
        <w:t>i</w:t>
      </w:r>
      <w:r w:rsidRPr="0048111F">
        <w:rPr>
          <w:color w:val="000000"/>
        </w:rPr>
        <w:t>l</w:t>
      </w:r>
      <w:ins w:id="457" w:author="Author">
        <w:r w:rsidR="00C55EF6" w:rsidRPr="0048111F">
          <w:rPr>
            <w:color w:val="000000"/>
          </w:rPr>
          <w:t>át</w:t>
        </w:r>
        <w:r w:rsidR="009C3228" w:rsidRPr="0048111F">
          <w:rPr>
            <w:color w:val="000000"/>
          </w:rPr>
          <w:t>u</w:t>
        </w:r>
      </w:ins>
      <w:del w:id="458" w:author="Author">
        <w:r w:rsidR="00D25C0D" w:rsidRPr="0048111F" w:rsidDel="00C55EF6">
          <w:rPr>
            <w:color w:val="000000"/>
          </w:rPr>
          <w:delText>as</w:delText>
        </w:r>
      </w:del>
      <w:r w:rsidR="0020295F" w:rsidRPr="0048111F">
        <w:rPr>
          <w:color w:val="000000"/>
        </w:rPr>
        <w:t>)</w:t>
      </w:r>
      <w:r w:rsidRPr="0048111F">
        <w:rPr>
          <w:color w:val="000000"/>
        </w:rPr>
        <w:t>.</w:t>
      </w:r>
    </w:p>
    <w:p w14:paraId="404981FB" w14:textId="596CFCBC" w:rsidR="002920DB" w:rsidRPr="0048111F" w:rsidRDefault="002920DB" w:rsidP="005C56E6">
      <w:pPr>
        <w:widowControl w:val="0"/>
        <w:numPr>
          <w:ilvl w:val="0"/>
          <w:numId w:val="13"/>
        </w:numPr>
        <w:tabs>
          <w:tab w:val="clear" w:pos="567"/>
        </w:tabs>
        <w:spacing w:line="240" w:lineRule="auto"/>
        <w:ind w:left="1124" w:hanging="562"/>
        <w:rPr>
          <w:color w:val="000000"/>
        </w:rPr>
      </w:pPr>
      <w:r w:rsidRPr="0048111F">
        <w:rPr>
          <w:color w:val="000000"/>
        </w:rPr>
        <w:t>Jedna 400</w:t>
      </w:r>
      <w:del w:id="459" w:author="Author">
        <w:r w:rsidRPr="0048111F" w:rsidDel="009C3228">
          <w:rPr>
            <w:color w:val="000000"/>
          </w:rPr>
          <w:delText> </w:delText>
        </w:r>
      </w:del>
      <w:r w:rsidRPr="0048111F">
        <w:rPr>
          <w:color w:val="000000"/>
        </w:rPr>
        <w:t xml:space="preserve">mg tableta Glivecu obsahuje </w:t>
      </w:r>
      <w:ins w:id="460" w:author="Author">
        <w:r w:rsidR="009C3228" w:rsidRPr="0048111F">
          <w:rPr>
            <w:color w:val="000000"/>
          </w:rPr>
          <w:t>400</w:t>
        </w:r>
        <w:r w:rsidR="0048111F" w:rsidRPr="0048111F">
          <w:rPr>
            <w:color w:val="000000"/>
          </w:rPr>
          <w:t> </w:t>
        </w:r>
        <w:r w:rsidR="009C3228" w:rsidRPr="0048111F">
          <w:rPr>
            <w:color w:val="000000"/>
          </w:rPr>
          <w:t xml:space="preserve">mg </w:t>
        </w:r>
      </w:ins>
      <w:r w:rsidRPr="0048111F">
        <w:rPr>
          <w:color w:val="000000"/>
        </w:rPr>
        <w:t>imatinib</w:t>
      </w:r>
      <w:ins w:id="461" w:author="Author">
        <w:r w:rsidR="009C3228" w:rsidRPr="0048111F">
          <w:rPr>
            <w:color w:val="000000"/>
          </w:rPr>
          <w:t>u</w:t>
        </w:r>
      </w:ins>
      <w:del w:id="462" w:author="Author">
        <w:r w:rsidRPr="0048111F" w:rsidDel="00C55EF6">
          <w:rPr>
            <w:color w:val="000000"/>
          </w:rPr>
          <w:delText>um</w:delText>
        </w:r>
        <w:r w:rsidRPr="0048111F" w:rsidDel="009C3228">
          <w:rPr>
            <w:color w:val="000000"/>
          </w:rPr>
          <w:delText xml:space="preserve"> 400 mg</w:delText>
        </w:r>
      </w:del>
      <w:r w:rsidRPr="0048111F">
        <w:rPr>
          <w:color w:val="000000"/>
        </w:rPr>
        <w:t xml:space="preserve"> (</w:t>
      </w:r>
      <w:ins w:id="463" w:author="Author">
        <w:r w:rsidR="009C3228" w:rsidRPr="0048111F">
          <w:rPr>
            <w:color w:val="000000"/>
          </w:rPr>
          <w:t>ve formě</w:t>
        </w:r>
      </w:ins>
      <w:del w:id="464" w:author="Author">
        <w:r w:rsidRPr="0048111F" w:rsidDel="009C3228">
          <w:rPr>
            <w:color w:val="000000"/>
          </w:rPr>
          <w:delText>jako imatinibi</w:delText>
        </w:r>
      </w:del>
      <w:ins w:id="465" w:author="Author">
        <w:del w:id="466" w:author="Author">
          <w:r w:rsidR="00C55EF6" w:rsidRPr="0048111F" w:rsidDel="009C3228">
            <w:rPr>
              <w:color w:val="000000"/>
            </w:rPr>
            <w:delText>-</w:delText>
          </w:r>
        </w:del>
      </w:ins>
      <w:del w:id="467" w:author="Author">
        <w:r w:rsidRPr="0048111F" w:rsidDel="009C3228">
          <w:rPr>
            <w:color w:val="000000"/>
          </w:rPr>
          <w:delText xml:space="preserve"> </w:delText>
        </w:r>
      </w:del>
      <w:ins w:id="468" w:author="Author">
        <w:r w:rsidR="009C3228" w:rsidRPr="0048111F">
          <w:rPr>
            <w:color w:val="000000"/>
          </w:rPr>
          <w:t xml:space="preserve"> </w:t>
        </w:r>
      </w:ins>
      <w:r w:rsidRPr="0048111F">
        <w:rPr>
          <w:color w:val="000000"/>
        </w:rPr>
        <w:t>mesil</w:t>
      </w:r>
      <w:ins w:id="469" w:author="Author">
        <w:r w:rsidR="00C55EF6" w:rsidRPr="0048111F">
          <w:rPr>
            <w:color w:val="000000"/>
          </w:rPr>
          <w:t>át</w:t>
        </w:r>
        <w:r w:rsidR="009C3228" w:rsidRPr="0048111F">
          <w:rPr>
            <w:color w:val="000000"/>
          </w:rPr>
          <w:t>u</w:t>
        </w:r>
      </w:ins>
      <w:del w:id="470" w:author="Author">
        <w:r w:rsidRPr="0048111F" w:rsidDel="00C55EF6">
          <w:rPr>
            <w:color w:val="000000"/>
          </w:rPr>
          <w:delText>as</w:delText>
        </w:r>
      </w:del>
      <w:r w:rsidRPr="0048111F">
        <w:rPr>
          <w:color w:val="000000"/>
        </w:rPr>
        <w:t>).</w:t>
      </w:r>
    </w:p>
    <w:p w14:paraId="4C8A3A7B" w14:textId="77777777" w:rsidR="00E61A01" w:rsidRPr="00F25A60" w:rsidRDefault="0020295F" w:rsidP="005C56E6">
      <w:pPr>
        <w:widowControl w:val="0"/>
        <w:numPr>
          <w:ilvl w:val="0"/>
          <w:numId w:val="13"/>
        </w:numPr>
        <w:tabs>
          <w:tab w:val="clear" w:pos="567"/>
        </w:tabs>
        <w:spacing w:line="240" w:lineRule="auto"/>
        <w:ind w:left="567" w:right="-2" w:hanging="567"/>
        <w:rPr>
          <w:color w:val="000000"/>
        </w:rPr>
      </w:pPr>
      <w:r w:rsidRPr="00F25A60">
        <w:rPr>
          <w:color w:val="000000"/>
        </w:rPr>
        <w:t xml:space="preserve">Dalšími složkami </w:t>
      </w:r>
      <w:r w:rsidR="00E61A01" w:rsidRPr="00F25A60">
        <w:rPr>
          <w:color w:val="000000"/>
        </w:rPr>
        <w:t>jsou mikrokrystalická celulosa, krospovidon, hypromelosa, magnesium-stearát</w:t>
      </w:r>
      <w:r w:rsidR="008A7A12" w:rsidRPr="00F25A60">
        <w:rPr>
          <w:color w:val="000000"/>
        </w:rPr>
        <w:t xml:space="preserve"> a koloidní </w:t>
      </w:r>
      <w:r w:rsidR="00E61A01" w:rsidRPr="00F25A60">
        <w:rPr>
          <w:color w:val="000000"/>
        </w:rPr>
        <w:t>bezvodý oxid křemičitý.</w:t>
      </w:r>
    </w:p>
    <w:p w14:paraId="6DF26FE0" w14:textId="77777777" w:rsidR="00E61A01" w:rsidRPr="00F25A60" w:rsidRDefault="00E61A01" w:rsidP="005C56E6">
      <w:pPr>
        <w:widowControl w:val="0"/>
        <w:numPr>
          <w:ilvl w:val="0"/>
          <w:numId w:val="13"/>
        </w:numPr>
        <w:tabs>
          <w:tab w:val="clear" w:pos="567"/>
        </w:tabs>
        <w:spacing w:line="240" w:lineRule="auto"/>
        <w:ind w:left="567" w:right="-2" w:hanging="567"/>
        <w:rPr>
          <w:color w:val="000000"/>
        </w:rPr>
      </w:pPr>
      <w:r w:rsidRPr="00F25A60">
        <w:rPr>
          <w:color w:val="000000"/>
        </w:rPr>
        <w:t>Potahová vrstva tablety je vyrobena z červeného oxidu železitého (E</w:t>
      </w:r>
      <w:r w:rsidR="0071222E" w:rsidRPr="00F25A60">
        <w:rPr>
          <w:color w:val="000000"/>
        </w:rPr>
        <w:t xml:space="preserve"> </w:t>
      </w:r>
      <w:r w:rsidRPr="00F25A60">
        <w:rPr>
          <w:color w:val="000000"/>
        </w:rPr>
        <w:t>172), žlutého oxidu železitého (E</w:t>
      </w:r>
      <w:r w:rsidR="0071222E" w:rsidRPr="00F25A60">
        <w:rPr>
          <w:color w:val="000000"/>
        </w:rPr>
        <w:t xml:space="preserve"> </w:t>
      </w:r>
      <w:r w:rsidRPr="00F25A60">
        <w:rPr>
          <w:color w:val="000000"/>
        </w:rPr>
        <w:t>172), makrogolu, mastku a hypromelosy.</w:t>
      </w:r>
    </w:p>
    <w:p w14:paraId="08BAD37F" w14:textId="77777777" w:rsidR="00E61A01" w:rsidRPr="00F25A60" w:rsidRDefault="00E61A01" w:rsidP="005C56E6">
      <w:pPr>
        <w:widowControl w:val="0"/>
        <w:tabs>
          <w:tab w:val="clear" w:pos="567"/>
        </w:tabs>
        <w:spacing w:line="240" w:lineRule="auto"/>
        <w:ind w:right="-2"/>
        <w:rPr>
          <w:color w:val="000000"/>
        </w:rPr>
      </w:pPr>
    </w:p>
    <w:p w14:paraId="02507101" w14:textId="77777777" w:rsidR="00E61A01" w:rsidRPr="00F25A60" w:rsidRDefault="00E61A01" w:rsidP="005C56E6">
      <w:pPr>
        <w:keepNext/>
        <w:widowControl w:val="0"/>
        <w:tabs>
          <w:tab w:val="clear" w:pos="567"/>
        </w:tabs>
        <w:spacing w:line="240" w:lineRule="auto"/>
        <w:ind w:right="-2"/>
        <w:rPr>
          <w:b/>
          <w:bCs/>
          <w:color w:val="000000"/>
        </w:rPr>
      </w:pPr>
      <w:r w:rsidRPr="00F25A60">
        <w:rPr>
          <w:b/>
          <w:bCs/>
          <w:color w:val="000000"/>
        </w:rPr>
        <w:t>Jak Glivec vypadá a co obsahuje toto balení</w:t>
      </w:r>
    </w:p>
    <w:p w14:paraId="630BD9E0" w14:textId="6FEF13C7" w:rsidR="00E61A01" w:rsidRPr="00F25A60" w:rsidRDefault="00E61A01" w:rsidP="005C56E6">
      <w:pPr>
        <w:widowControl w:val="0"/>
        <w:tabs>
          <w:tab w:val="clear" w:pos="567"/>
        </w:tabs>
        <w:spacing w:line="240" w:lineRule="auto"/>
        <w:ind w:right="-2"/>
        <w:rPr>
          <w:color w:val="000000"/>
        </w:rPr>
      </w:pPr>
      <w:r w:rsidRPr="00F25A60">
        <w:rPr>
          <w:color w:val="000000"/>
        </w:rPr>
        <w:t>Glivec 100 mg potahované tablety jsou velmi tmavě žluté až hnědooranžové kulaté potahované tablety. Jsou na jedné straně označené „</w:t>
      </w:r>
      <w:smartTag w:uri="urn:schemas-microsoft-com:office:smarttags" w:element="stockticker">
        <w:r w:rsidRPr="00F25A60">
          <w:rPr>
            <w:color w:val="000000"/>
          </w:rPr>
          <w:t>NVR</w:t>
        </w:r>
      </w:smartTag>
      <w:r w:rsidRPr="00F25A60">
        <w:rPr>
          <w:color w:val="000000"/>
        </w:rPr>
        <w:t>“ a „SA“ s půl</w:t>
      </w:r>
      <w:r w:rsidR="00A86246">
        <w:rPr>
          <w:color w:val="000000"/>
        </w:rPr>
        <w:t>i</w:t>
      </w:r>
      <w:r w:rsidRPr="00F25A60">
        <w:rPr>
          <w:color w:val="000000"/>
        </w:rPr>
        <w:t>cí rýhou na straně druhé.</w:t>
      </w:r>
    </w:p>
    <w:p w14:paraId="469CEF29" w14:textId="3016467E" w:rsidR="002920DB" w:rsidRPr="00F25A60" w:rsidRDefault="002920DB" w:rsidP="005C56E6">
      <w:pPr>
        <w:widowControl w:val="0"/>
        <w:tabs>
          <w:tab w:val="clear" w:pos="567"/>
        </w:tabs>
        <w:spacing w:line="240" w:lineRule="auto"/>
        <w:ind w:right="-2"/>
        <w:rPr>
          <w:color w:val="000000"/>
        </w:rPr>
      </w:pPr>
      <w:r w:rsidRPr="00F25A60">
        <w:rPr>
          <w:color w:val="000000"/>
        </w:rPr>
        <w:t>Glivec 400 mg potahované tablety jsou velmi tmavě žluté až hnědooranžové oválné tablety. Jsou na jedné straně označené „</w:t>
      </w:r>
      <w:r w:rsidR="00132495">
        <w:rPr>
          <w:color w:val="000000"/>
        </w:rPr>
        <w:t>400</w:t>
      </w:r>
      <w:r w:rsidR="00A979A1" w:rsidRPr="00F25A60">
        <w:rPr>
          <w:color w:val="000000"/>
        </w:rPr>
        <w:t>“</w:t>
      </w:r>
      <w:r w:rsidR="00132495">
        <w:rPr>
          <w:color w:val="000000"/>
        </w:rPr>
        <w:t xml:space="preserve"> a </w:t>
      </w:r>
      <w:r w:rsidR="00132495" w:rsidRPr="00BC48A2">
        <w:rPr>
          <w:color w:val="000000"/>
        </w:rPr>
        <w:t>s půl</w:t>
      </w:r>
      <w:r w:rsidR="00297FE6" w:rsidRPr="00BC48A2">
        <w:rPr>
          <w:color w:val="000000"/>
        </w:rPr>
        <w:t>i</w:t>
      </w:r>
      <w:r w:rsidR="00132495" w:rsidRPr="00BC48A2">
        <w:rPr>
          <w:color w:val="000000"/>
        </w:rPr>
        <w:t>cí rýhou na straně druhé se „SL“ na každé straně půl</w:t>
      </w:r>
      <w:r w:rsidR="00297FE6" w:rsidRPr="00BC48A2">
        <w:rPr>
          <w:color w:val="000000"/>
        </w:rPr>
        <w:t>i</w:t>
      </w:r>
      <w:r w:rsidR="00132495" w:rsidRPr="00BC48A2">
        <w:rPr>
          <w:color w:val="000000"/>
        </w:rPr>
        <w:t>cí rýhy</w:t>
      </w:r>
      <w:r w:rsidR="00A979A1" w:rsidRPr="00BC48A2">
        <w:rPr>
          <w:color w:val="000000"/>
        </w:rPr>
        <w:t>.</w:t>
      </w:r>
    </w:p>
    <w:p w14:paraId="58B24E27" w14:textId="77777777" w:rsidR="00E61A01" w:rsidRPr="00F25A60" w:rsidRDefault="00E61A01" w:rsidP="005C56E6">
      <w:pPr>
        <w:widowControl w:val="0"/>
        <w:tabs>
          <w:tab w:val="clear" w:pos="567"/>
        </w:tabs>
        <w:spacing w:line="240" w:lineRule="auto"/>
        <w:ind w:right="-2"/>
        <w:rPr>
          <w:color w:val="000000"/>
        </w:rPr>
      </w:pPr>
    </w:p>
    <w:p w14:paraId="3E21F22B" w14:textId="748B508C" w:rsidR="00A979A1" w:rsidRPr="00F25A60" w:rsidRDefault="00A979A1" w:rsidP="005C56E6">
      <w:pPr>
        <w:widowControl w:val="0"/>
        <w:tabs>
          <w:tab w:val="clear" w:pos="567"/>
        </w:tabs>
        <w:spacing w:line="240" w:lineRule="auto"/>
        <w:ind w:right="-2"/>
        <w:rPr>
          <w:color w:val="000000"/>
        </w:rPr>
      </w:pPr>
      <w:r w:rsidRPr="00F25A60">
        <w:rPr>
          <w:color w:val="000000"/>
        </w:rPr>
        <w:t>Glivec 100 mg potahované tablety se d</w:t>
      </w:r>
      <w:r w:rsidR="00E61A01" w:rsidRPr="00F25A60">
        <w:rPr>
          <w:color w:val="000000"/>
        </w:rPr>
        <w:t>odává</w:t>
      </w:r>
      <w:r w:rsidRPr="00F25A60">
        <w:rPr>
          <w:color w:val="000000"/>
        </w:rPr>
        <w:t>jí</w:t>
      </w:r>
      <w:r w:rsidR="00E61A01" w:rsidRPr="00F25A60">
        <w:rPr>
          <w:color w:val="000000"/>
        </w:rPr>
        <w:t xml:space="preserve"> v balení</w:t>
      </w:r>
      <w:r w:rsidRPr="00F25A60">
        <w:rPr>
          <w:color w:val="000000"/>
        </w:rPr>
        <w:t>ch</w:t>
      </w:r>
      <w:r w:rsidR="00E61A01" w:rsidRPr="00F25A60">
        <w:rPr>
          <w:color w:val="000000"/>
        </w:rPr>
        <w:t>, kter</w:t>
      </w:r>
      <w:r w:rsidRPr="00F25A60">
        <w:rPr>
          <w:color w:val="000000"/>
        </w:rPr>
        <w:t>á</w:t>
      </w:r>
      <w:r w:rsidR="00E61A01" w:rsidRPr="00F25A60">
        <w:rPr>
          <w:color w:val="000000"/>
        </w:rPr>
        <w:t xml:space="preserve"> obsahuj</w:t>
      </w:r>
      <w:r w:rsidRPr="00F25A60">
        <w:rPr>
          <w:color w:val="000000"/>
        </w:rPr>
        <w:t>í</w:t>
      </w:r>
      <w:r w:rsidR="00E61A01" w:rsidRPr="00F25A60">
        <w:rPr>
          <w:color w:val="000000"/>
        </w:rPr>
        <w:t xml:space="preserve"> 20, 60, 120 nebo 180 tablet</w:t>
      </w:r>
      <w:r w:rsidRPr="00F25A60">
        <w:rPr>
          <w:color w:val="000000"/>
        </w:rPr>
        <w:t>.</w:t>
      </w:r>
    </w:p>
    <w:p w14:paraId="67BC148A" w14:textId="34C85857" w:rsidR="00A979A1" w:rsidRPr="00F25A60" w:rsidRDefault="00A979A1" w:rsidP="005C56E6">
      <w:pPr>
        <w:widowControl w:val="0"/>
        <w:tabs>
          <w:tab w:val="clear" w:pos="567"/>
        </w:tabs>
        <w:spacing w:line="240" w:lineRule="auto"/>
        <w:ind w:right="-2"/>
        <w:rPr>
          <w:color w:val="000000"/>
        </w:rPr>
      </w:pPr>
      <w:r w:rsidRPr="00F25A60">
        <w:rPr>
          <w:color w:val="000000"/>
        </w:rPr>
        <w:t>Glivec 400 mg potahované tablety se dodávají v baleních, která obsahují 10, 30 nebo 90 tablet.</w:t>
      </w:r>
    </w:p>
    <w:p w14:paraId="4B6D0E9A" w14:textId="09DF5BCF" w:rsidR="00E61A01" w:rsidRPr="00F25A60" w:rsidRDefault="00A979A1" w:rsidP="005C56E6">
      <w:pPr>
        <w:widowControl w:val="0"/>
        <w:tabs>
          <w:tab w:val="clear" w:pos="567"/>
        </w:tabs>
        <w:spacing w:line="240" w:lineRule="auto"/>
        <w:ind w:right="-2"/>
        <w:rPr>
          <w:color w:val="000000"/>
        </w:rPr>
      </w:pPr>
      <w:r w:rsidRPr="00F25A60">
        <w:rPr>
          <w:color w:val="000000"/>
        </w:rPr>
        <w:t>N</w:t>
      </w:r>
      <w:r w:rsidR="00E61A01" w:rsidRPr="00F25A60">
        <w:rPr>
          <w:color w:val="000000"/>
        </w:rPr>
        <w:t>a trhu nemusí být dostupné všechny velikosti.</w:t>
      </w:r>
    </w:p>
    <w:p w14:paraId="31D5FB05" w14:textId="77777777" w:rsidR="00E61A01" w:rsidRPr="00F25A60" w:rsidRDefault="00E61A01" w:rsidP="005C56E6">
      <w:pPr>
        <w:widowControl w:val="0"/>
        <w:tabs>
          <w:tab w:val="clear" w:pos="567"/>
        </w:tabs>
        <w:spacing w:line="240" w:lineRule="auto"/>
        <w:ind w:right="-2"/>
        <w:rPr>
          <w:color w:val="000000"/>
        </w:rPr>
      </w:pPr>
    </w:p>
    <w:p w14:paraId="790BB6D2" w14:textId="77777777" w:rsidR="00E61A01" w:rsidRPr="002E1FAF" w:rsidRDefault="00E61A01" w:rsidP="005C56E6">
      <w:pPr>
        <w:keepNext/>
        <w:spacing w:line="240" w:lineRule="auto"/>
        <w:rPr>
          <w:b/>
          <w:bCs/>
          <w:i/>
        </w:rPr>
      </w:pPr>
      <w:r w:rsidRPr="002E1FAF">
        <w:rPr>
          <w:b/>
        </w:rPr>
        <w:t>Držitel rozhodnutí o registraci</w:t>
      </w:r>
    </w:p>
    <w:p w14:paraId="5171857B" w14:textId="77777777" w:rsidR="00E61A01" w:rsidRPr="00F25A60" w:rsidRDefault="00E61A01" w:rsidP="005C56E6">
      <w:pPr>
        <w:pStyle w:val="EndnoteText"/>
        <w:keepNext/>
        <w:widowControl w:val="0"/>
        <w:tabs>
          <w:tab w:val="clear" w:pos="567"/>
        </w:tabs>
        <w:rPr>
          <w:color w:val="000000"/>
        </w:rPr>
      </w:pPr>
      <w:r w:rsidRPr="00F25A60">
        <w:rPr>
          <w:color w:val="000000"/>
        </w:rPr>
        <w:t>Novartis Europharm Limited</w:t>
      </w:r>
    </w:p>
    <w:p w14:paraId="0B1AAECE" w14:textId="77777777" w:rsidR="00F05B3D" w:rsidRPr="00F25A60" w:rsidRDefault="00F05B3D" w:rsidP="005C56E6">
      <w:pPr>
        <w:keepNext/>
        <w:widowControl w:val="0"/>
        <w:spacing w:line="240" w:lineRule="auto"/>
        <w:rPr>
          <w:color w:val="000000"/>
        </w:rPr>
      </w:pPr>
      <w:r w:rsidRPr="00F25A60">
        <w:rPr>
          <w:color w:val="000000"/>
        </w:rPr>
        <w:t>Vista Building</w:t>
      </w:r>
    </w:p>
    <w:p w14:paraId="19B0D6A0" w14:textId="77777777" w:rsidR="00F05B3D" w:rsidRPr="00F25A60" w:rsidRDefault="00F05B3D" w:rsidP="005C56E6">
      <w:pPr>
        <w:keepNext/>
        <w:widowControl w:val="0"/>
        <w:spacing w:line="240" w:lineRule="auto"/>
        <w:rPr>
          <w:color w:val="000000"/>
        </w:rPr>
      </w:pPr>
      <w:r w:rsidRPr="00F25A60">
        <w:rPr>
          <w:color w:val="000000"/>
        </w:rPr>
        <w:t>Elm Park, Merrion Road</w:t>
      </w:r>
    </w:p>
    <w:p w14:paraId="30267E09" w14:textId="77777777" w:rsidR="00F05B3D" w:rsidRPr="00F25A60" w:rsidRDefault="00F05B3D" w:rsidP="005C56E6">
      <w:pPr>
        <w:keepNext/>
        <w:widowControl w:val="0"/>
        <w:spacing w:line="240" w:lineRule="auto"/>
        <w:rPr>
          <w:color w:val="000000"/>
        </w:rPr>
      </w:pPr>
      <w:r w:rsidRPr="00F25A60">
        <w:rPr>
          <w:color w:val="000000"/>
        </w:rPr>
        <w:t>Dublin 4</w:t>
      </w:r>
    </w:p>
    <w:p w14:paraId="4FBDE4CD" w14:textId="77777777" w:rsidR="00F05B3D" w:rsidRPr="00F25A60" w:rsidRDefault="00F05B3D" w:rsidP="005C56E6">
      <w:pPr>
        <w:spacing w:line="240" w:lineRule="auto"/>
        <w:rPr>
          <w:color w:val="000000"/>
        </w:rPr>
      </w:pPr>
      <w:r w:rsidRPr="00F25A60">
        <w:rPr>
          <w:color w:val="000000"/>
        </w:rPr>
        <w:t>Irsko</w:t>
      </w:r>
    </w:p>
    <w:p w14:paraId="42FF7BE4" w14:textId="77777777" w:rsidR="00E61A01" w:rsidRPr="00F25A60" w:rsidRDefault="00E61A01" w:rsidP="005C56E6">
      <w:pPr>
        <w:pStyle w:val="Text"/>
        <w:widowControl w:val="0"/>
        <w:spacing w:before="0"/>
        <w:jc w:val="left"/>
        <w:rPr>
          <w:color w:val="000000"/>
          <w:sz w:val="22"/>
          <w:szCs w:val="22"/>
          <w:lang w:val="cs-CZ"/>
        </w:rPr>
      </w:pPr>
    </w:p>
    <w:p w14:paraId="5E40B77D" w14:textId="77777777" w:rsidR="00E61A01" w:rsidRPr="005C56E6" w:rsidRDefault="00E61A01" w:rsidP="005C56E6">
      <w:pPr>
        <w:keepNext/>
        <w:rPr>
          <w:b/>
          <w:bCs/>
          <w:i/>
        </w:rPr>
      </w:pPr>
      <w:r w:rsidRPr="005C56E6">
        <w:rPr>
          <w:b/>
          <w:bCs/>
        </w:rPr>
        <w:t>Výrobce</w:t>
      </w:r>
    </w:p>
    <w:p w14:paraId="23E96263" w14:textId="77777777" w:rsidR="00401727" w:rsidRPr="00BC113D" w:rsidRDefault="00401727" w:rsidP="00401727">
      <w:pPr>
        <w:keepNext/>
        <w:widowControl w:val="0"/>
        <w:tabs>
          <w:tab w:val="left" w:pos="7513"/>
        </w:tabs>
        <w:spacing w:line="240" w:lineRule="auto"/>
        <w:rPr>
          <w:lang w:val="en-US"/>
        </w:rPr>
      </w:pPr>
      <w:r w:rsidRPr="00BC113D">
        <w:rPr>
          <w:lang w:val="en-US"/>
        </w:rPr>
        <w:t>Novartis Pharmaceutical Manufacturing LLC</w:t>
      </w:r>
    </w:p>
    <w:p w14:paraId="4B703F77" w14:textId="77777777" w:rsidR="00401727" w:rsidRPr="00BC113D" w:rsidRDefault="00401727" w:rsidP="00401727">
      <w:pPr>
        <w:keepNext/>
        <w:widowControl w:val="0"/>
        <w:tabs>
          <w:tab w:val="left" w:pos="7513"/>
        </w:tabs>
        <w:spacing w:line="240" w:lineRule="auto"/>
        <w:rPr>
          <w:lang w:val="en-US"/>
        </w:rPr>
      </w:pPr>
      <w:proofErr w:type="spellStart"/>
      <w:r w:rsidRPr="00BC113D">
        <w:rPr>
          <w:lang w:val="en-US"/>
        </w:rPr>
        <w:t>Verovskova</w:t>
      </w:r>
      <w:proofErr w:type="spellEnd"/>
      <w:r w:rsidRPr="00BC113D">
        <w:rPr>
          <w:lang w:val="en-US"/>
        </w:rPr>
        <w:t xml:space="preserve"> </w:t>
      </w:r>
      <w:proofErr w:type="spellStart"/>
      <w:r w:rsidRPr="00BC113D">
        <w:rPr>
          <w:lang w:val="en-US"/>
        </w:rPr>
        <w:t>Ulica</w:t>
      </w:r>
      <w:proofErr w:type="spellEnd"/>
      <w:r w:rsidRPr="00BC113D">
        <w:rPr>
          <w:lang w:val="en-US"/>
        </w:rPr>
        <w:t xml:space="preserve"> 57</w:t>
      </w:r>
    </w:p>
    <w:p w14:paraId="2C3F875B" w14:textId="77777777" w:rsidR="00401727" w:rsidRPr="00BC113D" w:rsidRDefault="00401727" w:rsidP="00401727">
      <w:pPr>
        <w:keepNext/>
        <w:widowControl w:val="0"/>
        <w:tabs>
          <w:tab w:val="left" w:pos="7513"/>
        </w:tabs>
        <w:spacing w:line="240" w:lineRule="auto"/>
        <w:rPr>
          <w:lang w:val="en-US"/>
        </w:rPr>
      </w:pPr>
      <w:r w:rsidRPr="00BC113D">
        <w:rPr>
          <w:lang w:val="en-US"/>
        </w:rPr>
        <w:t>Ljubljana, 1000</w:t>
      </w:r>
    </w:p>
    <w:p w14:paraId="1C3880B5" w14:textId="12BBDA1F" w:rsidR="00401727" w:rsidRDefault="00401727" w:rsidP="00401727">
      <w:pPr>
        <w:widowControl w:val="0"/>
        <w:tabs>
          <w:tab w:val="clear" w:pos="567"/>
        </w:tabs>
        <w:spacing w:line="240" w:lineRule="auto"/>
        <w:ind w:right="-2"/>
        <w:rPr>
          <w:lang w:val="en-US"/>
        </w:rPr>
      </w:pPr>
      <w:r w:rsidRPr="00F25A60">
        <w:t>Slovinsko</w:t>
      </w:r>
    </w:p>
    <w:p w14:paraId="3EAE60A4" w14:textId="77777777" w:rsidR="00401727" w:rsidRPr="00BC113D" w:rsidRDefault="00401727" w:rsidP="00401727">
      <w:pPr>
        <w:widowControl w:val="0"/>
        <w:tabs>
          <w:tab w:val="clear" w:pos="567"/>
        </w:tabs>
        <w:spacing w:line="240" w:lineRule="auto"/>
        <w:ind w:right="-2"/>
        <w:rPr>
          <w:color w:val="000000"/>
          <w:lang w:val="en-US"/>
        </w:rPr>
      </w:pPr>
    </w:p>
    <w:p w14:paraId="73CC1232" w14:textId="77777777" w:rsidR="0003151A" w:rsidRPr="00B909F6" w:rsidRDefault="0003151A" w:rsidP="005C56E6">
      <w:pPr>
        <w:keepNext/>
        <w:widowControl w:val="0"/>
        <w:tabs>
          <w:tab w:val="left" w:pos="7513"/>
        </w:tabs>
        <w:spacing w:line="240" w:lineRule="auto"/>
        <w:rPr>
          <w:shd w:val="pct15" w:color="auto" w:fill="auto"/>
        </w:rPr>
      </w:pPr>
      <w:r w:rsidRPr="00B909F6">
        <w:rPr>
          <w:shd w:val="pct15" w:color="auto" w:fill="auto"/>
        </w:rPr>
        <w:lastRenderedPageBreak/>
        <w:t>Lek d.d, PE PROIZVODNJA LENDAVA</w:t>
      </w:r>
    </w:p>
    <w:p w14:paraId="76E2F58E" w14:textId="77777777" w:rsidR="0003151A" w:rsidRPr="00B909F6" w:rsidRDefault="0003151A" w:rsidP="005C56E6">
      <w:pPr>
        <w:keepNext/>
        <w:widowControl w:val="0"/>
        <w:tabs>
          <w:tab w:val="left" w:pos="7513"/>
        </w:tabs>
        <w:spacing w:line="240" w:lineRule="auto"/>
        <w:rPr>
          <w:shd w:val="pct15" w:color="auto" w:fill="auto"/>
        </w:rPr>
      </w:pPr>
      <w:r w:rsidRPr="00B909F6">
        <w:rPr>
          <w:shd w:val="pct15" w:color="auto" w:fill="auto"/>
        </w:rPr>
        <w:t>Trimlini 2D</w:t>
      </w:r>
    </w:p>
    <w:p w14:paraId="7BF35047" w14:textId="77777777" w:rsidR="0003151A" w:rsidRPr="00B909F6" w:rsidRDefault="0003151A" w:rsidP="005C56E6">
      <w:pPr>
        <w:keepNext/>
        <w:widowControl w:val="0"/>
        <w:tabs>
          <w:tab w:val="left" w:pos="7513"/>
        </w:tabs>
        <w:spacing w:line="240" w:lineRule="auto"/>
        <w:rPr>
          <w:shd w:val="pct15" w:color="auto" w:fill="auto"/>
        </w:rPr>
      </w:pPr>
      <w:r w:rsidRPr="00B909F6">
        <w:rPr>
          <w:shd w:val="pct15" w:color="auto" w:fill="auto"/>
        </w:rPr>
        <w:t>Lendava, 9220</w:t>
      </w:r>
    </w:p>
    <w:p w14:paraId="405BB233" w14:textId="77777777" w:rsidR="0003151A" w:rsidRPr="00B909F6" w:rsidRDefault="0003151A" w:rsidP="005C56E6">
      <w:pPr>
        <w:widowControl w:val="0"/>
        <w:tabs>
          <w:tab w:val="left" w:pos="7513"/>
        </w:tabs>
        <w:spacing w:line="240" w:lineRule="auto"/>
        <w:rPr>
          <w:shd w:val="pct15" w:color="auto" w:fill="auto"/>
        </w:rPr>
      </w:pPr>
      <w:r w:rsidRPr="00B909F6">
        <w:rPr>
          <w:shd w:val="pct15" w:color="auto" w:fill="auto"/>
        </w:rPr>
        <w:t>Slovinsko</w:t>
      </w:r>
    </w:p>
    <w:p w14:paraId="18D0127D" w14:textId="77777777" w:rsidR="0003151A" w:rsidRPr="00F25A60" w:rsidRDefault="0003151A" w:rsidP="005C56E6">
      <w:pPr>
        <w:widowControl w:val="0"/>
        <w:tabs>
          <w:tab w:val="left" w:pos="7513"/>
        </w:tabs>
        <w:spacing w:line="240" w:lineRule="auto"/>
      </w:pPr>
    </w:p>
    <w:p w14:paraId="5F01627F" w14:textId="77777777" w:rsidR="0041470E" w:rsidRPr="00F46B3D" w:rsidRDefault="0041470E" w:rsidP="0041470E">
      <w:pPr>
        <w:keepNext/>
        <w:widowControl w:val="0"/>
        <w:tabs>
          <w:tab w:val="left" w:pos="7513"/>
        </w:tabs>
        <w:spacing w:line="240" w:lineRule="auto"/>
        <w:rPr>
          <w:shd w:val="pct15" w:color="auto" w:fill="auto"/>
          <w:lang w:val="it-IT"/>
        </w:rPr>
      </w:pPr>
      <w:r w:rsidRPr="00F46B3D">
        <w:rPr>
          <w:shd w:val="pct15" w:color="auto" w:fill="auto"/>
          <w:lang w:val="it-IT"/>
        </w:rPr>
        <w:t>Novartis Farmacéutica, S.A.</w:t>
      </w:r>
    </w:p>
    <w:p w14:paraId="532C89C3" w14:textId="77777777" w:rsidR="0041470E" w:rsidRPr="00F46B3D" w:rsidRDefault="0041470E" w:rsidP="0041470E">
      <w:pPr>
        <w:keepNext/>
        <w:widowControl w:val="0"/>
        <w:tabs>
          <w:tab w:val="left" w:pos="7513"/>
        </w:tabs>
        <w:spacing w:line="240" w:lineRule="auto"/>
        <w:rPr>
          <w:shd w:val="pct15" w:color="auto" w:fill="auto"/>
          <w:lang w:val="it-IT"/>
        </w:rPr>
      </w:pPr>
      <w:r w:rsidRPr="00F46B3D">
        <w:rPr>
          <w:shd w:val="pct15" w:color="auto" w:fill="auto"/>
          <w:lang w:val="it-IT"/>
        </w:rPr>
        <w:t>Gran Via de les Corts Catalanes, 764</w:t>
      </w:r>
    </w:p>
    <w:p w14:paraId="6EADDFB2" w14:textId="77777777" w:rsidR="0041470E" w:rsidRPr="00F46B3D" w:rsidRDefault="0041470E" w:rsidP="0041470E">
      <w:pPr>
        <w:keepNext/>
        <w:widowControl w:val="0"/>
        <w:tabs>
          <w:tab w:val="left" w:pos="7513"/>
        </w:tabs>
        <w:spacing w:line="240" w:lineRule="auto"/>
        <w:rPr>
          <w:shd w:val="pct15" w:color="auto" w:fill="auto"/>
          <w:lang w:val="it-IT"/>
        </w:rPr>
      </w:pPr>
      <w:r w:rsidRPr="00F46B3D">
        <w:rPr>
          <w:shd w:val="pct15" w:color="auto" w:fill="auto"/>
          <w:lang w:val="it-IT"/>
        </w:rPr>
        <w:t>08013 Barcelona</w:t>
      </w:r>
    </w:p>
    <w:p w14:paraId="1DCD7932" w14:textId="4F872334" w:rsidR="00E61A01" w:rsidRPr="00F25A60" w:rsidRDefault="0041470E" w:rsidP="0041470E">
      <w:pPr>
        <w:widowControl w:val="0"/>
        <w:tabs>
          <w:tab w:val="clear" w:pos="567"/>
        </w:tabs>
        <w:spacing w:line="240" w:lineRule="auto"/>
        <w:ind w:right="-2"/>
        <w:rPr>
          <w:color w:val="000000"/>
          <w:shd w:val="pct15" w:color="auto" w:fill="auto"/>
        </w:rPr>
      </w:pPr>
      <w:r w:rsidRPr="00F46B3D">
        <w:rPr>
          <w:shd w:val="pct15" w:color="auto" w:fill="auto"/>
          <w:lang w:val="it-IT"/>
        </w:rPr>
        <w:t>Španělsko</w:t>
      </w:r>
    </w:p>
    <w:p w14:paraId="6EAF4788" w14:textId="77777777" w:rsidR="00E61A01" w:rsidRDefault="00E61A01" w:rsidP="005C56E6">
      <w:pPr>
        <w:widowControl w:val="0"/>
        <w:tabs>
          <w:tab w:val="clear" w:pos="567"/>
        </w:tabs>
        <w:spacing w:line="240" w:lineRule="auto"/>
        <w:ind w:right="-2"/>
        <w:rPr>
          <w:color w:val="000000"/>
        </w:rPr>
      </w:pPr>
    </w:p>
    <w:p w14:paraId="7F989062" w14:textId="77777777" w:rsidR="00C23DAE" w:rsidRPr="00325C64" w:rsidRDefault="00C23DAE" w:rsidP="00C23DAE">
      <w:pPr>
        <w:keepNext/>
        <w:rPr>
          <w:rFonts w:eastAsia="Aptos"/>
          <w:shd w:val="pct15" w:color="auto" w:fill="auto"/>
          <w:lang w:val="en-US" w:eastAsia="de-CH"/>
        </w:rPr>
      </w:pPr>
      <w:r w:rsidRPr="00325C64">
        <w:rPr>
          <w:rFonts w:eastAsia="Aptos"/>
          <w:shd w:val="pct15" w:color="auto" w:fill="auto"/>
          <w:lang w:val="en-US" w:eastAsia="de-CH"/>
        </w:rPr>
        <w:t>Novartis Pharma GmbH</w:t>
      </w:r>
    </w:p>
    <w:p w14:paraId="1AE7ECED" w14:textId="77777777" w:rsidR="00C23DAE" w:rsidRPr="00325C64" w:rsidRDefault="00C23DAE" w:rsidP="00C23DAE">
      <w:pPr>
        <w:keepNext/>
        <w:rPr>
          <w:rFonts w:eastAsia="Aptos"/>
          <w:shd w:val="pct15" w:color="auto" w:fill="auto"/>
          <w:lang w:val="en-US" w:eastAsia="de-CH"/>
        </w:rPr>
      </w:pPr>
      <w:r w:rsidRPr="00325C64">
        <w:rPr>
          <w:rFonts w:eastAsia="Aptos"/>
          <w:shd w:val="pct15" w:color="auto" w:fill="auto"/>
          <w:lang w:val="en-US" w:eastAsia="de-CH"/>
        </w:rPr>
        <w:t>Sophie-Germain-Strasse 10</w:t>
      </w:r>
    </w:p>
    <w:p w14:paraId="4E78F42C" w14:textId="77777777" w:rsidR="00C23DAE" w:rsidRPr="00325C64" w:rsidRDefault="00C23DAE" w:rsidP="00C23DAE">
      <w:pPr>
        <w:keepNext/>
        <w:rPr>
          <w:rFonts w:eastAsia="Aptos"/>
          <w:shd w:val="pct15" w:color="auto" w:fill="auto"/>
          <w:lang w:val="en-US" w:eastAsia="de-CH"/>
        </w:rPr>
      </w:pPr>
      <w:r w:rsidRPr="00325C64">
        <w:rPr>
          <w:rFonts w:eastAsia="Aptos"/>
          <w:shd w:val="pct15" w:color="auto" w:fill="auto"/>
          <w:lang w:val="en-US" w:eastAsia="de-CH"/>
        </w:rPr>
        <w:t xml:space="preserve">90443 </w:t>
      </w:r>
      <w:proofErr w:type="spellStart"/>
      <w:r w:rsidRPr="00325C64">
        <w:rPr>
          <w:rFonts w:eastAsia="Aptos"/>
          <w:shd w:val="pct15" w:color="auto" w:fill="auto"/>
          <w:lang w:val="en-US" w:eastAsia="de-CH"/>
        </w:rPr>
        <w:t>Norimberk</w:t>
      </w:r>
      <w:proofErr w:type="spellEnd"/>
    </w:p>
    <w:p w14:paraId="1BE6574B" w14:textId="113C1F0B" w:rsidR="00C23DAE" w:rsidRDefault="00C23DAE" w:rsidP="00C23DAE">
      <w:pPr>
        <w:widowControl w:val="0"/>
        <w:tabs>
          <w:tab w:val="clear" w:pos="567"/>
        </w:tabs>
        <w:spacing w:line="240" w:lineRule="auto"/>
        <w:ind w:right="-2"/>
        <w:rPr>
          <w:shd w:val="pct15" w:color="auto" w:fill="auto"/>
          <w:lang w:val="de-CH"/>
        </w:rPr>
      </w:pPr>
      <w:r w:rsidRPr="00CC69C1">
        <w:rPr>
          <w:shd w:val="pct15" w:color="auto" w:fill="auto"/>
          <w:lang w:val="de-CH"/>
        </w:rPr>
        <w:t>Německo</w:t>
      </w:r>
    </w:p>
    <w:p w14:paraId="22A45FA2" w14:textId="77777777" w:rsidR="00C23DAE" w:rsidRPr="00F25A60" w:rsidRDefault="00C23DAE" w:rsidP="00C23DAE">
      <w:pPr>
        <w:widowControl w:val="0"/>
        <w:tabs>
          <w:tab w:val="clear" w:pos="567"/>
        </w:tabs>
        <w:spacing w:line="240" w:lineRule="auto"/>
        <w:ind w:right="-2"/>
        <w:rPr>
          <w:color w:val="000000"/>
        </w:rPr>
      </w:pPr>
    </w:p>
    <w:p w14:paraId="55581A7A" w14:textId="77777777" w:rsidR="00E61A01" w:rsidRPr="00F25A60" w:rsidRDefault="00E61A01" w:rsidP="005C56E6">
      <w:pPr>
        <w:keepNext/>
        <w:widowControl w:val="0"/>
        <w:tabs>
          <w:tab w:val="clear" w:pos="567"/>
        </w:tabs>
        <w:spacing w:line="240" w:lineRule="auto"/>
        <w:ind w:right="-2"/>
        <w:rPr>
          <w:color w:val="000000"/>
        </w:rPr>
      </w:pPr>
      <w:r w:rsidRPr="00F25A60">
        <w:rPr>
          <w:color w:val="000000"/>
        </w:rPr>
        <w:t>Další informace o tomto přípravku získáte u místního zástupce držitele rozhodnutí o registraci:</w:t>
      </w:r>
    </w:p>
    <w:p w14:paraId="2FFC8DB8" w14:textId="77777777" w:rsidR="00762D0E" w:rsidRPr="00F25A60" w:rsidRDefault="00762D0E" w:rsidP="005C56E6">
      <w:pPr>
        <w:keepNext/>
        <w:widowControl w:val="0"/>
        <w:tabs>
          <w:tab w:val="clear" w:pos="567"/>
        </w:tabs>
        <w:spacing w:line="240" w:lineRule="auto"/>
        <w:ind w:right="-449"/>
        <w:rPr>
          <w:color w:val="000000"/>
        </w:rPr>
      </w:pPr>
    </w:p>
    <w:tbl>
      <w:tblPr>
        <w:tblW w:w="9300" w:type="dxa"/>
        <w:tblLayout w:type="fixed"/>
        <w:tblLook w:val="0000" w:firstRow="0" w:lastRow="0" w:firstColumn="0" w:lastColumn="0" w:noHBand="0" w:noVBand="0"/>
      </w:tblPr>
      <w:tblGrid>
        <w:gridCol w:w="4650"/>
        <w:gridCol w:w="4650"/>
      </w:tblGrid>
      <w:tr w:rsidR="00762D0E" w:rsidRPr="00F25A60" w14:paraId="261753D0" w14:textId="77777777" w:rsidTr="00795E60">
        <w:trPr>
          <w:cantSplit/>
        </w:trPr>
        <w:tc>
          <w:tcPr>
            <w:tcW w:w="4650" w:type="dxa"/>
          </w:tcPr>
          <w:p w14:paraId="06D585B1" w14:textId="77777777" w:rsidR="00762D0E" w:rsidRPr="00F25A60" w:rsidRDefault="00762D0E" w:rsidP="005C56E6">
            <w:pPr>
              <w:widowControl w:val="0"/>
              <w:spacing w:line="240" w:lineRule="auto"/>
              <w:rPr>
                <w:b/>
                <w:color w:val="000000"/>
              </w:rPr>
            </w:pPr>
            <w:r w:rsidRPr="00F25A60">
              <w:rPr>
                <w:b/>
                <w:color w:val="000000"/>
              </w:rPr>
              <w:t>België/Belgique/Belgien</w:t>
            </w:r>
          </w:p>
          <w:p w14:paraId="48769378" w14:textId="77777777" w:rsidR="00762D0E" w:rsidRPr="00F25A60" w:rsidRDefault="00762D0E" w:rsidP="005C56E6">
            <w:pPr>
              <w:widowControl w:val="0"/>
              <w:spacing w:line="240" w:lineRule="auto"/>
              <w:rPr>
                <w:color w:val="000000"/>
              </w:rPr>
            </w:pPr>
            <w:r w:rsidRPr="00F25A60">
              <w:rPr>
                <w:color w:val="000000"/>
              </w:rPr>
              <w:t>Novartis Pharma N.V.</w:t>
            </w:r>
          </w:p>
          <w:p w14:paraId="080436F7" w14:textId="77777777" w:rsidR="00762D0E" w:rsidRPr="00F25A60" w:rsidRDefault="00762D0E" w:rsidP="005C56E6">
            <w:pPr>
              <w:widowControl w:val="0"/>
              <w:spacing w:line="240" w:lineRule="auto"/>
              <w:rPr>
                <w:color w:val="000000"/>
              </w:rPr>
            </w:pPr>
            <w:r w:rsidRPr="00F25A60">
              <w:rPr>
                <w:color w:val="000000"/>
              </w:rPr>
              <w:t>Tél/Tel: +32 2 246 16 11</w:t>
            </w:r>
          </w:p>
          <w:p w14:paraId="24BD6970" w14:textId="77777777" w:rsidR="00762D0E" w:rsidRPr="00F25A60" w:rsidRDefault="00762D0E" w:rsidP="005C56E6">
            <w:pPr>
              <w:widowControl w:val="0"/>
              <w:spacing w:line="240" w:lineRule="auto"/>
              <w:rPr>
                <w:b/>
                <w:color w:val="000000"/>
              </w:rPr>
            </w:pPr>
          </w:p>
        </w:tc>
        <w:tc>
          <w:tcPr>
            <w:tcW w:w="4650" w:type="dxa"/>
          </w:tcPr>
          <w:p w14:paraId="1182C103" w14:textId="77777777" w:rsidR="00762D0E" w:rsidRPr="00F25A60" w:rsidRDefault="00762D0E" w:rsidP="005C56E6">
            <w:pPr>
              <w:widowControl w:val="0"/>
              <w:spacing w:line="240" w:lineRule="auto"/>
              <w:rPr>
                <w:b/>
                <w:color w:val="000000"/>
              </w:rPr>
            </w:pPr>
            <w:r w:rsidRPr="00F25A60">
              <w:rPr>
                <w:b/>
                <w:color w:val="000000"/>
              </w:rPr>
              <w:t>Lietuva</w:t>
            </w:r>
          </w:p>
          <w:p w14:paraId="603342F7" w14:textId="03842269" w:rsidR="00762D0E" w:rsidRPr="00F25A60" w:rsidRDefault="00F01DF4" w:rsidP="005C56E6">
            <w:pPr>
              <w:widowControl w:val="0"/>
              <w:spacing w:line="240" w:lineRule="auto"/>
              <w:rPr>
                <w:color w:val="000000"/>
              </w:rPr>
            </w:pPr>
            <w:r w:rsidRPr="00F25A60">
              <w:t>SIA Novartis Baltics Lietuvos filialas</w:t>
            </w:r>
          </w:p>
          <w:p w14:paraId="299CE462" w14:textId="77777777" w:rsidR="00762D0E" w:rsidRPr="00F25A60" w:rsidRDefault="00762D0E" w:rsidP="005C56E6">
            <w:pPr>
              <w:widowControl w:val="0"/>
              <w:spacing w:line="240" w:lineRule="auto"/>
              <w:rPr>
                <w:color w:val="000000"/>
              </w:rPr>
            </w:pPr>
            <w:r w:rsidRPr="00F25A60">
              <w:rPr>
                <w:color w:val="000000"/>
              </w:rPr>
              <w:t>Tel: +370 5 269 16 50</w:t>
            </w:r>
          </w:p>
          <w:p w14:paraId="02F2579A" w14:textId="77777777" w:rsidR="00762D0E" w:rsidRPr="00F25A60" w:rsidRDefault="00762D0E" w:rsidP="005C56E6">
            <w:pPr>
              <w:widowControl w:val="0"/>
              <w:spacing w:line="240" w:lineRule="auto"/>
              <w:rPr>
                <w:color w:val="000000"/>
              </w:rPr>
            </w:pPr>
          </w:p>
        </w:tc>
      </w:tr>
      <w:tr w:rsidR="00762D0E" w:rsidRPr="00F25A60" w14:paraId="69DC2C64" w14:textId="77777777" w:rsidTr="00795E60">
        <w:trPr>
          <w:cantSplit/>
        </w:trPr>
        <w:tc>
          <w:tcPr>
            <w:tcW w:w="4650" w:type="dxa"/>
          </w:tcPr>
          <w:p w14:paraId="67F71420" w14:textId="77777777" w:rsidR="00762D0E" w:rsidRPr="00F25A60" w:rsidRDefault="00762D0E" w:rsidP="005C56E6">
            <w:pPr>
              <w:widowControl w:val="0"/>
              <w:spacing w:line="240" w:lineRule="auto"/>
              <w:rPr>
                <w:b/>
                <w:noProof/>
                <w:color w:val="000000"/>
              </w:rPr>
            </w:pPr>
            <w:r w:rsidRPr="00F25A60">
              <w:rPr>
                <w:b/>
                <w:noProof/>
                <w:color w:val="000000"/>
              </w:rPr>
              <w:t>България</w:t>
            </w:r>
          </w:p>
          <w:p w14:paraId="0CCBFDFF" w14:textId="77777777" w:rsidR="00762D0E" w:rsidRPr="00F25A60" w:rsidRDefault="008E362E" w:rsidP="005C56E6">
            <w:pPr>
              <w:widowControl w:val="0"/>
              <w:spacing w:line="240" w:lineRule="auto"/>
              <w:rPr>
                <w:noProof/>
                <w:color w:val="000000"/>
              </w:rPr>
            </w:pPr>
            <w:r w:rsidRPr="00F25A60">
              <w:t>Novartis Bulgaria EOOD</w:t>
            </w:r>
          </w:p>
          <w:p w14:paraId="08DBE879" w14:textId="77777777" w:rsidR="00762D0E" w:rsidRPr="00F25A60" w:rsidRDefault="00762D0E" w:rsidP="005C56E6">
            <w:pPr>
              <w:widowControl w:val="0"/>
              <w:spacing w:line="240" w:lineRule="auto"/>
              <w:rPr>
                <w:noProof/>
                <w:color w:val="000000"/>
              </w:rPr>
            </w:pPr>
            <w:r w:rsidRPr="00F25A60">
              <w:rPr>
                <w:noProof/>
                <w:color w:val="000000"/>
              </w:rPr>
              <w:t>Тел.: +359 2 489 98 28</w:t>
            </w:r>
          </w:p>
          <w:p w14:paraId="77720C59" w14:textId="77777777" w:rsidR="00762D0E" w:rsidRPr="00F25A60" w:rsidRDefault="00762D0E" w:rsidP="005C56E6">
            <w:pPr>
              <w:widowControl w:val="0"/>
              <w:spacing w:line="240" w:lineRule="auto"/>
              <w:rPr>
                <w:b/>
                <w:color w:val="000000"/>
              </w:rPr>
            </w:pPr>
          </w:p>
        </w:tc>
        <w:tc>
          <w:tcPr>
            <w:tcW w:w="4650" w:type="dxa"/>
          </w:tcPr>
          <w:p w14:paraId="6D509A7B" w14:textId="77777777" w:rsidR="00762D0E" w:rsidRPr="00F25A60" w:rsidRDefault="00762D0E" w:rsidP="005C56E6">
            <w:pPr>
              <w:widowControl w:val="0"/>
              <w:spacing w:line="240" w:lineRule="auto"/>
              <w:rPr>
                <w:b/>
                <w:color w:val="000000"/>
              </w:rPr>
            </w:pPr>
            <w:r w:rsidRPr="00F25A60">
              <w:rPr>
                <w:b/>
                <w:color w:val="000000"/>
              </w:rPr>
              <w:t>Luxembourg/Luxemburg</w:t>
            </w:r>
          </w:p>
          <w:p w14:paraId="48434D1B" w14:textId="77777777" w:rsidR="00762D0E" w:rsidRPr="00F25A60" w:rsidRDefault="00762D0E" w:rsidP="005C56E6">
            <w:pPr>
              <w:widowControl w:val="0"/>
              <w:spacing w:line="240" w:lineRule="auto"/>
              <w:rPr>
                <w:color w:val="000000"/>
              </w:rPr>
            </w:pPr>
            <w:r w:rsidRPr="00F25A60">
              <w:rPr>
                <w:color w:val="000000"/>
              </w:rPr>
              <w:t>Novartis Pharma N.V.</w:t>
            </w:r>
          </w:p>
          <w:p w14:paraId="58F1D85A" w14:textId="77777777" w:rsidR="00762D0E" w:rsidRPr="00F25A60" w:rsidRDefault="00762D0E" w:rsidP="005C56E6">
            <w:pPr>
              <w:widowControl w:val="0"/>
              <w:spacing w:line="240" w:lineRule="auto"/>
              <w:rPr>
                <w:color w:val="000000"/>
              </w:rPr>
            </w:pPr>
            <w:r w:rsidRPr="00F25A60">
              <w:rPr>
                <w:color w:val="000000"/>
              </w:rPr>
              <w:t>Tél/Tel: +32 2 246 16 11</w:t>
            </w:r>
          </w:p>
          <w:p w14:paraId="5105E2D7" w14:textId="77777777" w:rsidR="00762D0E" w:rsidRPr="00F25A60" w:rsidRDefault="00762D0E" w:rsidP="005C56E6">
            <w:pPr>
              <w:widowControl w:val="0"/>
              <w:spacing w:line="240" w:lineRule="auto"/>
              <w:rPr>
                <w:color w:val="000000"/>
              </w:rPr>
            </w:pPr>
          </w:p>
        </w:tc>
      </w:tr>
      <w:tr w:rsidR="00762D0E" w:rsidRPr="00F25A60" w14:paraId="6DE5FA8E" w14:textId="77777777" w:rsidTr="00795E60">
        <w:trPr>
          <w:cantSplit/>
        </w:trPr>
        <w:tc>
          <w:tcPr>
            <w:tcW w:w="4650" w:type="dxa"/>
          </w:tcPr>
          <w:p w14:paraId="3E9FF3CF" w14:textId="77777777" w:rsidR="00762D0E" w:rsidRPr="00F25A60" w:rsidRDefault="00762D0E" w:rsidP="005C56E6">
            <w:pPr>
              <w:widowControl w:val="0"/>
              <w:spacing w:line="240" w:lineRule="auto"/>
              <w:rPr>
                <w:b/>
                <w:color w:val="000000"/>
              </w:rPr>
            </w:pPr>
            <w:r w:rsidRPr="00F25A60">
              <w:rPr>
                <w:b/>
                <w:color w:val="000000"/>
              </w:rPr>
              <w:t>Česká republika</w:t>
            </w:r>
          </w:p>
          <w:p w14:paraId="1959333A" w14:textId="77777777" w:rsidR="00762D0E" w:rsidRPr="00F25A60" w:rsidRDefault="00762D0E" w:rsidP="005C56E6">
            <w:pPr>
              <w:widowControl w:val="0"/>
              <w:spacing w:line="240" w:lineRule="auto"/>
              <w:rPr>
                <w:color w:val="000000"/>
              </w:rPr>
            </w:pPr>
            <w:r w:rsidRPr="00F25A60">
              <w:rPr>
                <w:color w:val="000000"/>
              </w:rPr>
              <w:t>Novartis s.r.o.</w:t>
            </w:r>
          </w:p>
          <w:p w14:paraId="0E0F088C" w14:textId="77777777" w:rsidR="00762D0E" w:rsidRPr="00F25A60" w:rsidRDefault="00762D0E" w:rsidP="005C56E6">
            <w:pPr>
              <w:widowControl w:val="0"/>
              <w:spacing w:line="240" w:lineRule="auto"/>
              <w:rPr>
                <w:color w:val="000000"/>
              </w:rPr>
            </w:pPr>
            <w:r w:rsidRPr="00F25A60">
              <w:rPr>
                <w:color w:val="000000"/>
              </w:rPr>
              <w:t>Tel: +420 225 775 111</w:t>
            </w:r>
          </w:p>
          <w:p w14:paraId="71C7997B" w14:textId="77777777" w:rsidR="00762D0E" w:rsidRPr="00F25A60" w:rsidRDefault="00762D0E" w:rsidP="005C56E6">
            <w:pPr>
              <w:widowControl w:val="0"/>
              <w:spacing w:line="240" w:lineRule="auto"/>
              <w:rPr>
                <w:b/>
                <w:color w:val="000000"/>
              </w:rPr>
            </w:pPr>
          </w:p>
        </w:tc>
        <w:tc>
          <w:tcPr>
            <w:tcW w:w="4650" w:type="dxa"/>
          </w:tcPr>
          <w:p w14:paraId="1157ED7C" w14:textId="77777777" w:rsidR="00762D0E" w:rsidRPr="00F25A60" w:rsidRDefault="00762D0E" w:rsidP="005C56E6">
            <w:pPr>
              <w:widowControl w:val="0"/>
              <w:spacing w:line="240" w:lineRule="auto"/>
              <w:rPr>
                <w:b/>
                <w:color w:val="000000"/>
              </w:rPr>
            </w:pPr>
            <w:r w:rsidRPr="00F25A60">
              <w:rPr>
                <w:b/>
                <w:color w:val="000000"/>
              </w:rPr>
              <w:t>Magyarország</w:t>
            </w:r>
          </w:p>
          <w:p w14:paraId="753E73CD" w14:textId="77777777" w:rsidR="00762D0E" w:rsidRPr="00F25A60" w:rsidRDefault="00762D0E" w:rsidP="005C56E6">
            <w:pPr>
              <w:widowControl w:val="0"/>
              <w:spacing w:line="240" w:lineRule="auto"/>
              <w:rPr>
                <w:color w:val="000000"/>
              </w:rPr>
            </w:pPr>
            <w:r w:rsidRPr="00F25A60">
              <w:rPr>
                <w:color w:val="000000"/>
              </w:rPr>
              <w:t>Novartis Hungária Kft.</w:t>
            </w:r>
          </w:p>
          <w:p w14:paraId="77ED83CB" w14:textId="77777777" w:rsidR="00762D0E" w:rsidRPr="00F25A60" w:rsidRDefault="00762D0E" w:rsidP="005C56E6">
            <w:pPr>
              <w:widowControl w:val="0"/>
              <w:spacing w:line="240" w:lineRule="auto"/>
              <w:rPr>
                <w:color w:val="000000"/>
              </w:rPr>
            </w:pPr>
            <w:r w:rsidRPr="00F25A60">
              <w:rPr>
                <w:color w:val="000000"/>
              </w:rPr>
              <w:t>Tel.: +36 1 457 65 00</w:t>
            </w:r>
          </w:p>
        </w:tc>
      </w:tr>
      <w:tr w:rsidR="00762D0E" w:rsidRPr="00F25A60" w14:paraId="3276DB40" w14:textId="77777777" w:rsidTr="00795E60">
        <w:trPr>
          <w:cantSplit/>
        </w:trPr>
        <w:tc>
          <w:tcPr>
            <w:tcW w:w="4650" w:type="dxa"/>
          </w:tcPr>
          <w:p w14:paraId="2ACA0483" w14:textId="77777777" w:rsidR="00762D0E" w:rsidRPr="00F25A60" w:rsidRDefault="00762D0E" w:rsidP="005C56E6">
            <w:pPr>
              <w:widowControl w:val="0"/>
              <w:spacing w:line="240" w:lineRule="auto"/>
              <w:rPr>
                <w:b/>
                <w:color w:val="000000"/>
              </w:rPr>
            </w:pPr>
            <w:r w:rsidRPr="00F25A60">
              <w:rPr>
                <w:b/>
                <w:color w:val="000000"/>
              </w:rPr>
              <w:t>Danmark</w:t>
            </w:r>
          </w:p>
          <w:p w14:paraId="231BD0DC" w14:textId="77777777" w:rsidR="00762D0E" w:rsidRPr="00F25A60" w:rsidRDefault="00762D0E" w:rsidP="005C56E6">
            <w:pPr>
              <w:widowControl w:val="0"/>
              <w:spacing w:line="240" w:lineRule="auto"/>
              <w:rPr>
                <w:color w:val="000000"/>
              </w:rPr>
            </w:pPr>
            <w:r w:rsidRPr="00F25A60">
              <w:rPr>
                <w:color w:val="000000"/>
              </w:rPr>
              <w:t>Novartis Healthcare A/S</w:t>
            </w:r>
          </w:p>
          <w:p w14:paraId="7D285565" w14:textId="6822A9DD" w:rsidR="00762D0E" w:rsidRPr="00F25A60" w:rsidRDefault="00762D0E" w:rsidP="005C56E6">
            <w:pPr>
              <w:widowControl w:val="0"/>
              <w:spacing w:line="240" w:lineRule="auto"/>
              <w:rPr>
                <w:color w:val="000000"/>
              </w:rPr>
            </w:pPr>
            <w:r w:rsidRPr="00F25A60">
              <w:rPr>
                <w:color w:val="000000"/>
              </w:rPr>
              <w:t>Tlf</w:t>
            </w:r>
            <w:ins w:id="471" w:author="Author">
              <w:r w:rsidR="00B424AB">
                <w:rPr>
                  <w:color w:val="000000"/>
                </w:rPr>
                <w:t>.</w:t>
              </w:r>
            </w:ins>
            <w:r w:rsidRPr="00F25A60">
              <w:rPr>
                <w:color w:val="000000"/>
              </w:rPr>
              <w:t>: +45 39 16 84 00</w:t>
            </w:r>
          </w:p>
          <w:p w14:paraId="0F60FCDB" w14:textId="77777777" w:rsidR="00762D0E" w:rsidRPr="00F25A60" w:rsidRDefault="00762D0E" w:rsidP="005C56E6">
            <w:pPr>
              <w:widowControl w:val="0"/>
              <w:spacing w:line="240" w:lineRule="auto"/>
              <w:rPr>
                <w:b/>
                <w:color w:val="000000"/>
              </w:rPr>
            </w:pPr>
          </w:p>
        </w:tc>
        <w:tc>
          <w:tcPr>
            <w:tcW w:w="4650" w:type="dxa"/>
          </w:tcPr>
          <w:p w14:paraId="16D10619" w14:textId="77777777" w:rsidR="00762D0E" w:rsidRPr="00F25A60" w:rsidRDefault="00762D0E" w:rsidP="005C56E6">
            <w:pPr>
              <w:widowControl w:val="0"/>
              <w:spacing w:line="240" w:lineRule="auto"/>
              <w:rPr>
                <w:b/>
                <w:color w:val="000000"/>
              </w:rPr>
            </w:pPr>
            <w:r w:rsidRPr="00F25A60">
              <w:rPr>
                <w:b/>
                <w:color w:val="000000"/>
              </w:rPr>
              <w:t>Malta</w:t>
            </w:r>
          </w:p>
          <w:p w14:paraId="6BE3AAD2" w14:textId="77777777" w:rsidR="00762D0E" w:rsidRPr="00F25A60" w:rsidRDefault="00762D0E" w:rsidP="005C56E6">
            <w:pPr>
              <w:widowControl w:val="0"/>
              <w:spacing w:line="240" w:lineRule="auto"/>
              <w:rPr>
                <w:color w:val="000000"/>
              </w:rPr>
            </w:pPr>
            <w:r w:rsidRPr="00F25A60">
              <w:rPr>
                <w:color w:val="000000"/>
              </w:rPr>
              <w:t>Novartis Pharma Services Inc.</w:t>
            </w:r>
          </w:p>
          <w:p w14:paraId="181D2DE8" w14:textId="77777777" w:rsidR="00762D0E" w:rsidRPr="00F25A60" w:rsidRDefault="00762D0E" w:rsidP="005C56E6">
            <w:pPr>
              <w:widowControl w:val="0"/>
              <w:spacing w:line="240" w:lineRule="auto"/>
              <w:rPr>
                <w:color w:val="000000"/>
              </w:rPr>
            </w:pPr>
            <w:r w:rsidRPr="00F25A60">
              <w:rPr>
                <w:color w:val="000000"/>
              </w:rPr>
              <w:t>Tel: +356 2122 2872</w:t>
            </w:r>
          </w:p>
        </w:tc>
      </w:tr>
      <w:tr w:rsidR="00762D0E" w:rsidRPr="00F25A60" w14:paraId="4F276A21" w14:textId="77777777" w:rsidTr="00795E60">
        <w:trPr>
          <w:cantSplit/>
        </w:trPr>
        <w:tc>
          <w:tcPr>
            <w:tcW w:w="4650" w:type="dxa"/>
          </w:tcPr>
          <w:p w14:paraId="14C5E20C" w14:textId="77777777" w:rsidR="00762D0E" w:rsidRPr="00F25A60" w:rsidRDefault="00762D0E" w:rsidP="005C56E6">
            <w:pPr>
              <w:widowControl w:val="0"/>
              <w:spacing w:line="240" w:lineRule="auto"/>
              <w:rPr>
                <w:b/>
                <w:color w:val="000000"/>
              </w:rPr>
            </w:pPr>
            <w:r w:rsidRPr="00F25A60">
              <w:rPr>
                <w:b/>
                <w:color w:val="000000"/>
              </w:rPr>
              <w:t>Deutschland</w:t>
            </w:r>
          </w:p>
          <w:p w14:paraId="067D97E4" w14:textId="77777777" w:rsidR="00762D0E" w:rsidRPr="00F25A60" w:rsidRDefault="00762D0E" w:rsidP="005C56E6">
            <w:pPr>
              <w:widowControl w:val="0"/>
              <w:spacing w:line="240" w:lineRule="auto"/>
              <w:rPr>
                <w:color w:val="000000"/>
              </w:rPr>
            </w:pPr>
            <w:r w:rsidRPr="00F25A60">
              <w:rPr>
                <w:color w:val="000000"/>
              </w:rPr>
              <w:t>Novartis Pharma GmbH</w:t>
            </w:r>
          </w:p>
          <w:p w14:paraId="1B38BBC7" w14:textId="77777777" w:rsidR="00762D0E" w:rsidRPr="00F25A60" w:rsidRDefault="00762D0E" w:rsidP="005C56E6">
            <w:pPr>
              <w:widowControl w:val="0"/>
              <w:spacing w:line="240" w:lineRule="auto"/>
              <w:rPr>
                <w:color w:val="000000"/>
              </w:rPr>
            </w:pPr>
            <w:r w:rsidRPr="00F25A60">
              <w:rPr>
                <w:color w:val="000000"/>
              </w:rPr>
              <w:t>Tel: +49 911 273 0</w:t>
            </w:r>
          </w:p>
          <w:p w14:paraId="6A8892BD" w14:textId="77777777" w:rsidR="00762D0E" w:rsidRPr="00F25A60" w:rsidRDefault="00762D0E" w:rsidP="005C56E6">
            <w:pPr>
              <w:widowControl w:val="0"/>
              <w:spacing w:line="240" w:lineRule="auto"/>
              <w:rPr>
                <w:b/>
                <w:color w:val="000000"/>
              </w:rPr>
            </w:pPr>
          </w:p>
        </w:tc>
        <w:tc>
          <w:tcPr>
            <w:tcW w:w="4650" w:type="dxa"/>
          </w:tcPr>
          <w:p w14:paraId="14724783" w14:textId="77777777" w:rsidR="00762D0E" w:rsidRPr="00F25A60" w:rsidRDefault="00762D0E" w:rsidP="005C56E6">
            <w:pPr>
              <w:widowControl w:val="0"/>
              <w:spacing w:line="240" w:lineRule="auto"/>
              <w:rPr>
                <w:b/>
                <w:color w:val="000000"/>
              </w:rPr>
            </w:pPr>
            <w:r w:rsidRPr="00F25A60">
              <w:rPr>
                <w:b/>
                <w:color w:val="000000"/>
              </w:rPr>
              <w:t>Nederland</w:t>
            </w:r>
          </w:p>
          <w:p w14:paraId="7F2E20D0" w14:textId="77777777" w:rsidR="00762D0E" w:rsidRPr="00F25A60" w:rsidRDefault="00762D0E" w:rsidP="005C56E6">
            <w:pPr>
              <w:widowControl w:val="0"/>
              <w:spacing w:line="240" w:lineRule="auto"/>
              <w:rPr>
                <w:color w:val="000000"/>
              </w:rPr>
            </w:pPr>
            <w:r w:rsidRPr="00F25A60">
              <w:rPr>
                <w:color w:val="000000"/>
              </w:rPr>
              <w:t>Novartis Pharma B.V.</w:t>
            </w:r>
          </w:p>
          <w:p w14:paraId="27ADBC8E" w14:textId="1B339E26" w:rsidR="00762D0E" w:rsidRPr="00F25A60" w:rsidRDefault="00762D0E" w:rsidP="005C56E6">
            <w:pPr>
              <w:widowControl w:val="0"/>
              <w:spacing w:line="240" w:lineRule="auto"/>
              <w:rPr>
                <w:color w:val="000000"/>
              </w:rPr>
            </w:pPr>
            <w:r w:rsidRPr="00F25A60">
              <w:rPr>
                <w:color w:val="000000"/>
              </w:rPr>
              <w:t xml:space="preserve">Tel: +31 </w:t>
            </w:r>
            <w:r w:rsidR="00A979A1" w:rsidRPr="00F25A60">
              <w:rPr>
                <w:color w:val="000000"/>
              </w:rPr>
              <w:t>88 04 52</w:t>
            </w:r>
            <w:r w:rsidRPr="00F25A60">
              <w:rPr>
                <w:color w:val="000000"/>
              </w:rPr>
              <w:t xml:space="preserve"> </w:t>
            </w:r>
            <w:del w:id="472" w:author="Author">
              <w:r w:rsidR="00F35C9B" w:rsidRPr="00F25A60" w:rsidDel="00B424AB">
                <w:rPr>
                  <w:color w:val="000000"/>
                </w:rPr>
                <w:delText>555</w:delText>
              </w:r>
            </w:del>
            <w:ins w:id="473" w:author="Author">
              <w:r w:rsidR="00B424AB">
                <w:rPr>
                  <w:color w:val="000000"/>
                </w:rPr>
                <w:t>111</w:t>
              </w:r>
            </w:ins>
          </w:p>
        </w:tc>
      </w:tr>
      <w:tr w:rsidR="00762D0E" w:rsidRPr="00F25A60" w14:paraId="0B645F27" w14:textId="77777777" w:rsidTr="00795E60">
        <w:trPr>
          <w:cantSplit/>
        </w:trPr>
        <w:tc>
          <w:tcPr>
            <w:tcW w:w="4650" w:type="dxa"/>
          </w:tcPr>
          <w:p w14:paraId="361F45F6" w14:textId="77777777" w:rsidR="00762D0E" w:rsidRPr="00F25A60" w:rsidRDefault="00762D0E" w:rsidP="005C56E6">
            <w:pPr>
              <w:widowControl w:val="0"/>
              <w:spacing w:line="240" w:lineRule="auto"/>
              <w:rPr>
                <w:b/>
                <w:color w:val="000000"/>
              </w:rPr>
            </w:pPr>
            <w:r w:rsidRPr="00F25A60">
              <w:rPr>
                <w:b/>
                <w:color w:val="000000"/>
              </w:rPr>
              <w:t>Eesti</w:t>
            </w:r>
          </w:p>
          <w:p w14:paraId="68CBBD44" w14:textId="77777777" w:rsidR="00762D0E" w:rsidRPr="00F25A60" w:rsidRDefault="00F01DF4" w:rsidP="005C56E6">
            <w:pPr>
              <w:widowControl w:val="0"/>
              <w:spacing w:line="240" w:lineRule="auto"/>
              <w:rPr>
                <w:color w:val="000000"/>
              </w:rPr>
            </w:pPr>
            <w:r w:rsidRPr="00F25A60">
              <w:t>SIA Novartis Baltics Eesti filiaal</w:t>
            </w:r>
          </w:p>
          <w:p w14:paraId="6B28BDCE" w14:textId="77777777" w:rsidR="00762D0E" w:rsidRPr="00F25A60" w:rsidRDefault="00762D0E" w:rsidP="005C56E6">
            <w:pPr>
              <w:widowControl w:val="0"/>
              <w:spacing w:line="240" w:lineRule="auto"/>
              <w:rPr>
                <w:color w:val="000000"/>
              </w:rPr>
            </w:pPr>
            <w:r w:rsidRPr="00F25A60">
              <w:rPr>
                <w:color w:val="000000"/>
              </w:rPr>
              <w:t>Tel: +372 66 30 810</w:t>
            </w:r>
          </w:p>
          <w:p w14:paraId="15067B74" w14:textId="77777777" w:rsidR="00762D0E" w:rsidRPr="00F25A60" w:rsidRDefault="00762D0E" w:rsidP="005C56E6">
            <w:pPr>
              <w:widowControl w:val="0"/>
              <w:spacing w:line="240" w:lineRule="auto"/>
              <w:rPr>
                <w:b/>
                <w:color w:val="000000"/>
              </w:rPr>
            </w:pPr>
          </w:p>
        </w:tc>
        <w:tc>
          <w:tcPr>
            <w:tcW w:w="4650" w:type="dxa"/>
          </w:tcPr>
          <w:p w14:paraId="34BACF1B" w14:textId="77777777" w:rsidR="00762D0E" w:rsidRPr="00F25A60" w:rsidRDefault="00762D0E" w:rsidP="005C56E6">
            <w:pPr>
              <w:widowControl w:val="0"/>
              <w:spacing w:line="240" w:lineRule="auto"/>
              <w:rPr>
                <w:b/>
                <w:color w:val="000000"/>
              </w:rPr>
            </w:pPr>
            <w:r w:rsidRPr="00F25A60">
              <w:rPr>
                <w:b/>
                <w:color w:val="000000"/>
              </w:rPr>
              <w:t>Norge</w:t>
            </w:r>
          </w:p>
          <w:p w14:paraId="7DA820F6" w14:textId="77777777" w:rsidR="00762D0E" w:rsidRPr="00F25A60" w:rsidRDefault="00762D0E" w:rsidP="005C56E6">
            <w:pPr>
              <w:widowControl w:val="0"/>
              <w:spacing w:line="240" w:lineRule="auto"/>
              <w:rPr>
                <w:color w:val="000000"/>
              </w:rPr>
            </w:pPr>
            <w:r w:rsidRPr="00F25A60">
              <w:rPr>
                <w:color w:val="000000"/>
              </w:rPr>
              <w:t>Novartis Norge AS</w:t>
            </w:r>
          </w:p>
          <w:p w14:paraId="36057B9F" w14:textId="77777777" w:rsidR="00762D0E" w:rsidRPr="00F25A60" w:rsidRDefault="00762D0E" w:rsidP="005C56E6">
            <w:pPr>
              <w:widowControl w:val="0"/>
              <w:spacing w:line="240" w:lineRule="auto"/>
              <w:rPr>
                <w:color w:val="000000"/>
              </w:rPr>
            </w:pPr>
            <w:r w:rsidRPr="00F25A60">
              <w:rPr>
                <w:color w:val="000000"/>
              </w:rPr>
              <w:t>Tlf: +47 23 05 20 00</w:t>
            </w:r>
          </w:p>
        </w:tc>
      </w:tr>
      <w:tr w:rsidR="00762D0E" w:rsidRPr="00F25A60" w14:paraId="5F9FADC6" w14:textId="77777777" w:rsidTr="00795E60">
        <w:trPr>
          <w:cantSplit/>
        </w:trPr>
        <w:tc>
          <w:tcPr>
            <w:tcW w:w="4650" w:type="dxa"/>
          </w:tcPr>
          <w:p w14:paraId="24A30D39" w14:textId="77777777" w:rsidR="00762D0E" w:rsidRPr="00F25A60" w:rsidRDefault="00762D0E" w:rsidP="005C56E6">
            <w:pPr>
              <w:widowControl w:val="0"/>
              <w:spacing w:line="240" w:lineRule="auto"/>
              <w:rPr>
                <w:b/>
                <w:color w:val="000000"/>
              </w:rPr>
            </w:pPr>
            <w:r w:rsidRPr="00F25A60">
              <w:rPr>
                <w:b/>
                <w:color w:val="000000"/>
              </w:rPr>
              <w:t>Ελλάδα</w:t>
            </w:r>
          </w:p>
          <w:p w14:paraId="1E3F0413" w14:textId="77777777" w:rsidR="00762D0E" w:rsidRPr="00F25A60" w:rsidRDefault="00762D0E" w:rsidP="005C56E6">
            <w:pPr>
              <w:widowControl w:val="0"/>
              <w:spacing w:line="240" w:lineRule="auto"/>
              <w:rPr>
                <w:color w:val="000000"/>
              </w:rPr>
            </w:pPr>
            <w:r w:rsidRPr="00F25A60">
              <w:rPr>
                <w:color w:val="000000"/>
              </w:rPr>
              <w:t>Novartis (Hellas) A.E.B.E.</w:t>
            </w:r>
          </w:p>
          <w:p w14:paraId="728C0180" w14:textId="77777777" w:rsidR="00762D0E" w:rsidRPr="00F25A60" w:rsidRDefault="00762D0E" w:rsidP="005C56E6">
            <w:pPr>
              <w:widowControl w:val="0"/>
              <w:spacing w:line="240" w:lineRule="auto"/>
              <w:rPr>
                <w:color w:val="000000"/>
              </w:rPr>
            </w:pPr>
            <w:r w:rsidRPr="00F25A60">
              <w:rPr>
                <w:color w:val="000000"/>
              </w:rPr>
              <w:t>Τηλ: +30 210 281 17 12</w:t>
            </w:r>
          </w:p>
          <w:p w14:paraId="002278F9" w14:textId="77777777" w:rsidR="00762D0E" w:rsidRPr="00F25A60" w:rsidRDefault="00762D0E" w:rsidP="005C56E6">
            <w:pPr>
              <w:widowControl w:val="0"/>
              <w:spacing w:line="240" w:lineRule="auto"/>
              <w:rPr>
                <w:b/>
                <w:color w:val="000000"/>
              </w:rPr>
            </w:pPr>
          </w:p>
        </w:tc>
        <w:tc>
          <w:tcPr>
            <w:tcW w:w="4650" w:type="dxa"/>
          </w:tcPr>
          <w:p w14:paraId="4587AA78" w14:textId="77777777" w:rsidR="00762D0E" w:rsidRPr="00F25A60" w:rsidRDefault="00762D0E" w:rsidP="005C56E6">
            <w:pPr>
              <w:widowControl w:val="0"/>
              <w:spacing w:line="240" w:lineRule="auto"/>
              <w:rPr>
                <w:b/>
                <w:color w:val="000000"/>
              </w:rPr>
            </w:pPr>
            <w:r w:rsidRPr="00F25A60">
              <w:rPr>
                <w:b/>
                <w:color w:val="000000"/>
              </w:rPr>
              <w:t>Österreich</w:t>
            </w:r>
          </w:p>
          <w:p w14:paraId="00A3986A" w14:textId="77777777" w:rsidR="00762D0E" w:rsidRPr="00F25A60" w:rsidRDefault="00762D0E" w:rsidP="005C56E6">
            <w:pPr>
              <w:widowControl w:val="0"/>
              <w:spacing w:line="240" w:lineRule="auto"/>
              <w:rPr>
                <w:color w:val="000000"/>
              </w:rPr>
            </w:pPr>
            <w:r w:rsidRPr="00F25A60">
              <w:rPr>
                <w:color w:val="000000"/>
              </w:rPr>
              <w:t>Novartis Pharma GmbH</w:t>
            </w:r>
          </w:p>
          <w:p w14:paraId="1F1ABBB4" w14:textId="77777777" w:rsidR="00762D0E" w:rsidRPr="00F25A60" w:rsidRDefault="00762D0E" w:rsidP="005C56E6">
            <w:pPr>
              <w:widowControl w:val="0"/>
              <w:spacing w:line="240" w:lineRule="auto"/>
              <w:rPr>
                <w:color w:val="000000"/>
              </w:rPr>
            </w:pPr>
            <w:r w:rsidRPr="00F25A60">
              <w:rPr>
                <w:color w:val="000000"/>
              </w:rPr>
              <w:t>Tel: +43 1 86 6570</w:t>
            </w:r>
          </w:p>
        </w:tc>
      </w:tr>
      <w:tr w:rsidR="00762D0E" w:rsidRPr="00F25A60" w14:paraId="13E0D4E8" w14:textId="77777777" w:rsidTr="00795E60">
        <w:trPr>
          <w:cantSplit/>
        </w:trPr>
        <w:tc>
          <w:tcPr>
            <w:tcW w:w="4650" w:type="dxa"/>
          </w:tcPr>
          <w:p w14:paraId="0BDA71EB" w14:textId="77777777" w:rsidR="00762D0E" w:rsidRPr="00F25A60" w:rsidRDefault="00762D0E" w:rsidP="005C56E6">
            <w:pPr>
              <w:widowControl w:val="0"/>
              <w:spacing w:line="240" w:lineRule="auto"/>
              <w:rPr>
                <w:b/>
                <w:color w:val="000000"/>
              </w:rPr>
            </w:pPr>
            <w:r w:rsidRPr="00F25A60">
              <w:rPr>
                <w:b/>
                <w:color w:val="000000"/>
              </w:rPr>
              <w:t>España</w:t>
            </w:r>
          </w:p>
          <w:p w14:paraId="5650EC3B" w14:textId="77777777" w:rsidR="00762D0E" w:rsidRPr="00F25A60" w:rsidRDefault="00762D0E" w:rsidP="005C56E6">
            <w:pPr>
              <w:widowControl w:val="0"/>
              <w:spacing w:line="240" w:lineRule="auto"/>
              <w:rPr>
                <w:color w:val="000000"/>
              </w:rPr>
            </w:pPr>
            <w:r w:rsidRPr="00F25A60">
              <w:rPr>
                <w:color w:val="000000"/>
              </w:rPr>
              <w:t>Novartis Farmacéutica, S.A.</w:t>
            </w:r>
          </w:p>
          <w:p w14:paraId="7983858C" w14:textId="77777777" w:rsidR="00762D0E" w:rsidRPr="00F25A60" w:rsidRDefault="00762D0E" w:rsidP="005C56E6">
            <w:pPr>
              <w:widowControl w:val="0"/>
              <w:spacing w:line="240" w:lineRule="auto"/>
              <w:rPr>
                <w:color w:val="000000"/>
              </w:rPr>
            </w:pPr>
            <w:r w:rsidRPr="00F25A60">
              <w:rPr>
                <w:color w:val="000000"/>
              </w:rPr>
              <w:t>Tel: +34 93 306 42 00</w:t>
            </w:r>
          </w:p>
          <w:p w14:paraId="45A73E33" w14:textId="77777777" w:rsidR="00762D0E" w:rsidRPr="00F25A60" w:rsidRDefault="00762D0E" w:rsidP="005C56E6">
            <w:pPr>
              <w:widowControl w:val="0"/>
              <w:spacing w:line="240" w:lineRule="auto"/>
              <w:rPr>
                <w:b/>
                <w:color w:val="000000"/>
              </w:rPr>
            </w:pPr>
          </w:p>
        </w:tc>
        <w:tc>
          <w:tcPr>
            <w:tcW w:w="4650" w:type="dxa"/>
          </w:tcPr>
          <w:p w14:paraId="3C0A0B8F" w14:textId="77777777" w:rsidR="00762D0E" w:rsidRPr="00F25A60" w:rsidRDefault="00762D0E" w:rsidP="005C56E6">
            <w:pPr>
              <w:widowControl w:val="0"/>
              <w:spacing w:line="240" w:lineRule="auto"/>
              <w:rPr>
                <w:b/>
                <w:color w:val="000000"/>
              </w:rPr>
            </w:pPr>
            <w:r w:rsidRPr="00F25A60">
              <w:rPr>
                <w:b/>
                <w:color w:val="000000"/>
              </w:rPr>
              <w:t>Polska</w:t>
            </w:r>
          </w:p>
          <w:p w14:paraId="686A4F67" w14:textId="77777777" w:rsidR="00762D0E" w:rsidRPr="00F25A60" w:rsidRDefault="00762D0E" w:rsidP="005C56E6">
            <w:pPr>
              <w:widowControl w:val="0"/>
              <w:spacing w:line="240" w:lineRule="auto"/>
              <w:rPr>
                <w:color w:val="000000"/>
              </w:rPr>
            </w:pPr>
            <w:r w:rsidRPr="00F25A60">
              <w:rPr>
                <w:color w:val="000000"/>
              </w:rPr>
              <w:t>Novartis Poland Sp. z o.o.</w:t>
            </w:r>
          </w:p>
          <w:p w14:paraId="5175162E" w14:textId="77777777" w:rsidR="00762D0E" w:rsidRPr="00F25A60" w:rsidRDefault="00762D0E" w:rsidP="005C56E6">
            <w:pPr>
              <w:widowControl w:val="0"/>
              <w:spacing w:line="240" w:lineRule="auto"/>
              <w:rPr>
                <w:color w:val="000000"/>
              </w:rPr>
            </w:pPr>
            <w:r w:rsidRPr="00F25A60">
              <w:rPr>
                <w:color w:val="000000"/>
              </w:rPr>
              <w:t xml:space="preserve">Tel.: +48 22 </w:t>
            </w:r>
            <w:r w:rsidRPr="00F25A60">
              <w:t>375 4888</w:t>
            </w:r>
          </w:p>
        </w:tc>
      </w:tr>
      <w:tr w:rsidR="00762D0E" w:rsidRPr="00F25A60" w14:paraId="038256AB" w14:textId="77777777" w:rsidTr="00795E60">
        <w:trPr>
          <w:cantSplit/>
        </w:trPr>
        <w:tc>
          <w:tcPr>
            <w:tcW w:w="4650" w:type="dxa"/>
          </w:tcPr>
          <w:p w14:paraId="335474DD" w14:textId="77777777" w:rsidR="00762D0E" w:rsidRPr="00F25A60" w:rsidRDefault="00762D0E" w:rsidP="005C56E6">
            <w:pPr>
              <w:widowControl w:val="0"/>
              <w:spacing w:line="240" w:lineRule="auto"/>
              <w:rPr>
                <w:b/>
                <w:color w:val="000000"/>
              </w:rPr>
            </w:pPr>
            <w:r w:rsidRPr="00F25A60">
              <w:rPr>
                <w:b/>
                <w:color w:val="000000"/>
              </w:rPr>
              <w:t>France</w:t>
            </w:r>
          </w:p>
          <w:p w14:paraId="4A141F0C" w14:textId="77777777" w:rsidR="00762D0E" w:rsidRPr="00F25A60" w:rsidRDefault="00762D0E" w:rsidP="005C56E6">
            <w:pPr>
              <w:widowControl w:val="0"/>
              <w:spacing w:line="240" w:lineRule="auto"/>
              <w:rPr>
                <w:color w:val="000000"/>
              </w:rPr>
            </w:pPr>
            <w:r w:rsidRPr="00F25A60">
              <w:rPr>
                <w:color w:val="000000"/>
              </w:rPr>
              <w:t>Novartis Pharma S.A.S.</w:t>
            </w:r>
          </w:p>
          <w:p w14:paraId="00F7E442" w14:textId="77777777" w:rsidR="00762D0E" w:rsidRPr="00F25A60" w:rsidRDefault="00762D0E" w:rsidP="005C56E6">
            <w:pPr>
              <w:widowControl w:val="0"/>
              <w:spacing w:line="240" w:lineRule="auto"/>
              <w:rPr>
                <w:color w:val="000000"/>
              </w:rPr>
            </w:pPr>
            <w:r w:rsidRPr="00F25A60">
              <w:rPr>
                <w:color w:val="000000"/>
              </w:rPr>
              <w:t>Tél: +33 1 55 47 66 00</w:t>
            </w:r>
          </w:p>
          <w:p w14:paraId="40FC63BC" w14:textId="77777777" w:rsidR="00762D0E" w:rsidRPr="00F25A60" w:rsidRDefault="00762D0E" w:rsidP="005C56E6">
            <w:pPr>
              <w:widowControl w:val="0"/>
              <w:spacing w:line="240" w:lineRule="auto"/>
              <w:rPr>
                <w:b/>
                <w:color w:val="000000"/>
              </w:rPr>
            </w:pPr>
          </w:p>
        </w:tc>
        <w:tc>
          <w:tcPr>
            <w:tcW w:w="4650" w:type="dxa"/>
          </w:tcPr>
          <w:p w14:paraId="2D8B0023" w14:textId="77777777" w:rsidR="00762D0E" w:rsidRPr="00F25A60" w:rsidRDefault="00762D0E" w:rsidP="005C56E6">
            <w:pPr>
              <w:widowControl w:val="0"/>
              <w:spacing w:line="240" w:lineRule="auto"/>
              <w:rPr>
                <w:b/>
                <w:color w:val="000000"/>
              </w:rPr>
            </w:pPr>
            <w:r w:rsidRPr="00F25A60">
              <w:rPr>
                <w:b/>
                <w:color w:val="000000"/>
              </w:rPr>
              <w:t>Portugal</w:t>
            </w:r>
          </w:p>
          <w:p w14:paraId="4890FFAD" w14:textId="77777777" w:rsidR="00762D0E" w:rsidRPr="00F25A60" w:rsidRDefault="00762D0E" w:rsidP="005C56E6">
            <w:pPr>
              <w:widowControl w:val="0"/>
              <w:spacing w:line="240" w:lineRule="auto"/>
              <w:rPr>
                <w:color w:val="000000"/>
              </w:rPr>
            </w:pPr>
            <w:r w:rsidRPr="00F25A60">
              <w:rPr>
                <w:color w:val="000000"/>
              </w:rPr>
              <w:t>Novartis Farma - Produtos Farmacêuticos, S.A.</w:t>
            </w:r>
          </w:p>
          <w:p w14:paraId="7DAD7C31" w14:textId="77777777" w:rsidR="00762D0E" w:rsidRPr="00F25A60" w:rsidRDefault="00762D0E" w:rsidP="005C56E6">
            <w:pPr>
              <w:widowControl w:val="0"/>
              <w:spacing w:line="240" w:lineRule="auto"/>
              <w:rPr>
                <w:color w:val="000000"/>
              </w:rPr>
            </w:pPr>
            <w:r w:rsidRPr="00F25A60">
              <w:rPr>
                <w:color w:val="000000"/>
              </w:rPr>
              <w:t>Tel: +351 21 000 8600</w:t>
            </w:r>
          </w:p>
        </w:tc>
      </w:tr>
      <w:tr w:rsidR="00762D0E" w:rsidRPr="00F25A60" w14:paraId="5383CFDA" w14:textId="77777777" w:rsidTr="00795E60">
        <w:trPr>
          <w:cantSplit/>
        </w:trPr>
        <w:tc>
          <w:tcPr>
            <w:tcW w:w="4650" w:type="dxa"/>
          </w:tcPr>
          <w:p w14:paraId="3A43A321" w14:textId="77777777" w:rsidR="00762D0E" w:rsidRPr="00F25A60" w:rsidRDefault="00762D0E" w:rsidP="005C56E6">
            <w:pPr>
              <w:widowControl w:val="0"/>
              <w:spacing w:line="240" w:lineRule="auto"/>
              <w:rPr>
                <w:rFonts w:eastAsia="PMingLiU"/>
                <w:b/>
              </w:rPr>
            </w:pPr>
            <w:r w:rsidRPr="00F25A60">
              <w:rPr>
                <w:rFonts w:eastAsia="PMingLiU"/>
                <w:b/>
              </w:rPr>
              <w:t>Hrvatska</w:t>
            </w:r>
          </w:p>
          <w:p w14:paraId="4FD60DFE" w14:textId="77777777" w:rsidR="00762D0E" w:rsidRPr="00F25A60" w:rsidRDefault="00762D0E" w:rsidP="005C56E6">
            <w:pPr>
              <w:widowControl w:val="0"/>
              <w:spacing w:line="240" w:lineRule="auto"/>
            </w:pPr>
            <w:r w:rsidRPr="00F25A60">
              <w:t>Novartis Hrvatska d.o.o.</w:t>
            </w:r>
          </w:p>
          <w:p w14:paraId="61E39D6B" w14:textId="77777777" w:rsidR="00762D0E" w:rsidRPr="00F25A60" w:rsidRDefault="00762D0E" w:rsidP="005C56E6">
            <w:pPr>
              <w:widowControl w:val="0"/>
              <w:spacing w:line="240" w:lineRule="auto"/>
            </w:pPr>
            <w:r w:rsidRPr="00F25A60">
              <w:t>Tel. +385 1 6274 220</w:t>
            </w:r>
          </w:p>
          <w:p w14:paraId="741AEB08" w14:textId="77777777" w:rsidR="00762D0E" w:rsidRPr="00F25A60" w:rsidRDefault="00762D0E" w:rsidP="005C56E6">
            <w:pPr>
              <w:widowControl w:val="0"/>
              <w:spacing w:line="240" w:lineRule="auto"/>
              <w:rPr>
                <w:b/>
                <w:color w:val="000000"/>
              </w:rPr>
            </w:pPr>
          </w:p>
        </w:tc>
        <w:tc>
          <w:tcPr>
            <w:tcW w:w="4650" w:type="dxa"/>
          </w:tcPr>
          <w:p w14:paraId="47B797F4" w14:textId="77777777" w:rsidR="00762D0E" w:rsidRPr="00F25A60" w:rsidRDefault="00762D0E" w:rsidP="005C56E6">
            <w:pPr>
              <w:widowControl w:val="0"/>
              <w:spacing w:line="240" w:lineRule="auto"/>
              <w:rPr>
                <w:b/>
                <w:noProof/>
                <w:color w:val="000000"/>
              </w:rPr>
            </w:pPr>
            <w:r w:rsidRPr="00F25A60">
              <w:rPr>
                <w:b/>
                <w:noProof/>
                <w:color w:val="000000"/>
              </w:rPr>
              <w:t>România</w:t>
            </w:r>
          </w:p>
          <w:p w14:paraId="694D43D4" w14:textId="77777777" w:rsidR="00762D0E" w:rsidRPr="00F25A60" w:rsidRDefault="00762D0E" w:rsidP="005C56E6">
            <w:pPr>
              <w:widowControl w:val="0"/>
              <w:spacing w:line="240" w:lineRule="auto"/>
              <w:rPr>
                <w:noProof/>
                <w:color w:val="000000"/>
              </w:rPr>
            </w:pPr>
            <w:r w:rsidRPr="00F25A60">
              <w:rPr>
                <w:noProof/>
                <w:color w:val="000000"/>
              </w:rPr>
              <w:t xml:space="preserve">Novartis Pharma Services </w:t>
            </w:r>
            <w:r w:rsidRPr="00F25A60">
              <w:rPr>
                <w:color w:val="2F2F2F"/>
              </w:rPr>
              <w:t>Romania SRL</w:t>
            </w:r>
          </w:p>
          <w:p w14:paraId="54301433" w14:textId="77777777" w:rsidR="00762D0E" w:rsidRPr="00F25A60" w:rsidRDefault="00762D0E" w:rsidP="005C56E6">
            <w:pPr>
              <w:widowControl w:val="0"/>
              <w:spacing w:line="240" w:lineRule="auto"/>
              <w:rPr>
                <w:color w:val="000000"/>
              </w:rPr>
            </w:pPr>
            <w:r w:rsidRPr="00F25A60">
              <w:rPr>
                <w:noProof/>
                <w:color w:val="000000"/>
              </w:rPr>
              <w:t>Tel: +40 21 31299 01</w:t>
            </w:r>
          </w:p>
        </w:tc>
      </w:tr>
      <w:tr w:rsidR="00762D0E" w:rsidRPr="00F25A60" w14:paraId="28C92B6F" w14:textId="77777777" w:rsidTr="00795E60">
        <w:trPr>
          <w:cantSplit/>
        </w:trPr>
        <w:tc>
          <w:tcPr>
            <w:tcW w:w="4650" w:type="dxa"/>
          </w:tcPr>
          <w:p w14:paraId="02C9CA8C" w14:textId="77777777" w:rsidR="00762D0E" w:rsidRPr="00F25A60" w:rsidRDefault="00762D0E" w:rsidP="005C56E6">
            <w:pPr>
              <w:widowControl w:val="0"/>
              <w:spacing w:line="240" w:lineRule="auto"/>
              <w:rPr>
                <w:b/>
                <w:color w:val="000000"/>
              </w:rPr>
            </w:pPr>
            <w:r w:rsidRPr="00F25A60">
              <w:rPr>
                <w:b/>
                <w:color w:val="000000"/>
              </w:rPr>
              <w:lastRenderedPageBreak/>
              <w:t>Ireland</w:t>
            </w:r>
          </w:p>
          <w:p w14:paraId="126C0300" w14:textId="77777777" w:rsidR="00762D0E" w:rsidRPr="00F25A60" w:rsidRDefault="00762D0E" w:rsidP="005C56E6">
            <w:pPr>
              <w:widowControl w:val="0"/>
              <w:spacing w:line="240" w:lineRule="auto"/>
              <w:rPr>
                <w:color w:val="000000"/>
              </w:rPr>
            </w:pPr>
            <w:r w:rsidRPr="00F25A60">
              <w:rPr>
                <w:color w:val="000000"/>
              </w:rPr>
              <w:t>Novartis Ireland Limited</w:t>
            </w:r>
          </w:p>
          <w:p w14:paraId="54BBDBEF" w14:textId="77777777" w:rsidR="00762D0E" w:rsidRPr="00F25A60" w:rsidRDefault="00762D0E" w:rsidP="005C56E6">
            <w:pPr>
              <w:widowControl w:val="0"/>
              <w:spacing w:line="240" w:lineRule="auto"/>
              <w:rPr>
                <w:color w:val="000000"/>
              </w:rPr>
            </w:pPr>
            <w:r w:rsidRPr="00F25A60">
              <w:rPr>
                <w:color w:val="000000"/>
              </w:rPr>
              <w:t>Tel: +353 1 260 12 55</w:t>
            </w:r>
          </w:p>
          <w:p w14:paraId="45F154DD" w14:textId="77777777" w:rsidR="00762D0E" w:rsidRPr="00F25A60" w:rsidRDefault="00762D0E" w:rsidP="005C56E6">
            <w:pPr>
              <w:widowControl w:val="0"/>
              <w:spacing w:line="240" w:lineRule="auto"/>
              <w:rPr>
                <w:b/>
                <w:color w:val="000000"/>
              </w:rPr>
            </w:pPr>
          </w:p>
        </w:tc>
        <w:tc>
          <w:tcPr>
            <w:tcW w:w="4650" w:type="dxa"/>
          </w:tcPr>
          <w:p w14:paraId="5651717C" w14:textId="77777777" w:rsidR="00762D0E" w:rsidRPr="00F25A60" w:rsidRDefault="00762D0E" w:rsidP="005C56E6">
            <w:pPr>
              <w:widowControl w:val="0"/>
              <w:spacing w:line="240" w:lineRule="auto"/>
              <w:rPr>
                <w:b/>
                <w:color w:val="000000"/>
              </w:rPr>
            </w:pPr>
            <w:r w:rsidRPr="00F25A60">
              <w:rPr>
                <w:b/>
                <w:color w:val="000000"/>
              </w:rPr>
              <w:t>Slovenija</w:t>
            </w:r>
          </w:p>
          <w:p w14:paraId="0D7B7BAA" w14:textId="77777777" w:rsidR="00762D0E" w:rsidRPr="00F25A60" w:rsidRDefault="00762D0E" w:rsidP="005C56E6">
            <w:pPr>
              <w:widowControl w:val="0"/>
              <w:spacing w:line="240" w:lineRule="auto"/>
              <w:rPr>
                <w:color w:val="000000"/>
              </w:rPr>
            </w:pPr>
            <w:r w:rsidRPr="00F25A60">
              <w:rPr>
                <w:color w:val="000000"/>
              </w:rPr>
              <w:t>Novartis Pharma Services Inc.</w:t>
            </w:r>
          </w:p>
          <w:p w14:paraId="5543E586" w14:textId="77777777" w:rsidR="00762D0E" w:rsidRPr="00F25A60" w:rsidRDefault="00762D0E" w:rsidP="005C56E6">
            <w:pPr>
              <w:widowControl w:val="0"/>
              <w:spacing w:line="240" w:lineRule="auto"/>
              <w:rPr>
                <w:color w:val="000000"/>
              </w:rPr>
            </w:pPr>
            <w:r w:rsidRPr="00F25A60">
              <w:rPr>
                <w:color w:val="000000"/>
              </w:rPr>
              <w:t>Tel: +386 1 300 75 50</w:t>
            </w:r>
          </w:p>
        </w:tc>
      </w:tr>
      <w:tr w:rsidR="00762D0E" w:rsidRPr="00F25A60" w14:paraId="1AB15D02" w14:textId="77777777" w:rsidTr="00795E60">
        <w:trPr>
          <w:cantSplit/>
        </w:trPr>
        <w:tc>
          <w:tcPr>
            <w:tcW w:w="4650" w:type="dxa"/>
          </w:tcPr>
          <w:p w14:paraId="48940E6D" w14:textId="77777777" w:rsidR="00762D0E" w:rsidRPr="00F25A60" w:rsidRDefault="00762D0E" w:rsidP="005C56E6">
            <w:pPr>
              <w:widowControl w:val="0"/>
              <w:spacing w:line="240" w:lineRule="auto"/>
              <w:rPr>
                <w:b/>
                <w:color w:val="000000"/>
              </w:rPr>
            </w:pPr>
            <w:r w:rsidRPr="00F25A60">
              <w:rPr>
                <w:b/>
                <w:color w:val="000000"/>
              </w:rPr>
              <w:t>Ísland</w:t>
            </w:r>
          </w:p>
          <w:p w14:paraId="72FA41EA" w14:textId="3817A97C" w:rsidR="00762D0E" w:rsidRPr="00F25A60" w:rsidRDefault="00762D0E" w:rsidP="005C56E6">
            <w:pPr>
              <w:widowControl w:val="0"/>
              <w:spacing w:line="240" w:lineRule="auto"/>
              <w:rPr>
                <w:color w:val="000000"/>
              </w:rPr>
            </w:pPr>
            <w:r w:rsidRPr="00F25A60">
              <w:rPr>
                <w:color w:val="000000"/>
              </w:rPr>
              <w:t xml:space="preserve">Vistor </w:t>
            </w:r>
            <w:ins w:id="474" w:author="Author">
              <w:r w:rsidR="00B424AB">
                <w:rPr>
                  <w:color w:val="000000"/>
                </w:rPr>
                <w:t>e</w:t>
              </w:r>
            </w:ins>
            <w:r w:rsidRPr="00F25A60">
              <w:rPr>
                <w:color w:val="000000"/>
              </w:rPr>
              <w:t>hf.</w:t>
            </w:r>
          </w:p>
          <w:p w14:paraId="05BF9171" w14:textId="77777777" w:rsidR="00762D0E" w:rsidRPr="00F25A60" w:rsidRDefault="00762D0E" w:rsidP="005C56E6">
            <w:pPr>
              <w:widowControl w:val="0"/>
              <w:spacing w:line="240" w:lineRule="auto"/>
              <w:rPr>
                <w:color w:val="000000"/>
              </w:rPr>
            </w:pPr>
            <w:r w:rsidRPr="00F25A60">
              <w:rPr>
                <w:noProof/>
                <w:color w:val="000000"/>
              </w:rPr>
              <w:t>Sími</w:t>
            </w:r>
            <w:r w:rsidRPr="00F25A60">
              <w:rPr>
                <w:color w:val="000000"/>
              </w:rPr>
              <w:t>: +354 535 7000</w:t>
            </w:r>
          </w:p>
          <w:p w14:paraId="213B5107" w14:textId="77777777" w:rsidR="00762D0E" w:rsidRPr="00F25A60" w:rsidRDefault="00762D0E" w:rsidP="005C56E6">
            <w:pPr>
              <w:widowControl w:val="0"/>
              <w:spacing w:line="240" w:lineRule="auto"/>
              <w:rPr>
                <w:b/>
                <w:color w:val="000000"/>
              </w:rPr>
            </w:pPr>
          </w:p>
        </w:tc>
        <w:tc>
          <w:tcPr>
            <w:tcW w:w="4650" w:type="dxa"/>
          </w:tcPr>
          <w:p w14:paraId="7BA03D20" w14:textId="77777777" w:rsidR="00762D0E" w:rsidRPr="00F25A60" w:rsidRDefault="00762D0E" w:rsidP="005C56E6">
            <w:pPr>
              <w:widowControl w:val="0"/>
              <w:spacing w:line="240" w:lineRule="auto"/>
              <w:rPr>
                <w:b/>
                <w:color w:val="000000"/>
              </w:rPr>
            </w:pPr>
            <w:r w:rsidRPr="00F25A60">
              <w:rPr>
                <w:b/>
                <w:color w:val="000000"/>
              </w:rPr>
              <w:t>Slovenská republika</w:t>
            </w:r>
          </w:p>
          <w:p w14:paraId="4D55EEAF" w14:textId="77777777" w:rsidR="00762D0E" w:rsidRPr="00F25A60" w:rsidRDefault="00762D0E" w:rsidP="005C56E6">
            <w:pPr>
              <w:widowControl w:val="0"/>
              <w:spacing w:line="240" w:lineRule="auto"/>
              <w:rPr>
                <w:color w:val="000000"/>
              </w:rPr>
            </w:pPr>
            <w:r w:rsidRPr="00F25A60">
              <w:rPr>
                <w:color w:val="000000"/>
              </w:rPr>
              <w:t>Novartis Slovakia s.r.o.</w:t>
            </w:r>
          </w:p>
          <w:p w14:paraId="74B2855D" w14:textId="77777777" w:rsidR="00762D0E" w:rsidRPr="00F25A60" w:rsidRDefault="00762D0E" w:rsidP="005C56E6">
            <w:pPr>
              <w:widowControl w:val="0"/>
              <w:spacing w:line="240" w:lineRule="auto"/>
              <w:rPr>
                <w:color w:val="000000"/>
              </w:rPr>
            </w:pPr>
            <w:r w:rsidRPr="00F25A60">
              <w:rPr>
                <w:color w:val="000000"/>
              </w:rPr>
              <w:t>Tel: +421 2 5542 5439</w:t>
            </w:r>
          </w:p>
          <w:p w14:paraId="7FB34029" w14:textId="77777777" w:rsidR="00762D0E" w:rsidRPr="00F25A60" w:rsidRDefault="00762D0E" w:rsidP="005C56E6">
            <w:pPr>
              <w:widowControl w:val="0"/>
              <w:spacing w:line="240" w:lineRule="auto"/>
              <w:rPr>
                <w:color w:val="000000"/>
              </w:rPr>
            </w:pPr>
          </w:p>
        </w:tc>
      </w:tr>
      <w:tr w:rsidR="00762D0E" w:rsidRPr="00F25A60" w14:paraId="15782BE8" w14:textId="77777777" w:rsidTr="00795E60">
        <w:trPr>
          <w:cantSplit/>
        </w:trPr>
        <w:tc>
          <w:tcPr>
            <w:tcW w:w="4650" w:type="dxa"/>
          </w:tcPr>
          <w:p w14:paraId="2149CFCC" w14:textId="77777777" w:rsidR="00762D0E" w:rsidRPr="00F25A60" w:rsidRDefault="00762D0E" w:rsidP="005C56E6">
            <w:pPr>
              <w:widowControl w:val="0"/>
              <w:spacing w:line="240" w:lineRule="auto"/>
              <w:rPr>
                <w:b/>
                <w:color w:val="000000"/>
              </w:rPr>
            </w:pPr>
            <w:r w:rsidRPr="00F25A60">
              <w:rPr>
                <w:b/>
                <w:color w:val="000000"/>
              </w:rPr>
              <w:t>Italia</w:t>
            </w:r>
          </w:p>
          <w:p w14:paraId="27B5962F" w14:textId="77777777" w:rsidR="00762D0E" w:rsidRPr="00F25A60" w:rsidRDefault="00762D0E" w:rsidP="005C56E6">
            <w:pPr>
              <w:widowControl w:val="0"/>
              <w:spacing w:line="240" w:lineRule="auto"/>
              <w:rPr>
                <w:color w:val="000000"/>
              </w:rPr>
            </w:pPr>
            <w:r w:rsidRPr="00F25A60">
              <w:rPr>
                <w:color w:val="000000"/>
              </w:rPr>
              <w:t>Novartis Farma S.p.A.</w:t>
            </w:r>
          </w:p>
          <w:p w14:paraId="7C4F5114" w14:textId="77777777" w:rsidR="00762D0E" w:rsidRPr="00F25A60" w:rsidRDefault="00762D0E" w:rsidP="005C56E6">
            <w:pPr>
              <w:widowControl w:val="0"/>
              <w:spacing w:line="240" w:lineRule="auto"/>
              <w:rPr>
                <w:b/>
                <w:color w:val="000000"/>
              </w:rPr>
            </w:pPr>
            <w:r w:rsidRPr="00F25A60">
              <w:rPr>
                <w:color w:val="000000"/>
              </w:rPr>
              <w:t>Tel: +39 02 96 54 1</w:t>
            </w:r>
          </w:p>
        </w:tc>
        <w:tc>
          <w:tcPr>
            <w:tcW w:w="4650" w:type="dxa"/>
          </w:tcPr>
          <w:p w14:paraId="09E65B76" w14:textId="77777777" w:rsidR="00762D0E" w:rsidRPr="00F25A60" w:rsidRDefault="00762D0E" w:rsidP="005C56E6">
            <w:pPr>
              <w:widowControl w:val="0"/>
              <w:spacing w:line="240" w:lineRule="auto"/>
              <w:rPr>
                <w:b/>
                <w:color w:val="000000"/>
              </w:rPr>
            </w:pPr>
            <w:r w:rsidRPr="00F25A60">
              <w:rPr>
                <w:b/>
                <w:color w:val="000000"/>
              </w:rPr>
              <w:t>Suomi/Finland</w:t>
            </w:r>
          </w:p>
          <w:p w14:paraId="654F869F" w14:textId="77777777" w:rsidR="00762D0E" w:rsidRPr="00F25A60" w:rsidRDefault="00762D0E" w:rsidP="005C56E6">
            <w:pPr>
              <w:widowControl w:val="0"/>
              <w:spacing w:line="240" w:lineRule="auto"/>
              <w:rPr>
                <w:color w:val="000000"/>
              </w:rPr>
            </w:pPr>
            <w:r w:rsidRPr="00F25A60">
              <w:rPr>
                <w:color w:val="000000"/>
              </w:rPr>
              <w:t>Novartis Finland Oy</w:t>
            </w:r>
          </w:p>
          <w:p w14:paraId="36EC69EA" w14:textId="77777777" w:rsidR="00762D0E" w:rsidRPr="00F25A60" w:rsidRDefault="00762D0E" w:rsidP="005C56E6">
            <w:pPr>
              <w:widowControl w:val="0"/>
              <w:spacing w:line="240" w:lineRule="auto"/>
              <w:rPr>
                <w:color w:val="000000"/>
              </w:rPr>
            </w:pPr>
            <w:r w:rsidRPr="00F25A60">
              <w:rPr>
                <w:color w:val="000000"/>
              </w:rPr>
              <w:t xml:space="preserve">Puh/Tel: </w:t>
            </w:r>
            <w:r w:rsidRPr="00F25A60">
              <w:rPr>
                <w:color w:val="000000"/>
                <w:lang w:bidi="he-IL"/>
              </w:rPr>
              <w:t>+358 (0)10 6133 200</w:t>
            </w:r>
          </w:p>
          <w:p w14:paraId="26A7FBEB" w14:textId="77777777" w:rsidR="00762D0E" w:rsidRPr="00F25A60" w:rsidRDefault="00762D0E" w:rsidP="005C56E6">
            <w:pPr>
              <w:widowControl w:val="0"/>
              <w:spacing w:line="240" w:lineRule="auto"/>
              <w:rPr>
                <w:color w:val="000000"/>
              </w:rPr>
            </w:pPr>
          </w:p>
        </w:tc>
      </w:tr>
      <w:tr w:rsidR="00762D0E" w:rsidRPr="00F25A60" w14:paraId="0B1A4A36" w14:textId="77777777" w:rsidTr="00795E60">
        <w:trPr>
          <w:cantSplit/>
        </w:trPr>
        <w:tc>
          <w:tcPr>
            <w:tcW w:w="4650" w:type="dxa"/>
          </w:tcPr>
          <w:p w14:paraId="3E392C56" w14:textId="77777777" w:rsidR="00762D0E" w:rsidRPr="00F25A60" w:rsidRDefault="00762D0E" w:rsidP="005C56E6">
            <w:pPr>
              <w:widowControl w:val="0"/>
              <w:spacing w:line="240" w:lineRule="auto"/>
              <w:rPr>
                <w:b/>
                <w:color w:val="000000"/>
              </w:rPr>
            </w:pPr>
            <w:r w:rsidRPr="00F25A60">
              <w:rPr>
                <w:b/>
                <w:color w:val="000000"/>
              </w:rPr>
              <w:t>Κύπρος</w:t>
            </w:r>
          </w:p>
          <w:p w14:paraId="3266BCE7" w14:textId="77777777" w:rsidR="00762D0E" w:rsidRPr="00F25A60" w:rsidRDefault="00762D0E" w:rsidP="005C56E6">
            <w:pPr>
              <w:widowControl w:val="0"/>
              <w:spacing w:line="240" w:lineRule="auto"/>
              <w:rPr>
                <w:color w:val="000000"/>
              </w:rPr>
            </w:pPr>
            <w:r w:rsidRPr="00F25A60">
              <w:rPr>
                <w:color w:val="000000"/>
                <w:lang w:bidi="he-IL"/>
              </w:rPr>
              <w:t>Novartis Pharma Services Inc.</w:t>
            </w:r>
          </w:p>
          <w:p w14:paraId="2A69C5B5" w14:textId="77777777" w:rsidR="00762D0E" w:rsidRPr="00F25A60" w:rsidRDefault="00762D0E" w:rsidP="005C56E6">
            <w:pPr>
              <w:widowControl w:val="0"/>
              <w:spacing w:line="240" w:lineRule="auto"/>
              <w:rPr>
                <w:color w:val="000000"/>
              </w:rPr>
            </w:pPr>
            <w:r w:rsidRPr="00F25A60">
              <w:rPr>
                <w:color w:val="000000"/>
              </w:rPr>
              <w:t>Τηλ: +357 22 690 690</w:t>
            </w:r>
          </w:p>
          <w:p w14:paraId="36D277C9" w14:textId="77777777" w:rsidR="00762D0E" w:rsidRPr="00F25A60" w:rsidRDefault="00762D0E" w:rsidP="005C56E6">
            <w:pPr>
              <w:widowControl w:val="0"/>
              <w:spacing w:line="240" w:lineRule="auto"/>
              <w:rPr>
                <w:b/>
                <w:color w:val="000000"/>
              </w:rPr>
            </w:pPr>
          </w:p>
        </w:tc>
        <w:tc>
          <w:tcPr>
            <w:tcW w:w="4650" w:type="dxa"/>
          </w:tcPr>
          <w:p w14:paraId="434A3B5A" w14:textId="77777777" w:rsidR="00762D0E" w:rsidRPr="00F25A60" w:rsidRDefault="00762D0E" w:rsidP="005C56E6">
            <w:pPr>
              <w:widowControl w:val="0"/>
              <w:spacing w:line="240" w:lineRule="auto"/>
              <w:rPr>
                <w:b/>
                <w:color w:val="000000"/>
              </w:rPr>
            </w:pPr>
            <w:r w:rsidRPr="00F25A60">
              <w:rPr>
                <w:b/>
                <w:color w:val="000000"/>
              </w:rPr>
              <w:t>Sverige</w:t>
            </w:r>
          </w:p>
          <w:p w14:paraId="11D3C3AA" w14:textId="77777777" w:rsidR="00762D0E" w:rsidRPr="00F25A60" w:rsidRDefault="00762D0E" w:rsidP="005C56E6">
            <w:pPr>
              <w:widowControl w:val="0"/>
              <w:spacing w:line="240" w:lineRule="auto"/>
              <w:rPr>
                <w:color w:val="000000"/>
              </w:rPr>
            </w:pPr>
            <w:r w:rsidRPr="00F25A60">
              <w:rPr>
                <w:color w:val="000000"/>
              </w:rPr>
              <w:t>Novartis Sverige AB</w:t>
            </w:r>
          </w:p>
          <w:p w14:paraId="04060DAE" w14:textId="77777777" w:rsidR="00762D0E" w:rsidRPr="00F25A60" w:rsidRDefault="00762D0E" w:rsidP="005C56E6">
            <w:pPr>
              <w:widowControl w:val="0"/>
              <w:spacing w:line="240" w:lineRule="auto"/>
              <w:rPr>
                <w:color w:val="000000"/>
              </w:rPr>
            </w:pPr>
            <w:r w:rsidRPr="00F25A60">
              <w:rPr>
                <w:color w:val="000000"/>
              </w:rPr>
              <w:t>Tel: +46 8 732 32 00</w:t>
            </w:r>
          </w:p>
          <w:p w14:paraId="7747732C" w14:textId="77777777" w:rsidR="00762D0E" w:rsidRPr="00F25A60" w:rsidRDefault="00762D0E" w:rsidP="005C56E6">
            <w:pPr>
              <w:widowControl w:val="0"/>
              <w:spacing w:line="240" w:lineRule="auto"/>
              <w:rPr>
                <w:color w:val="000000"/>
              </w:rPr>
            </w:pPr>
          </w:p>
        </w:tc>
      </w:tr>
      <w:tr w:rsidR="00762D0E" w:rsidRPr="00F25A60" w14:paraId="4D888FCC" w14:textId="77777777" w:rsidTr="00795E60">
        <w:trPr>
          <w:cantSplit/>
        </w:trPr>
        <w:tc>
          <w:tcPr>
            <w:tcW w:w="4650" w:type="dxa"/>
          </w:tcPr>
          <w:p w14:paraId="0A9DAA66" w14:textId="77777777" w:rsidR="00762D0E" w:rsidRPr="00F25A60" w:rsidRDefault="00762D0E" w:rsidP="005C56E6">
            <w:pPr>
              <w:widowControl w:val="0"/>
              <w:spacing w:line="240" w:lineRule="auto"/>
              <w:rPr>
                <w:b/>
                <w:color w:val="000000"/>
              </w:rPr>
            </w:pPr>
            <w:r w:rsidRPr="00F25A60">
              <w:rPr>
                <w:b/>
                <w:color w:val="000000"/>
              </w:rPr>
              <w:t>Latvija</w:t>
            </w:r>
          </w:p>
          <w:p w14:paraId="5D9EC80B" w14:textId="7B9D334D" w:rsidR="00762D0E" w:rsidRPr="00F25A60" w:rsidRDefault="008E362E" w:rsidP="005C56E6">
            <w:pPr>
              <w:widowControl w:val="0"/>
              <w:spacing w:line="240" w:lineRule="auto"/>
              <w:rPr>
                <w:color w:val="000000"/>
              </w:rPr>
            </w:pPr>
            <w:r w:rsidRPr="00F25A60">
              <w:t>SIA Novartis Baltics</w:t>
            </w:r>
          </w:p>
          <w:p w14:paraId="2F6D48A8" w14:textId="77777777" w:rsidR="00762D0E" w:rsidRPr="00F25A60" w:rsidRDefault="00762D0E" w:rsidP="005C56E6">
            <w:pPr>
              <w:widowControl w:val="0"/>
              <w:spacing w:line="240" w:lineRule="auto"/>
              <w:rPr>
                <w:color w:val="000000"/>
              </w:rPr>
            </w:pPr>
            <w:r w:rsidRPr="00F25A60">
              <w:rPr>
                <w:color w:val="000000"/>
              </w:rPr>
              <w:t>Tel: +371 67 887 070</w:t>
            </w:r>
          </w:p>
          <w:p w14:paraId="0E8915C6" w14:textId="77777777" w:rsidR="00762D0E" w:rsidRPr="00F25A60" w:rsidRDefault="00762D0E" w:rsidP="005C56E6">
            <w:pPr>
              <w:widowControl w:val="0"/>
              <w:spacing w:line="240" w:lineRule="auto"/>
              <w:rPr>
                <w:b/>
                <w:color w:val="000000"/>
              </w:rPr>
            </w:pPr>
          </w:p>
        </w:tc>
        <w:tc>
          <w:tcPr>
            <w:tcW w:w="4650" w:type="dxa"/>
          </w:tcPr>
          <w:p w14:paraId="37157725" w14:textId="77777777" w:rsidR="00762D0E" w:rsidRPr="00F25A60" w:rsidRDefault="00762D0E" w:rsidP="005C56E6">
            <w:pPr>
              <w:widowControl w:val="0"/>
              <w:spacing w:line="240" w:lineRule="auto"/>
              <w:rPr>
                <w:color w:val="000000"/>
              </w:rPr>
            </w:pPr>
          </w:p>
        </w:tc>
      </w:tr>
    </w:tbl>
    <w:p w14:paraId="0B015849" w14:textId="77777777" w:rsidR="00762D0E" w:rsidRPr="00F25A60" w:rsidRDefault="00762D0E" w:rsidP="005C56E6">
      <w:pPr>
        <w:widowControl w:val="0"/>
        <w:tabs>
          <w:tab w:val="clear" w:pos="567"/>
        </w:tabs>
        <w:spacing w:line="240" w:lineRule="auto"/>
        <w:ind w:right="-449"/>
        <w:rPr>
          <w:color w:val="000000"/>
        </w:rPr>
      </w:pPr>
    </w:p>
    <w:p w14:paraId="4DA48D75" w14:textId="77777777" w:rsidR="00E61A01" w:rsidRPr="00F25A60" w:rsidRDefault="00E61A01" w:rsidP="005C56E6">
      <w:pPr>
        <w:widowControl w:val="0"/>
        <w:tabs>
          <w:tab w:val="clear" w:pos="567"/>
        </w:tabs>
        <w:spacing w:line="240" w:lineRule="auto"/>
        <w:ind w:right="-2"/>
        <w:rPr>
          <w:b/>
          <w:bCs/>
          <w:color w:val="000000"/>
        </w:rPr>
      </w:pPr>
      <w:r w:rsidRPr="00F25A60">
        <w:rPr>
          <w:b/>
          <w:bCs/>
          <w:color w:val="000000"/>
        </w:rPr>
        <w:t xml:space="preserve">Tato příbalová informace byla naposledy </w:t>
      </w:r>
      <w:r w:rsidR="007D331A" w:rsidRPr="00F25A60">
        <w:rPr>
          <w:b/>
          <w:bCs/>
          <w:color w:val="000000"/>
        </w:rPr>
        <w:t>revidována</w:t>
      </w:r>
    </w:p>
    <w:p w14:paraId="3CD3B066" w14:textId="77777777" w:rsidR="007D331A" w:rsidRPr="00F25A60" w:rsidRDefault="007D331A" w:rsidP="005C56E6">
      <w:pPr>
        <w:widowControl w:val="0"/>
        <w:tabs>
          <w:tab w:val="clear" w:pos="567"/>
        </w:tabs>
        <w:spacing w:line="240" w:lineRule="auto"/>
        <w:ind w:right="-2"/>
        <w:rPr>
          <w:color w:val="000000"/>
        </w:rPr>
      </w:pPr>
    </w:p>
    <w:p w14:paraId="20230C4D" w14:textId="77777777" w:rsidR="007D331A" w:rsidRPr="00F25A60" w:rsidRDefault="007D331A" w:rsidP="005C56E6">
      <w:pPr>
        <w:keepNext/>
        <w:widowControl w:val="0"/>
        <w:tabs>
          <w:tab w:val="clear" w:pos="567"/>
        </w:tabs>
        <w:spacing w:line="240" w:lineRule="auto"/>
        <w:rPr>
          <w:b/>
          <w:color w:val="000000"/>
        </w:rPr>
      </w:pPr>
      <w:r w:rsidRPr="00F25A60">
        <w:rPr>
          <w:b/>
          <w:color w:val="000000"/>
        </w:rPr>
        <w:t>Další zdroje informací</w:t>
      </w:r>
    </w:p>
    <w:p w14:paraId="7B9BB83E" w14:textId="33E7F5BD" w:rsidR="00E61A01" w:rsidRPr="009B1A37" w:rsidRDefault="00E61A01" w:rsidP="005C56E6">
      <w:pPr>
        <w:widowControl w:val="0"/>
        <w:tabs>
          <w:tab w:val="clear" w:pos="567"/>
        </w:tabs>
        <w:spacing w:line="240" w:lineRule="auto"/>
        <w:ind w:right="-2"/>
        <w:rPr>
          <w:color w:val="000000"/>
        </w:rPr>
      </w:pPr>
      <w:r w:rsidRPr="00F25A60">
        <w:rPr>
          <w:color w:val="000000"/>
        </w:rPr>
        <w:t xml:space="preserve">Podrobné informace o tomto </w:t>
      </w:r>
      <w:r w:rsidR="007D331A" w:rsidRPr="00F25A60">
        <w:rPr>
          <w:color w:val="000000"/>
        </w:rPr>
        <w:t xml:space="preserve">léčivém </w:t>
      </w:r>
      <w:r w:rsidRPr="00F25A60">
        <w:rPr>
          <w:color w:val="000000"/>
        </w:rPr>
        <w:t xml:space="preserve">přípravku jsou </w:t>
      </w:r>
      <w:r w:rsidR="007D331A" w:rsidRPr="00F25A60">
        <w:rPr>
          <w:color w:val="000000"/>
        </w:rPr>
        <w:t>k dispozici</w:t>
      </w:r>
      <w:r w:rsidRPr="00F25A60">
        <w:rPr>
          <w:color w:val="000000"/>
        </w:rPr>
        <w:t xml:space="preserve"> na webových stránkách Evropské agentury</w:t>
      </w:r>
      <w:r w:rsidR="007D331A" w:rsidRPr="00F25A60">
        <w:rPr>
          <w:color w:val="000000"/>
        </w:rPr>
        <w:t xml:space="preserve"> pro léčivé přípravky</w:t>
      </w:r>
      <w:r w:rsidRPr="00F25A60">
        <w:rPr>
          <w:color w:val="000000"/>
        </w:rPr>
        <w:t xml:space="preserve"> </w:t>
      </w:r>
      <w:ins w:id="475" w:author="Author">
        <w:r w:rsidR="002173BA">
          <w:fldChar w:fldCharType="begin"/>
        </w:r>
        <w:r w:rsidR="002173BA">
          <w:instrText>HYPERLINK "</w:instrText>
        </w:r>
      </w:ins>
      <w:r w:rsidR="002173BA" w:rsidRPr="00D567F2">
        <w:rPr>
          <w:rPrChange w:id="476" w:author="Author">
            <w:rPr>
              <w:rStyle w:val="Hyperlink"/>
            </w:rPr>
          </w:rPrChange>
        </w:rPr>
        <w:instrText>http</w:instrText>
      </w:r>
      <w:ins w:id="477" w:author="Author">
        <w:r w:rsidR="002173BA" w:rsidRPr="00D567F2">
          <w:rPr>
            <w:rPrChange w:id="478" w:author="Author">
              <w:rPr>
                <w:rStyle w:val="Hyperlink"/>
              </w:rPr>
            </w:rPrChange>
          </w:rPr>
          <w:instrText>s</w:instrText>
        </w:r>
      </w:ins>
      <w:r w:rsidR="002173BA" w:rsidRPr="00D567F2">
        <w:rPr>
          <w:rPrChange w:id="479" w:author="Author">
            <w:rPr>
              <w:rStyle w:val="Hyperlink"/>
            </w:rPr>
          </w:rPrChange>
        </w:rPr>
        <w:instrText>://www.ema.europa.eu</w:instrText>
      </w:r>
      <w:ins w:id="480" w:author="Author">
        <w:r w:rsidR="002173BA">
          <w:instrText>"</w:instrText>
        </w:r>
        <w:r w:rsidR="002173BA">
          <w:fldChar w:fldCharType="separate"/>
        </w:r>
      </w:ins>
      <w:r w:rsidR="002173BA" w:rsidRPr="002173BA">
        <w:rPr>
          <w:rStyle w:val="Hyperlink"/>
        </w:rPr>
        <w:t>http</w:t>
      </w:r>
      <w:ins w:id="481" w:author="Author">
        <w:r w:rsidR="002173BA" w:rsidRPr="002173BA">
          <w:rPr>
            <w:rStyle w:val="Hyperlink"/>
          </w:rPr>
          <w:t>s</w:t>
        </w:r>
      </w:ins>
      <w:r w:rsidR="002173BA" w:rsidRPr="002173BA">
        <w:rPr>
          <w:rStyle w:val="Hyperlink"/>
        </w:rPr>
        <w:t>://www.ema.europa.eu</w:t>
      </w:r>
      <w:ins w:id="482" w:author="Author">
        <w:r w:rsidR="002173BA">
          <w:fldChar w:fldCharType="end"/>
        </w:r>
      </w:ins>
    </w:p>
    <w:p w14:paraId="1FF80D4C" w14:textId="77777777" w:rsidR="00E61A01" w:rsidRPr="009B1A37" w:rsidRDefault="00E61A01" w:rsidP="005C56E6">
      <w:pPr>
        <w:widowControl w:val="0"/>
        <w:tabs>
          <w:tab w:val="clear" w:pos="567"/>
        </w:tabs>
        <w:spacing w:line="240" w:lineRule="auto"/>
        <w:ind w:right="-2"/>
        <w:rPr>
          <w:color w:val="000000"/>
        </w:rPr>
      </w:pPr>
    </w:p>
    <w:sectPr w:rsidR="00E61A01" w:rsidRPr="009B1A37" w:rsidSect="00F75C2F">
      <w:footerReference w:type="default" r:id="rId10"/>
      <w:footnotePr>
        <w:pos w:val="beneathText"/>
      </w:footnotePr>
      <w:pgSz w:w="11905" w:h="16837"/>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65F04" w14:textId="77777777" w:rsidR="00A641DD" w:rsidRDefault="00A641DD">
      <w:r>
        <w:separator/>
      </w:r>
    </w:p>
  </w:endnote>
  <w:endnote w:type="continuationSeparator" w:id="0">
    <w:p w14:paraId="79ACB125" w14:textId="77777777" w:rsidR="00A641DD" w:rsidRDefault="00A64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
    <w:altName w:val="Yu Gothic"/>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74746" w14:textId="004D0103" w:rsidR="00C44E19" w:rsidRPr="00AA6870" w:rsidRDefault="00C44E19">
    <w:pPr>
      <w:pStyle w:val="Footer"/>
      <w:tabs>
        <w:tab w:val="clear" w:pos="8930"/>
        <w:tab w:val="right" w:pos="8931"/>
      </w:tabs>
      <w:ind w:right="96"/>
      <w:jc w:val="center"/>
      <w:rPr>
        <w:rFonts w:ascii="Arial" w:hAnsi="Arial" w:cs="Arial"/>
      </w:rPr>
    </w:pPr>
    <w:r w:rsidRPr="00AA6870">
      <w:rPr>
        <w:rStyle w:val="PageNumber"/>
        <w:rFonts w:ascii="Arial" w:hAnsi="Arial" w:cs="Arial"/>
      </w:rPr>
      <w:fldChar w:fldCharType="begin"/>
    </w:r>
    <w:r w:rsidRPr="00AA6870">
      <w:rPr>
        <w:rStyle w:val="PageNumber"/>
        <w:rFonts w:ascii="Arial" w:hAnsi="Arial" w:cs="Arial"/>
      </w:rPr>
      <w:instrText xml:space="preserve"> PAGE </w:instrText>
    </w:r>
    <w:r w:rsidRPr="00AA6870">
      <w:rPr>
        <w:rStyle w:val="PageNumber"/>
        <w:rFonts w:ascii="Arial" w:hAnsi="Arial" w:cs="Arial"/>
      </w:rPr>
      <w:fldChar w:fldCharType="separate"/>
    </w:r>
    <w:r w:rsidR="00297FE6">
      <w:rPr>
        <w:rStyle w:val="PageNumber"/>
        <w:rFonts w:ascii="Arial" w:hAnsi="Arial" w:cs="Arial"/>
        <w:noProof/>
      </w:rPr>
      <w:t>10</w:t>
    </w:r>
    <w:r w:rsidR="00297FE6">
      <w:rPr>
        <w:rStyle w:val="PageNumber"/>
        <w:rFonts w:ascii="Arial" w:hAnsi="Arial" w:cs="Arial"/>
        <w:noProof/>
      </w:rPr>
      <w:t>5</w:t>
    </w:r>
    <w:r w:rsidRPr="00AA6870">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6EDF1" w14:textId="77777777" w:rsidR="00A641DD" w:rsidRDefault="00A641DD">
      <w:r>
        <w:separator/>
      </w:r>
    </w:p>
  </w:footnote>
  <w:footnote w:type="continuationSeparator" w:id="0">
    <w:p w14:paraId="3502E8AA" w14:textId="77777777" w:rsidR="00A641DD" w:rsidRDefault="00A641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pStyle w:val="Heading3"/>
      <w:lvlText w:val=""/>
      <w:lvlJc w:val="left"/>
      <w:pPr>
        <w:tabs>
          <w:tab w:val="num" w:pos="720"/>
        </w:tabs>
        <w:ind w:left="720" w:hanging="720"/>
      </w:pPr>
    </w:lvl>
    <w:lvl w:ilvl="3">
      <w:start w:val="1"/>
      <w:numFmt w:val="none"/>
      <w:pStyle w:val="Heading4"/>
      <w:lvlText w:val=""/>
      <w:lvlJc w:val="left"/>
      <w:pPr>
        <w:tabs>
          <w:tab w:val="num" w:pos="864"/>
        </w:tabs>
        <w:ind w:left="864" w:hanging="864"/>
      </w:pPr>
    </w:lvl>
    <w:lvl w:ilvl="4">
      <w:start w:val="1"/>
      <w:numFmt w:val="none"/>
      <w:pStyle w:val="Heading5"/>
      <w:lvlText w:val=""/>
      <w:lvlJc w:val="left"/>
      <w:pPr>
        <w:tabs>
          <w:tab w:val="num" w:pos="1008"/>
        </w:tabs>
        <w:ind w:left="1008" w:hanging="1008"/>
      </w:pPr>
    </w:lvl>
    <w:lvl w:ilvl="5">
      <w:start w:val="1"/>
      <w:numFmt w:val="none"/>
      <w:pStyle w:val="Heading6"/>
      <w:lvlText w:val=""/>
      <w:lvlJc w:val="left"/>
      <w:pPr>
        <w:tabs>
          <w:tab w:val="num" w:pos="1152"/>
        </w:tabs>
        <w:ind w:left="1152" w:hanging="1152"/>
      </w:pPr>
    </w:lvl>
    <w:lvl w:ilvl="6">
      <w:start w:val="1"/>
      <w:numFmt w:val="none"/>
      <w:pStyle w:val="Heading7"/>
      <w:lvlText w:val=""/>
      <w:lvlJc w:val="left"/>
      <w:pPr>
        <w:tabs>
          <w:tab w:val="num" w:pos="1296"/>
        </w:tabs>
        <w:ind w:left="1296" w:hanging="1296"/>
      </w:pPr>
    </w:lvl>
    <w:lvl w:ilvl="7">
      <w:start w:val="1"/>
      <w:numFmt w:val="none"/>
      <w:pStyle w:val="Heading8"/>
      <w:lvlText w:val=""/>
      <w:lvlJc w:val="left"/>
      <w:pPr>
        <w:tabs>
          <w:tab w:val="num" w:pos="1440"/>
        </w:tabs>
        <w:ind w:left="1440" w:hanging="1440"/>
      </w:pPr>
    </w:lvl>
    <w:lvl w:ilvl="8">
      <w:start w:val="1"/>
      <w:numFmt w:val="none"/>
      <w:pStyle w:val="Heading9"/>
      <w:lvlText w:val=""/>
      <w:lvlJc w:val="left"/>
      <w:pPr>
        <w:tabs>
          <w:tab w:val="num" w:pos="1584"/>
        </w:tabs>
        <w:ind w:left="1584" w:hanging="1584"/>
      </w:pPr>
    </w:lvl>
  </w:abstractNum>
  <w:abstractNum w:abstractNumId="2" w15:restartNumberingAfterBreak="0">
    <w:nsid w:val="00000002"/>
    <w:multiLevelType w:val="singleLevel"/>
    <w:tmpl w:val="00000002"/>
    <w:name w:val="WW8Num2"/>
    <w:lvl w:ilvl="0">
      <w:start w:val="1"/>
      <w:numFmt w:val="decimal"/>
      <w:lvlText w:val="%1."/>
      <w:lvlJc w:val="left"/>
      <w:pPr>
        <w:tabs>
          <w:tab w:val="num" w:pos="567"/>
        </w:tabs>
        <w:ind w:left="567" w:hanging="567"/>
      </w:pPr>
      <w:rPr>
        <w:rFonts w:cs="Times New Roman"/>
      </w:rPr>
    </w:lvl>
  </w:abstractNum>
  <w:abstractNum w:abstractNumId="3" w15:restartNumberingAfterBreak="0">
    <w:nsid w:val="00000003"/>
    <w:multiLevelType w:val="singleLevel"/>
    <w:tmpl w:val="00000003"/>
    <w:name w:val="WW8Num3"/>
    <w:lvl w:ilvl="0">
      <w:start w:val="1"/>
      <w:numFmt w:val="decimal"/>
      <w:lvlText w:val="%1."/>
      <w:lvlJc w:val="left"/>
      <w:pPr>
        <w:tabs>
          <w:tab w:val="num" w:pos="720"/>
        </w:tabs>
        <w:ind w:left="720" w:hanging="360"/>
      </w:pPr>
      <w:rPr>
        <w:rFonts w:cs="Times New Roman"/>
      </w:rPr>
    </w:lvl>
  </w:abstractNum>
  <w:abstractNum w:abstractNumId="4" w15:restartNumberingAfterBreak="0">
    <w:nsid w:val="00000004"/>
    <w:multiLevelType w:val="singleLevel"/>
    <w:tmpl w:val="00000004"/>
    <w:name w:val="WW8Num4"/>
    <w:lvl w:ilvl="0">
      <w:start w:val="1"/>
      <w:numFmt w:val="decimal"/>
      <w:lvlText w:val="%1."/>
      <w:lvlJc w:val="left"/>
      <w:pPr>
        <w:tabs>
          <w:tab w:val="num" w:pos="567"/>
        </w:tabs>
        <w:ind w:left="567" w:hanging="567"/>
      </w:pPr>
      <w:rPr>
        <w:rFonts w:cs="Times New Roman"/>
      </w:rPr>
    </w:lvl>
  </w:abstractNum>
  <w:abstractNum w:abstractNumId="5"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06"/>
    <w:multiLevelType w:val="singleLevel"/>
    <w:tmpl w:val="00000006"/>
    <w:name w:val="WW8Num6"/>
    <w:lvl w:ilvl="0">
      <w:start w:val="1"/>
      <w:numFmt w:val="decimal"/>
      <w:lvlText w:val="%1."/>
      <w:lvlJc w:val="left"/>
      <w:pPr>
        <w:tabs>
          <w:tab w:val="num" w:pos="567"/>
        </w:tabs>
        <w:ind w:left="567" w:hanging="567"/>
      </w:pPr>
      <w:rPr>
        <w:rFonts w:ascii="Symbol" w:hAnsi="Symbol"/>
      </w:rPr>
    </w:lvl>
  </w:abstractNum>
  <w:abstractNum w:abstractNumId="7" w15:restartNumberingAfterBreak="0">
    <w:nsid w:val="00000007"/>
    <w:multiLevelType w:val="singleLevel"/>
    <w:tmpl w:val="00000007"/>
    <w:name w:val="WW8Num7"/>
    <w:lvl w:ilvl="0">
      <w:start w:val="1"/>
      <w:numFmt w:val="bullet"/>
      <w:lvlText w:val=""/>
      <w:lvlJc w:val="left"/>
      <w:pPr>
        <w:tabs>
          <w:tab w:val="num" w:pos="510"/>
        </w:tabs>
        <w:ind w:left="567" w:hanging="567"/>
      </w:pPr>
      <w:rPr>
        <w:rFonts w:ascii="Symbol" w:hAnsi="Symbol"/>
      </w:rPr>
    </w:lvl>
  </w:abstractNum>
  <w:abstractNum w:abstractNumId="8" w15:restartNumberingAfterBreak="0">
    <w:nsid w:val="00000008"/>
    <w:multiLevelType w:val="singleLevel"/>
    <w:tmpl w:val="00000008"/>
    <w:name w:val="WW8Num8"/>
    <w:lvl w:ilvl="0">
      <w:start w:val="1"/>
      <w:numFmt w:val="decimal"/>
      <w:lvlText w:val="%1."/>
      <w:lvlJc w:val="left"/>
      <w:pPr>
        <w:tabs>
          <w:tab w:val="num" w:pos="567"/>
        </w:tabs>
        <w:ind w:left="567" w:hanging="567"/>
      </w:pPr>
      <w:rPr>
        <w:rFonts w:ascii="Symbol" w:hAnsi="Symbol"/>
      </w:rPr>
    </w:lvl>
  </w:abstractNum>
  <w:abstractNum w:abstractNumId="9" w15:restartNumberingAfterBreak="0">
    <w:nsid w:val="00000009"/>
    <w:multiLevelType w:val="singleLevel"/>
    <w:tmpl w:val="00000009"/>
    <w:name w:val="WW8Num9"/>
    <w:lvl w:ilvl="0">
      <w:start w:val="1"/>
      <w:numFmt w:val="bullet"/>
      <w:lvlText w:val=""/>
      <w:lvlJc w:val="left"/>
      <w:pPr>
        <w:tabs>
          <w:tab w:val="num" w:pos="567"/>
        </w:tabs>
        <w:ind w:left="567" w:hanging="567"/>
      </w:pPr>
      <w:rPr>
        <w:rFonts w:ascii="Symbol" w:hAnsi="Symbol" w:cs="Times New Roman"/>
      </w:rPr>
    </w:lvl>
  </w:abstractNum>
  <w:abstractNum w:abstractNumId="10" w15:restartNumberingAfterBreak="0">
    <w:nsid w:val="0000000A"/>
    <w:multiLevelType w:val="singleLevel"/>
    <w:tmpl w:val="0000000A"/>
    <w:name w:val="WW8Num10"/>
    <w:lvl w:ilvl="0">
      <w:start w:val="1"/>
      <w:numFmt w:val="decimal"/>
      <w:lvlText w:val="%1."/>
      <w:lvlJc w:val="left"/>
      <w:pPr>
        <w:tabs>
          <w:tab w:val="num" w:pos="360"/>
        </w:tabs>
        <w:ind w:left="360" w:hanging="360"/>
      </w:pPr>
      <w:rPr>
        <w:rFonts w:ascii="Symbol" w:hAnsi="Symbol"/>
      </w:rPr>
    </w:lvl>
  </w:abstractNum>
  <w:abstractNum w:abstractNumId="11" w15:restartNumberingAfterBreak="0">
    <w:nsid w:val="0000000B"/>
    <w:multiLevelType w:val="singleLevel"/>
    <w:tmpl w:val="0000000B"/>
    <w:name w:val="WW8Num11"/>
    <w:lvl w:ilvl="0">
      <w:start w:val="1"/>
      <w:numFmt w:val="decimal"/>
      <w:lvlText w:val="%1."/>
      <w:lvlJc w:val="left"/>
      <w:pPr>
        <w:tabs>
          <w:tab w:val="num" w:pos="567"/>
        </w:tabs>
        <w:ind w:left="567" w:hanging="567"/>
      </w:pPr>
      <w:rPr>
        <w:rFonts w:cs="Times New Roman"/>
      </w:rPr>
    </w:lvl>
  </w:abstractNum>
  <w:abstractNum w:abstractNumId="12" w15:restartNumberingAfterBreak="0">
    <w:nsid w:val="0000000C"/>
    <w:multiLevelType w:val="singleLevel"/>
    <w:tmpl w:val="0000000C"/>
    <w:name w:val="WW8Num12"/>
    <w:lvl w:ilvl="0">
      <w:start w:val="1"/>
      <w:numFmt w:val="decimal"/>
      <w:lvlText w:val="%1."/>
      <w:lvlJc w:val="left"/>
      <w:pPr>
        <w:tabs>
          <w:tab w:val="num" w:pos="567"/>
        </w:tabs>
        <w:ind w:left="567" w:hanging="567"/>
      </w:pPr>
      <w:rPr>
        <w:rFonts w:cs="Times New Roman"/>
      </w:rPr>
    </w:lvl>
  </w:abstractNum>
  <w:abstractNum w:abstractNumId="13" w15:restartNumberingAfterBreak="0">
    <w:nsid w:val="0000000D"/>
    <w:multiLevelType w:val="singleLevel"/>
    <w:tmpl w:val="0000000D"/>
    <w:name w:val="WW8Num13"/>
    <w:lvl w:ilvl="0">
      <w:start w:val="1"/>
      <w:numFmt w:val="decimal"/>
      <w:lvlText w:val="%1."/>
      <w:lvlJc w:val="left"/>
      <w:pPr>
        <w:tabs>
          <w:tab w:val="num" w:pos="930"/>
        </w:tabs>
        <w:ind w:left="930" w:hanging="570"/>
      </w:pPr>
      <w:rPr>
        <w:rFonts w:cs="Times New Roman"/>
      </w:rPr>
    </w:lvl>
  </w:abstractNum>
  <w:abstractNum w:abstractNumId="14" w15:restartNumberingAfterBreak="0">
    <w:nsid w:val="0000000E"/>
    <w:multiLevelType w:val="singleLevel"/>
    <w:tmpl w:val="0000000E"/>
    <w:name w:val="WW8Num14"/>
    <w:lvl w:ilvl="0">
      <w:start w:val="1"/>
      <w:numFmt w:val="bullet"/>
      <w:lvlText w:val=""/>
      <w:lvlJc w:val="left"/>
      <w:pPr>
        <w:tabs>
          <w:tab w:val="num" w:pos="360"/>
        </w:tabs>
        <w:ind w:left="360" w:hanging="360"/>
      </w:pPr>
      <w:rPr>
        <w:rFonts w:ascii="Symbol" w:hAnsi="Symbol"/>
      </w:rPr>
    </w:lvl>
  </w:abstractNum>
  <w:abstractNum w:abstractNumId="15" w15:restartNumberingAfterBreak="0">
    <w:nsid w:val="0000000F"/>
    <w:multiLevelType w:val="singleLevel"/>
    <w:tmpl w:val="0000000F"/>
    <w:name w:val="WW8Num15"/>
    <w:lvl w:ilvl="0">
      <w:start w:val="1"/>
      <w:numFmt w:val="bullet"/>
      <w:lvlText w:val=""/>
      <w:lvlJc w:val="left"/>
      <w:pPr>
        <w:tabs>
          <w:tab w:val="num" w:pos="780"/>
        </w:tabs>
        <w:ind w:left="780" w:hanging="360"/>
      </w:pPr>
      <w:rPr>
        <w:rFonts w:ascii="Symbol" w:hAnsi="Symbol" w:cs="Times New Roman"/>
      </w:rPr>
    </w:lvl>
  </w:abstractNum>
  <w:abstractNum w:abstractNumId="16" w15:restartNumberingAfterBreak="0">
    <w:nsid w:val="00000010"/>
    <w:multiLevelType w:val="singleLevel"/>
    <w:tmpl w:val="00000010"/>
    <w:name w:val="WW8Num16"/>
    <w:lvl w:ilvl="0">
      <w:start w:val="1"/>
      <w:numFmt w:val="bullet"/>
      <w:lvlText w:val=""/>
      <w:lvlJc w:val="left"/>
      <w:pPr>
        <w:tabs>
          <w:tab w:val="num" w:pos="417"/>
        </w:tabs>
        <w:ind w:left="417" w:hanging="360"/>
      </w:pPr>
      <w:rPr>
        <w:rFonts w:ascii="Symbol" w:hAnsi="Symbol" w:cs="Times New Roman"/>
      </w:rPr>
    </w:lvl>
  </w:abstractNum>
  <w:abstractNum w:abstractNumId="17" w15:restartNumberingAfterBreak="0">
    <w:nsid w:val="00000011"/>
    <w:multiLevelType w:val="singleLevel"/>
    <w:tmpl w:val="00000011"/>
    <w:name w:val="WW8Num17"/>
    <w:lvl w:ilvl="0">
      <w:start w:val="1"/>
      <w:numFmt w:val="decimal"/>
      <w:lvlText w:val="%1."/>
      <w:lvlJc w:val="left"/>
      <w:pPr>
        <w:tabs>
          <w:tab w:val="num" w:pos="567"/>
        </w:tabs>
        <w:ind w:left="567" w:hanging="567"/>
      </w:pPr>
      <w:rPr>
        <w:rFonts w:cs="Times New Roman"/>
      </w:rPr>
    </w:lvl>
  </w:abstractNum>
  <w:abstractNum w:abstractNumId="18" w15:restartNumberingAfterBreak="0">
    <w:nsid w:val="00000012"/>
    <w:multiLevelType w:val="singleLevel"/>
    <w:tmpl w:val="00000012"/>
    <w:name w:val="WW8Num18"/>
    <w:lvl w:ilvl="0">
      <w:start w:val="1"/>
      <w:numFmt w:val="decimal"/>
      <w:lvlText w:val="%1."/>
      <w:lvlJc w:val="left"/>
      <w:pPr>
        <w:tabs>
          <w:tab w:val="num" w:pos="567"/>
        </w:tabs>
        <w:ind w:left="567" w:hanging="567"/>
      </w:pPr>
      <w:rPr>
        <w:rFonts w:cs="Times New Roman"/>
      </w:rPr>
    </w:lvl>
  </w:abstractNum>
  <w:abstractNum w:abstractNumId="19"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Symbol" w:hAnsi="Symbol"/>
      </w:rPr>
    </w:lvl>
  </w:abstractNum>
  <w:abstractNum w:abstractNumId="20" w15:restartNumberingAfterBreak="0">
    <w:nsid w:val="00000014"/>
    <w:multiLevelType w:val="singleLevel"/>
    <w:tmpl w:val="00000014"/>
    <w:lvl w:ilvl="0">
      <w:start w:val="1"/>
      <w:numFmt w:val="bullet"/>
      <w:lvlText w:val=""/>
      <w:lvlJc w:val="left"/>
      <w:pPr>
        <w:tabs>
          <w:tab w:val="num" w:pos="360"/>
        </w:tabs>
        <w:ind w:left="360" w:hanging="360"/>
      </w:pPr>
      <w:rPr>
        <w:rFonts w:ascii="Symbol" w:hAnsi="Symbol" w:cs="Times New Roman"/>
      </w:rPr>
    </w:lvl>
  </w:abstractNum>
  <w:abstractNum w:abstractNumId="21" w15:restartNumberingAfterBreak="0">
    <w:nsid w:val="00000015"/>
    <w:multiLevelType w:val="singleLevel"/>
    <w:tmpl w:val="00000015"/>
    <w:name w:val="WW8Num21"/>
    <w:lvl w:ilvl="0">
      <w:start w:val="1"/>
      <w:numFmt w:val="decimal"/>
      <w:lvlText w:val="%1."/>
      <w:lvlJc w:val="left"/>
      <w:pPr>
        <w:tabs>
          <w:tab w:val="num" w:pos="720"/>
        </w:tabs>
        <w:ind w:left="720" w:hanging="360"/>
      </w:pPr>
      <w:rPr>
        <w:rFonts w:ascii="Symbol" w:hAnsi="Symbol"/>
      </w:rPr>
    </w:lvl>
  </w:abstractNum>
  <w:abstractNum w:abstractNumId="22" w15:restartNumberingAfterBreak="0">
    <w:nsid w:val="00000016"/>
    <w:multiLevelType w:val="singleLevel"/>
    <w:tmpl w:val="00000016"/>
    <w:name w:val="WW8Num22"/>
    <w:lvl w:ilvl="0">
      <w:start w:val="1"/>
      <w:numFmt w:val="bullet"/>
      <w:lvlText w:val=""/>
      <w:lvlJc w:val="left"/>
      <w:pPr>
        <w:tabs>
          <w:tab w:val="num" w:pos="2160"/>
        </w:tabs>
        <w:ind w:left="2160" w:hanging="360"/>
      </w:pPr>
      <w:rPr>
        <w:rFonts w:ascii="Symbol" w:hAnsi="Symbol"/>
        <w:b w:val="0"/>
        <w:i w:val="0"/>
      </w:rPr>
    </w:lvl>
  </w:abstractNum>
  <w:abstractNum w:abstractNumId="23" w15:restartNumberingAfterBreak="0">
    <w:nsid w:val="00000017"/>
    <w:multiLevelType w:val="singleLevel"/>
    <w:tmpl w:val="00000017"/>
    <w:name w:val="WW8Num23"/>
    <w:lvl w:ilvl="0">
      <w:start w:val="1"/>
      <w:numFmt w:val="decimal"/>
      <w:lvlText w:val="%1."/>
      <w:lvlJc w:val="left"/>
      <w:pPr>
        <w:tabs>
          <w:tab w:val="num" w:pos="1290"/>
        </w:tabs>
        <w:ind w:left="1290" w:hanging="570"/>
      </w:pPr>
      <w:rPr>
        <w:rFonts w:ascii="Symbol" w:hAnsi="Symbol"/>
      </w:rPr>
    </w:lvl>
  </w:abstractNum>
  <w:abstractNum w:abstractNumId="24" w15:restartNumberingAfterBreak="0">
    <w:nsid w:val="00000018"/>
    <w:multiLevelType w:val="singleLevel"/>
    <w:tmpl w:val="00000018"/>
    <w:name w:val="WW8Num24"/>
    <w:lvl w:ilvl="0">
      <w:start w:val="1"/>
      <w:numFmt w:val="bullet"/>
      <w:lvlText w:val=""/>
      <w:lvlJc w:val="left"/>
      <w:pPr>
        <w:tabs>
          <w:tab w:val="num" w:pos="567"/>
        </w:tabs>
        <w:ind w:left="567" w:hanging="567"/>
      </w:pPr>
      <w:rPr>
        <w:rFonts w:ascii="Symbol" w:hAnsi="Symbol" w:cs="Times New Roman"/>
      </w:rPr>
    </w:lvl>
  </w:abstractNum>
  <w:abstractNum w:abstractNumId="25" w15:restartNumberingAfterBreak="0">
    <w:nsid w:val="00000019"/>
    <w:multiLevelType w:val="singleLevel"/>
    <w:tmpl w:val="00000019"/>
    <w:name w:val="WW8Num25"/>
    <w:lvl w:ilvl="0">
      <w:start w:val="1"/>
      <w:numFmt w:val="decimal"/>
      <w:lvlText w:val="%1."/>
      <w:lvlJc w:val="left"/>
      <w:pPr>
        <w:tabs>
          <w:tab w:val="num" w:pos="567"/>
        </w:tabs>
        <w:ind w:left="567" w:hanging="567"/>
      </w:pPr>
      <w:rPr>
        <w:rFonts w:ascii="Symbol" w:hAnsi="Symbol"/>
      </w:rPr>
    </w:lvl>
  </w:abstractNum>
  <w:abstractNum w:abstractNumId="26" w15:restartNumberingAfterBreak="0">
    <w:nsid w:val="0000001A"/>
    <w:multiLevelType w:val="singleLevel"/>
    <w:tmpl w:val="0000001A"/>
    <w:name w:val="WW8Num26"/>
    <w:lvl w:ilvl="0">
      <w:start w:val="1"/>
      <w:numFmt w:val="decimal"/>
      <w:lvlText w:val="%1."/>
      <w:lvlJc w:val="left"/>
      <w:pPr>
        <w:tabs>
          <w:tab w:val="num" w:pos="567"/>
        </w:tabs>
        <w:ind w:left="567" w:hanging="567"/>
      </w:pPr>
      <w:rPr>
        <w:rFonts w:ascii="Symbol" w:hAnsi="Symbol"/>
      </w:rPr>
    </w:lvl>
  </w:abstractNum>
  <w:abstractNum w:abstractNumId="27" w15:restartNumberingAfterBreak="0">
    <w:nsid w:val="0000001B"/>
    <w:multiLevelType w:val="singleLevel"/>
    <w:tmpl w:val="0000001B"/>
    <w:name w:val="WW8Num27"/>
    <w:lvl w:ilvl="0">
      <w:start w:val="1"/>
      <w:numFmt w:val="decimal"/>
      <w:lvlText w:val="%1."/>
      <w:lvlJc w:val="left"/>
      <w:pPr>
        <w:tabs>
          <w:tab w:val="num" w:pos="567"/>
        </w:tabs>
        <w:ind w:left="567" w:hanging="567"/>
      </w:pPr>
      <w:rPr>
        <w:rFonts w:cs="Times New Roman"/>
      </w:rPr>
    </w:lvl>
  </w:abstractNum>
  <w:abstractNum w:abstractNumId="28"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Symbol" w:hAnsi="Symbol" w:cs="Times New Roman"/>
      </w:rPr>
    </w:lvl>
  </w:abstractNum>
  <w:abstractNum w:abstractNumId="29" w15:restartNumberingAfterBreak="0">
    <w:nsid w:val="0000001D"/>
    <w:multiLevelType w:val="singleLevel"/>
    <w:tmpl w:val="0000001D"/>
    <w:name w:val="WW8Num29"/>
    <w:lvl w:ilvl="0">
      <w:start w:val="1"/>
      <w:numFmt w:val="bullet"/>
      <w:lvlText w:val=""/>
      <w:lvlJc w:val="left"/>
      <w:pPr>
        <w:tabs>
          <w:tab w:val="num" w:pos="360"/>
        </w:tabs>
        <w:ind w:left="360" w:hanging="360"/>
      </w:pPr>
      <w:rPr>
        <w:rFonts w:ascii="Symbol" w:hAnsi="Symbol" w:cs="Times New Roman"/>
      </w:rPr>
    </w:lvl>
  </w:abstractNum>
  <w:abstractNum w:abstractNumId="30" w15:restartNumberingAfterBreak="0">
    <w:nsid w:val="0000001E"/>
    <w:multiLevelType w:val="singleLevel"/>
    <w:tmpl w:val="0000001E"/>
    <w:name w:val="WW8Num30"/>
    <w:lvl w:ilvl="0">
      <w:start w:val="1"/>
      <w:numFmt w:val="decimal"/>
      <w:lvlText w:val="%1."/>
      <w:lvlJc w:val="left"/>
      <w:pPr>
        <w:tabs>
          <w:tab w:val="num" w:pos="567"/>
        </w:tabs>
        <w:ind w:left="567" w:hanging="567"/>
      </w:pPr>
      <w:rPr>
        <w:rFonts w:ascii="Symbol" w:hAnsi="Symbol"/>
      </w:rPr>
    </w:lvl>
  </w:abstractNum>
  <w:abstractNum w:abstractNumId="31" w15:restartNumberingAfterBreak="0">
    <w:nsid w:val="0000001F"/>
    <w:multiLevelType w:val="singleLevel"/>
    <w:tmpl w:val="0000001F"/>
    <w:name w:val="WW8Num31"/>
    <w:lvl w:ilvl="0">
      <w:start w:val="1"/>
      <w:numFmt w:val="decimal"/>
      <w:lvlText w:val="%1."/>
      <w:lvlJc w:val="left"/>
      <w:pPr>
        <w:tabs>
          <w:tab w:val="num" w:pos="1290"/>
        </w:tabs>
        <w:ind w:left="1290" w:hanging="570"/>
      </w:pPr>
      <w:rPr>
        <w:rFonts w:cs="Times New Roman"/>
      </w:rPr>
    </w:lvl>
  </w:abstractNum>
  <w:abstractNum w:abstractNumId="32" w15:restartNumberingAfterBreak="0">
    <w:nsid w:val="00000020"/>
    <w:multiLevelType w:val="singleLevel"/>
    <w:tmpl w:val="00000020"/>
    <w:name w:val="WW8Num32"/>
    <w:lvl w:ilvl="0">
      <w:start w:val="1"/>
      <w:numFmt w:val="bullet"/>
      <w:lvlText w:val=""/>
      <w:lvlJc w:val="left"/>
      <w:pPr>
        <w:tabs>
          <w:tab w:val="num" w:pos="567"/>
        </w:tabs>
        <w:ind w:left="567" w:hanging="567"/>
      </w:pPr>
      <w:rPr>
        <w:rFonts w:ascii="Symbol" w:hAnsi="Symbol" w:cs="Times New Roman"/>
      </w:rPr>
    </w:lvl>
  </w:abstractNum>
  <w:abstractNum w:abstractNumId="33" w15:restartNumberingAfterBreak="0">
    <w:nsid w:val="00000021"/>
    <w:multiLevelType w:val="singleLevel"/>
    <w:tmpl w:val="00000021"/>
    <w:name w:val="WW8Num33"/>
    <w:lvl w:ilvl="0">
      <w:start w:val="1"/>
      <w:numFmt w:val="bullet"/>
      <w:lvlText w:val=""/>
      <w:lvlJc w:val="left"/>
      <w:pPr>
        <w:tabs>
          <w:tab w:val="num" w:pos="510"/>
        </w:tabs>
        <w:ind w:left="567" w:hanging="567"/>
      </w:pPr>
      <w:rPr>
        <w:rFonts w:ascii="Symbol" w:hAnsi="Symbol" w:cs="Times New Roman"/>
      </w:rPr>
    </w:lvl>
  </w:abstractNum>
  <w:abstractNum w:abstractNumId="34" w15:restartNumberingAfterBreak="0">
    <w:nsid w:val="00000022"/>
    <w:multiLevelType w:val="singleLevel"/>
    <w:tmpl w:val="00000022"/>
    <w:name w:val="WW8Num34"/>
    <w:lvl w:ilvl="0">
      <w:start w:val="1"/>
      <w:numFmt w:val="bullet"/>
      <w:lvlText w:val=""/>
      <w:lvlJc w:val="left"/>
      <w:pPr>
        <w:tabs>
          <w:tab w:val="num" w:pos="567"/>
        </w:tabs>
        <w:ind w:left="567" w:hanging="567"/>
      </w:pPr>
      <w:rPr>
        <w:rFonts w:ascii="Symbol" w:hAnsi="Symbol"/>
      </w:rPr>
    </w:lvl>
  </w:abstractNum>
  <w:abstractNum w:abstractNumId="35" w15:restartNumberingAfterBreak="0">
    <w:nsid w:val="00000023"/>
    <w:multiLevelType w:val="singleLevel"/>
    <w:tmpl w:val="00000023"/>
    <w:name w:val="WW8Num35"/>
    <w:lvl w:ilvl="0">
      <w:start w:val="1"/>
      <w:numFmt w:val="bullet"/>
      <w:lvlText w:val=""/>
      <w:lvlJc w:val="left"/>
      <w:pPr>
        <w:tabs>
          <w:tab w:val="num" w:pos="720"/>
        </w:tabs>
        <w:ind w:left="720" w:hanging="360"/>
      </w:pPr>
      <w:rPr>
        <w:rFonts w:ascii="Symbol" w:hAnsi="Symbol"/>
      </w:rPr>
    </w:lvl>
  </w:abstractNum>
  <w:abstractNum w:abstractNumId="36" w15:restartNumberingAfterBreak="0">
    <w:nsid w:val="00000024"/>
    <w:multiLevelType w:val="singleLevel"/>
    <w:tmpl w:val="00000024"/>
    <w:name w:val="WW8Num36"/>
    <w:lvl w:ilvl="0">
      <w:start w:val="1"/>
      <w:numFmt w:val="decimal"/>
      <w:lvlText w:val="%1."/>
      <w:lvlJc w:val="left"/>
      <w:pPr>
        <w:tabs>
          <w:tab w:val="num" w:pos="567"/>
        </w:tabs>
        <w:ind w:left="567" w:hanging="567"/>
      </w:pPr>
      <w:rPr>
        <w:rFonts w:cs="Times New Roman"/>
      </w:rPr>
    </w:lvl>
  </w:abstractNum>
  <w:abstractNum w:abstractNumId="37" w15:restartNumberingAfterBreak="0">
    <w:nsid w:val="00000025"/>
    <w:multiLevelType w:val="singleLevel"/>
    <w:tmpl w:val="00000025"/>
    <w:name w:val="WW8Num37"/>
    <w:lvl w:ilvl="0">
      <w:start w:val="5"/>
      <w:numFmt w:val="decimal"/>
      <w:lvlText w:val="%1."/>
      <w:lvlJc w:val="left"/>
      <w:pPr>
        <w:tabs>
          <w:tab w:val="num" w:pos="570"/>
        </w:tabs>
        <w:ind w:left="570" w:hanging="570"/>
      </w:pPr>
      <w:rPr>
        <w:rFonts w:cs="Times New Roman"/>
      </w:rPr>
    </w:lvl>
  </w:abstractNum>
  <w:abstractNum w:abstractNumId="38" w15:restartNumberingAfterBreak="0">
    <w:nsid w:val="00000026"/>
    <w:multiLevelType w:val="singleLevel"/>
    <w:tmpl w:val="00000026"/>
    <w:name w:val="WW8Num38"/>
    <w:lvl w:ilvl="0">
      <w:start w:val="1"/>
      <w:numFmt w:val="decimal"/>
      <w:lvlText w:val="%1."/>
      <w:lvlJc w:val="left"/>
      <w:pPr>
        <w:tabs>
          <w:tab w:val="num" w:pos="567"/>
        </w:tabs>
        <w:ind w:left="567" w:hanging="567"/>
      </w:pPr>
      <w:rPr>
        <w:rFonts w:cs="Times New Roman"/>
      </w:rPr>
    </w:lvl>
  </w:abstractNum>
  <w:abstractNum w:abstractNumId="39" w15:restartNumberingAfterBreak="0">
    <w:nsid w:val="00000027"/>
    <w:multiLevelType w:val="singleLevel"/>
    <w:tmpl w:val="00000027"/>
    <w:name w:val="WW8Num39"/>
    <w:lvl w:ilvl="0">
      <w:start w:val="1"/>
      <w:numFmt w:val="decimal"/>
      <w:lvlText w:val="%1."/>
      <w:lvlJc w:val="left"/>
      <w:pPr>
        <w:tabs>
          <w:tab w:val="num" w:pos="510"/>
        </w:tabs>
        <w:ind w:left="510" w:hanging="510"/>
      </w:pPr>
      <w:rPr>
        <w:rFonts w:cs="Times New Roman"/>
      </w:rPr>
    </w:lvl>
  </w:abstractNum>
  <w:abstractNum w:abstractNumId="40" w15:restartNumberingAfterBreak="0">
    <w:nsid w:val="00000028"/>
    <w:multiLevelType w:val="singleLevel"/>
    <w:tmpl w:val="00000028"/>
    <w:name w:val="WW8Num40"/>
    <w:lvl w:ilvl="0">
      <w:start w:val="1"/>
      <w:numFmt w:val="bullet"/>
      <w:lvlText w:val=""/>
      <w:lvlJc w:val="left"/>
      <w:pPr>
        <w:tabs>
          <w:tab w:val="num" w:pos="720"/>
        </w:tabs>
        <w:ind w:left="720" w:hanging="360"/>
      </w:pPr>
      <w:rPr>
        <w:rFonts w:ascii="Symbol" w:hAnsi="Symbol" w:cs="Times New Roman"/>
      </w:rPr>
    </w:lvl>
  </w:abstractNum>
  <w:abstractNum w:abstractNumId="41" w15:restartNumberingAfterBreak="0">
    <w:nsid w:val="00000029"/>
    <w:multiLevelType w:val="singleLevel"/>
    <w:tmpl w:val="00000029"/>
    <w:name w:val="WW8Num41"/>
    <w:lvl w:ilvl="0">
      <w:start w:val="1"/>
      <w:numFmt w:val="decimal"/>
      <w:lvlText w:val="%1."/>
      <w:lvlJc w:val="left"/>
      <w:pPr>
        <w:tabs>
          <w:tab w:val="num" w:pos="720"/>
        </w:tabs>
        <w:ind w:left="720" w:hanging="360"/>
      </w:pPr>
      <w:rPr>
        <w:rFonts w:cs="Times New Roman"/>
      </w:rPr>
    </w:lvl>
  </w:abstractNum>
  <w:abstractNum w:abstractNumId="42" w15:restartNumberingAfterBreak="0">
    <w:nsid w:val="0000002A"/>
    <w:multiLevelType w:val="singleLevel"/>
    <w:tmpl w:val="0000002A"/>
    <w:name w:val="WW8Num42"/>
    <w:lvl w:ilvl="0">
      <w:start w:val="1"/>
      <w:numFmt w:val="bullet"/>
      <w:lvlText w:val=""/>
      <w:lvlJc w:val="left"/>
      <w:pPr>
        <w:tabs>
          <w:tab w:val="num" w:pos="927"/>
        </w:tabs>
        <w:ind w:left="927" w:hanging="360"/>
      </w:pPr>
      <w:rPr>
        <w:rFonts w:ascii="Symbol" w:hAnsi="Symbol"/>
        <w:b w:val="0"/>
        <w:i w:val="0"/>
      </w:rPr>
    </w:lvl>
  </w:abstractNum>
  <w:abstractNum w:abstractNumId="43" w15:restartNumberingAfterBreak="0">
    <w:nsid w:val="0000002B"/>
    <w:multiLevelType w:val="singleLevel"/>
    <w:tmpl w:val="0000002B"/>
    <w:lvl w:ilvl="0">
      <w:numFmt w:val="bullet"/>
      <w:lvlText w:val="-"/>
      <w:lvlJc w:val="left"/>
      <w:pPr>
        <w:tabs>
          <w:tab w:val="num" w:pos="0"/>
        </w:tabs>
        <w:ind w:left="360" w:hanging="360"/>
      </w:pPr>
      <w:rPr>
        <w:rFonts w:ascii="Times New Roman" w:hAnsi="Times New Roman" w:cs="Times New Roman"/>
      </w:rPr>
    </w:lvl>
  </w:abstractNum>
  <w:abstractNum w:abstractNumId="44" w15:restartNumberingAfterBreak="0">
    <w:nsid w:val="05E72F80"/>
    <w:multiLevelType w:val="hybridMultilevel"/>
    <w:tmpl w:val="D5C8EE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09622E65"/>
    <w:multiLevelType w:val="hybridMultilevel"/>
    <w:tmpl w:val="03D8C0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47" w15:restartNumberingAfterBreak="0">
    <w:nsid w:val="0FA30B05"/>
    <w:multiLevelType w:val="hybridMultilevel"/>
    <w:tmpl w:val="F70C3C58"/>
    <w:lvl w:ilvl="0" w:tplc="23443C8A">
      <w:start w:val="1"/>
      <w:numFmt w:val="bullet"/>
      <w:lvlText w:val=""/>
      <w:lvlJc w:val="left"/>
      <w:pPr>
        <w:tabs>
          <w:tab w:val="num" w:pos="357"/>
        </w:tabs>
        <w:ind w:left="357" w:hanging="35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0FF00AEB"/>
    <w:multiLevelType w:val="hybridMultilevel"/>
    <w:tmpl w:val="A10E22A2"/>
    <w:lvl w:ilvl="0" w:tplc="74682B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5064628"/>
    <w:multiLevelType w:val="hybridMultilevel"/>
    <w:tmpl w:val="823CA152"/>
    <w:lvl w:ilvl="0" w:tplc="7E0069BE">
      <w:start w:val="1"/>
      <w:numFmt w:val="decimal"/>
      <w:lvlText w:val="%1"/>
      <w:lvlJc w:val="left"/>
      <w:pPr>
        <w:tabs>
          <w:tab w:val="num" w:pos="570"/>
        </w:tabs>
        <w:ind w:left="570" w:hanging="57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AAA150D"/>
    <w:multiLevelType w:val="hybridMultilevel"/>
    <w:tmpl w:val="8ABCF8AE"/>
    <w:lvl w:ilvl="0" w:tplc="94DC3FEC">
      <w:start w:val="2"/>
      <w:numFmt w:val="decimal"/>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51" w15:restartNumberingAfterBreak="0">
    <w:nsid w:val="26B471D4"/>
    <w:multiLevelType w:val="hybridMultilevel"/>
    <w:tmpl w:val="513033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F2F5C7A"/>
    <w:multiLevelType w:val="hybridMultilevel"/>
    <w:tmpl w:val="D944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CE56F94"/>
    <w:multiLevelType w:val="hybridMultilevel"/>
    <w:tmpl w:val="89924AFC"/>
    <w:lvl w:ilvl="0" w:tplc="42AE7600">
      <w:start w:val="1"/>
      <w:numFmt w:val="decimal"/>
      <w:lvlText w:val="%1"/>
      <w:lvlJc w:val="left"/>
      <w:pPr>
        <w:tabs>
          <w:tab w:val="num" w:pos="570"/>
        </w:tabs>
        <w:ind w:left="570" w:hanging="57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3F6428B9"/>
    <w:multiLevelType w:val="hybridMultilevel"/>
    <w:tmpl w:val="078AA8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FEE5B4C"/>
    <w:multiLevelType w:val="hybridMultilevel"/>
    <w:tmpl w:val="8DE069A2"/>
    <w:lvl w:ilvl="0" w:tplc="B4D4A7CA">
      <w:start w:val="1"/>
      <w:numFmt w:val="bullet"/>
      <w:lvlText w:val=""/>
      <w:lvlJc w:val="left"/>
      <w:pPr>
        <w:tabs>
          <w:tab w:val="num" w:pos="357"/>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4E2423F"/>
    <w:multiLevelType w:val="hybridMultilevel"/>
    <w:tmpl w:val="05F61872"/>
    <w:lvl w:ilvl="0" w:tplc="0000002B">
      <w:numFmt w:val="bullet"/>
      <w:lvlText w:val="-"/>
      <w:lvlJc w:val="left"/>
      <w:pPr>
        <w:tabs>
          <w:tab w:val="num" w:pos="0"/>
        </w:tabs>
        <w:ind w:left="360" w:hanging="360"/>
      </w:pPr>
      <w:rPr>
        <w:rFonts w:ascii="Times New Roman" w:hAnsi="Times New Roman" w:cs="Times New Roman"/>
      </w:rPr>
    </w:lvl>
    <w:lvl w:ilvl="1" w:tplc="4290D954">
      <w:numFmt w:val="bullet"/>
      <w:lvlText w:val=""/>
      <w:lvlJc w:val="left"/>
      <w:pPr>
        <w:tabs>
          <w:tab w:val="num" w:pos="1650"/>
        </w:tabs>
        <w:ind w:left="1650" w:hanging="57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1BE3006"/>
    <w:multiLevelType w:val="hybridMultilevel"/>
    <w:tmpl w:val="9CD662A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6177380"/>
    <w:multiLevelType w:val="hybridMultilevel"/>
    <w:tmpl w:val="8BE66454"/>
    <w:lvl w:ilvl="0" w:tplc="4550843C">
      <w:start w:val="1"/>
      <w:numFmt w:val="decimal"/>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59" w15:restartNumberingAfterBreak="0">
    <w:nsid w:val="5A581850"/>
    <w:multiLevelType w:val="hybridMultilevel"/>
    <w:tmpl w:val="B76E84C4"/>
    <w:lvl w:ilvl="0" w:tplc="845C2E3A">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5B6151B6"/>
    <w:multiLevelType w:val="hybridMultilevel"/>
    <w:tmpl w:val="03646F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605D167D"/>
    <w:multiLevelType w:val="hybridMultilevel"/>
    <w:tmpl w:val="EA02F9E4"/>
    <w:lvl w:ilvl="0" w:tplc="5860AC26">
      <w:start w:val="1"/>
      <w:numFmt w:val="decimal"/>
      <w:lvlText w:val="%1"/>
      <w:lvlJc w:val="left"/>
      <w:pPr>
        <w:tabs>
          <w:tab w:val="num" w:pos="570"/>
        </w:tabs>
        <w:ind w:left="570" w:hanging="57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69F2585"/>
    <w:multiLevelType w:val="hybridMultilevel"/>
    <w:tmpl w:val="C9BE3930"/>
    <w:lvl w:ilvl="0" w:tplc="78ACEB38">
      <w:numFmt w:val="bullet"/>
      <w:lvlText w:val=""/>
      <w:lvlJc w:val="left"/>
      <w:pPr>
        <w:tabs>
          <w:tab w:val="num" w:pos="570"/>
        </w:tabs>
        <w:ind w:left="570" w:hanging="57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32948326">
    <w:abstractNumId w:val="1"/>
  </w:num>
  <w:num w:numId="2" w16cid:durableId="709763589">
    <w:abstractNumId w:val="5"/>
  </w:num>
  <w:num w:numId="3" w16cid:durableId="1940940779">
    <w:abstractNumId w:val="14"/>
  </w:num>
  <w:num w:numId="4" w16cid:durableId="1914582670">
    <w:abstractNumId w:val="15"/>
  </w:num>
  <w:num w:numId="5" w16cid:durableId="310989966">
    <w:abstractNumId w:val="16"/>
  </w:num>
  <w:num w:numId="6" w16cid:durableId="147482384">
    <w:abstractNumId w:val="20"/>
  </w:num>
  <w:num w:numId="7" w16cid:durableId="956831571">
    <w:abstractNumId w:val="22"/>
  </w:num>
  <w:num w:numId="8" w16cid:durableId="726103293">
    <w:abstractNumId w:val="28"/>
  </w:num>
  <w:num w:numId="9" w16cid:durableId="1366830174">
    <w:abstractNumId w:val="29"/>
  </w:num>
  <w:num w:numId="10" w16cid:durableId="703136983">
    <w:abstractNumId w:val="35"/>
  </w:num>
  <w:num w:numId="11" w16cid:durableId="1110664023">
    <w:abstractNumId w:val="40"/>
  </w:num>
  <w:num w:numId="12" w16cid:durableId="635720937">
    <w:abstractNumId w:val="42"/>
  </w:num>
  <w:num w:numId="13" w16cid:durableId="1902715151">
    <w:abstractNumId w:val="43"/>
  </w:num>
  <w:num w:numId="14" w16cid:durableId="729690516">
    <w:abstractNumId w:val="45"/>
  </w:num>
  <w:num w:numId="15" w16cid:durableId="1472332615">
    <w:abstractNumId w:val="62"/>
  </w:num>
  <w:num w:numId="16" w16cid:durableId="167142141">
    <w:abstractNumId w:val="57"/>
  </w:num>
  <w:num w:numId="17" w16cid:durableId="845095425">
    <w:abstractNumId w:val="54"/>
  </w:num>
  <w:num w:numId="18" w16cid:durableId="270861054">
    <w:abstractNumId w:val="44"/>
  </w:num>
  <w:num w:numId="19" w16cid:durableId="1058436695">
    <w:abstractNumId w:val="51"/>
  </w:num>
  <w:num w:numId="20" w16cid:durableId="1077896067">
    <w:abstractNumId w:val="60"/>
  </w:num>
  <w:num w:numId="21" w16cid:durableId="765617238">
    <w:abstractNumId w:val="56"/>
  </w:num>
  <w:num w:numId="22" w16cid:durableId="607082768">
    <w:abstractNumId w:val="59"/>
  </w:num>
  <w:num w:numId="23" w16cid:durableId="59070539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4" w16cid:durableId="1079592657">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00439509">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21676292">
    <w:abstractNumId w:val="46"/>
  </w:num>
  <w:num w:numId="27" w16cid:durableId="604575643">
    <w:abstractNumId w:val="53"/>
  </w:num>
  <w:num w:numId="28" w16cid:durableId="91366299">
    <w:abstractNumId w:val="49"/>
  </w:num>
  <w:num w:numId="29" w16cid:durableId="1437867714">
    <w:abstractNumId w:val="61"/>
  </w:num>
  <w:num w:numId="30" w16cid:durableId="1038629686">
    <w:abstractNumId w:val="47"/>
  </w:num>
  <w:num w:numId="31" w16cid:durableId="1573541890">
    <w:abstractNumId w:val="50"/>
  </w:num>
  <w:num w:numId="32" w16cid:durableId="1997953661">
    <w:abstractNumId w:val="58"/>
  </w:num>
  <w:num w:numId="33" w16cid:durableId="934481462">
    <w:abstractNumId w:val="48"/>
  </w:num>
  <w:num w:numId="34" w16cid:durableId="362174771">
    <w:abstractNumId w:val="52"/>
  </w:num>
  <w:num w:numId="35" w16cid:durableId="2089882600">
    <w:abstractNumId w:val="5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activeWritingStyle w:appName="MSWord" w:lang="pt-BR" w:vendorID="64" w:dllVersion="6" w:nlCheck="1" w:checkStyle="0"/>
  <w:activeWritingStyle w:appName="MSWord" w:lang="en-US" w:vendorID="64" w:dllVersion="6" w:nlCheck="1" w:checkStyle="1"/>
  <w:activeWritingStyle w:appName="MSWord" w:lang="fr-FR" w:vendorID="64" w:dllVersion="6" w:nlCheck="1" w:checkStyle="0"/>
  <w:activeWritingStyle w:appName="MSWord" w:lang="de-CH" w:vendorID="64" w:dllVersion="6" w:nlCheck="1" w:checkStyle="0"/>
  <w:activeWritingStyle w:appName="MSWord" w:lang="it-IT" w:vendorID="64" w:dllVersion="6" w:nlCheck="1" w:checkStyle="0"/>
  <w:activeWritingStyle w:appName="MSWord" w:lang="de-DE" w:vendorID="64" w:dllVersion="6" w:nlCheck="1" w:checkStyle="0"/>
  <w:activeWritingStyle w:appName="MSWord" w:lang="nb-NO" w:vendorID="64" w:dllVersion="6" w:nlCheck="1" w:checkStyle="0"/>
  <w:activeWritingStyle w:appName="MSWord" w:lang="cs-CZ" w:vendorID="64" w:dllVersion="0" w:nlCheck="1" w:checkStyle="0"/>
  <w:activeWritingStyle w:appName="MSWord" w:lang="en-US" w:vendorID="64" w:dllVersion="0" w:nlCheck="1" w:checkStyle="0"/>
  <w:activeWritingStyle w:appName="MSWord" w:lang="de-CH" w:vendorID="64" w:dllVersion="0" w:nlCheck="1" w:checkStyle="0"/>
  <w:activeWritingStyle w:appName="MSWord" w:lang="de-DE" w:vendorID="64" w:dllVersion="0" w:nlCheck="1" w:checkStyle="0"/>
  <w:activeWritingStyle w:appName="MSWord" w:lang="es-ES" w:vendorID="64" w:dllVersion="6" w:nlCheck="1" w:checkStyle="1"/>
  <w:activeWritingStyle w:appName="MSWord" w:lang="en-GB" w:vendorID="64" w:dllVersion="6" w:nlCheck="1" w:checkStyle="1"/>
  <w:activeWritingStyle w:appName="MSWord" w:lang="fr-CH" w:vendorID="64" w:dllVersion="6" w:nlCheck="1" w:checkStyle="0"/>
  <w:activeWritingStyle w:appName="MSWord" w:lang="en-GB" w:vendorID="64" w:dllVersion="0" w:nlCheck="1" w:checkStyle="0"/>
  <w:activeWritingStyle w:appName="MSWord" w:lang="fr-CH"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A44"/>
    <w:rsid w:val="00000F3A"/>
    <w:rsid w:val="00000FD4"/>
    <w:rsid w:val="0000181A"/>
    <w:rsid w:val="00001941"/>
    <w:rsid w:val="00002E70"/>
    <w:rsid w:val="0000350C"/>
    <w:rsid w:val="0000554F"/>
    <w:rsid w:val="000066C0"/>
    <w:rsid w:val="00007759"/>
    <w:rsid w:val="00010880"/>
    <w:rsid w:val="00010D2E"/>
    <w:rsid w:val="0001128A"/>
    <w:rsid w:val="00013330"/>
    <w:rsid w:val="000157EC"/>
    <w:rsid w:val="0002259F"/>
    <w:rsid w:val="00022F8D"/>
    <w:rsid w:val="0002343B"/>
    <w:rsid w:val="00023AE1"/>
    <w:rsid w:val="00023B0F"/>
    <w:rsid w:val="00023F4F"/>
    <w:rsid w:val="00025350"/>
    <w:rsid w:val="0003151A"/>
    <w:rsid w:val="000327E9"/>
    <w:rsid w:val="00033523"/>
    <w:rsid w:val="00034A62"/>
    <w:rsid w:val="00035785"/>
    <w:rsid w:val="000446CA"/>
    <w:rsid w:val="00045DEC"/>
    <w:rsid w:val="000461A1"/>
    <w:rsid w:val="00046BBD"/>
    <w:rsid w:val="00050981"/>
    <w:rsid w:val="00050A7C"/>
    <w:rsid w:val="00050AEC"/>
    <w:rsid w:val="00050F50"/>
    <w:rsid w:val="00052001"/>
    <w:rsid w:val="000528AC"/>
    <w:rsid w:val="000535DC"/>
    <w:rsid w:val="00054DCC"/>
    <w:rsid w:val="000615C0"/>
    <w:rsid w:val="000626F8"/>
    <w:rsid w:val="00064F92"/>
    <w:rsid w:val="00065424"/>
    <w:rsid w:val="000677C4"/>
    <w:rsid w:val="0006790A"/>
    <w:rsid w:val="00067AF9"/>
    <w:rsid w:val="00067EF6"/>
    <w:rsid w:val="00067F74"/>
    <w:rsid w:val="0007044D"/>
    <w:rsid w:val="00070C64"/>
    <w:rsid w:val="000748EB"/>
    <w:rsid w:val="0008094C"/>
    <w:rsid w:val="000815F0"/>
    <w:rsid w:val="000817F2"/>
    <w:rsid w:val="0008276E"/>
    <w:rsid w:val="00082ADA"/>
    <w:rsid w:val="0008321C"/>
    <w:rsid w:val="000857AB"/>
    <w:rsid w:val="0008705D"/>
    <w:rsid w:val="00090ED8"/>
    <w:rsid w:val="000914D4"/>
    <w:rsid w:val="00092B16"/>
    <w:rsid w:val="00094C40"/>
    <w:rsid w:val="00094EC7"/>
    <w:rsid w:val="0009628F"/>
    <w:rsid w:val="000A1E19"/>
    <w:rsid w:val="000A1E2B"/>
    <w:rsid w:val="000A272B"/>
    <w:rsid w:val="000A27ED"/>
    <w:rsid w:val="000A76DF"/>
    <w:rsid w:val="000A7B1C"/>
    <w:rsid w:val="000A7D14"/>
    <w:rsid w:val="000B04F4"/>
    <w:rsid w:val="000B16DB"/>
    <w:rsid w:val="000B39C2"/>
    <w:rsid w:val="000B4587"/>
    <w:rsid w:val="000B5AC9"/>
    <w:rsid w:val="000C01BF"/>
    <w:rsid w:val="000C14F2"/>
    <w:rsid w:val="000C2F2F"/>
    <w:rsid w:val="000C4E68"/>
    <w:rsid w:val="000C5E1A"/>
    <w:rsid w:val="000C67DD"/>
    <w:rsid w:val="000C70DE"/>
    <w:rsid w:val="000C75E6"/>
    <w:rsid w:val="000D0774"/>
    <w:rsid w:val="000D07E0"/>
    <w:rsid w:val="000D0937"/>
    <w:rsid w:val="000D0D6E"/>
    <w:rsid w:val="000D274C"/>
    <w:rsid w:val="000D2AA5"/>
    <w:rsid w:val="000D5266"/>
    <w:rsid w:val="000D7CD7"/>
    <w:rsid w:val="000E02D4"/>
    <w:rsid w:val="000E0849"/>
    <w:rsid w:val="000E0B78"/>
    <w:rsid w:val="000E2153"/>
    <w:rsid w:val="000E2CBF"/>
    <w:rsid w:val="000E3232"/>
    <w:rsid w:val="000E5517"/>
    <w:rsid w:val="000E57B2"/>
    <w:rsid w:val="000E58A9"/>
    <w:rsid w:val="000E643F"/>
    <w:rsid w:val="000E7BDF"/>
    <w:rsid w:val="000F0BFF"/>
    <w:rsid w:val="000F1F9A"/>
    <w:rsid w:val="00100F3F"/>
    <w:rsid w:val="00101D98"/>
    <w:rsid w:val="00102491"/>
    <w:rsid w:val="0010744D"/>
    <w:rsid w:val="00107E58"/>
    <w:rsid w:val="00112FBD"/>
    <w:rsid w:val="0011373E"/>
    <w:rsid w:val="00114086"/>
    <w:rsid w:val="001141A0"/>
    <w:rsid w:val="00116782"/>
    <w:rsid w:val="00116B1F"/>
    <w:rsid w:val="001173AC"/>
    <w:rsid w:val="00120D89"/>
    <w:rsid w:val="001218F6"/>
    <w:rsid w:val="00124200"/>
    <w:rsid w:val="00124347"/>
    <w:rsid w:val="00132495"/>
    <w:rsid w:val="00135076"/>
    <w:rsid w:val="00136C1F"/>
    <w:rsid w:val="00137944"/>
    <w:rsid w:val="00140014"/>
    <w:rsid w:val="001415A0"/>
    <w:rsid w:val="00141986"/>
    <w:rsid w:val="0014242C"/>
    <w:rsid w:val="0014272F"/>
    <w:rsid w:val="0014383B"/>
    <w:rsid w:val="00145130"/>
    <w:rsid w:val="00145847"/>
    <w:rsid w:val="00147067"/>
    <w:rsid w:val="001472B2"/>
    <w:rsid w:val="001525F2"/>
    <w:rsid w:val="001533A9"/>
    <w:rsid w:val="00153BAE"/>
    <w:rsid w:val="001564C0"/>
    <w:rsid w:val="00160254"/>
    <w:rsid w:val="001604A0"/>
    <w:rsid w:val="00160A89"/>
    <w:rsid w:val="00160CDF"/>
    <w:rsid w:val="00160D1B"/>
    <w:rsid w:val="00161327"/>
    <w:rsid w:val="00164F65"/>
    <w:rsid w:val="00166062"/>
    <w:rsid w:val="00166C20"/>
    <w:rsid w:val="00170068"/>
    <w:rsid w:val="0017021B"/>
    <w:rsid w:val="00171D58"/>
    <w:rsid w:val="00173027"/>
    <w:rsid w:val="00173A5E"/>
    <w:rsid w:val="00173DCC"/>
    <w:rsid w:val="00174BCE"/>
    <w:rsid w:val="00177092"/>
    <w:rsid w:val="00180A73"/>
    <w:rsid w:val="00180AE3"/>
    <w:rsid w:val="00182086"/>
    <w:rsid w:val="001826E6"/>
    <w:rsid w:val="001844B9"/>
    <w:rsid w:val="00190297"/>
    <w:rsid w:val="00191D7F"/>
    <w:rsid w:val="001927EB"/>
    <w:rsid w:val="00192BC7"/>
    <w:rsid w:val="00195865"/>
    <w:rsid w:val="00196CD3"/>
    <w:rsid w:val="001A3FBE"/>
    <w:rsid w:val="001A58B1"/>
    <w:rsid w:val="001A6F5F"/>
    <w:rsid w:val="001B1F02"/>
    <w:rsid w:val="001B24B9"/>
    <w:rsid w:val="001B2EEC"/>
    <w:rsid w:val="001B4996"/>
    <w:rsid w:val="001B4D86"/>
    <w:rsid w:val="001B5B1E"/>
    <w:rsid w:val="001B6538"/>
    <w:rsid w:val="001B6F07"/>
    <w:rsid w:val="001C0629"/>
    <w:rsid w:val="001C4DF3"/>
    <w:rsid w:val="001C54C9"/>
    <w:rsid w:val="001C585F"/>
    <w:rsid w:val="001C6731"/>
    <w:rsid w:val="001D1453"/>
    <w:rsid w:val="001D233A"/>
    <w:rsid w:val="001D3F9E"/>
    <w:rsid w:val="001D54EE"/>
    <w:rsid w:val="001D62A7"/>
    <w:rsid w:val="001D66A1"/>
    <w:rsid w:val="001D72F1"/>
    <w:rsid w:val="001D7B39"/>
    <w:rsid w:val="001E1F99"/>
    <w:rsid w:val="001E6471"/>
    <w:rsid w:val="001F04F2"/>
    <w:rsid w:val="001F16A8"/>
    <w:rsid w:val="001F2EEF"/>
    <w:rsid w:val="001F30D2"/>
    <w:rsid w:val="001F3A9A"/>
    <w:rsid w:val="001F465C"/>
    <w:rsid w:val="001F53AD"/>
    <w:rsid w:val="001F55D8"/>
    <w:rsid w:val="001F59A2"/>
    <w:rsid w:val="0020295F"/>
    <w:rsid w:val="002064B8"/>
    <w:rsid w:val="00206CB7"/>
    <w:rsid w:val="00207643"/>
    <w:rsid w:val="002077D2"/>
    <w:rsid w:val="00210DB3"/>
    <w:rsid w:val="00211688"/>
    <w:rsid w:val="00211AD6"/>
    <w:rsid w:val="00211C72"/>
    <w:rsid w:val="00211CE6"/>
    <w:rsid w:val="00212166"/>
    <w:rsid w:val="00212885"/>
    <w:rsid w:val="00213F08"/>
    <w:rsid w:val="00215352"/>
    <w:rsid w:val="00216BEF"/>
    <w:rsid w:val="002173BA"/>
    <w:rsid w:val="002210AD"/>
    <w:rsid w:val="002218F7"/>
    <w:rsid w:val="0022238D"/>
    <w:rsid w:val="00223FED"/>
    <w:rsid w:val="00225DBD"/>
    <w:rsid w:val="0022600C"/>
    <w:rsid w:val="00226113"/>
    <w:rsid w:val="0023108A"/>
    <w:rsid w:val="0023243A"/>
    <w:rsid w:val="00233F9A"/>
    <w:rsid w:val="00235BBE"/>
    <w:rsid w:val="00240D23"/>
    <w:rsid w:val="00242082"/>
    <w:rsid w:val="00246476"/>
    <w:rsid w:val="00246DA6"/>
    <w:rsid w:val="002475CA"/>
    <w:rsid w:val="002526A9"/>
    <w:rsid w:val="00253314"/>
    <w:rsid w:val="00253EE6"/>
    <w:rsid w:val="0025447E"/>
    <w:rsid w:val="00266681"/>
    <w:rsid w:val="00266DDE"/>
    <w:rsid w:val="00267C5C"/>
    <w:rsid w:val="00272296"/>
    <w:rsid w:val="002751D6"/>
    <w:rsid w:val="00275730"/>
    <w:rsid w:val="00276A11"/>
    <w:rsid w:val="002829CF"/>
    <w:rsid w:val="00282B9D"/>
    <w:rsid w:val="00283BCB"/>
    <w:rsid w:val="00284856"/>
    <w:rsid w:val="00285C21"/>
    <w:rsid w:val="00290317"/>
    <w:rsid w:val="002906C6"/>
    <w:rsid w:val="002920DB"/>
    <w:rsid w:val="00292CC3"/>
    <w:rsid w:val="00293B73"/>
    <w:rsid w:val="0029500E"/>
    <w:rsid w:val="00296B96"/>
    <w:rsid w:val="002976C4"/>
    <w:rsid w:val="00297FE6"/>
    <w:rsid w:val="002A35C5"/>
    <w:rsid w:val="002A3693"/>
    <w:rsid w:val="002A4B3D"/>
    <w:rsid w:val="002A78E6"/>
    <w:rsid w:val="002A7DAA"/>
    <w:rsid w:val="002B11C3"/>
    <w:rsid w:val="002B290F"/>
    <w:rsid w:val="002B2951"/>
    <w:rsid w:val="002B49C5"/>
    <w:rsid w:val="002B7349"/>
    <w:rsid w:val="002B7839"/>
    <w:rsid w:val="002C04B1"/>
    <w:rsid w:val="002C1638"/>
    <w:rsid w:val="002C3070"/>
    <w:rsid w:val="002C3F5C"/>
    <w:rsid w:val="002C52B3"/>
    <w:rsid w:val="002C5CA8"/>
    <w:rsid w:val="002C6E19"/>
    <w:rsid w:val="002D3FD5"/>
    <w:rsid w:val="002D63C5"/>
    <w:rsid w:val="002D6BEE"/>
    <w:rsid w:val="002D7E02"/>
    <w:rsid w:val="002E1FAF"/>
    <w:rsid w:val="002E3551"/>
    <w:rsid w:val="002E3C9B"/>
    <w:rsid w:val="002E47C1"/>
    <w:rsid w:val="002E4F86"/>
    <w:rsid w:val="002F04EE"/>
    <w:rsid w:val="002F12F4"/>
    <w:rsid w:val="002F2A4D"/>
    <w:rsid w:val="002F3327"/>
    <w:rsid w:val="002F5BA8"/>
    <w:rsid w:val="002F6464"/>
    <w:rsid w:val="002F7B63"/>
    <w:rsid w:val="0030061C"/>
    <w:rsid w:val="0030159E"/>
    <w:rsid w:val="003028C9"/>
    <w:rsid w:val="00302E41"/>
    <w:rsid w:val="003034F4"/>
    <w:rsid w:val="00303B17"/>
    <w:rsid w:val="00305AB2"/>
    <w:rsid w:val="00310402"/>
    <w:rsid w:val="003104BF"/>
    <w:rsid w:val="00310747"/>
    <w:rsid w:val="00310F53"/>
    <w:rsid w:val="0031172A"/>
    <w:rsid w:val="00312967"/>
    <w:rsid w:val="003176D0"/>
    <w:rsid w:val="0031785E"/>
    <w:rsid w:val="00320EE6"/>
    <w:rsid w:val="003212CF"/>
    <w:rsid w:val="00321D0E"/>
    <w:rsid w:val="00323A03"/>
    <w:rsid w:val="00324A6B"/>
    <w:rsid w:val="00325773"/>
    <w:rsid w:val="00325A9D"/>
    <w:rsid w:val="00326289"/>
    <w:rsid w:val="0032696C"/>
    <w:rsid w:val="00331B47"/>
    <w:rsid w:val="00332491"/>
    <w:rsid w:val="00332DA8"/>
    <w:rsid w:val="00334C3B"/>
    <w:rsid w:val="00335549"/>
    <w:rsid w:val="00336E35"/>
    <w:rsid w:val="003372DD"/>
    <w:rsid w:val="00341327"/>
    <w:rsid w:val="003442C3"/>
    <w:rsid w:val="00346125"/>
    <w:rsid w:val="00346852"/>
    <w:rsid w:val="00346C5D"/>
    <w:rsid w:val="00350B5E"/>
    <w:rsid w:val="003560E0"/>
    <w:rsid w:val="0035672A"/>
    <w:rsid w:val="0035736A"/>
    <w:rsid w:val="00357F3D"/>
    <w:rsid w:val="0036064E"/>
    <w:rsid w:val="0036067D"/>
    <w:rsid w:val="00362771"/>
    <w:rsid w:val="003638FB"/>
    <w:rsid w:val="00365CCE"/>
    <w:rsid w:val="0036637F"/>
    <w:rsid w:val="00367D59"/>
    <w:rsid w:val="003732C7"/>
    <w:rsid w:val="00373698"/>
    <w:rsid w:val="00374D22"/>
    <w:rsid w:val="00374D74"/>
    <w:rsid w:val="00375097"/>
    <w:rsid w:val="003757B1"/>
    <w:rsid w:val="00377063"/>
    <w:rsid w:val="00377598"/>
    <w:rsid w:val="00377A35"/>
    <w:rsid w:val="00380F18"/>
    <w:rsid w:val="0038573F"/>
    <w:rsid w:val="00385B48"/>
    <w:rsid w:val="00390571"/>
    <w:rsid w:val="0039076B"/>
    <w:rsid w:val="0039205D"/>
    <w:rsid w:val="0039278D"/>
    <w:rsid w:val="00392971"/>
    <w:rsid w:val="00393DE0"/>
    <w:rsid w:val="00393E09"/>
    <w:rsid w:val="00396966"/>
    <w:rsid w:val="00397A30"/>
    <w:rsid w:val="003A0150"/>
    <w:rsid w:val="003A0A2D"/>
    <w:rsid w:val="003A2308"/>
    <w:rsid w:val="003A2AD8"/>
    <w:rsid w:val="003A5FE5"/>
    <w:rsid w:val="003A651A"/>
    <w:rsid w:val="003A6BE5"/>
    <w:rsid w:val="003A70EB"/>
    <w:rsid w:val="003A7148"/>
    <w:rsid w:val="003B111F"/>
    <w:rsid w:val="003B270B"/>
    <w:rsid w:val="003B3C64"/>
    <w:rsid w:val="003B4882"/>
    <w:rsid w:val="003B6433"/>
    <w:rsid w:val="003B6D9C"/>
    <w:rsid w:val="003B72A7"/>
    <w:rsid w:val="003C28EB"/>
    <w:rsid w:val="003C29EE"/>
    <w:rsid w:val="003C341E"/>
    <w:rsid w:val="003C6300"/>
    <w:rsid w:val="003D0F99"/>
    <w:rsid w:val="003D2C19"/>
    <w:rsid w:val="003D59E4"/>
    <w:rsid w:val="003D5FD3"/>
    <w:rsid w:val="003D7294"/>
    <w:rsid w:val="003D74D0"/>
    <w:rsid w:val="003E229B"/>
    <w:rsid w:val="003E2C9C"/>
    <w:rsid w:val="003E4251"/>
    <w:rsid w:val="003E56B9"/>
    <w:rsid w:val="003E59FD"/>
    <w:rsid w:val="003E5FA9"/>
    <w:rsid w:val="003E6204"/>
    <w:rsid w:val="003E6365"/>
    <w:rsid w:val="003E6666"/>
    <w:rsid w:val="003E6D2E"/>
    <w:rsid w:val="003E6F24"/>
    <w:rsid w:val="003E77A9"/>
    <w:rsid w:val="003F35F4"/>
    <w:rsid w:val="003F66B3"/>
    <w:rsid w:val="003F6C15"/>
    <w:rsid w:val="00400A71"/>
    <w:rsid w:val="00401727"/>
    <w:rsid w:val="00402849"/>
    <w:rsid w:val="00405829"/>
    <w:rsid w:val="00407314"/>
    <w:rsid w:val="00410A1E"/>
    <w:rsid w:val="0041470E"/>
    <w:rsid w:val="004165E7"/>
    <w:rsid w:val="00417A0D"/>
    <w:rsid w:val="00423869"/>
    <w:rsid w:val="00424714"/>
    <w:rsid w:val="00425595"/>
    <w:rsid w:val="004269F6"/>
    <w:rsid w:val="00426D8B"/>
    <w:rsid w:val="00427BA1"/>
    <w:rsid w:val="004300AE"/>
    <w:rsid w:val="0043020E"/>
    <w:rsid w:val="00430498"/>
    <w:rsid w:val="00431462"/>
    <w:rsid w:val="004336C5"/>
    <w:rsid w:val="00435A80"/>
    <w:rsid w:val="00436DBF"/>
    <w:rsid w:val="00436DC2"/>
    <w:rsid w:val="00437DDB"/>
    <w:rsid w:val="00437E08"/>
    <w:rsid w:val="004403F3"/>
    <w:rsid w:val="00442EA8"/>
    <w:rsid w:val="0044561A"/>
    <w:rsid w:val="00446582"/>
    <w:rsid w:val="00446E67"/>
    <w:rsid w:val="00447602"/>
    <w:rsid w:val="004476C6"/>
    <w:rsid w:val="0045223D"/>
    <w:rsid w:val="004557F4"/>
    <w:rsid w:val="004559B5"/>
    <w:rsid w:val="00456BE8"/>
    <w:rsid w:val="00456D29"/>
    <w:rsid w:val="0045769F"/>
    <w:rsid w:val="00460692"/>
    <w:rsid w:val="00460FE9"/>
    <w:rsid w:val="00461A94"/>
    <w:rsid w:val="00463F7D"/>
    <w:rsid w:val="00464BF8"/>
    <w:rsid w:val="004662E5"/>
    <w:rsid w:val="004677EB"/>
    <w:rsid w:val="00467F10"/>
    <w:rsid w:val="004701BC"/>
    <w:rsid w:val="0047039D"/>
    <w:rsid w:val="004729ED"/>
    <w:rsid w:val="004741B9"/>
    <w:rsid w:val="004765FE"/>
    <w:rsid w:val="00480ABB"/>
    <w:rsid w:val="00480FB0"/>
    <w:rsid w:val="0048111F"/>
    <w:rsid w:val="00481A29"/>
    <w:rsid w:val="00482104"/>
    <w:rsid w:val="004826A0"/>
    <w:rsid w:val="00487E59"/>
    <w:rsid w:val="0049186A"/>
    <w:rsid w:val="0049290F"/>
    <w:rsid w:val="00496207"/>
    <w:rsid w:val="0049749D"/>
    <w:rsid w:val="004A3DDA"/>
    <w:rsid w:val="004A4920"/>
    <w:rsid w:val="004A788B"/>
    <w:rsid w:val="004B0671"/>
    <w:rsid w:val="004B1C25"/>
    <w:rsid w:val="004B270C"/>
    <w:rsid w:val="004B719A"/>
    <w:rsid w:val="004B796B"/>
    <w:rsid w:val="004C06DF"/>
    <w:rsid w:val="004C2307"/>
    <w:rsid w:val="004C6D93"/>
    <w:rsid w:val="004C6ED8"/>
    <w:rsid w:val="004D0AD9"/>
    <w:rsid w:val="004D0F89"/>
    <w:rsid w:val="004D25A3"/>
    <w:rsid w:val="004D4FAD"/>
    <w:rsid w:val="004E00E6"/>
    <w:rsid w:val="004E0891"/>
    <w:rsid w:val="004E0D8B"/>
    <w:rsid w:val="004E5430"/>
    <w:rsid w:val="004E6DAB"/>
    <w:rsid w:val="004E6F4D"/>
    <w:rsid w:val="004F21DC"/>
    <w:rsid w:val="004F264F"/>
    <w:rsid w:val="004F3768"/>
    <w:rsid w:val="004F3800"/>
    <w:rsid w:val="004F484B"/>
    <w:rsid w:val="004F7F57"/>
    <w:rsid w:val="005026BE"/>
    <w:rsid w:val="0050370E"/>
    <w:rsid w:val="00503ECF"/>
    <w:rsid w:val="00503FAB"/>
    <w:rsid w:val="00506A4C"/>
    <w:rsid w:val="0051128E"/>
    <w:rsid w:val="00512703"/>
    <w:rsid w:val="0051329F"/>
    <w:rsid w:val="00515354"/>
    <w:rsid w:val="00515FBB"/>
    <w:rsid w:val="00516110"/>
    <w:rsid w:val="00516839"/>
    <w:rsid w:val="00516A80"/>
    <w:rsid w:val="00517187"/>
    <w:rsid w:val="00517330"/>
    <w:rsid w:val="00520D0C"/>
    <w:rsid w:val="005244B0"/>
    <w:rsid w:val="0052468F"/>
    <w:rsid w:val="0052519D"/>
    <w:rsid w:val="00525393"/>
    <w:rsid w:val="005259F5"/>
    <w:rsid w:val="00526CF9"/>
    <w:rsid w:val="005303FA"/>
    <w:rsid w:val="00530BED"/>
    <w:rsid w:val="00530D02"/>
    <w:rsid w:val="00532F2F"/>
    <w:rsid w:val="00533FE8"/>
    <w:rsid w:val="00534207"/>
    <w:rsid w:val="005359B7"/>
    <w:rsid w:val="0053728E"/>
    <w:rsid w:val="00542803"/>
    <w:rsid w:val="00543981"/>
    <w:rsid w:val="005443C7"/>
    <w:rsid w:val="00544CFB"/>
    <w:rsid w:val="00544F58"/>
    <w:rsid w:val="00545C4D"/>
    <w:rsid w:val="005516D2"/>
    <w:rsid w:val="005526C4"/>
    <w:rsid w:val="00553D04"/>
    <w:rsid w:val="0055521D"/>
    <w:rsid w:val="005558FE"/>
    <w:rsid w:val="00555EDA"/>
    <w:rsid w:val="005569A1"/>
    <w:rsid w:val="00556F8B"/>
    <w:rsid w:val="0056031F"/>
    <w:rsid w:val="00561908"/>
    <w:rsid w:val="00561BDD"/>
    <w:rsid w:val="00561F76"/>
    <w:rsid w:val="00562314"/>
    <w:rsid w:val="00564AC2"/>
    <w:rsid w:val="00565352"/>
    <w:rsid w:val="00567518"/>
    <w:rsid w:val="00570E90"/>
    <w:rsid w:val="00571A7B"/>
    <w:rsid w:val="00571D98"/>
    <w:rsid w:val="005724BF"/>
    <w:rsid w:val="00573FD3"/>
    <w:rsid w:val="00576335"/>
    <w:rsid w:val="0057662F"/>
    <w:rsid w:val="00576FCD"/>
    <w:rsid w:val="00577E6F"/>
    <w:rsid w:val="00580986"/>
    <w:rsid w:val="00580ADD"/>
    <w:rsid w:val="00580EB7"/>
    <w:rsid w:val="005816D5"/>
    <w:rsid w:val="00582BA6"/>
    <w:rsid w:val="00583BFF"/>
    <w:rsid w:val="00583C5B"/>
    <w:rsid w:val="0059615F"/>
    <w:rsid w:val="00596EA9"/>
    <w:rsid w:val="00597D55"/>
    <w:rsid w:val="005A17B6"/>
    <w:rsid w:val="005A1F8E"/>
    <w:rsid w:val="005A3212"/>
    <w:rsid w:val="005A42AC"/>
    <w:rsid w:val="005A4511"/>
    <w:rsid w:val="005A51FC"/>
    <w:rsid w:val="005A5CC8"/>
    <w:rsid w:val="005B012D"/>
    <w:rsid w:val="005B075A"/>
    <w:rsid w:val="005B0B3A"/>
    <w:rsid w:val="005B0DE1"/>
    <w:rsid w:val="005B1B32"/>
    <w:rsid w:val="005B1FD8"/>
    <w:rsid w:val="005B441E"/>
    <w:rsid w:val="005B44FC"/>
    <w:rsid w:val="005B634B"/>
    <w:rsid w:val="005B7476"/>
    <w:rsid w:val="005B7963"/>
    <w:rsid w:val="005B7CD1"/>
    <w:rsid w:val="005B7DC6"/>
    <w:rsid w:val="005C0D22"/>
    <w:rsid w:val="005C28AE"/>
    <w:rsid w:val="005C30EF"/>
    <w:rsid w:val="005C325D"/>
    <w:rsid w:val="005C33E1"/>
    <w:rsid w:val="005C41D1"/>
    <w:rsid w:val="005C42B7"/>
    <w:rsid w:val="005C514E"/>
    <w:rsid w:val="005C56E6"/>
    <w:rsid w:val="005C6438"/>
    <w:rsid w:val="005C70CC"/>
    <w:rsid w:val="005D1BFD"/>
    <w:rsid w:val="005D5D02"/>
    <w:rsid w:val="005D6698"/>
    <w:rsid w:val="005E192D"/>
    <w:rsid w:val="005E1AF5"/>
    <w:rsid w:val="005E2891"/>
    <w:rsid w:val="005E3BF6"/>
    <w:rsid w:val="005E4231"/>
    <w:rsid w:val="005E4732"/>
    <w:rsid w:val="005E6174"/>
    <w:rsid w:val="005E6D29"/>
    <w:rsid w:val="005F0CB9"/>
    <w:rsid w:val="005F2083"/>
    <w:rsid w:val="005F2DBF"/>
    <w:rsid w:val="005F6291"/>
    <w:rsid w:val="005F6570"/>
    <w:rsid w:val="00600B7A"/>
    <w:rsid w:val="00603126"/>
    <w:rsid w:val="00604924"/>
    <w:rsid w:val="006052B6"/>
    <w:rsid w:val="0060564D"/>
    <w:rsid w:val="00605C1D"/>
    <w:rsid w:val="006123A2"/>
    <w:rsid w:val="0061274D"/>
    <w:rsid w:val="00612B40"/>
    <w:rsid w:val="00613F13"/>
    <w:rsid w:val="006143A6"/>
    <w:rsid w:val="00614F5E"/>
    <w:rsid w:val="006166C3"/>
    <w:rsid w:val="006209AA"/>
    <w:rsid w:val="00621798"/>
    <w:rsid w:val="00622390"/>
    <w:rsid w:val="006243A0"/>
    <w:rsid w:val="006266CB"/>
    <w:rsid w:val="006269F2"/>
    <w:rsid w:val="0062773F"/>
    <w:rsid w:val="006327B9"/>
    <w:rsid w:val="00632EE8"/>
    <w:rsid w:val="00636024"/>
    <w:rsid w:val="006360C7"/>
    <w:rsid w:val="006367E4"/>
    <w:rsid w:val="00637B24"/>
    <w:rsid w:val="00637E52"/>
    <w:rsid w:val="0064015F"/>
    <w:rsid w:val="00640668"/>
    <w:rsid w:val="00640F43"/>
    <w:rsid w:val="0064168A"/>
    <w:rsid w:val="006416C7"/>
    <w:rsid w:val="00641B69"/>
    <w:rsid w:val="0064341C"/>
    <w:rsid w:val="0064363F"/>
    <w:rsid w:val="0064588A"/>
    <w:rsid w:val="0064597E"/>
    <w:rsid w:val="00647745"/>
    <w:rsid w:val="00647835"/>
    <w:rsid w:val="006507AD"/>
    <w:rsid w:val="00652601"/>
    <w:rsid w:val="0066575B"/>
    <w:rsid w:val="00665C07"/>
    <w:rsid w:val="0067157F"/>
    <w:rsid w:val="0067324A"/>
    <w:rsid w:val="0067354E"/>
    <w:rsid w:val="00673B28"/>
    <w:rsid w:val="006743BE"/>
    <w:rsid w:val="00676153"/>
    <w:rsid w:val="00676B74"/>
    <w:rsid w:val="00676D19"/>
    <w:rsid w:val="0067707A"/>
    <w:rsid w:val="006809DB"/>
    <w:rsid w:val="00680BFC"/>
    <w:rsid w:val="0068183E"/>
    <w:rsid w:val="00682F36"/>
    <w:rsid w:val="00690542"/>
    <w:rsid w:val="0069196C"/>
    <w:rsid w:val="00691A97"/>
    <w:rsid w:val="006941A9"/>
    <w:rsid w:val="00696FE0"/>
    <w:rsid w:val="006974F8"/>
    <w:rsid w:val="006A05BF"/>
    <w:rsid w:val="006A0A9B"/>
    <w:rsid w:val="006A4B8A"/>
    <w:rsid w:val="006A6B14"/>
    <w:rsid w:val="006A7D76"/>
    <w:rsid w:val="006B0127"/>
    <w:rsid w:val="006B0396"/>
    <w:rsid w:val="006B14F1"/>
    <w:rsid w:val="006B1F43"/>
    <w:rsid w:val="006B23BB"/>
    <w:rsid w:val="006B422E"/>
    <w:rsid w:val="006B4D21"/>
    <w:rsid w:val="006B4EBD"/>
    <w:rsid w:val="006B7E51"/>
    <w:rsid w:val="006C0593"/>
    <w:rsid w:val="006C0A29"/>
    <w:rsid w:val="006C2D07"/>
    <w:rsid w:val="006C4DC5"/>
    <w:rsid w:val="006C6295"/>
    <w:rsid w:val="006C6922"/>
    <w:rsid w:val="006C6D30"/>
    <w:rsid w:val="006C7423"/>
    <w:rsid w:val="006D14CB"/>
    <w:rsid w:val="006D1CF6"/>
    <w:rsid w:val="006D7315"/>
    <w:rsid w:val="006E03CF"/>
    <w:rsid w:val="006E4A3B"/>
    <w:rsid w:val="006E679B"/>
    <w:rsid w:val="006E6AB7"/>
    <w:rsid w:val="006F122F"/>
    <w:rsid w:val="006F23B8"/>
    <w:rsid w:val="006F2737"/>
    <w:rsid w:val="006F4BC6"/>
    <w:rsid w:val="006F4D86"/>
    <w:rsid w:val="006F5C59"/>
    <w:rsid w:val="006F7487"/>
    <w:rsid w:val="006F7776"/>
    <w:rsid w:val="007010A3"/>
    <w:rsid w:val="007019F6"/>
    <w:rsid w:val="00703965"/>
    <w:rsid w:val="00703ED1"/>
    <w:rsid w:val="007046C0"/>
    <w:rsid w:val="0070626B"/>
    <w:rsid w:val="0070634B"/>
    <w:rsid w:val="0071222E"/>
    <w:rsid w:val="007125AA"/>
    <w:rsid w:val="007140D5"/>
    <w:rsid w:val="007152EF"/>
    <w:rsid w:val="007163F7"/>
    <w:rsid w:val="00717543"/>
    <w:rsid w:val="00720627"/>
    <w:rsid w:val="00720D28"/>
    <w:rsid w:val="00722728"/>
    <w:rsid w:val="00723164"/>
    <w:rsid w:val="00724B69"/>
    <w:rsid w:val="0072508F"/>
    <w:rsid w:val="00725EAE"/>
    <w:rsid w:val="00726757"/>
    <w:rsid w:val="00730401"/>
    <w:rsid w:val="00730561"/>
    <w:rsid w:val="0073229F"/>
    <w:rsid w:val="007345A3"/>
    <w:rsid w:val="007348FF"/>
    <w:rsid w:val="00737664"/>
    <w:rsid w:val="00737AE4"/>
    <w:rsid w:val="00740583"/>
    <w:rsid w:val="007456C3"/>
    <w:rsid w:val="00745BDF"/>
    <w:rsid w:val="007464AF"/>
    <w:rsid w:val="00753BF1"/>
    <w:rsid w:val="00754A25"/>
    <w:rsid w:val="0075579A"/>
    <w:rsid w:val="00755F24"/>
    <w:rsid w:val="0075649F"/>
    <w:rsid w:val="00757702"/>
    <w:rsid w:val="00762BEA"/>
    <w:rsid w:val="00762D0E"/>
    <w:rsid w:val="00763206"/>
    <w:rsid w:val="007632AA"/>
    <w:rsid w:val="00763356"/>
    <w:rsid w:val="0076523B"/>
    <w:rsid w:val="00770A77"/>
    <w:rsid w:val="00770AC0"/>
    <w:rsid w:val="007711B8"/>
    <w:rsid w:val="0077155F"/>
    <w:rsid w:val="00774562"/>
    <w:rsid w:val="00774EA9"/>
    <w:rsid w:val="0077516D"/>
    <w:rsid w:val="00780D42"/>
    <w:rsid w:val="00781345"/>
    <w:rsid w:val="00781BF1"/>
    <w:rsid w:val="00782572"/>
    <w:rsid w:val="007861E0"/>
    <w:rsid w:val="007903A3"/>
    <w:rsid w:val="007910BC"/>
    <w:rsid w:val="007910F3"/>
    <w:rsid w:val="00792462"/>
    <w:rsid w:val="0079446D"/>
    <w:rsid w:val="00795E60"/>
    <w:rsid w:val="00796001"/>
    <w:rsid w:val="0079676D"/>
    <w:rsid w:val="00796BA7"/>
    <w:rsid w:val="00797010"/>
    <w:rsid w:val="00797250"/>
    <w:rsid w:val="007A0800"/>
    <w:rsid w:val="007A105B"/>
    <w:rsid w:val="007A15AA"/>
    <w:rsid w:val="007A2EC1"/>
    <w:rsid w:val="007A4522"/>
    <w:rsid w:val="007A5C43"/>
    <w:rsid w:val="007B1895"/>
    <w:rsid w:val="007B2B75"/>
    <w:rsid w:val="007B5553"/>
    <w:rsid w:val="007B6627"/>
    <w:rsid w:val="007B7385"/>
    <w:rsid w:val="007B7F7F"/>
    <w:rsid w:val="007C1295"/>
    <w:rsid w:val="007C240E"/>
    <w:rsid w:val="007C2785"/>
    <w:rsid w:val="007C2B13"/>
    <w:rsid w:val="007C7386"/>
    <w:rsid w:val="007D0598"/>
    <w:rsid w:val="007D18DB"/>
    <w:rsid w:val="007D1B9E"/>
    <w:rsid w:val="007D27DD"/>
    <w:rsid w:val="007D280E"/>
    <w:rsid w:val="007D331A"/>
    <w:rsid w:val="007D5536"/>
    <w:rsid w:val="007E134B"/>
    <w:rsid w:val="007E2DD3"/>
    <w:rsid w:val="007E41F7"/>
    <w:rsid w:val="007F133E"/>
    <w:rsid w:val="007F7E28"/>
    <w:rsid w:val="008105E5"/>
    <w:rsid w:val="00810709"/>
    <w:rsid w:val="00815FCB"/>
    <w:rsid w:val="00816124"/>
    <w:rsid w:val="00817040"/>
    <w:rsid w:val="0081768C"/>
    <w:rsid w:val="00817CAE"/>
    <w:rsid w:val="00820DBD"/>
    <w:rsid w:val="00822069"/>
    <w:rsid w:val="008266C8"/>
    <w:rsid w:val="00827384"/>
    <w:rsid w:val="00830485"/>
    <w:rsid w:val="0083149B"/>
    <w:rsid w:val="00831CFC"/>
    <w:rsid w:val="00844271"/>
    <w:rsid w:val="0084528A"/>
    <w:rsid w:val="008460F2"/>
    <w:rsid w:val="00847308"/>
    <w:rsid w:val="00850525"/>
    <w:rsid w:val="00851B80"/>
    <w:rsid w:val="00851EDE"/>
    <w:rsid w:val="0085306B"/>
    <w:rsid w:val="008532EF"/>
    <w:rsid w:val="00856041"/>
    <w:rsid w:val="00856C5D"/>
    <w:rsid w:val="0086322D"/>
    <w:rsid w:val="00864DE0"/>
    <w:rsid w:val="00866AEE"/>
    <w:rsid w:val="0086766E"/>
    <w:rsid w:val="00870CB8"/>
    <w:rsid w:val="00872D17"/>
    <w:rsid w:val="00872F4C"/>
    <w:rsid w:val="008736D2"/>
    <w:rsid w:val="00874893"/>
    <w:rsid w:val="00876378"/>
    <w:rsid w:val="008813B6"/>
    <w:rsid w:val="00883701"/>
    <w:rsid w:val="00885336"/>
    <w:rsid w:val="00890A0F"/>
    <w:rsid w:val="008913CE"/>
    <w:rsid w:val="00891947"/>
    <w:rsid w:val="00891983"/>
    <w:rsid w:val="00891CBB"/>
    <w:rsid w:val="00893C87"/>
    <w:rsid w:val="00894B06"/>
    <w:rsid w:val="0089572E"/>
    <w:rsid w:val="0089701D"/>
    <w:rsid w:val="00897079"/>
    <w:rsid w:val="0089750E"/>
    <w:rsid w:val="00897AA8"/>
    <w:rsid w:val="008A0D3C"/>
    <w:rsid w:val="008A11E8"/>
    <w:rsid w:val="008A1645"/>
    <w:rsid w:val="008A6360"/>
    <w:rsid w:val="008A64D5"/>
    <w:rsid w:val="008A675E"/>
    <w:rsid w:val="008A6924"/>
    <w:rsid w:val="008A76EF"/>
    <w:rsid w:val="008A7A12"/>
    <w:rsid w:val="008B038E"/>
    <w:rsid w:val="008B16A9"/>
    <w:rsid w:val="008B1D55"/>
    <w:rsid w:val="008B428F"/>
    <w:rsid w:val="008B5002"/>
    <w:rsid w:val="008B64E1"/>
    <w:rsid w:val="008B6536"/>
    <w:rsid w:val="008B7412"/>
    <w:rsid w:val="008C095D"/>
    <w:rsid w:val="008C1378"/>
    <w:rsid w:val="008C1D8D"/>
    <w:rsid w:val="008C543E"/>
    <w:rsid w:val="008C678F"/>
    <w:rsid w:val="008D2482"/>
    <w:rsid w:val="008D5E77"/>
    <w:rsid w:val="008E0162"/>
    <w:rsid w:val="008E021D"/>
    <w:rsid w:val="008E2AC8"/>
    <w:rsid w:val="008E362E"/>
    <w:rsid w:val="008E4B21"/>
    <w:rsid w:val="008F2DE0"/>
    <w:rsid w:val="008F2EE0"/>
    <w:rsid w:val="008F3897"/>
    <w:rsid w:val="008F581F"/>
    <w:rsid w:val="008F6F07"/>
    <w:rsid w:val="00900AD3"/>
    <w:rsid w:val="00901233"/>
    <w:rsid w:val="00901DC3"/>
    <w:rsid w:val="0090260E"/>
    <w:rsid w:val="00903A92"/>
    <w:rsid w:val="009040EB"/>
    <w:rsid w:val="00904EDA"/>
    <w:rsid w:val="00906579"/>
    <w:rsid w:val="00907D2F"/>
    <w:rsid w:val="00910A98"/>
    <w:rsid w:val="0091416E"/>
    <w:rsid w:val="00915329"/>
    <w:rsid w:val="0091704B"/>
    <w:rsid w:val="00917C28"/>
    <w:rsid w:val="00921425"/>
    <w:rsid w:val="00921564"/>
    <w:rsid w:val="00921D6F"/>
    <w:rsid w:val="0092232D"/>
    <w:rsid w:val="0092412D"/>
    <w:rsid w:val="0092468C"/>
    <w:rsid w:val="00925ECE"/>
    <w:rsid w:val="009274D5"/>
    <w:rsid w:val="009277ED"/>
    <w:rsid w:val="00931808"/>
    <w:rsid w:val="009340F1"/>
    <w:rsid w:val="00940AE8"/>
    <w:rsid w:val="00941C2F"/>
    <w:rsid w:val="00941EEB"/>
    <w:rsid w:val="0094327E"/>
    <w:rsid w:val="00945E28"/>
    <w:rsid w:val="0094602C"/>
    <w:rsid w:val="009502E3"/>
    <w:rsid w:val="0095278E"/>
    <w:rsid w:val="00952AED"/>
    <w:rsid w:val="00953FC7"/>
    <w:rsid w:val="00954B4E"/>
    <w:rsid w:val="00954FFF"/>
    <w:rsid w:val="00955FB8"/>
    <w:rsid w:val="0096043E"/>
    <w:rsid w:val="00960748"/>
    <w:rsid w:val="00960CAF"/>
    <w:rsid w:val="00960FEB"/>
    <w:rsid w:val="0096185D"/>
    <w:rsid w:val="00961B99"/>
    <w:rsid w:val="009625A0"/>
    <w:rsid w:val="00963320"/>
    <w:rsid w:val="009639E2"/>
    <w:rsid w:val="0096691F"/>
    <w:rsid w:val="00971240"/>
    <w:rsid w:val="00971520"/>
    <w:rsid w:val="00971BB9"/>
    <w:rsid w:val="00974959"/>
    <w:rsid w:val="00975C21"/>
    <w:rsid w:val="00976D35"/>
    <w:rsid w:val="0098082A"/>
    <w:rsid w:val="00981D71"/>
    <w:rsid w:val="00983A91"/>
    <w:rsid w:val="009863FF"/>
    <w:rsid w:val="00986F50"/>
    <w:rsid w:val="0098741C"/>
    <w:rsid w:val="00990722"/>
    <w:rsid w:val="00990BBE"/>
    <w:rsid w:val="0099123D"/>
    <w:rsid w:val="009922A1"/>
    <w:rsid w:val="0099370F"/>
    <w:rsid w:val="00993BFE"/>
    <w:rsid w:val="00996F70"/>
    <w:rsid w:val="009A13EC"/>
    <w:rsid w:val="009A183E"/>
    <w:rsid w:val="009A2B6E"/>
    <w:rsid w:val="009A4D65"/>
    <w:rsid w:val="009A7459"/>
    <w:rsid w:val="009A7DA9"/>
    <w:rsid w:val="009B03E6"/>
    <w:rsid w:val="009B1A37"/>
    <w:rsid w:val="009B367D"/>
    <w:rsid w:val="009B44F5"/>
    <w:rsid w:val="009B475A"/>
    <w:rsid w:val="009B4D5F"/>
    <w:rsid w:val="009B57EA"/>
    <w:rsid w:val="009C074D"/>
    <w:rsid w:val="009C28BF"/>
    <w:rsid w:val="009C3228"/>
    <w:rsid w:val="009C3BCE"/>
    <w:rsid w:val="009C49BB"/>
    <w:rsid w:val="009C6C4F"/>
    <w:rsid w:val="009D26DF"/>
    <w:rsid w:val="009D5AD6"/>
    <w:rsid w:val="009D7C9A"/>
    <w:rsid w:val="009E1B78"/>
    <w:rsid w:val="009E1B98"/>
    <w:rsid w:val="009E59B5"/>
    <w:rsid w:val="009E73CF"/>
    <w:rsid w:val="009E75E5"/>
    <w:rsid w:val="009E7BFF"/>
    <w:rsid w:val="009F22C8"/>
    <w:rsid w:val="009F41EF"/>
    <w:rsid w:val="009F6903"/>
    <w:rsid w:val="009F77D8"/>
    <w:rsid w:val="00A0013C"/>
    <w:rsid w:val="00A020C3"/>
    <w:rsid w:val="00A02286"/>
    <w:rsid w:val="00A02A76"/>
    <w:rsid w:val="00A03E4F"/>
    <w:rsid w:val="00A0401E"/>
    <w:rsid w:val="00A04755"/>
    <w:rsid w:val="00A06F5F"/>
    <w:rsid w:val="00A072B0"/>
    <w:rsid w:val="00A07DA3"/>
    <w:rsid w:val="00A10513"/>
    <w:rsid w:val="00A106E0"/>
    <w:rsid w:val="00A11275"/>
    <w:rsid w:val="00A11398"/>
    <w:rsid w:val="00A12785"/>
    <w:rsid w:val="00A1338A"/>
    <w:rsid w:val="00A14720"/>
    <w:rsid w:val="00A154E7"/>
    <w:rsid w:val="00A15BD6"/>
    <w:rsid w:val="00A1612C"/>
    <w:rsid w:val="00A17D37"/>
    <w:rsid w:val="00A20642"/>
    <w:rsid w:val="00A20F97"/>
    <w:rsid w:val="00A21635"/>
    <w:rsid w:val="00A22D4C"/>
    <w:rsid w:val="00A23481"/>
    <w:rsid w:val="00A240AA"/>
    <w:rsid w:val="00A242FB"/>
    <w:rsid w:val="00A2522A"/>
    <w:rsid w:val="00A27878"/>
    <w:rsid w:val="00A31542"/>
    <w:rsid w:val="00A329BB"/>
    <w:rsid w:val="00A3554A"/>
    <w:rsid w:val="00A400AD"/>
    <w:rsid w:val="00A40A1C"/>
    <w:rsid w:val="00A40FAD"/>
    <w:rsid w:val="00A41E30"/>
    <w:rsid w:val="00A43760"/>
    <w:rsid w:val="00A4392E"/>
    <w:rsid w:val="00A44EA7"/>
    <w:rsid w:val="00A4569A"/>
    <w:rsid w:val="00A45FB0"/>
    <w:rsid w:val="00A52EF0"/>
    <w:rsid w:val="00A53CF3"/>
    <w:rsid w:val="00A54742"/>
    <w:rsid w:val="00A549CA"/>
    <w:rsid w:val="00A57B8B"/>
    <w:rsid w:val="00A610CB"/>
    <w:rsid w:val="00A641DD"/>
    <w:rsid w:val="00A64255"/>
    <w:rsid w:val="00A65413"/>
    <w:rsid w:val="00A6581D"/>
    <w:rsid w:val="00A70103"/>
    <w:rsid w:val="00A7157A"/>
    <w:rsid w:val="00A720B7"/>
    <w:rsid w:val="00A7222A"/>
    <w:rsid w:val="00A72445"/>
    <w:rsid w:val="00A72E60"/>
    <w:rsid w:val="00A730DE"/>
    <w:rsid w:val="00A7443B"/>
    <w:rsid w:val="00A757D0"/>
    <w:rsid w:val="00A75A3E"/>
    <w:rsid w:val="00A75AC8"/>
    <w:rsid w:val="00A75D08"/>
    <w:rsid w:val="00A75F0F"/>
    <w:rsid w:val="00A76F52"/>
    <w:rsid w:val="00A80086"/>
    <w:rsid w:val="00A806C3"/>
    <w:rsid w:val="00A81734"/>
    <w:rsid w:val="00A81A72"/>
    <w:rsid w:val="00A84102"/>
    <w:rsid w:val="00A86246"/>
    <w:rsid w:val="00A86D84"/>
    <w:rsid w:val="00A92D57"/>
    <w:rsid w:val="00A93B36"/>
    <w:rsid w:val="00A979A1"/>
    <w:rsid w:val="00AA071E"/>
    <w:rsid w:val="00AA261A"/>
    <w:rsid w:val="00AA2C02"/>
    <w:rsid w:val="00AA371B"/>
    <w:rsid w:val="00AA491C"/>
    <w:rsid w:val="00AA5237"/>
    <w:rsid w:val="00AA6870"/>
    <w:rsid w:val="00AB15AF"/>
    <w:rsid w:val="00AB1C56"/>
    <w:rsid w:val="00AB4D2E"/>
    <w:rsid w:val="00AC0AEC"/>
    <w:rsid w:val="00AC0E5D"/>
    <w:rsid w:val="00AC383E"/>
    <w:rsid w:val="00AC4C1A"/>
    <w:rsid w:val="00AC5D3E"/>
    <w:rsid w:val="00AC5D70"/>
    <w:rsid w:val="00AC792F"/>
    <w:rsid w:val="00AD00E9"/>
    <w:rsid w:val="00AD05C4"/>
    <w:rsid w:val="00AD079B"/>
    <w:rsid w:val="00AD1512"/>
    <w:rsid w:val="00AD17C2"/>
    <w:rsid w:val="00AD2769"/>
    <w:rsid w:val="00AD3158"/>
    <w:rsid w:val="00AD3BD7"/>
    <w:rsid w:val="00AD4E44"/>
    <w:rsid w:val="00AD52D1"/>
    <w:rsid w:val="00AD5832"/>
    <w:rsid w:val="00AE349D"/>
    <w:rsid w:val="00AE3E41"/>
    <w:rsid w:val="00AE5565"/>
    <w:rsid w:val="00AE6202"/>
    <w:rsid w:val="00AE7AFB"/>
    <w:rsid w:val="00AE7F44"/>
    <w:rsid w:val="00AF0B73"/>
    <w:rsid w:val="00AF1990"/>
    <w:rsid w:val="00AF2351"/>
    <w:rsid w:val="00AF2D6E"/>
    <w:rsid w:val="00AF6ADC"/>
    <w:rsid w:val="00B00096"/>
    <w:rsid w:val="00B00F7B"/>
    <w:rsid w:val="00B00FB6"/>
    <w:rsid w:val="00B02345"/>
    <w:rsid w:val="00B03F79"/>
    <w:rsid w:val="00B05856"/>
    <w:rsid w:val="00B10789"/>
    <w:rsid w:val="00B14E62"/>
    <w:rsid w:val="00B202B6"/>
    <w:rsid w:val="00B20788"/>
    <w:rsid w:val="00B21683"/>
    <w:rsid w:val="00B22A1B"/>
    <w:rsid w:val="00B22BC3"/>
    <w:rsid w:val="00B2570B"/>
    <w:rsid w:val="00B26AE5"/>
    <w:rsid w:val="00B27262"/>
    <w:rsid w:val="00B27E64"/>
    <w:rsid w:val="00B32D9E"/>
    <w:rsid w:val="00B3404A"/>
    <w:rsid w:val="00B346DE"/>
    <w:rsid w:val="00B3645A"/>
    <w:rsid w:val="00B36713"/>
    <w:rsid w:val="00B377FF"/>
    <w:rsid w:val="00B4224A"/>
    <w:rsid w:val="00B424AB"/>
    <w:rsid w:val="00B42F34"/>
    <w:rsid w:val="00B455F1"/>
    <w:rsid w:val="00B45F7F"/>
    <w:rsid w:val="00B54282"/>
    <w:rsid w:val="00B54BC2"/>
    <w:rsid w:val="00B54CB1"/>
    <w:rsid w:val="00B56288"/>
    <w:rsid w:val="00B56C43"/>
    <w:rsid w:val="00B576BC"/>
    <w:rsid w:val="00B57EF2"/>
    <w:rsid w:val="00B6040D"/>
    <w:rsid w:val="00B60D91"/>
    <w:rsid w:val="00B6260B"/>
    <w:rsid w:val="00B6422C"/>
    <w:rsid w:val="00B65210"/>
    <w:rsid w:val="00B675E7"/>
    <w:rsid w:val="00B70FDE"/>
    <w:rsid w:val="00B710CD"/>
    <w:rsid w:val="00B71CA8"/>
    <w:rsid w:val="00B72792"/>
    <w:rsid w:val="00B73C95"/>
    <w:rsid w:val="00B753FF"/>
    <w:rsid w:val="00B76993"/>
    <w:rsid w:val="00B8294E"/>
    <w:rsid w:val="00B82A98"/>
    <w:rsid w:val="00B84DCA"/>
    <w:rsid w:val="00B86428"/>
    <w:rsid w:val="00B909F6"/>
    <w:rsid w:val="00B917B3"/>
    <w:rsid w:val="00B92C03"/>
    <w:rsid w:val="00B93CF9"/>
    <w:rsid w:val="00B9434A"/>
    <w:rsid w:val="00B9436F"/>
    <w:rsid w:val="00B948B9"/>
    <w:rsid w:val="00BA057E"/>
    <w:rsid w:val="00BA0721"/>
    <w:rsid w:val="00BA17E5"/>
    <w:rsid w:val="00BA21C5"/>
    <w:rsid w:val="00BA24E7"/>
    <w:rsid w:val="00BA27F4"/>
    <w:rsid w:val="00BA35E7"/>
    <w:rsid w:val="00BA4FF7"/>
    <w:rsid w:val="00BB3090"/>
    <w:rsid w:val="00BB3269"/>
    <w:rsid w:val="00BB37FA"/>
    <w:rsid w:val="00BB3996"/>
    <w:rsid w:val="00BB39E8"/>
    <w:rsid w:val="00BB5037"/>
    <w:rsid w:val="00BB5321"/>
    <w:rsid w:val="00BB5842"/>
    <w:rsid w:val="00BB5951"/>
    <w:rsid w:val="00BB69AE"/>
    <w:rsid w:val="00BC2043"/>
    <w:rsid w:val="00BC22FC"/>
    <w:rsid w:val="00BC2CF5"/>
    <w:rsid w:val="00BC34FF"/>
    <w:rsid w:val="00BC48A2"/>
    <w:rsid w:val="00BC5250"/>
    <w:rsid w:val="00BC6554"/>
    <w:rsid w:val="00BC7D9E"/>
    <w:rsid w:val="00BD0172"/>
    <w:rsid w:val="00BD04F9"/>
    <w:rsid w:val="00BD0ACD"/>
    <w:rsid w:val="00BD175A"/>
    <w:rsid w:val="00BD2591"/>
    <w:rsid w:val="00BD30E4"/>
    <w:rsid w:val="00BD5869"/>
    <w:rsid w:val="00BD6319"/>
    <w:rsid w:val="00BD7888"/>
    <w:rsid w:val="00BD7A2D"/>
    <w:rsid w:val="00BE1E17"/>
    <w:rsid w:val="00BE243B"/>
    <w:rsid w:val="00BE3388"/>
    <w:rsid w:val="00BE3D48"/>
    <w:rsid w:val="00BE3F09"/>
    <w:rsid w:val="00BE730C"/>
    <w:rsid w:val="00BF0D78"/>
    <w:rsid w:val="00BF515B"/>
    <w:rsid w:val="00C00CF3"/>
    <w:rsid w:val="00C013E9"/>
    <w:rsid w:val="00C0208A"/>
    <w:rsid w:val="00C020A3"/>
    <w:rsid w:val="00C0218A"/>
    <w:rsid w:val="00C0225E"/>
    <w:rsid w:val="00C026B3"/>
    <w:rsid w:val="00C03CEE"/>
    <w:rsid w:val="00C049A7"/>
    <w:rsid w:val="00C05495"/>
    <w:rsid w:val="00C10854"/>
    <w:rsid w:val="00C11AD0"/>
    <w:rsid w:val="00C12548"/>
    <w:rsid w:val="00C1493A"/>
    <w:rsid w:val="00C14C11"/>
    <w:rsid w:val="00C16198"/>
    <w:rsid w:val="00C17623"/>
    <w:rsid w:val="00C2111B"/>
    <w:rsid w:val="00C222C2"/>
    <w:rsid w:val="00C229B5"/>
    <w:rsid w:val="00C23DAE"/>
    <w:rsid w:val="00C25BB8"/>
    <w:rsid w:val="00C25FB5"/>
    <w:rsid w:val="00C27C9A"/>
    <w:rsid w:val="00C30394"/>
    <w:rsid w:val="00C31186"/>
    <w:rsid w:val="00C3220A"/>
    <w:rsid w:val="00C3285B"/>
    <w:rsid w:val="00C32E65"/>
    <w:rsid w:val="00C340E2"/>
    <w:rsid w:val="00C34502"/>
    <w:rsid w:val="00C34FA0"/>
    <w:rsid w:val="00C3531E"/>
    <w:rsid w:val="00C356E4"/>
    <w:rsid w:val="00C40427"/>
    <w:rsid w:val="00C40642"/>
    <w:rsid w:val="00C40F59"/>
    <w:rsid w:val="00C44E19"/>
    <w:rsid w:val="00C5128F"/>
    <w:rsid w:val="00C51AC2"/>
    <w:rsid w:val="00C531F5"/>
    <w:rsid w:val="00C53682"/>
    <w:rsid w:val="00C53C36"/>
    <w:rsid w:val="00C5424E"/>
    <w:rsid w:val="00C5431A"/>
    <w:rsid w:val="00C54F45"/>
    <w:rsid w:val="00C55EF6"/>
    <w:rsid w:val="00C56341"/>
    <w:rsid w:val="00C56958"/>
    <w:rsid w:val="00C56CC8"/>
    <w:rsid w:val="00C6017D"/>
    <w:rsid w:val="00C606C1"/>
    <w:rsid w:val="00C65D3D"/>
    <w:rsid w:val="00C663D2"/>
    <w:rsid w:val="00C663EB"/>
    <w:rsid w:val="00C71FEF"/>
    <w:rsid w:val="00C72806"/>
    <w:rsid w:val="00C742D3"/>
    <w:rsid w:val="00C758AA"/>
    <w:rsid w:val="00C75CD1"/>
    <w:rsid w:val="00C822D7"/>
    <w:rsid w:val="00C82AC7"/>
    <w:rsid w:val="00C82FEE"/>
    <w:rsid w:val="00C83E66"/>
    <w:rsid w:val="00C84F85"/>
    <w:rsid w:val="00C8535E"/>
    <w:rsid w:val="00C860D7"/>
    <w:rsid w:val="00C86A5F"/>
    <w:rsid w:val="00C913CE"/>
    <w:rsid w:val="00C91AE4"/>
    <w:rsid w:val="00C9431F"/>
    <w:rsid w:val="00C967F4"/>
    <w:rsid w:val="00CA0064"/>
    <w:rsid w:val="00CA0641"/>
    <w:rsid w:val="00CA08FC"/>
    <w:rsid w:val="00CA0CCF"/>
    <w:rsid w:val="00CA1D5D"/>
    <w:rsid w:val="00CA444C"/>
    <w:rsid w:val="00CA448D"/>
    <w:rsid w:val="00CA590C"/>
    <w:rsid w:val="00CA5E7F"/>
    <w:rsid w:val="00CB099E"/>
    <w:rsid w:val="00CB0ABF"/>
    <w:rsid w:val="00CB1FF3"/>
    <w:rsid w:val="00CB2B68"/>
    <w:rsid w:val="00CB3078"/>
    <w:rsid w:val="00CB4ABD"/>
    <w:rsid w:val="00CB5076"/>
    <w:rsid w:val="00CB5BDD"/>
    <w:rsid w:val="00CB683D"/>
    <w:rsid w:val="00CC32DC"/>
    <w:rsid w:val="00CC53BE"/>
    <w:rsid w:val="00CD1312"/>
    <w:rsid w:val="00CD2DD4"/>
    <w:rsid w:val="00CD4225"/>
    <w:rsid w:val="00CD437B"/>
    <w:rsid w:val="00CD5C21"/>
    <w:rsid w:val="00CD6ABB"/>
    <w:rsid w:val="00CE069C"/>
    <w:rsid w:val="00CE5EBE"/>
    <w:rsid w:val="00CE64B9"/>
    <w:rsid w:val="00CE6789"/>
    <w:rsid w:val="00CE680A"/>
    <w:rsid w:val="00CF011C"/>
    <w:rsid w:val="00CF017A"/>
    <w:rsid w:val="00CF113A"/>
    <w:rsid w:val="00CF18B0"/>
    <w:rsid w:val="00CF1B7D"/>
    <w:rsid w:val="00CF38F2"/>
    <w:rsid w:val="00CF3D59"/>
    <w:rsid w:val="00CF5CC1"/>
    <w:rsid w:val="00CF6DA1"/>
    <w:rsid w:val="00D0034E"/>
    <w:rsid w:val="00D016F9"/>
    <w:rsid w:val="00D054C2"/>
    <w:rsid w:val="00D05C86"/>
    <w:rsid w:val="00D120DC"/>
    <w:rsid w:val="00D2009B"/>
    <w:rsid w:val="00D21715"/>
    <w:rsid w:val="00D22C69"/>
    <w:rsid w:val="00D25883"/>
    <w:rsid w:val="00D25C0D"/>
    <w:rsid w:val="00D270F6"/>
    <w:rsid w:val="00D30BF3"/>
    <w:rsid w:val="00D31C82"/>
    <w:rsid w:val="00D34809"/>
    <w:rsid w:val="00D34DEC"/>
    <w:rsid w:val="00D36351"/>
    <w:rsid w:val="00D43312"/>
    <w:rsid w:val="00D43611"/>
    <w:rsid w:val="00D454A3"/>
    <w:rsid w:val="00D52D20"/>
    <w:rsid w:val="00D53F07"/>
    <w:rsid w:val="00D54165"/>
    <w:rsid w:val="00D55077"/>
    <w:rsid w:val="00D55176"/>
    <w:rsid w:val="00D55543"/>
    <w:rsid w:val="00D5565A"/>
    <w:rsid w:val="00D5574E"/>
    <w:rsid w:val="00D567F2"/>
    <w:rsid w:val="00D56FFC"/>
    <w:rsid w:val="00D65497"/>
    <w:rsid w:val="00D655F3"/>
    <w:rsid w:val="00D65C17"/>
    <w:rsid w:val="00D66CA4"/>
    <w:rsid w:val="00D671E5"/>
    <w:rsid w:val="00D70642"/>
    <w:rsid w:val="00D7075C"/>
    <w:rsid w:val="00D74347"/>
    <w:rsid w:val="00D77C74"/>
    <w:rsid w:val="00D80ABA"/>
    <w:rsid w:val="00D81D07"/>
    <w:rsid w:val="00D82A16"/>
    <w:rsid w:val="00D82ADC"/>
    <w:rsid w:val="00D870A6"/>
    <w:rsid w:val="00D90B58"/>
    <w:rsid w:val="00D91DA2"/>
    <w:rsid w:val="00D91F85"/>
    <w:rsid w:val="00D94293"/>
    <w:rsid w:val="00D94F95"/>
    <w:rsid w:val="00D97A44"/>
    <w:rsid w:val="00D97DA1"/>
    <w:rsid w:val="00DA00A2"/>
    <w:rsid w:val="00DA120C"/>
    <w:rsid w:val="00DA27E8"/>
    <w:rsid w:val="00DA3AA8"/>
    <w:rsid w:val="00DA5109"/>
    <w:rsid w:val="00DA54B6"/>
    <w:rsid w:val="00DA6035"/>
    <w:rsid w:val="00DB094B"/>
    <w:rsid w:val="00DB23BE"/>
    <w:rsid w:val="00DB31AC"/>
    <w:rsid w:val="00DB35E0"/>
    <w:rsid w:val="00DB3D76"/>
    <w:rsid w:val="00DB448F"/>
    <w:rsid w:val="00DB50B5"/>
    <w:rsid w:val="00DB7521"/>
    <w:rsid w:val="00DC43F1"/>
    <w:rsid w:val="00DC4863"/>
    <w:rsid w:val="00DC4F8B"/>
    <w:rsid w:val="00DC7E6E"/>
    <w:rsid w:val="00DD1B5A"/>
    <w:rsid w:val="00DD4A26"/>
    <w:rsid w:val="00DD5CF5"/>
    <w:rsid w:val="00DD5D87"/>
    <w:rsid w:val="00DD78E3"/>
    <w:rsid w:val="00DE1BE6"/>
    <w:rsid w:val="00DE279B"/>
    <w:rsid w:val="00DE291D"/>
    <w:rsid w:val="00DE2D76"/>
    <w:rsid w:val="00DE2ED2"/>
    <w:rsid w:val="00DE5C1C"/>
    <w:rsid w:val="00DF1B61"/>
    <w:rsid w:val="00DF452F"/>
    <w:rsid w:val="00DF45EE"/>
    <w:rsid w:val="00DF4EA7"/>
    <w:rsid w:val="00DF5A85"/>
    <w:rsid w:val="00DF6686"/>
    <w:rsid w:val="00E02ABE"/>
    <w:rsid w:val="00E03C1F"/>
    <w:rsid w:val="00E03E0C"/>
    <w:rsid w:val="00E03E8C"/>
    <w:rsid w:val="00E04987"/>
    <w:rsid w:val="00E05020"/>
    <w:rsid w:val="00E111FB"/>
    <w:rsid w:val="00E12F15"/>
    <w:rsid w:val="00E1465F"/>
    <w:rsid w:val="00E14BFF"/>
    <w:rsid w:val="00E15FEB"/>
    <w:rsid w:val="00E16523"/>
    <w:rsid w:val="00E247AA"/>
    <w:rsid w:val="00E24EE9"/>
    <w:rsid w:val="00E25D2A"/>
    <w:rsid w:val="00E27507"/>
    <w:rsid w:val="00E2793A"/>
    <w:rsid w:val="00E27CF4"/>
    <w:rsid w:val="00E31E4E"/>
    <w:rsid w:val="00E32C04"/>
    <w:rsid w:val="00E32EF2"/>
    <w:rsid w:val="00E331AC"/>
    <w:rsid w:val="00E33713"/>
    <w:rsid w:val="00E34252"/>
    <w:rsid w:val="00E34AC5"/>
    <w:rsid w:val="00E36B87"/>
    <w:rsid w:val="00E36D00"/>
    <w:rsid w:val="00E375D6"/>
    <w:rsid w:val="00E4020C"/>
    <w:rsid w:val="00E40410"/>
    <w:rsid w:val="00E40E9C"/>
    <w:rsid w:val="00E42136"/>
    <w:rsid w:val="00E43DCA"/>
    <w:rsid w:val="00E46F08"/>
    <w:rsid w:val="00E50FF0"/>
    <w:rsid w:val="00E54AB8"/>
    <w:rsid w:val="00E55254"/>
    <w:rsid w:val="00E55574"/>
    <w:rsid w:val="00E558F6"/>
    <w:rsid w:val="00E5658B"/>
    <w:rsid w:val="00E5743C"/>
    <w:rsid w:val="00E5790C"/>
    <w:rsid w:val="00E6083B"/>
    <w:rsid w:val="00E611A4"/>
    <w:rsid w:val="00E61A01"/>
    <w:rsid w:val="00E61BEE"/>
    <w:rsid w:val="00E6285B"/>
    <w:rsid w:val="00E64FEE"/>
    <w:rsid w:val="00E65B7B"/>
    <w:rsid w:val="00E70B6E"/>
    <w:rsid w:val="00E72D1D"/>
    <w:rsid w:val="00E749BD"/>
    <w:rsid w:val="00E752D0"/>
    <w:rsid w:val="00E80BB8"/>
    <w:rsid w:val="00E80F10"/>
    <w:rsid w:val="00E84117"/>
    <w:rsid w:val="00E8437D"/>
    <w:rsid w:val="00E862C5"/>
    <w:rsid w:val="00E9090F"/>
    <w:rsid w:val="00E90933"/>
    <w:rsid w:val="00E92109"/>
    <w:rsid w:val="00E93CBA"/>
    <w:rsid w:val="00E96C99"/>
    <w:rsid w:val="00E9751A"/>
    <w:rsid w:val="00E97CDA"/>
    <w:rsid w:val="00EA3888"/>
    <w:rsid w:val="00EA5993"/>
    <w:rsid w:val="00EB25C0"/>
    <w:rsid w:val="00EB2ED8"/>
    <w:rsid w:val="00EB4FF7"/>
    <w:rsid w:val="00EB5F3C"/>
    <w:rsid w:val="00EC1207"/>
    <w:rsid w:val="00EC143D"/>
    <w:rsid w:val="00EC186A"/>
    <w:rsid w:val="00EC25C4"/>
    <w:rsid w:val="00EC4524"/>
    <w:rsid w:val="00EC5D2F"/>
    <w:rsid w:val="00EC769B"/>
    <w:rsid w:val="00ED0D70"/>
    <w:rsid w:val="00ED1AAF"/>
    <w:rsid w:val="00ED1CAD"/>
    <w:rsid w:val="00ED2755"/>
    <w:rsid w:val="00ED2780"/>
    <w:rsid w:val="00ED4629"/>
    <w:rsid w:val="00ED6419"/>
    <w:rsid w:val="00ED6F48"/>
    <w:rsid w:val="00EE0F18"/>
    <w:rsid w:val="00EE5E41"/>
    <w:rsid w:val="00EE7192"/>
    <w:rsid w:val="00EF1C18"/>
    <w:rsid w:val="00EF2755"/>
    <w:rsid w:val="00EF31B4"/>
    <w:rsid w:val="00EF3DFB"/>
    <w:rsid w:val="00EF6BB6"/>
    <w:rsid w:val="00EF7645"/>
    <w:rsid w:val="00EF7788"/>
    <w:rsid w:val="00F00218"/>
    <w:rsid w:val="00F014F4"/>
    <w:rsid w:val="00F01DF4"/>
    <w:rsid w:val="00F028AF"/>
    <w:rsid w:val="00F05136"/>
    <w:rsid w:val="00F05B3D"/>
    <w:rsid w:val="00F05C6F"/>
    <w:rsid w:val="00F12EE1"/>
    <w:rsid w:val="00F12FC8"/>
    <w:rsid w:val="00F131DD"/>
    <w:rsid w:val="00F14409"/>
    <w:rsid w:val="00F14846"/>
    <w:rsid w:val="00F14D1D"/>
    <w:rsid w:val="00F1621D"/>
    <w:rsid w:val="00F16E51"/>
    <w:rsid w:val="00F17A67"/>
    <w:rsid w:val="00F226E7"/>
    <w:rsid w:val="00F22BCF"/>
    <w:rsid w:val="00F230A2"/>
    <w:rsid w:val="00F240C1"/>
    <w:rsid w:val="00F24AE4"/>
    <w:rsid w:val="00F24E44"/>
    <w:rsid w:val="00F25A60"/>
    <w:rsid w:val="00F31F7D"/>
    <w:rsid w:val="00F327D4"/>
    <w:rsid w:val="00F32D33"/>
    <w:rsid w:val="00F34361"/>
    <w:rsid w:val="00F35C9B"/>
    <w:rsid w:val="00F40001"/>
    <w:rsid w:val="00F42E4A"/>
    <w:rsid w:val="00F45E3C"/>
    <w:rsid w:val="00F46AB7"/>
    <w:rsid w:val="00F5127D"/>
    <w:rsid w:val="00F51FB3"/>
    <w:rsid w:val="00F5227B"/>
    <w:rsid w:val="00F53030"/>
    <w:rsid w:val="00F5391A"/>
    <w:rsid w:val="00F54252"/>
    <w:rsid w:val="00F5428D"/>
    <w:rsid w:val="00F558F3"/>
    <w:rsid w:val="00F55D84"/>
    <w:rsid w:val="00F56FD6"/>
    <w:rsid w:val="00F57421"/>
    <w:rsid w:val="00F57721"/>
    <w:rsid w:val="00F62619"/>
    <w:rsid w:val="00F62D0C"/>
    <w:rsid w:val="00F66DC5"/>
    <w:rsid w:val="00F66E98"/>
    <w:rsid w:val="00F6717A"/>
    <w:rsid w:val="00F70876"/>
    <w:rsid w:val="00F70DE0"/>
    <w:rsid w:val="00F7256F"/>
    <w:rsid w:val="00F743D4"/>
    <w:rsid w:val="00F75439"/>
    <w:rsid w:val="00F75936"/>
    <w:rsid w:val="00F75C2F"/>
    <w:rsid w:val="00F76057"/>
    <w:rsid w:val="00F76E05"/>
    <w:rsid w:val="00F811A8"/>
    <w:rsid w:val="00F81DA8"/>
    <w:rsid w:val="00F82560"/>
    <w:rsid w:val="00F829B2"/>
    <w:rsid w:val="00F85A21"/>
    <w:rsid w:val="00F85A9B"/>
    <w:rsid w:val="00F87E06"/>
    <w:rsid w:val="00F87E46"/>
    <w:rsid w:val="00F902E5"/>
    <w:rsid w:val="00F92D7B"/>
    <w:rsid w:val="00F93246"/>
    <w:rsid w:val="00F944AB"/>
    <w:rsid w:val="00F96FF0"/>
    <w:rsid w:val="00FA0559"/>
    <w:rsid w:val="00FA1405"/>
    <w:rsid w:val="00FA2341"/>
    <w:rsid w:val="00FA3EC1"/>
    <w:rsid w:val="00FA74CF"/>
    <w:rsid w:val="00FB0BED"/>
    <w:rsid w:val="00FB1F74"/>
    <w:rsid w:val="00FB23CC"/>
    <w:rsid w:val="00FB51D0"/>
    <w:rsid w:val="00FB52B2"/>
    <w:rsid w:val="00FC06CF"/>
    <w:rsid w:val="00FC078D"/>
    <w:rsid w:val="00FC3473"/>
    <w:rsid w:val="00FC5394"/>
    <w:rsid w:val="00FC57C0"/>
    <w:rsid w:val="00FC590D"/>
    <w:rsid w:val="00FD0030"/>
    <w:rsid w:val="00FD05F1"/>
    <w:rsid w:val="00FD11EA"/>
    <w:rsid w:val="00FD18AC"/>
    <w:rsid w:val="00FD509C"/>
    <w:rsid w:val="00FD6FD4"/>
    <w:rsid w:val="00FE032B"/>
    <w:rsid w:val="00FE1F00"/>
    <w:rsid w:val="00FE2787"/>
    <w:rsid w:val="00FE2BE7"/>
    <w:rsid w:val="00FE4FEB"/>
    <w:rsid w:val="00FE731E"/>
    <w:rsid w:val="00FF3675"/>
    <w:rsid w:val="00FF3D73"/>
    <w:rsid w:val="00FF4C14"/>
    <w:rsid w:val="00FF5961"/>
    <w:rsid w:val="00FF5E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2050"/>
    <o:shapelayout v:ext="edit">
      <o:idmap v:ext="edit" data="2"/>
    </o:shapelayout>
  </w:shapeDefaults>
  <w:decimalSymbol w:val="."/>
  <w:listSeparator w:val=","/>
  <w14:docId w14:val="59C8CE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uppressAutoHyphens/>
      <w:spacing w:line="260" w:lineRule="exact"/>
    </w:pPr>
    <w:rPr>
      <w:sz w:val="22"/>
      <w:szCs w:val="22"/>
      <w:lang w:val="cs-CZ" w:eastAsia="ar-SA"/>
    </w:rPr>
  </w:style>
  <w:style w:type="paragraph" w:styleId="Heading1">
    <w:name w:val="heading 1"/>
    <w:basedOn w:val="Normal"/>
    <w:next w:val="Normal"/>
    <w:qFormat/>
    <w:pPr>
      <w:numPr>
        <w:numId w:val="1"/>
      </w:numPr>
      <w:spacing w:before="240" w:after="120"/>
      <w:ind w:left="357" w:hanging="357"/>
      <w:outlineLvl w:val="0"/>
    </w:pPr>
    <w:rPr>
      <w:b/>
      <w:bCs/>
      <w:caps/>
      <w:sz w:val="26"/>
      <w:szCs w:val="26"/>
      <w:lang w:val="en-US"/>
    </w:rPr>
  </w:style>
  <w:style w:type="paragraph" w:styleId="Heading2">
    <w:name w:val="heading 2"/>
    <w:basedOn w:val="Normal"/>
    <w:next w:val="Normal"/>
    <w:qFormat/>
    <w:pPr>
      <w:keepNext/>
      <w:numPr>
        <w:ilvl w:val="1"/>
        <w:numId w:val="1"/>
      </w:numPr>
      <w:spacing w:before="240" w:after="60"/>
      <w:outlineLvl w:val="1"/>
    </w:pPr>
    <w:rPr>
      <w:rFonts w:ascii="Helvetica" w:hAnsi="Helvetica" w:cs="Helvetica"/>
      <w:b/>
      <w:bCs/>
      <w:i/>
      <w:iCs/>
      <w:sz w:val="24"/>
      <w:szCs w:val="24"/>
    </w:rPr>
  </w:style>
  <w:style w:type="paragraph" w:styleId="Heading3">
    <w:name w:val="heading 3"/>
    <w:basedOn w:val="Normal"/>
    <w:next w:val="Normal"/>
    <w:qFormat/>
    <w:pPr>
      <w:keepNext/>
      <w:keepLines/>
      <w:numPr>
        <w:ilvl w:val="2"/>
        <w:numId w:val="1"/>
      </w:numPr>
      <w:spacing w:before="120" w:after="80"/>
      <w:outlineLvl w:val="2"/>
    </w:pPr>
    <w:rPr>
      <w:b/>
      <w:bCs/>
      <w:kern w:val="1"/>
      <w:sz w:val="24"/>
      <w:szCs w:val="24"/>
      <w:lang w:val="en-US"/>
    </w:rPr>
  </w:style>
  <w:style w:type="paragraph" w:styleId="Heading4">
    <w:name w:val="heading 4"/>
    <w:basedOn w:val="Normal"/>
    <w:next w:val="Normal"/>
    <w:qFormat/>
    <w:pPr>
      <w:keepNext/>
      <w:numPr>
        <w:ilvl w:val="3"/>
        <w:numId w:val="1"/>
      </w:numPr>
      <w:jc w:val="both"/>
      <w:outlineLvl w:val="3"/>
    </w:pPr>
    <w:rPr>
      <w:b/>
      <w:bCs/>
      <w:lang w:val="en-GB"/>
    </w:rPr>
  </w:style>
  <w:style w:type="paragraph" w:styleId="Heading5">
    <w:name w:val="heading 5"/>
    <w:basedOn w:val="Normal"/>
    <w:next w:val="Normal"/>
    <w:qFormat/>
    <w:pPr>
      <w:keepNext/>
      <w:numPr>
        <w:ilvl w:val="4"/>
        <w:numId w:val="1"/>
      </w:numPr>
      <w:jc w:val="both"/>
      <w:outlineLvl w:val="4"/>
    </w:pPr>
    <w:rPr>
      <w:lang w:val="en-GB"/>
    </w:rPr>
  </w:style>
  <w:style w:type="paragraph" w:styleId="Heading6">
    <w:name w:val="heading 6"/>
    <w:basedOn w:val="Normal"/>
    <w:next w:val="Normal"/>
    <w:qFormat/>
    <w:pPr>
      <w:keepNext/>
      <w:numPr>
        <w:ilvl w:val="5"/>
        <w:numId w:val="1"/>
      </w:numPr>
      <w:tabs>
        <w:tab w:val="left" w:pos="-720"/>
        <w:tab w:val="left" w:pos="4536"/>
      </w:tabs>
      <w:outlineLvl w:val="5"/>
    </w:pPr>
    <w:rPr>
      <w:i/>
      <w:iCs/>
    </w:rPr>
  </w:style>
  <w:style w:type="paragraph" w:styleId="Heading7">
    <w:name w:val="heading 7"/>
    <w:basedOn w:val="Normal"/>
    <w:next w:val="Normal"/>
    <w:qFormat/>
    <w:pPr>
      <w:keepNext/>
      <w:numPr>
        <w:ilvl w:val="6"/>
        <w:numId w:val="1"/>
      </w:numPr>
      <w:tabs>
        <w:tab w:val="left" w:pos="-720"/>
        <w:tab w:val="left" w:pos="4536"/>
      </w:tabs>
      <w:jc w:val="both"/>
      <w:outlineLvl w:val="6"/>
    </w:pPr>
    <w:rPr>
      <w:i/>
      <w:iCs/>
    </w:rPr>
  </w:style>
  <w:style w:type="paragraph" w:styleId="Heading8">
    <w:name w:val="heading 8"/>
    <w:basedOn w:val="Normal"/>
    <w:next w:val="Normal"/>
    <w:qFormat/>
    <w:pPr>
      <w:keepNext/>
      <w:numPr>
        <w:ilvl w:val="7"/>
        <w:numId w:val="1"/>
      </w:numPr>
      <w:ind w:left="567" w:hanging="567"/>
      <w:jc w:val="both"/>
      <w:outlineLvl w:val="7"/>
    </w:pPr>
    <w:rPr>
      <w:b/>
      <w:bCs/>
      <w:i/>
      <w:iCs/>
    </w:rPr>
  </w:style>
  <w:style w:type="paragraph" w:styleId="Heading9">
    <w:name w:val="heading 9"/>
    <w:basedOn w:val="Normal"/>
    <w:next w:val="Normal"/>
    <w:qFormat/>
    <w:pPr>
      <w:keepNext/>
      <w:numPr>
        <w:ilvl w:val="8"/>
        <w:numId w:val="1"/>
      </w:numPr>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cs="Times New Roman"/>
    </w:rPr>
  </w:style>
  <w:style w:type="character" w:customStyle="1" w:styleId="WW8Num3z0">
    <w:name w:val="WW8Num3z0"/>
    <w:rPr>
      <w:rFonts w:cs="Times New Roman"/>
    </w:rPr>
  </w:style>
  <w:style w:type="character" w:customStyle="1" w:styleId="WW8Num4z0">
    <w:name w:val="WW8Num4z0"/>
    <w:rPr>
      <w:rFonts w:cs="Times New Roman"/>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cs="Times New Roman"/>
    </w:rPr>
  </w:style>
  <w:style w:type="character" w:customStyle="1" w:styleId="WW8Num10z0">
    <w:name w:val="WW8Num10z0"/>
    <w:rPr>
      <w:rFonts w:ascii="Symbol" w:hAnsi="Symbol"/>
    </w:rPr>
  </w:style>
  <w:style w:type="character" w:customStyle="1" w:styleId="WW8Num11z0">
    <w:name w:val="WW8Num11z0"/>
    <w:rPr>
      <w:rFonts w:cs="Times New Roman"/>
    </w:rPr>
  </w:style>
  <w:style w:type="character" w:customStyle="1" w:styleId="WW8Num12z0">
    <w:name w:val="WW8Num12z0"/>
    <w:rPr>
      <w:rFonts w:cs="Times New Roman"/>
    </w:rPr>
  </w:style>
  <w:style w:type="character" w:customStyle="1" w:styleId="WW8Num13z0">
    <w:name w:val="WW8Num13z0"/>
    <w:rPr>
      <w:rFonts w:cs="Times New Roman"/>
    </w:rPr>
  </w:style>
  <w:style w:type="character" w:customStyle="1" w:styleId="WW8Num14z0">
    <w:name w:val="WW8Num14z0"/>
    <w:rPr>
      <w:rFonts w:ascii="Symbol" w:hAnsi="Symbol"/>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18z0">
    <w:name w:val="WW8Num18z0"/>
    <w:rPr>
      <w:rFonts w:cs="Times New Roman"/>
    </w:rPr>
  </w:style>
  <w:style w:type="character" w:customStyle="1" w:styleId="WW8Num19z0">
    <w:name w:val="WW8Num19z0"/>
    <w:rPr>
      <w:rFonts w:ascii="Symbol" w:hAnsi="Symbol"/>
    </w:rPr>
  </w:style>
  <w:style w:type="character" w:customStyle="1" w:styleId="WW8Num20z0">
    <w:name w:val="WW8Num20z0"/>
    <w:rPr>
      <w:rFonts w:cs="Times New Roman"/>
    </w:rPr>
  </w:style>
  <w:style w:type="character" w:customStyle="1" w:styleId="WW8Num21z0">
    <w:name w:val="WW8Num21z0"/>
    <w:rPr>
      <w:rFonts w:ascii="Symbol" w:hAnsi="Symbol"/>
    </w:rPr>
  </w:style>
  <w:style w:type="character" w:customStyle="1" w:styleId="WW8Num22z0">
    <w:name w:val="WW8Num22z0"/>
    <w:rPr>
      <w:b w:val="0"/>
      <w:i w:val="0"/>
    </w:rPr>
  </w:style>
  <w:style w:type="character" w:customStyle="1" w:styleId="WW8Num23z0">
    <w:name w:val="WW8Num23z0"/>
    <w:rPr>
      <w:rFonts w:ascii="Symbol" w:hAnsi="Symbol"/>
    </w:rPr>
  </w:style>
  <w:style w:type="character" w:customStyle="1" w:styleId="WW8Num24z0">
    <w:name w:val="WW8Num24z0"/>
    <w:rPr>
      <w:rFonts w:cs="Times New Roman"/>
    </w:rPr>
  </w:style>
  <w:style w:type="character" w:customStyle="1" w:styleId="WW8Num25z0">
    <w:name w:val="WW8Num25z0"/>
    <w:rPr>
      <w:rFonts w:ascii="Symbol" w:hAnsi="Symbol"/>
    </w:rPr>
  </w:style>
  <w:style w:type="character" w:customStyle="1" w:styleId="WW8Num26z0">
    <w:name w:val="WW8Num26z0"/>
    <w:rPr>
      <w:rFonts w:ascii="Symbol" w:hAnsi="Symbol"/>
    </w:rPr>
  </w:style>
  <w:style w:type="character" w:customStyle="1" w:styleId="WW8Num27z0">
    <w:name w:val="WW8Num27z0"/>
    <w:rPr>
      <w:rFonts w:cs="Times New Roman"/>
    </w:rPr>
  </w:style>
  <w:style w:type="character" w:customStyle="1" w:styleId="WW8Num28z0">
    <w:name w:val="WW8Num28z0"/>
    <w:rPr>
      <w:rFonts w:cs="Times New Roman"/>
    </w:rPr>
  </w:style>
  <w:style w:type="character" w:customStyle="1" w:styleId="WW8Num29z0">
    <w:name w:val="WW8Num29z0"/>
    <w:rPr>
      <w:rFonts w:cs="Times New Roman"/>
    </w:rPr>
  </w:style>
  <w:style w:type="character" w:customStyle="1" w:styleId="WW8Num30z0">
    <w:name w:val="WW8Num30z0"/>
    <w:rPr>
      <w:rFonts w:ascii="Symbol" w:hAnsi="Symbol"/>
    </w:rPr>
  </w:style>
  <w:style w:type="character" w:customStyle="1" w:styleId="WW8Num31z0">
    <w:name w:val="WW8Num31z0"/>
    <w:rPr>
      <w:rFonts w:cs="Times New Roman"/>
    </w:rPr>
  </w:style>
  <w:style w:type="character" w:customStyle="1" w:styleId="WW8Num32z0">
    <w:name w:val="WW8Num32z0"/>
    <w:rPr>
      <w:rFonts w:cs="Times New Roman"/>
    </w:rPr>
  </w:style>
  <w:style w:type="character" w:customStyle="1" w:styleId="WW8Num33z0">
    <w:name w:val="WW8Num33z0"/>
    <w:rPr>
      <w:rFonts w:cs="Times New Roman"/>
    </w:rPr>
  </w:style>
  <w:style w:type="character" w:customStyle="1" w:styleId="WW8Num34z0">
    <w:name w:val="WW8Num34z0"/>
    <w:rPr>
      <w:rFonts w:ascii="Symbol" w:hAnsi="Symbol"/>
    </w:rPr>
  </w:style>
  <w:style w:type="character" w:customStyle="1" w:styleId="WW8Num35z0">
    <w:name w:val="WW8Num35z0"/>
    <w:rPr>
      <w:rFonts w:ascii="Symbol" w:hAnsi="Symbol"/>
    </w:rPr>
  </w:style>
  <w:style w:type="character" w:customStyle="1" w:styleId="WW8Num36z0">
    <w:name w:val="WW8Num36z0"/>
    <w:rPr>
      <w:rFonts w:cs="Times New Roman"/>
    </w:rPr>
  </w:style>
  <w:style w:type="character" w:customStyle="1" w:styleId="WW8Num37z0">
    <w:name w:val="WW8Num37z0"/>
    <w:rPr>
      <w:rFonts w:cs="Times New Roman"/>
    </w:rPr>
  </w:style>
  <w:style w:type="character" w:customStyle="1" w:styleId="WW8Num38z0">
    <w:name w:val="WW8Num38z0"/>
    <w:rPr>
      <w:rFonts w:cs="Times New Roman"/>
    </w:rPr>
  </w:style>
  <w:style w:type="character" w:customStyle="1" w:styleId="WW8Num39z0">
    <w:name w:val="WW8Num39z0"/>
    <w:rPr>
      <w:rFonts w:cs="Times New Roman"/>
    </w:rPr>
  </w:style>
  <w:style w:type="character" w:customStyle="1" w:styleId="WW8Num40z0">
    <w:name w:val="WW8Num40z0"/>
    <w:rPr>
      <w:rFonts w:cs="Times New Roman"/>
    </w:rPr>
  </w:style>
  <w:style w:type="character" w:customStyle="1" w:styleId="WW8Num41z0">
    <w:name w:val="WW8Num41z0"/>
    <w:rPr>
      <w:rFonts w:cs="Times New Roman"/>
    </w:rPr>
  </w:style>
  <w:style w:type="character" w:customStyle="1" w:styleId="WW8Num42z0">
    <w:name w:val="WW8Num42z0"/>
    <w:rPr>
      <w:b w:val="0"/>
      <w:i w:val="0"/>
    </w:rPr>
  </w:style>
  <w:style w:type="character" w:customStyle="1" w:styleId="WW8Num43z0">
    <w:name w:val="WW8Num43z0"/>
    <w:rPr>
      <w:rFonts w:cs="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z0">
    <w:name w:val="WW8Num1z0"/>
    <w:rPr>
      <w:rFonts w:cs="Times New Roman"/>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4z1">
    <w:name w:val="WW8Num34z1"/>
    <w:rPr>
      <w:rFonts w:ascii="Courier New" w:hAnsi="Courier New"/>
    </w:rPr>
  </w:style>
  <w:style w:type="character" w:customStyle="1" w:styleId="WW8Num34z2">
    <w:name w:val="WW8Num34z2"/>
    <w:rPr>
      <w:rFonts w:ascii="Wingdings" w:hAnsi="Wingdings"/>
    </w:rPr>
  </w:style>
  <w:style w:type="character" w:customStyle="1" w:styleId="WW8Num42z1">
    <w:name w:val="WW8Num42z1"/>
    <w:rPr>
      <w:rFonts w:ascii="Courier New" w:hAnsi="Courier New"/>
    </w:rPr>
  </w:style>
  <w:style w:type="character" w:customStyle="1" w:styleId="WW8Num42z2">
    <w:name w:val="WW8Num42z2"/>
    <w:rPr>
      <w:rFonts w:ascii="Wingdings" w:hAnsi="Wingdings"/>
    </w:rPr>
  </w:style>
  <w:style w:type="character" w:customStyle="1" w:styleId="WW8Num42z3">
    <w:name w:val="WW8Num42z3"/>
    <w:rPr>
      <w:rFonts w:ascii="Symbol" w:hAnsi="Symbol"/>
    </w:rPr>
  </w:style>
  <w:style w:type="character" w:customStyle="1" w:styleId="WW8Num44z0">
    <w:name w:val="WW8Num44z0"/>
    <w:rPr>
      <w:rFonts w:cs="Times New Roman"/>
    </w:rPr>
  </w:style>
  <w:style w:type="character" w:customStyle="1" w:styleId="WW8Num45z0">
    <w:name w:val="WW8Num45z0"/>
    <w:rPr>
      <w:rFonts w:cs="Times New Roman"/>
    </w:rPr>
  </w:style>
  <w:style w:type="character" w:customStyle="1" w:styleId="WW8Num46z0">
    <w:name w:val="WW8Num46z0"/>
    <w:rPr>
      <w:rFonts w:cs="Times New Roman"/>
    </w:rPr>
  </w:style>
  <w:style w:type="character" w:customStyle="1" w:styleId="WW8Num47z0">
    <w:name w:val="WW8Num47z0"/>
    <w:rPr>
      <w:rFonts w:ascii="Symbol" w:hAnsi="Symbol"/>
    </w:rPr>
  </w:style>
  <w:style w:type="character" w:customStyle="1" w:styleId="WW8Num48z0">
    <w:name w:val="WW8Num48z0"/>
    <w:rPr>
      <w:rFonts w:cs="Times New Roman"/>
    </w:rPr>
  </w:style>
  <w:style w:type="character" w:customStyle="1" w:styleId="WW8Num49z0">
    <w:name w:val="WW8Num49z0"/>
    <w:rPr>
      <w:rFonts w:cs="Times New Roman"/>
    </w:rPr>
  </w:style>
  <w:style w:type="character" w:customStyle="1" w:styleId="WW8Num50z0">
    <w:name w:val="WW8Num50z0"/>
    <w:rPr>
      <w:b w:val="0"/>
      <w:i w:val="0"/>
    </w:rPr>
  </w:style>
  <w:style w:type="character" w:customStyle="1" w:styleId="WW8Num50z1">
    <w:name w:val="WW8Num50z1"/>
    <w:rPr>
      <w:rFonts w:ascii="Courier New" w:hAnsi="Courier New"/>
    </w:rPr>
  </w:style>
  <w:style w:type="character" w:customStyle="1" w:styleId="WW8Num50z2">
    <w:name w:val="WW8Num50z2"/>
    <w:rPr>
      <w:rFonts w:ascii="Wingdings" w:hAnsi="Wingdings"/>
    </w:rPr>
  </w:style>
  <w:style w:type="character" w:customStyle="1" w:styleId="WW8Num50z3">
    <w:name w:val="WW8Num50z3"/>
    <w:rPr>
      <w:rFonts w:ascii="Symbol" w:hAnsi="Symbol"/>
    </w:rPr>
  </w:style>
  <w:style w:type="character" w:customStyle="1" w:styleId="WW8Num51z0">
    <w:name w:val="WW8Num51z0"/>
    <w:rPr>
      <w:rFonts w:ascii="Symbol" w:hAnsi="Symbol"/>
    </w:rPr>
  </w:style>
  <w:style w:type="character" w:customStyle="1" w:styleId="WW8Num51z1">
    <w:name w:val="WW8Num51z1"/>
    <w:rPr>
      <w:rFonts w:ascii="Courier New" w:hAnsi="Courier New"/>
    </w:rPr>
  </w:style>
  <w:style w:type="character" w:customStyle="1" w:styleId="WW8Num51z2">
    <w:name w:val="WW8Num51z2"/>
    <w:rPr>
      <w:rFonts w:ascii="Wingdings" w:hAnsi="Wingdings"/>
    </w:rPr>
  </w:style>
  <w:style w:type="character" w:customStyle="1" w:styleId="WW8Num52z0">
    <w:name w:val="WW8Num52z0"/>
    <w:rPr>
      <w:rFonts w:cs="Times New Roman"/>
    </w:rPr>
  </w:style>
  <w:style w:type="character" w:customStyle="1" w:styleId="WW8Num53z0">
    <w:name w:val="WW8Num53z0"/>
    <w:rPr>
      <w:rFonts w:ascii="Symbol" w:hAnsi="Symbol"/>
    </w:rPr>
  </w:style>
  <w:style w:type="character" w:customStyle="1" w:styleId="WW8Num54z1">
    <w:name w:val="WW8Num54z1"/>
    <w:rPr>
      <w:rFonts w:ascii="Courier New" w:hAnsi="Courier New"/>
    </w:rPr>
  </w:style>
  <w:style w:type="character" w:customStyle="1" w:styleId="WW8Num54z2">
    <w:name w:val="WW8Num54z2"/>
    <w:rPr>
      <w:rFonts w:ascii="Wingdings" w:hAnsi="Wingdings"/>
    </w:rPr>
  </w:style>
  <w:style w:type="character" w:customStyle="1" w:styleId="WW8Num54z3">
    <w:name w:val="WW8Num54z3"/>
    <w:rPr>
      <w:rFonts w:ascii="Symbol" w:hAnsi="Symbol"/>
    </w:rPr>
  </w:style>
  <w:style w:type="character" w:customStyle="1" w:styleId="WW8Num55z0">
    <w:name w:val="WW8Num55z0"/>
    <w:rPr>
      <w:rFonts w:cs="Times New Roman"/>
    </w:rPr>
  </w:style>
  <w:style w:type="character" w:customStyle="1" w:styleId="WW8Num56z0">
    <w:name w:val="WW8Num56z0"/>
    <w:rPr>
      <w:rFonts w:cs="Times New Roman"/>
    </w:rPr>
  </w:style>
  <w:style w:type="character" w:customStyle="1" w:styleId="WW8Num57z0">
    <w:name w:val="WW8Num57z0"/>
    <w:rPr>
      <w:rFonts w:ascii="Symbol" w:hAnsi="Symbol"/>
      <w:b w:val="0"/>
      <w:i w:val="0"/>
      <w:color w:val="000000"/>
      <w:sz w:val="22"/>
    </w:rPr>
  </w:style>
  <w:style w:type="character" w:customStyle="1" w:styleId="WW8Num57z1">
    <w:name w:val="WW8Num57z1"/>
    <w:rPr>
      <w:rFonts w:ascii="Courier New" w:hAnsi="Courier New"/>
    </w:rPr>
  </w:style>
  <w:style w:type="character" w:customStyle="1" w:styleId="WW8Num57z2">
    <w:name w:val="WW8Num57z2"/>
    <w:rPr>
      <w:rFonts w:ascii="Wingdings" w:hAnsi="Wingdings"/>
    </w:rPr>
  </w:style>
  <w:style w:type="character" w:customStyle="1" w:styleId="WW8Num57z3">
    <w:name w:val="WW8Num57z3"/>
    <w:rPr>
      <w:rFonts w:ascii="Symbol" w:hAnsi="Symbol"/>
    </w:rPr>
  </w:style>
  <w:style w:type="character" w:customStyle="1" w:styleId="WW8Num58z0">
    <w:name w:val="WW8Num58z0"/>
    <w:rPr>
      <w:rFonts w:cs="Times New Roman"/>
    </w:rPr>
  </w:style>
  <w:style w:type="character" w:customStyle="1" w:styleId="WW8Num59z0">
    <w:name w:val="WW8Num59z0"/>
    <w:rPr>
      <w:rFonts w:cs="Times New Roman"/>
    </w:rPr>
  </w:style>
  <w:style w:type="character" w:customStyle="1" w:styleId="WW8Num60z0">
    <w:name w:val="WW8Num60z0"/>
    <w:rPr>
      <w:rFonts w:cs="Times New Roman"/>
    </w:rPr>
  </w:style>
  <w:style w:type="character" w:customStyle="1" w:styleId="WW8Num61z0">
    <w:name w:val="WW8Num61z0"/>
    <w:rPr>
      <w:rFonts w:cs="Times New Roman"/>
    </w:rPr>
  </w:style>
  <w:style w:type="character" w:customStyle="1" w:styleId="WW8Num62z0">
    <w:name w:val="WW8Num62z0"/>
    <w:rPr>
      <w:rFonts w:ascii="Symbol" w:hAnsi="Symbol"/>
    </w:rPr>
  </w:style>
  <w:style w:type="character" w:customStyle="1" w:styleId="WW8Num63z0">
    <w:name w:val="WW8Num63z0"/>
    <w:rPr>
      <w:rFonts w:cs="Times New Roman"/>
    </w:rPr>
  </w:style>
  <w:style w:type="character" w:customStyle="1" w:styleId="WW8Num64z0">
    <w:name w:val="WW8Num64z0"/>
    <w:rPr>
      <w:rFonts w:ascii="Symbol" w:hAnsi="Symbol"/>
      <w:b w:val="0"/>
      <w:i w:val="0"/>
      <w:color w:val="000000"/>
      <w:sz w:val="22"/>
    </w:rPr>
  </w:style>
  <w:style w:type="character" w:customStyle="1" w:styleId="WW8Num64z1">
    <w:name w:val="WW8Num64z1"/>
    <w:rPr>
      <w:rFonts w:ascii="Courier New" w:hAnsi="Courier New"/>
    </w:rPr>
  </w:style>
  <w:style w:type="character" w:customStyle="1" w:styleId="WW8Num64z2">
    <w:name w:val="WW8Num64z2"/>
    <w:rPr>
      <w:rFonts w:ascii="Wingdings" w:hAnsi="Wingdings"/>
    </w:rPr>
  </w:style>
  <w:style w:type="character" w:customStyle="1" w:styleId="WW8Num64z3">
    <w:name w:val="WW8Num64z3"/>
    <w:rPr>
      <w:rFonts w:ascii="Symbol" w:hAnsi="Symbol"/>
    </w:rPr>
  </w:style>
  <w:style w:type="character" w:customStyle="1" w:styleId="WW8Num65z0">
    <w:name w:val="WW8Num65z0"/>
    <w:rPr>
      <w:rFonts w:cs="Times New Roman"/>
    </w:rPr>
  </w:style>
  <w:style w:type="character" w:customStyle="1" w:styleId="WW8Num66z0">
    <w:name w:val="WW8Num66z0"/>
    <w:rPr>
      <w:rFonts w:cs="Times New Roman"/>
    </w:rPr>
  </w:style>
  <w:style w:type="character" w:customStyle="1" w:styleId="WW8Num67z0">
    <w:name w:val="WW8Num67z0"/>
    <w:rPr>
      <w:rFonts w:ascii="Symbol" w:hAnsi="Symbol"/>
    </w:rPr>
  </w:style>
  <w:style w:type="character" w:customStyle="1" w:styleId="WW8Num68z0">
    <w:name w:val="WW8Num68z0"/>
    <w:rPr>
      <w:rFonts w:cs="Times New Roman"/>
    </w:rPr>
  </w:style>
  <w:style w:type="character" w:customStyle="1" w:styleId="WW8Num69z0">
    <w:name w:val="WW8Num69z0"/>
    <w:rPr>
      <w:rFonts w:ascii="Symbol" w:hAnsi="Symbol"/>
    </w:rPr>
  </w:style>
  <w:style w:type="character" w:customStyle="1" w:styleId="WW8Num69z1">
    <w:name w:val="WW8Num69z1"/>
    <w:rPr>
      <w:rFonts w:ascii="Courier New" w:hAnsi="Courier New"/>
    </w:rPr>
  </w:style>
  <w:style w:type="character" w:customStyle="1" w:styleId="WW8Num69z2">
    <w:name w:val="WW8Num69z2"/>
    <w:rPr>
      <w:rFonts w:ascii="Wingdings" w:hAnsi="Wingdings"/>
    </w:rPr>
  </w:style>
  <w:style w:type="character" w:customStyle="1" w:styleId="WW8Num70z0">
    <w:name w:val="WW8Num70z0"/>
    <w:rPr>
      <w:rFonts w:ascii="Symbol" w:hAnsi="Symbol"/>
    </w:rPr>
  </w:style>
  <w:style w:type="character" w:customStyle="1" w:styleId="WW8Num71z0">
    <w:name w:val="WW8Num71z0"/>
    <w:rPr>
      <w:rFonts w:cs="Times New Roman"/>
    </w:rPr>
  </w:style>
  <w:style w:type="character" w:customStyle="1" w:styleId="WW8Num72z0">
    <w:name w:val="WW8Num72z0"/>
    <w:rPr>
      <w:rFonts w:cs="Times New Roman"/>
    </w:rPr>
  </w:style>
  <w:style w:type="character" w:customStyle="1" w:styleId="WW8Num73z0">
    <w:name w:val="WW8Num73z0"/>
    <w:rPr>
      <w:rFonts w:cs="Times New Roman"/>
    </w:rPr>
  </w:style>
  <w:style w:type="character" w:customStyle="1" w:styleId="WW8Num74z0">
    <w:name w:val="WW8Num74z0"/>
    <w:rPr>
      <w:rFonts w:cs="Times New Roman"/>
    </w:rPr>
  </w:style>
  <w:style w:type="character" w:customStyle="1" w:styleId="WW8Num75z0">
    <w:name w:val="WW8Num75z0"/>
    <w:rPr>
      <w:rFonts w:cs="Times New Roman"/>
    </w:rPr>
  </w:style>
  <w:style w:type="character" w:customStyle="1" w:styleId="WW8Num76z0">
    <w:name w:val="WW8Num76z0"/>
    <w:rPr>
      <w:rFonts w:cs="Times New Roman"/>
    </w:rPr>
  </w:style>
  <w:style w:type="character" w:customStyle="1" w:styleId="WW8Num78z0">
    <w:name w:val="WW8Num78z0"/>
    <w:rPr>
      <w:rFonts w:cs="Times New Roman"/>
    </w:rPr>
  </w:style>
  <w:style w:type="character" w:customStyle="1" w:styleId="WW8Num79z0">
    <w:name w:val="WW8Num79z0"/>
    <w:rPr>
      <w:rFonts w:ascii="Symbol" w:hAnsi="Symbol"/>
    </w:rPr>
  </w:style>
  <w:style w:type="character" w:customStyle="1" w:styleId="WW8Num80z0">
    <w:name w:val="WW8Num80z0"/>
    <w:rPr>
      <w:rFonts w:cs="Times New Roman"/>
    </w:rPr>
  </w:style>
  <w:style w:type="character" w:customStyle="1" w:styleId="WW8Num81z0">
    <w:name w:val="WW8Num81z0"/>
    <w:rPr>
      <w:rFonts w:cs="Times New Roman"/>
    </w:rPr>
  </w:style>
  <w:style w:type="character" w:customStyle="1" w:styleId="WW8Num82z0">
    <w:name w:val="WW8Num82z0"/>
    <w:rPr>
      <w:rFonts w:ascii="Times New Roman" w:hAnsi="Times New Roman"/>
    </w:rPr>
  </w:style>
  <w:style w:type="character" w:customStyle="1" w:styleId="WW8Num83z0">
    <w:name w:val="WW8Num83z0"/>
    <w:rPr>
      <w:rFonts w:cs="Times New Roman"/>
    </w:rPr>
  </w:style>
  <w:style w:type="character" w:customStyle="1" w:styleId="WW8Num85z0">
    <w:name w:val="WW8Num85z0"/>
    <w:rPr>
      <w:rFonts w:cs="Times New Roman"/>
    </w:rPr>
  </w:style>
  <w:style w:type="character" w:customStyle="1" w:styleId="WW8Num86z0">
    <w:name w:val="WW8Num86z0"/>
    <w:rPr>
      <w:rFonts w:ascii="Symbol" w:hAnsi="Symbol"/>
    </w:rPr>
  </w:style>
  <w:style w:type="character" w:customStyle="1" w:styleId="WW8Num86z1">
    <w:name w:val="WW8Num86z1"/>
    <w:rPr>
      <w:rFonts w:ascii="Courier New" w:hAnsi="Courier New"/>
    </w:rPr>
  </w:style>
  <w:style w:type="character" w:customStyle="1" w:styleId="WW8Num86z2">
    <w:name w:val="WW8Num86z2"/>
    <w:rPr>
      <w:rFonts w:ascii="Wingdings" w:hAnsi="Wingdings"/>
    </w:rPr>
  </w:style>
  <w:style w:type="character" w:customStyle="1" w:styleId="WW8Num87z0">
    <w:name w:val="WW8Num87z0"/>
    <w:rPr>
      <w:rFonts w:cs="Times New Roman"/>
    </w:rPr>
  </w:style>
  <w:style w:type="character" w:customStyle="1" w:styleId="WW8Num88z0">
    <w:name w:val="WW8Num88z0"/>
    <w:rPr>
      <w:rFonts w:ascii="Symbol" w:hAnsi="Symbol"/>
    </w:rPr>
  </w:style>
  <w:style w:type="character" w:customStyle="1" w:styleId="WW8Num88z1">
    <w:name w:val="WW8Num88z1"/>
    <w:rPr>
      <w:rFonts w:ascii="Courier New" w:hAnsi="Courier New"/>
    </w:rPr>
  </w:style>
  <w:style w:type="character" w:customStyle="1" w:styleId="WW8Num88z2">
    <w:name w:val="WW8Num88z2"/>
    <w:rPr>
      <w:rFonts w:ascii="Wingdings" w:hAnsi="Wingdings"/>
    </w:rPr>
  </w:style>
  <w:style w:type="character" w:customStyle="1" w:styleId="WW8Num89z0">
    <w:name w:val="WW8Num89z0"/>
    <w:rPr>
      <w:rFonts w:cs="Times New Roman"/>
    </w:rPr>
  </w:style>
  <w:style w:type="character" w:customStyle="1" w:styleId="WW8Num90z0">
    <w:name w:val="WW8Num90z0"/>
    <w:rPr>
      <w:rFonts w:cs="Times New Roman"/>
    </w:rPr>
  </w:style>
  <w:style w:type="character" w:customStyle="1" w:styleId="WW8Num91z1">
    <w:name w:val="WW8Num91z1"/>
    <w:rPr>
      <w:rFonts w:ascii="Courier New" w:hAnsi="Courier New"/>
    </w:rPr>
  </w:style>
  <w:style w:type="character" w:customStyle="1" w:styleId="WW8Num91z2">
    <w:name w:val="WW8Num91z2"/>
    <w:rPr>
      <w:rFonts w:ascii="Wingdings" w:hAnsi="Wingdings"/>
    </w:rPr>
  </w:style>
  <w:style w:type="character" w:customStyle="1" w:styleId="WW8Num91z3">
    <w:name w:val="WW8Num91z3"/>
    <w:rPr>
      <w:rFonts w:ascii="Symbol" w:hAnsi="Symbol"/>
    </w:rPr>
  </w:style>
  <w:style w:type="character" w:customStyle="1" w:styleId="WW8Num92z0">
    <w:name w:val="WW8Num92z0"/>
    <w:rPr>
      <w:rFonts w:cs="Times New Roman"/>
    </w:rPr>
  </w:style>
  <w:style w:type="character" w:customStyle="1" w:styleId="WW8Num93z0">
    <w:name w:val="WW8Num93z0"/>
    <w:rPr>
      <w:rFonts w:cs="Times New Roman"/>
    </w:rPr>
  </w:style>
  <w:style w:type="character" w:customStyle="1" w:styleId="WW8Num94z0">
    <w:name w:val="WW8Num94z0"/>
    <w:rPr>
      <w:rFonts w:ascii="Symbol" w:hAnsi="Symbol"/>
    </w:rPr>
  </w:style>
  <w:style w:type="character" w:customStyle="1" w:styleId="WW8Num94z1">
    <w:name w:val="WW8Num94z1"/>
    <w:rPr>
      <w:rFonts w:ascii="Courier New" w:hAnsi="Courier New"/>
    </w:rPr>
  </w:style>
  <w:style w:type="character" w:customStyle="1" w:styleId="WW8Num94z2">
    <w:name w:val="WW8Num94z2"/>
    <w:rPr>
      <w:rFonts w:ascii="Wingdings" w:hAnsi="Wingdings"/>
    </w:rPr>
  </w:style>
  <w:style w:type="character" w:customStyle="1" w:styleId="WW8Num95z0">
    <w:name w:val="WW8Num95z0"/>
    <w:rPr>
      <w:rFonts w:ascii="Symbol" w:hAnsi="Symbol"/>
    </w:rPr>
  </w:style>
  <w:style w:type="character" w:customStyle="1" w:styleId="WW8Num95z1">
    <w:name w:val="WW8Num95z1"/>
    <w:rPr>
      <w:rFonts w:ascii="Courier New" w:hAnsi="Courier New"/>
    </w:rPr>
  </w:style>
  <w:style w:type="character" w:customStyle="1" w:styleId="WW8Num95z2">
    <w:name w:val="WW8Num95z2"/>
    <w:rPr>
      <w:rFonts w:ascii="Wingdings" w:hAnsi="Wingdings"/>
    </w:rPr>
  </w:style>
  <w:style w:type="character" w:customStyle="1" w:styleId="WW8Num96z0">
    <w:name w:val="WW8Num96z0"/>
    <w:rPr>
      <w:rFonts w:cs="Times New Roman"/>
    </w:rPr>
  </w:style>
  <w:style w:type="character" w:customStyle="1" w:styleId="WW8Num97z0">
    <w:name w:val="WW8Num97z0"/>
    <w:rPr>
      <w:rFonts w:ascii="Symbol" w:hAnsi="Symbol"/>
    </w:rPr>
  </w:style>
  <w:style w:type="character" w:customStyle="1" w:styleId="WW8Num97z1">
    <w:name w:val="WW8Num97z1"/>
    <w:rPr>
      <w:rFonts w:ascii="Courier New" w:hAnsi="Courier New"/>
    </w:rPr>
  </w:style>
  <w:style w:type="character" w:customStyle="1" w:styleId="WW8Num97z2">
    <w:name w:val="WW8Num97z2"/>
    <w:rPr>
      <w:rFonts w:ascii="Wingdings" w:hAnsi="Wingdings"/>
    </w:rPr>
  </w:style>
  <w:style w:type="character" w:customStyle="1" w:styleId="WW8Num98z0">
    <w:name w:val="WW8Num98z0"/>
    <w:rPr>
      <w:rFonts w:ascii="Symbol" w:hAnsi="Symbol"/>
    </w:rPr>
  </w:style>
  <w:style w:type="character" w:customStyle="1" w:styleId="WW8Num98z1">
    <w:name w:val="WW8Num98z1"/>
    <w:rPr>
      <w:rFonts w:ascii="Courier New" w:hAnsi="Courier New"/>
    </w:rPr>
  </w:style>
  <w:style w:type="character" w:customStyle="1" w:styleId="WW8Num98z2">
    <w:name w:val="WW8Num98z2"/>
    <w:rPr>
      <w:rFonts w:ascii="Wingdings" w:hAnsi="Wingdings"/>
    </w:rPr>
  </w:style>
  <w:style w:type="character" w:customStyle="1" w:styleId="WW8Num99z1">
    <w:name w:val="WW8Num99z1"/>
    <w:rPr>
      <w:rFonts w:ascii="Courier New" w:hAnsi="Courier New"/>
    </w:rPr>
  </w:style>
  <w:style w:type="character" w:customStyle="1" w:styleId="WW8Num99z2">
    <w:name w:val="WW8Num99z2"/>
    <w:rPr>
      <w:rFonts w:ascii="Wingdings" w:hAnsi="Wingdings"/>
    </w:rPr>
  </w:style>
  <w:style w:type="character" w:customStyle="1" w:styleId="WW8Num99z3">
    <w:name w:val="WW8Num99z3"/>
    <w:rPr>
      <w:rFonts w:ascii="Symbol" w:hAnsi="Symbol"/>
    </w:rPr>
  </w:style>
  <w:style w:type="character" w:customStyle="1" w:styleId="WW8Num100z0">
    <w:name w:val="WW8Num100z0"/>
    <w:rPr>
      <w:rFonts w:ascii="Wingdings" w:hAnsi="Wingdings"/>
    </w:rPr>
  </w:style>
  <w:style w:type="character" w:customStyle="1" w:styleId="WW8Num100z1">
    <w:name w:val="WW8Num100z1"/>
    <w:rPr>
      <w:rFonts w:ascii="Courier New" w:hAnsi="Courier New"/>
    </w:rPr>
  </w:style>
  <w:style w:type="character" w:customStyle="1" w:styleId="WW8Num100z3">
    <w:name w:val="WW8Num100z3"/>
    <w:rPr>
      <w:rFonts w:ascii="Symbol" w:hAnsi="Symbol"/>
    </w:rPr>
  </w:style>
  <w:style w:type="character" w:customStyle="1" w:styleId="WW8Num101z0">
    <w:name w:val="WW8Num101z0"/>
    <w:rPr>
      <w:rFonts w:cs="Times New Roman"/>
    </w:rPr>
  </w:style>
  <w:style w:type="character" w:customStyle="1" w:styleId="WW8Num102z0">
    <w:name w:val="WW8Num102z0"/>
    <w:rPr>
      <w:rFonts w:cs="Times New Roman"/>
    </w:rPr>
  </w:style>
  <w:style w:type="character" w:customStyle="1" w:styleId="WW8Num103z0">
    <w:name w:val="WW8Num103z0"/>
    <w:rPr>
      <w:rFonts w:ascii="Symbol" w:hAnsi="Symbol"/>
    </w:rPr>
  </w:style>
  <w:style w:type="character" w:customStyle="1" w:styleId="WW8Num103z1">
    <w:name w:val="WW8Num103z1"/>
    <w:rPr>
      <w:rFonts w:ascii="Courier New" w:hAnsi="Courier New"/>
    </w:rPr>
  </w:style>
  <w:style w:type="character" w:customStyle="1" w:styleId="WW8Num103z2">
    <w:name w:val="WW8Num103z2"/>
    <w:rPr>
      <w:rFonts w:ascii="Wingdings" w:hAnsi="Wingdings"/>
    </w:rPr>
  </w:style>
  <w:style w:type="character" w:customStyle="1" w:styleId="WW8Num104z0">
    <w:name w:val="WW8Num104z0"/>
    <w:rPr>
      <w:rFonts w:cs="Times New Roman"/>
    </w:rPr>
  </w:style>
  <w:style w:type="character" w:customStyle="1" w:styleId="WW8Num105z0">
    <w:name w:val="WW8Num105z0"/>
    <w:rPr>
      <w:rFonts w:ascii="Symbol" w:hAnsi="Symbol"/>
    </w:rPr>
  </w:style>
  <w:style w:type="character" w:customStyle="1" w:styleId="WW8Num105z1">
    <w:name w:val="WW8Num105z1"/>
    <w:rPr>
      <w:rFonts w:ascii="Courier New" w:hAnsi="Courier New"/>
    </w:rPr>
  </w:style>
  <w:style w:type="character" w:customStyle="1" w:styleId="WW8Num105z2">
    <w:name w:val="WW8Num105z2"/>
    <w:rPr>
      <w:rFonts w:ascii="Wingdings" w:hAnsi="Wingdings"/>
    </w:rPr>
  </w:style>
  <w:style w:type="character" w:customStyle="1" w:styleId="WW8Num106z0">
    <w:name w:val="WW8Num106z0"/>
    <w:rPr>
      <w:rFonts w:cs="Times New Roman"/>
    </w:rPr>
  </w:style>
  <w:style w:type="character" w:customStyle="1" w:styleId="WW8Num107z0">
    <w:name w:val="WW8Num107z0"/>
    <w:rPr>
      <w:rFonts w:cs="Times New Roman"/>
    </w:rPr>
  </w:style>
  <w:style w:type="character" w:customStyle="1" w:styleId="WW8Num108z0">
    <w:name w:val="WW8Num108z0"/>
    <w:rPr>
      <w:rFonts w:ascii="Symbol" w:hAnsi="Symbol"/>
    </w:rPr>
  </w:style>
  <w:style w:type="character" w:customStyle="1" w:styleId="WW8Num109z0">
    <w:name w:val="WW8Num109z0"/>
    <w:rPr>
      <w:rFonts w:cs="Times New Roman"/>
    </w:rPr>
  </w:style>
  <w:style w:type="character" w:customStyle="1" w:styleId="WW8Num110z0">
    <w:name w:val="WW8Num110z0"/>
    <w:rPr>
      <w:rFonts w:cs="Times New Roman"/>
    </w:rPr>
  </w:style>
  <w:style w:type="character" w:customStyle="1" w:styleId="WW8Num111z0">
    <w:name w:val="WW8Num111z0"/>
    <w:rPr>
      <w:rFonts w:ascii="Symbol" w:hAnsi="Symbol"/>
    </w:rPr>
  </w:style>
  <w:style w:type="character" w:customStyle="1" w:styleId="WW8Num112z0">
    <w:name w:val="WW8Num112z0"/>
    <w:rPr>
      <w:rFonts w:cs="Times New Roman"/>
      <w:b/>
      <w:bCs/>
    </w:rPr>
  </w:style>
  <w:style w:type="character" w:customStyle="1" w:styleId="WW8Num113z0">
    <w:name w:val="WW8Num113z0"/>
    <w:rPr>
      <w:rFonts w:ascii="Symbol" w:hAnsi="Symbol"/>
    </w:rPr>
  </w:style>
  <w:style w:type="character" w:customStyle="1" w:styleId="WW8Num113z1">
    <w:name w:val="WW8Num113z1"/>
    <w:rPr>
      <w:rFonts w:ascii="Courier New" w:hAnsi="Courier New"/>
    </w:rPr>
  </w:style>
  <w:style w:type="character" w:customStyle="1" w:styleId="WW8Num113z2">
    <w:name w:val="WW8Num113z2"/>
    <w:rPr>
      <w:rFonts w:ascii="Wingdings" w:hAnsi="Wingdings"/>
    </w:rPr>
  </w:style>
  <w:style w:type="character" w:customStyle="1" w:styleId="WW8Num114z0">
    <w:name w:val="WW8Num114z0"/>
    <w:rPr>
      <w:rFonts w:cs="Times New Roman"/>
    </w:rPr>
  </w:style>
  <w:style w:type="character" w:customStyle="1" w:styleId="WW8Num115z0">
    <w:name w:val="WW8Num115z0"/>
    <w:rPr>
      <w:rFonts w:cs="Times New Roman"/>
    </w:rPr>
  </w:style>
  <w:style w:type="character" w:customStyle="1" w:styleId="WW8Num116z0">
    <w:name w:val="WW8Num116z0"/>
    <w:rPr>
      <w:rFonts w:cs="Times New Roman"/>
    </w:rPr>
  </w:style>
  <w:style w:type="character" w:customStyle="1" w:styleId="WW8Num117z0">
    <w:name w:val="WW8Num117z0"/>
    <w:rPr>
      <w:rFonts w:ascii="Symbol" w:hAnsi="Symbol"/>
    </w:rPr>
  </w:style>
  <w:style w:type="character" w:customStyle="1" w:styleId="WW8Num117z1">
    <w:name w:val="WW8Num117z1"/>
    <w:rPr>
      <w:rFonts w:ascii="Courier New" w:hAnsi="Courier New"/>
    </w:rPr>
  </w:style>
  <w:style w:type="character" w:customStyle="1" w:styleId="WW8Num117z2">
    <w:name w:val="WW8Num117z2"/>
    <w:rPr>
      <w:rFonts w:ascii="Wingdings" w:hAnsi="Wingdings"/>
    </w:rPr>
  </w:style>
  <w:style w:type="character" w:customStyle="1" w:styleId="WW8Num118z0">
    <w:name w:val="WW8Num118z0"/>
    <w:rPr>
      <w:rFonts w:cs="Times New Roman"/>
    </w:rPr>
  </w:style>
  <w:style w:type="character" w:customStyle="1" w:styleId="WW8Num119z0">
    <w:name w:val="WW8Num119z0"/>
    <w:rPr>
      <w:rFonts w:cs="Times New Roman"/>
    </w:rPr>
  </w:style>
  <w:style w:type="character" w:customStyle="1" w:styleId="WW8Num120z0">
    <w:name w:val="WW8Num120z0"/>
    <w:rPr>
      <w:rFonts w:cs="Times New Roman"/>
    </w:rPr>
  </w:style>
  <w:style w:type="character" w:customStyle="1" w:styleId="WW8Num121z0">
    <w:name w:val="WW8Num121z0"/>
    <w:rPr>
      <w:rFonts w:ascii="Symbol" w:hAnsi="Symbol"/>
    </w:rPr>
  </w:style>
  <w:style w:type="character" w:customStyle="1" w:styleId="WW8Num121z1">
    <w:name w:val="WW8Num121z1"/>
    <w:rPr>
      <w:rFonts w:ascii="Courier New" w:hAnsi="Courier New"/>
    </w:rPr>
  </w:style>
  <w:style w:type="character" w:customStyle="1" w:styleId="WW8Num121z2">
    <w:name w:val="WW8Num121z2"/>
    <w:rPr>
      <w:rFonts w:ascii="Wingdings" w:hAnsi="Wingdings"/>
    </w:rPr>
  </w:style>
  <w:style w:type="character" w:customStyle="1" w:styleId="WW8Num122z1">
    <w:name w:val="WW8Num122z1"/>
    <w:rPr>
      <w:rFonts w:ascii="Courier New" w:hAnsi="Courier New"/>
    </w:rPr>
  </w:style>
  <w:style w:type="character" w:customStyle="1" w:styleId="WW8Num122z2">
    <w:name w:val="WW8Num122z2"/>
    <w:rPr>
      <w:rFonts w:ascii="Wingdings" w:hAnsi="Wingdings"/>
    </w:rPr>
  </w:style>
  <w:style w:type="character" w:customStyle="1" w:styleId="WW8Num122z3">
    <w:name w:val="WW8Num122z3"/>
    <w:rPr>
      <w:rFonts w:ascii="Symbol" w:hAnsi="Symbol"/>
    </w:rPr>
  </w:style>
  <w:style w:type="character" w:customStyle="1" w:styleId="WW8Num123z0">
    <w:name w:val="WW8Num123z0"/>
    <w:rPr>
      <w:rFonts w:cs="Times New Roman"/>
    </w:rPr>
  </w:style>
  <w:style w:type="character" w:customStyle="1" w:styleId="WW8Num124z0">
    <w:name w:val="WW8Num124z0"/>
    <w:rPr>
      <w:rFonts w:cs="Times New Roman"/>
    </w:rPr>
  </w:style>
  <w:style w:type="character" w:customStyle="1" w:styleId="WW8Num125z0">
    <w:name w:val="WW8Num125z0"/>
    <w:rPr>
      <w:rFonts w:ascii="Symbol" w:hAnsi="Symbol"/>
    </w:rPr>
  </w:style>
  <w:style w:type="character" w:customStyle="1" w:styleId="WW8Num126z0">
    <w:name w:val="WW8Num126z0"/>
    <w:rPr>
      <w:rFonts w:ascii="Symbol" w:hAnsi="Symbol"/>
      <w:b w:val="0"/>
      <w:i w:val="0"/>
      <w:color w:val="000000"/>
      <w:sz w:val="22"/>
    </w:rPr>
  </w:style>
  <w:style w:type="character" w:customStyle="1" w:styleId="WW8Num126z1">
    <w:name w:val="WW8Num126z1"/>
    <w:rPr>
      <w:rFonts w:ascii="Courier New" w:hAnsi="Courier New"/>
    </w:rPr>
  </w:style>
  <w:style w:type="character" w:customStyle="1" w:styleId="WW8Num126z2">
    <w:name w:val="WW8Num126z2"/>
    <w:rPr>
      <w:rFonts w:ascii="Wingdings" w:hAnsi="Wingdings"/>
    </w:rPr>
  </w:style>
  <w:style w:type="character" w:customStyle="1" w:styleId="WW8Num126z3">
    <w:name w:val="WW8Num126z3"/>
    <w:rPr>
      <w:rFonts w:ascii="Symbol" w:hAnsi="Symbol"/>
    </w:rPr>
  </w:style>
  <w:style w:type="character" w:customStyle="1" w:styleId="WW8Num127z0">
    <w:name w:val="WW8Num127z0"/>
    <w:rPr>
      <w:rFonts w:ascii="Symbol" w:hAnsi="Symbol"/>
    </w:rPr>
  </w:style>
  <w:style w:type="character" w:customStyle="1" w:styleId="WW8Num127z1">
    <w:name w:val="WW8Num127z1"/>
    <w:rPr>
      <w:rFonts w:ascii="Courier New" w:hAnsi="Courier New"/>
    </w:rPr>
  </w:style>
  <w:style w:type="character" w:customStyle="1" w:styleId="WW8Num127z2">
    <w:name w:val="WW8Num127z2"/>
    <w:rPr>
      <w:rFonts w:ascii="Wingdings" w:hAnsi="Wingdings"/>
    </w:rPr>
  </w:style>
  <w:style w:type="character" w:customStyle="1" w:styleId="Standardnpsmoodstavce1">
    <w:name w:val="Standardní písmo odstavce1"/>
  </w:style>
  <w:style w:type="character" w:customStyle="1" w:styleId="Heading1Char">
    <w:name w:val="Heading 1 Char"/>
    <w:rPr>
      <w:rFonts w:ascii="Cambria" w:hAnsi="Cambria" w:cs="Cambria"/>
      <w:b/>
      <w:bCs/>
      <w:kern w:val="1"/>
      <w:sz w:val="32"/>
      <w:szCs w:val="32"/>
      <w:lang w:val="x-none"/>
    </w:rPr>
  </w:style>
  <w:style w:type="character" w:customStyle="1" w:styleId="Heading2Char">
    <w:name w:val="Heading 2 Char"/>
    <w:rPr>
      <w:rFonts w:ascii="Cambria" w:hAnsi="Cambria" w:cs="Cambria"/>
      <w:b/>
      <w:bCs/>
      <w:i/>
      <w:iCs/>
      <w:sz w:val="28"/>
      <w:szCs w:val="28"/>
      <w:lang w:val="x-none"/>
    </w:rPr>
  </w:style>
  <w:style w:type="character" w:customStyle="1" w:styleId="Heading3Char">
    <w:name w:val="Heading 3 Char"/>
    <w:rPr>
      <w:rFonts w:ascii="Cambria" w:hAnsi="Cambria" w:cs="Cambria"/>
      <w:b/>
      <w:bCs/>
      <w:sz w:val="26"/>
      <w:szCs w:val="26"/>
      <w:lang w:val="x-none"/>
    </w:rPr>
  </w:style>
  <w:style w:type="character" w:customStyle="1" w:styleId="Heading4Char">
    <w:name w:val="Heading 4 Char"/>
    <w:rPr>
      <w:rFonts w:ascii="Calibri" w:hAnsi="Calibri" w:cs="Calibri"/>
      <w:b/>
      <w:bCs/>
      <w:sz w:val="28"/>
      <w:szCs w:val="28"/>
      <w:lang w:val="x-none"/>
    </w:rPr>
  </w:style>
  <w:style w:type="character" w:customStyle="1" w:styleId="Heading5Char">
    <w:name w:val="Heading 5 Char"/>
    <w:rPr>
      <w:rFonts w:ascii="Calibri" w:hAnsi="Calibri" w:cs="Calibri"/>
      <w:b/>
      <w:bCs/>
      <w:i/>
      <w:iCs/>
      <w:sz w:val="26"/>
      <w:szCs w:val="26"/>
      <w:lang w:val="x-none"/>
    </w:rPr>
  </w:style>
  <w:style w:type="character" w:customStyle="1" w:styleId="Heading6Char">
    <w:name w:val="Heading 6 Char"/>
    <w:rPr>
      <w:rFonts w:ascii="Calibri" w:hAnsi="Calibri" w:cs="Calibri"/>
      <w:b/>
      <w:bCs/>
      <w:sz w:val="22"/>
      <w:szCs w:val="22"/>
      <w:lang w:val="x-none"/>
    </w:rPr>
  </w:style>
  <w:style w:type="character" w:customStyle="1" w:styleId="Heading7Char">
    <w:name w:val="Heading 7 Char"/>
    <w:rPr>
      <w:rFonts w:ascii="Calibri" w:hAnsi="Calibri" w:cs="Calibri"/>
      <w:sz w:val="24"/>
      <w:szCs w:val="24"/>
      <w:lang w:val="x-none"/>
    </w:rPr>
  </w:style>
  <w:style w:type="character" w:customStyle="1" w:styleId="Heading8Char">
    <w:name w:val="Heading 8 Char"/>
    <w:rPr>
      <w:rFonts w:ascii="Calibri" w:hAnsi="Calibri" w:cs="Calibri"/>
      <w:i/>
      <w:iCs/>
      <w:sz w:val="24"/>
      <w:szCs w:val="24"/>
      <w:lang w:val="x-none"/>
    </w:rPr>
  </w:style>
  <w:style w:type="character" w:customStyle="1" w:styleId="Heading9Char">
    <w:name w:val="Heading 9 Char"/>
    <w:rPr>
      <w:rFonts w:ascii="Cambria" w:hAnsi="Cambria" w:cs="Cambria"/>
      <w:sz w:val="22"/>
      <w:szCs w:val="22"/>
      <w:lang w:val="x-none"/>
    </w:rPr>
  </w:style>
  <w:style w:type="character" w:customStyle="1" w:styleId="HeaderChar">
    <w:name w:val="Header Char"/>
    <w:rPr>
      <w:rFonts w:cs="Times New Roman"/>
      <w:sz w:val="22"/>
      <w:szCs w:val="22"/>
      <w:lang w:val="x-none"/>
    </w:rPr>
  </w:style>
  <w:style w:type="character" w:customStyle="1" w:styleId="FooterChar">
    <w:name w:val="Footer Char"/>
    <w:rPr>
      <w:rFonts w:cs="Times New Roman"/>
      <w:sz w:val="22"/>
      <w:szCs w:val="22"/>
      <w:lang w:val="x-none"/>
    </w:rPr>
  </w:style>
  <w:style w:type="character" w:styleId="PageNumber">
    <w:name w:val="page number"/>
    <w:rPr>
      <w:rFonts w:cs="Times New Roman"/>
    </w:rPr>
  </w:style>
  <w:style w:type="character" w:customStyle="1" w:styleId="EndnoteTextChar">
    <w:name w:val="Endnote Text Char"/>
    <w:rPr>
      <w:rFonts w:cs="Times New Roman"/>
      <w:sz w:val="22"/>
      <w:szCs w:val="22"/>
      <w:lang w:val="cs-CZ"/>
    </w:rPr>
  </w:style>
  <w:style w:type="character" w:customStyle="1" w:styleId="Znakyprovysvtlivky">
    <w:name w:val="Znaky pro vysvětlivky"/>
    <w:rPr>
      <w:rFonts w:cs="Times New Roman"/>
      <w:vertAlign w:val="superscript"/>
    </w:rPr>
  </w:style>
  <w:style w:type="character" w:customStyle="1" w:styleId="Znakapoznmky">
    <w:name w:val="Značka poznámky"/>
    <w:rPr>
      <w:rFonts w:cs="Times New Roman"/>
      <w:sz w:val="16"/>
      <w:szCs w:val="16"/>
    </w:rPr>
  </w:style>
  <w:style w:type="character" w:customStyle="1" w:styleId="CommentTextChar">
    <w:name w:val="Comment Text Char"/>
    <w:aliases w:val="Comment Text Char1 Char Char,Comment Text Char Char Char Char,Comment Text Char1 Char1,Annotationtext Char"/>
    <w:rPr>
      <w:rFonts w:cs="Times New Roman"/>
      <w:lang w:val="x-none"/>
    </w:rPr>
  </w:style>
  <w:style w:type="character" w:customStyle="1" w:styleId="BodyText2Char">
    <w:name w:val="Body Text 2 Char"/>
    <w:rPr>
      <w:rFonts w:cs="Times New Roman"/>
      <w:sz w:val="22"/>
      <w:szCs w:val="22"/>
      <w:lang w:val="x-none"/>
    </w:rPr>
  </w:style>
  <w:style w:type="character" w:customStyle="1" w:styleId="BodyTextChar">
    <w:name w:val="Body Text Char"/>
    <w:rPr>
      <w:rFonts w:cs="Times New Roman"/>
      <w:sz w:val="22"/>
      <w:szCs w:val="22"/>
      <w:lang w:val="x-none"/>
    </w:rPr>
  </w:style>
  <w:style w:type="character" w:customStyle="1" w:styleId="BodyText3Char">
    <w:name w:val="Body Text 3 Char"/>
    <w:rPr>
      <w:rFonts w:cs="Times New Roman"/>
      <w:sz w:val="16"/>
      <w:szCs w:val="16"/>
      <w:lang w:val="x-none"/>
    </w:rPr>
  </w:style>
  <w:style w:type="character" w:customStyle="1" w:styleId="BodyTextIndent2Char">
    <w:name w:val="Body Text Indent 2 Char"/>
    <w:rPr>
      <w:rFonts w:cs="Times New Roman"/>
      <w:sz w:val="22"/>
      <w:szCs w:val="22"/>
      <w:lang w:val="x-none"/>
    </w:rPr>
  </w:style>
  <w:style w:type="character" w:customStyle="1" w:styleId="FootnoteTextChar">
    <w:name w:val="Footnote Text Char"/>
    <w:rPr>
      <w:rFonts w:cs="Times New Roman"/>
      <w:lang w:val="x-none"/>
    </w:rPr>
  </w:style>
  <w:style w:type="character" w:customStyle="1" w:styleId="Znakypropoznmkupodarou">
    <w:name w:val="Znaky pro poznámku pod čarou"/>
    <w:rPr>
      <w:rFonts w:cs="Times New Roman"/>
      <w:vertAlign w:val="superscript"/>
    </w:rPr>
  </w:style>
  <w:style w:type="character" w:customStyle="1" w:styleId="BodyTextIndent3Char">
    <w:name w:val="Body Text Indent 3 Char"/>
    <w:rPr>
      <w:rFonts w:cs="Times New Roman"/>
      <w:sz w:val="16"/>
      <w:szCs w:val="16"/>
      <w:lang w:val="x-none"/>
    </w:rPr>
  </w:style>
  <w:style w:type="character" w:customStyle="1" w:styleId="BodyText2Char1">
    <w:name w:val="Body Text 2 Char1"/>
    <w:rPr>
      <w:rFonts w:cs="Times New Roman"/>
      <w:sz w:val="22"/>
      <w:szCs w:val="22"/>
      <w:lang w:val="x-none"/>
    </w:rPr>
  </w:style>
  <w:style w:type="character" w:styleId="Hyperlink">
    <w:name w:val="Hyperlink"/>
    <w:rPr>
      <w:rFonts w:cs="Times New Roman"/>
      <w:color w:val="0000FF"/>
      <w:u w:val="single"/>
    </w:rPr>
  </w:style>
  <w:style w:type="character" w:styleId="FollowedHyperlink">
    <w:name w:val="FollowedHyperlink"/>
    <w:rPr>
      <w:rFonts w:cs="Times New Roman"/>
      <w:color w:val="800080"/>
      <w:u w:val="single"/>
    </w:rPr>
  </w:style>
  <w:style w:type="character" w:customStyle="1" w:styleId="BalloonTextChar">
    <w:name w:val="Balloon Text Char"/>
    <w:rPr>
      <w:rFonts w:cs="Times New Roman"/>
      <w:sz w:val="2"/>
      <w:szCs w:val="2"/>
      <w:lang w:val="x-none"/>
    </w:rPr>
  </w:style>
  <w:style w:type="character" w:customStyle="1" w:styleId="CommentSubjectChar">
    <w:name w:val="Comment Subject Char"/>
    <w:rPr>
      <w:rFonts w:cs="Times New Roman"/>
      <w:b/>
      <w:bCs/>
      <w:lang w:val="x-none"/>
    </w:rPr>
  </w:style>
  <w:style w:type="character" w:customStyle="1" w:styleId="TextChar">
    <w:name w:val="Text Char"/>
    <w:rPr>
      <w:rFonts w:cs="Times New Roman"/>
      <w:sz w:val="24"/>
      <w:szCs w:val="24"/>
      <w:lang w:val="en-US"/>
    </w:rPr>
  </w:style>
  <w:style w:type="character" w:customStyle="1" w:styleId="TableChar">
    <w:name w:val="Table Char"/>
    <w:rPr>
      <w:rFonts w:ascii="Arial" w:hAnsi="Arial" w:cs="Arial"/>
      <w:lang w:val="en-US"/>
    </w:rPr>
  </w:style>
  <w:style w:type="character" w:customStyle="1" w:styleId="Nottoc-headingsChar">
    <w:name w:val="Not toc-headings Char"/>
    <w:rPr>
      <w:rFonts w:ascii="Arial" w:hAnsi="Arial" w:cs="Arial"/>
      <w:b/>
      <w:bCs/>
      <w:sz w:val="22"/>
      <w:szCs w:val="22"/>
      <w:lang w:val="en-US"/>
    </w:rPr>
  </w:style>
  <w:style w:type="character" w:customStyle="1" w:styleId="Char">
    <w:name w:val="Char"/>
    <w:rPr>
      <w:sz w:val="22"/>
      <w:szCs w:val="22"/>
      <w:lang w:val="cs-CZ" w:eastAsia="ar-SA" w:bidi="ar-SA"/>
    </w:rPr>
  </w:style>
  <w:style w:type="character" w:customStyle="1" w:styleId="DateChar">
    <w:name w:val="Date Char"/>
    <w:rPr>
      <w:sz w:val="22"/>
      <w:szCs w:val="22"/>
      <w:lang w:val="en-GB" w:eastAsia="ar-SA" w:bidi="ar-SA"/>
    </w:rPr>
  </w:style>
  <w:style w:type="paragraph" w:customStyle="1" w:styleId="Nadpis">
    <w:name w:val="Nadpis"/>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rPr>
      <w:b/>
      <w:bCs/>
      <w:i/>
      <w:iCs/>
    </w:rPr>
  </w:style>
  <w:style w:type="paragraph" w:styleId="List">
    <w:name w:val="List"/>
    <w:basedOn w:val="BodyText"/>
    <w:rPr>
      <w:rFonts w:cs="Tahoma"/>
    </w:rPr>
  </w:style>
  <w:style w:type="paragraph" w:customStyle="1" w:styleId="Popisek">
    <w:name w:val="Popisek"/>
    <w:basedOn w:val="Normal"/>
    <w:pPr>
      <w:suppressLineNumbers/>
      <w:spacing w:before="120" w:after="120"/>
    </w:pPr>
    <w:rPr>
      <w:rFonts w:cs="Tahoma"/>
      <w:i/>
      <w:iCs/>
      <w:sz w:val="24"/>
      <w:szCs w:val="24"/>
    </w:rPr>
  </w:style>
  <w:style w:type="paragraph" w:customStyle="1" w:styleId="Rejstk">
    <w:name w:val="Rejstřík"/>
    <w:basedOn w:val="Normal"/>
    <w:pPr>
      <w:suppressLineNumbers/>
    </w:pPr>
    <w:rPr>
      <w:rFonts w:cs="Tahoma"/>
    </w:rPr>
  </w:style>
  <w:style w:type="paragraph" w:styleId="Header">
    <w:name w:val="header"/>
    <w:basedOn w:val="Normal"/>
    <w:pPr>
      <w:tabs>
        <w:tab w:val="center" w:pos="4153"/>
        <w:tab w:val="right" w:pos="8306"/>
      </w:tabs>
      <w:spacing w:line="240" w:lineRule="auto"/>
    </w:pPr>
    <w:rPr>
      <w:rFonts w:ascii="Helvetica" w:hAnsi="Helvetica" w:cs="Helvetica"/>
      <w:sz w:val="20"/>
      <w:szCs w:val="20"/>
    </w:rPr>
  </w:style>
  <w:style w:type="paragraph" w:styleId="Footer">
    <w:name w:val="footer"/>
    <w:basedOn w:val="Normal"/>
    <w:pPr>
      <w:tabs>
        <w:tab w:val="center" w:pos="4536"/>
        <w:tab w:val="center" w:pos="8930"/>
      </w:tabs>
      <w:spacing w:line="240" w:lineRule="auto"/>
    </w:pPr>
    <w:rPr>
      <w:rFonts w:ascii="Helvetica" w:hAnsi="Helvetica" w:cs="Helvetica"/>
      <w:sz w:val="16"/>
      <w:szCs w:val="16"/>
    </w:rPr>
  </w:style>
  <w:style w:type="paragraph" w:styleId="EndnoteText">
    <w:name w:val="endnote text"/>
    <w:basedOn w:val="Normal"/>
    <w:semiHidden/>
    <w:pPr>
      <w:spacing w:line="240" w:lineRule="auto"/>
    </w:pPr>
  </w:style>
  <w:style w:type="paragraph" w:customStyle="1" w:styleId="Textpoznmky">
    <w:name w:val="Text poznámky"/>
    <w:basedOn w:val="Normal"/>
    <w:rPr>
      <w:sz w:val="20"/>
      <w:szCs w:val="20"/>
    </w:rPr>
  </w:style>
  <w:style w:type="paragraph" w:styleId="BodyTextIndent">
    <w:name w:val="Body Text Indent"/>
    <w:basedOn w:val="Normal"/>
    <w:pPr>
      <w:spacing w:line="240" w:lineRule="auto"/>
      <w:ind w:left="567" w:hanging="567"/>
    </w:pPr>
    <w:rPr>
      <w:b/>
      <w:bCs/>
      <w:color w:val="808080"/>
    </w:rPr>
  </w:style>
  <w:style w:type="paragraph" w:customStyle="1" w:styleId="Zkladntext31">
    <w:name w:val="Základní text 31"/>
    <w:basedOn w:val="Normal"/>
    <w:pPr>
      <w:jc w:val="both"/>
    </w:pPr>
    <w:rPr>
      <w:b/>
      <w:bCs/>
      <w:i/>
      <w:iCs/>
    </w:rPr>
  </w:style>
  <w:style w:type="paragraph" w:customStyle="1" w:styleId="Zkladntextodsazen21">
    <w:name w:val="Základní text odsazený 21"/>
    <w:basedOn w:val="Normal"/>
    <w:pPr>
      <w:ind w:left="567" w:hanging="567"/>
      <w:jc w:val="both"/>
    </w:pPr>
    <w:rPr>
      <w:b/>
      <w:bCs/>
    </w:rPr>
  </w:style>
  <w:style w:type="paragraph" w:styleId="FootnoteText">
    <w:name w:val="footnote text"/>
    <w:basedOn w:val="Normal"/>
    <w:semiHidden/>
    <w:rPr>
      <w:sz w:val="20"/>
      <w:szCs w:val="20"/>
    </w:rPr>
  </w:style>
  <w:style w:type="paragraph" w:customStyle="1" w:styleId="Zkladntextodsazen31">
    <w:name w:val="Základní text odsazený 31"/>
    <w:basedOn w:val="Normal"/>
    <w:pPr>
      <w:ind w:left="567" w:hanging="567"/>
    </w:pPr>
    <w:rPr>
      <w:i/>
      <w:iCs/>
      <w:color w:val="008000"/>
    </w:rPr>
  </w:style>
  <w:style w:type="paragraph" w:customStyle="1" w:styleId="Textvbloku1">
    <w:name w:val="Text v bloku1"/>
    <w:basedOn w:val="Normal"/>
    <w:pPr>
      <w:tabs>
        <w:tab w:val="left" w:pos="456"/>
        <w:tab w:val="left" w:pos="493"/>
        <w:tab w:val="left" w:pos="530"/>
        <w:tab w:val="left" w:pos="2509"/>
      </w:tabs>
      <w:spacing w:before="120" w:line="240" w:lineRule="auto"/>
      <w:ind w:left="-37" w:right="-28"/>
    </w:pPr>
  </w:style>
  <w:style w:type="paragraph" w:customStyle="1" w:styleId="Text">
    <w:name w:val="Text"/>
    <w:basedOn w:val="Normal"/>
    <w:pPr>
      <w:spacing w:before="120" w:line="240" w:lineRule="auto"/>
      <w:jc w:val="both"/>
    </w:pPr>
    <w:rPr>
      <w:sz w:val="24"/>
      <w:szCs w:val="24"/>
      <w:lang w:val="en-US"/>
    </w:rPr>
  </w:style>
  <w:style w:type="paragraph" w:customStyle="1" w:styleId="Table">
    <w:name w:val="Table"/>
    <w:basedOn w:val="Normal"/>
    <w:pPr>
      <w:keepNext/>
      <w:keepLines/>
      <w:tabs>
        <w:tab w:val="left" w:pos="284"/>
      </w:tabs>
      <w:spacing w:before="40" w:after="20" w:line="240" w:lineRule="auto"/>
    </w:pPr>
    <w:rPr>
      <w:rFonts w:ascii="Arial" w:hAnsi="Arial" w:cs="Arial"/>
      <w:sz w:val="20"/>
      <w:szCs w:val="20"/>
      <w:lang w:val="en-US"/>
    </w:rPr>
  </w:style>
  <w:style w:type="paragraph" w:customStyle="1" w:styleId="Listlevel2">
    <w:name w:val="List level 2"/>
    <w:basedOn w:val="Normal"/>
    <w:pPr>
      <w:spacing w:before="40" w:after="20" w:line="240" w:lineRule="auto"/>
      <w:ind w:left="850" w:hanging="425"/>
    </w:pPr>
    <w:rPr>
      <w:sz w:val="24"/>
      <w:szCs w:val="24"/>
      <w:lang w:val="en-US"/>
    </w:rPr>
  </w:style>
  <w:style w:type="paragraph" w:customStyle="1" w:styleId="Listlevel1">
    <w:name w:val="List level 1"/>
    <w:basedOn w:val="Normal"/>
    <w:pPr>
      <w:spacing w:before="40" w:after="20" w:line="240" w:lineRule="auto"/>
      <w:ind w:left="425" w:hanging="425"/>
    </w:pPr>
    <w:rPr>
      <w:sz w:val="24"/>
      <w:szCs w:val="24"/>
      <w:lang w:val="en-US"/>
    </w:rPr>
  </w:style>
  <w:style w:type="paragraph" w:customStyle="1" w:styleId="Authors">
    <w:name w:val="Authors"/>
    <w:basedOn w:val="Normal"/>
    <w:pPr>
      <w:keepNext/>
      <w:tabs>
        <w:tab w:val="left" w:pos="2268"/>
      </w:tabs>
      <w:spacing w:before="240" w:line="240" w:lineRule="auto"/>
    </w:pPr>
    <w:rPr>
      <w:rFonts w:ascii="Arial" w:hAnsi="Arial" w:cs="Arial"/>
      <w:lang w:val="en-US"/>
    </w:rPr>
  </w:style>
  <w:style w:type="paragraph" w:customStyle="1" w:styleId="Releasedate">
    <w:name w:val="Releasedate"/>
    <w:basedOn w:val="Normal"/>
    <w:pPr>
      <w:keepNext/>
      <w:spacing w:before="240" w:line="240" w:lineRule="auto"/>
    </w:pPr>
    <w:rPr>
      <w:rFonts w:ascii="Arial" w:hAnsi="Arial" w:cs="Arial"/>
    </w:rPr>
  </w:style>
  <w:style w:type="paragraph" w:styleId="TOC6">
    <w:name w:val="toc 6"/>
    <w:basedOn w:val="Normal"/>
    <w:semiHidden/>
    <w:pPr>
      <w:tabs>
        <w:tab w:val="left" w:pos="1559"/>
        <w:tab w:val="left" w:pos="2551"/>
        <w:tab w:val="left" w:pos="3543"/>
        <w:tab w:val="right" w:leader="dot" w:pos="13029"/>
      </w:tabs>
      <w:spacing w:after="72" w:line="240" w:lineRule="auto"/>
      <w:ind w:left="992" w:right="227" w:hanging="992"/>
    </w:pPr>
    <w:rPr>
      <w:sz w:val="24"/>
      <w:szCs w:val="24"/>
    </w:rPr>
  </w:style>
  <w:style w:type="paragraph" w:customStyle="1" w:styleId="BalloonText1">
    <w:name w:val="Balloon Text1"/>
    <w:basedOn w:val="Normal"/>
    <w:rPr>
      <w:rFonts w:ascii="Tahoma" w:hAnsi="Tahoma" w:cs="Tahoma"/>
      <w:sz w:val="16"/>
      <w:szCs w:val="16"/>
    </w:rPr>
  </w:style>
  <w:style w:type="paragraph" w:customStyle="1" w:styleId="CommentSubject1">
    <w:name w:val="Comment Subject1"/>
    <w:basedOn w:val="Textpoznmky"/>
    <w:next w:val="Textpoznmky"/>
    <w:rPr>
      <w:b/>
      <w:bCs/>
    </w:rPr>
  </w:style>
  <w:style w:type="paragraph" w:customStyle="1" w:styleId="Textbubliny1">
    <w:name w:val="Text bubliny1"/>
    <w:basedOn w:val="Normal"/>
    <w:rPr>
      <w:rFonts w:ascii="Tahoma" w:hAnsi="Tahoma" w:cs="Tahoma"/>
      <w:sz w:val="16"/>
      <w:szCs w:val="16"/>
    </w:rPr>
  </w:style>
  <w:style w:type="paragraph" w:customStyle="1" w:styleId="Nottoc-headings">
    <w:name w:val="Not toc-headings"/>
    <w:basedOn w:val="Normal"/>
    <w:next w:val="Text"/>
    <w:pPr>
      <w:keepNext/>
      <w:keepLines/>
      <w:spacing w:before="240" w:after="60" w:line="240" w:lineRule="auto"/>
      <w:ind w:left="1701" w:hanging="1701"/>
    </w:pPr>
    <w:rPr>
      <w:rFonts w:ascii="Arial" w:hAnsi="Arial" w:cs="Arial"/>
      <w:b/>
      <w:bCs/>
      <w:sz w:val="24"/>
      <w:szCs w:val="24"/>
      <w:lang w:val="en-US"/>
    </w:rPr>
  </w:style>
  <w:style w:type="paragraph" w:customStyle="1" w:styleId="Style">
    <w:name w:val="Style"/>
    <w:basedOn w:val="Normal"/>
    <w:pPr>
      <w:spacing w:after="160" w:line="240" w:lineRule="exact"/>
    </w:pPr>
    <w:rPr>
      <w:rFonts w:ascii="Verdana" w:hAnsi="Verdana" w:cs="Verdana"/>
      <w:sz w:val="20"/>
      <w:szCs w:val="20"/>
      <w:lang w:val="en-GB"/>
    </w:rPr>
  </w:style>
  <w:style w:type="paragraph" w:customStyle="1" w:styleId="CharChar2">
    <w:name w:val="Char Char2"/>
    <w:basedOn w:val="Normal"/>
    <w:pPr>
      <w:spacing w:after="160" w:line="240" w:lineRule="exact"/>
    </w:pPr>
    <w:rPr>
      <w:rFonts w:ascii="Verdana" w:hAnsi="Verdana" w:cs="Verdana"/>
      <w:sz w:val="20"/>
      <w:szCs w:val="20"/>
      <w:lang w:val="en-GB"/>
    </w:rPr>
  </w:style>
  <w:style w:type="paragraph" w:customStyle="1" w:styleId="Datum1">
    <w:name w:val="Datum1"/>
    <w:basedOn w:val="Normal"/>
    <w:next w:val="Normal"/>
    <w:pPr>
      <w:spacing w:line="240" w:lineRule="auto"/>
    </w:pPr>
    <w:rPr>
      <w:lang w:val="en-GB"/>
    </w:rPr>
  </w:style>
  <w:style w:type="paragraph" w:customStyle="1" w:styleId="Obsahtabulky">
    <w:name w:val="Obsah tabulky"/>
    <w:basedOn w:val="Normal"/>
    <w:pPr>
      <w:suppressLineNumbers/>
    </w:pPr>
  </w:style>
  <w:style w:type="paragraph" w:customStyle="1" w:styleId="Nadpistabulky">
    <w:name w:val="Nadpis tabulky"/>
    <w:basedOn w:val="Obsahtabulky"/>
    <w:pPr>
      <w:jc w:val="center"/>
    </w:pPr>
    <w:rPr>
      <w:b/>
      <w:bCs/>
    </w:rPr>
  </w:style>
  <w:style w:type="paragraph" w:styleId="BalloonText">
    <w:name w:val="Balloon Text"/>
    <w:basedOn w:val="Normal"/>
    <w:semiHidden/>
    <w:rsid w:val="00D97A44"/>
    <w:rPr>
      <w:rFonts w:ascii="Tahoma" w:hAnsi="Tahoma" w:cs="Tahoma"/>
      <w:sz w:val="16"/>
      <w:szCs w:val="16"/>
    </w:rPr>
  </w:style>
  <w:style w:type="character" w:styleId="CommentReference">
    <w:name w:val="annotation reference"/>
    <w:semiHidden/>
    <w:rsid w:val="00B346DE"/>
    <w:rPr>
      <w:sz w:val="16"/>
      <w:szCs w:val="16"/>
    </w:rPr>
  </w:style>
  <w:style w:type="paragraph" w:styleId="CommentText">
    <w:name w:val="annotation text"/>
    <w:aliases w:val="Comment Text Char1 Char,Comment Text Char Char Char,Comment Text Char1,Annotationtext"/>
    <w:basedOn w:val="Normal"/>
    <w:rsid w:val="00B346DE"/>
    <w:rPr>
      <w:sz w:val="20"/>
      <w:szCs w:val="20"/>
    </w:rPr>
  </w:style>
  <w:style w:type="paragraph" w:styleId="CommentSubject">
    <w:name w:val="annotation subject"/>
    <w:basedOn w:val="CommentText"/>
    <w:next w:val="CommentText"/>
    <w:semiHidden/>
    <w:rsid w:val="00B346DE"/>
    <w:rPr>
      <w:b/>
      <w:bCs/>
    </w:rPr>
  </w:style>
  <w:style w:type="paragraph" w:customStyle="1" w:styleId="CharChar">
    <w:name w:val="Char Char"/>
    <w:basedOn w:val="Normal"/>
    <w:rsid w:val="00990722"/>
    <w:pPr>
      <w:tabs>
        <w:tab w:val="clear" w:pos="567"/>
      </w:tabs>
      <w:suppressAutoHyphens w:val="0"/>
      <w:spacing w:after="160" w:line="240" w:lineRule="exact"/>
    </w:pPr>
    <w:rPr>
      <w:rFonts w:ascii="Verdana" w:hAnsi="Verdana" w:cs="Verdana"/>
      <w:sz w:val="20"/>
      <w:szCs w:val="20"/>
      <w:lang w:val="en-GB" w:eastAsia="en-US"/>
    </w:rPr>
  </w:style>
  <w:style w:type="paragraph" w:styleId="Revision">
    <w:name w:val="Revision"/>
    <w:hidden/>
    <w:uiPriority w:val="99"/>
    <w:semiHidden/>
    <w:rsid w:val="00DD4A26"/>
    <w:rPr>
      <w:sz w:val="22"/>
      <w:szCs w:val="22"/>
      <w:lang w:val="cs-CZ" w:eastAsia="ar-SA"/>
    </w:rPr>
  </w:style>
  <w:style w:type="paragraph" w:customStyle="1" w:styleId="Default">
    <w:name w:val="Default"/>
    <w:rsid w:val="00901DC3"/>
    <w:pPr>
      <w:autoSpaceDE w:val="0"/>
      <w:autoSpaceDN w:val="0"/>
      <w:adjustRightInd w:val="0"/>
    </w:pPr>
    <w:rPr>
      <w:rFonts w:ascii="Verdana" w:hAnsi="Verdana" w:cs="Verdana"/>
      <w:color w:val="000000"/>
      <w:sz w:val="24"/>
      <w:szCs w:val="24"/>
      <w:lang w:val="en-US" w:eastAsia="en-US"/>
    </w:rPr>
  </w:style>
  <w:style w:type="character" w:customStyle="1" w:styleId="BodytextAgencyChar">
    <w:name w:val="Body text (Agency) Char"/>
    <w:link w:val="BodytextAgency"/>
    <w:locked/>
    <w:rsid w:val="00D016F9"/>
    <w:rPr>
      <w:rFonts w:ascii="Verdana" w:eastAsia="Verdana" w:hAnsi="Verdana"/>
      <w:sz w:val="18"/>
      <w:szCs w:val="18"/>
    </w:rPr>
  </w:style>
  <w:style w:type="paragraph" w:customStyle="1" w:styleId="BodytextAgency">
    <w:name w:val="Body text (Agency)"/>
    <w:basedOn w:val="Normal"/>
    <w:link w:val="BodytextAgencyChar"/>
    <w:qFormat/>
    <w:rsid w:val="00D016F9"/>
    <w:pPr>
      <w:tabs>
        <w:tab w:val="clear" w:pos="567"/>
      </w:tabs>
      <w:suppressAutoHyphens w:val="0"/>
      <w:spacing w:after="140" w:line="280" w:lineRule="atLeast"/>
    </w:pPr>
    <w:rPr>
      <w:rFonts w:ascii="Verdana" w:eastAsia="Verdana" w:hAnsi="Verdana"/>
      <w:sz w:val="18"/>
      <w:szCs w:val="18"/>
      <w:lang w:val="en-US" w:eastAsia="en-US"/>
    </w:rPr>
  </w:style>
  <w:style w:type="character" w:customStyle="1" w:styleId="DraftingNotesAgencyChar">
    <w:name w:val="Drafting Notes (Agency) Char"/>
    <w:link w:val="DraftingNotesAgency"/>
    <w:locked/>
    <w:rsid w:val="00D016F9"/>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D016F9"/>
    <w:pPr>
      <w:tabs>
        <w:tab w:val="clear" w:pos="567"/>
      </w:tabs>
      <w:suppressAutoHyphens w:val="0"/>
      <w:spacing w:after="140" w:line="280" w:lineRule="atLeast"/>
    </w:pPr>
    <w:rPr>
      <w:rFonts w:ascii="Courier New" w:eastAsia="Verdana" w:hAnsi="Courier New" w:cs="Courier New"/>
      <w:i/>
      <w:color w:val="339966"/>
      <w:szCs w:val="18"/>
      <w:lang w:val="en-US" w:eastAsia="en-US"/>
    </w:rPr>
  </w:style>
  <w:style w:type="character" w:customStyle="1" w:styleId="No-numheading3AgencyChar">
    <w:name w:val="No-num heading 3 (Agency) Char"/>
    <w:link w:val="No-numheading3Agency"/>
    <w:locked/>
    <w:rsid w:val="00D016F9"/>
    <w:rPr>
      <w:rFonts w:ascii="Verdana" w:eastAsia="Verdana" w:hAnsi="Verdana"/>
      <w:b/>
      <w:bCs/>
      <w:kern w:val="32"/>
      <w:sz w:val="22"/>
      <w:szCs w:val="22"/>
    </w:rPr>
  </w:style>
  <w:style w:type="paragraph" w:customStyle="1" w:styleId="No-numheading3Agency">
    <w:name w:val="No-num heading 3 (Agency)"/>
    <w:basedOn w:val="Normal"/>
    <w:next w:val="BodytextAgency"/>
    <w:link w:val="No-numheading3AgencyChar"/>
    <w:rsid w:val="00D016F9"/>
    <w:pPr>
      <w:keepNext/>
      <w:tabs>
        <w:tab w:val="clear" w:pos="567"/>
      </w:tabs>
      <w:suppressAutoHyphens w:val="0"/>
      <w:spacing w:before="280" w:after="220" w:line="240" w:lineRule="auto"/>
      <w:outlineLvl w:val="2"/>
    </w:pPr>
    <w:rPr>
      <w:rFonts w:ascii="Verdana" w:eastAsia="Verdana" w:hAnsi="Verdana"/>
      <w:b/>
      <w:bCs/>
      <w:kern w:val="32"/>
      <w:lang w:val="en-US" w:eastAsia="en-US"/>
    </w:rPr>
  </w:style>
  <w:style w:type="character" w:styleId="UnresolvedMention">
    <w:name w:val="Unresolved Mention"/>
    <w:basedOn w:val="DefaultParagraphFont"/>
    <w:uiPriority w:val="99"/>
    <w:semiHidden/>
    <w:unhideWhenUsed/>
    <w:rsid w:val="00B424AB"/>
    <w:rPr>
      <w:color w:val="605E5C"/>
      <w:shd w:val="clear" w:color="auto" w:fill="E1DFDD"/>
    </w:rPr>
  </w:style>
  <w:style w:type="paragraph" w:customStyle="1" w:styleId="Normln1">
    <w:name w:val="Normální1"/>
    <w:qFormat/>
    <w:rsid w:val="00A0401E"/>
    <w:pPr>
      <w:tabs>
        <w:tab w:val="left" w:pos="567"/>
      </w:tabs>
      <w:spacing w:line="260" w:lineRule="exact"/>
    </w:pPr>
    <w:rPr>
      <w:sz w:val="22"/>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313599">
      <w:bodyDiv w:val="1"/>
      <w:marLeft w:val="0"/>
      <w:marRight w:val="0"/>
      <w:marTop w:val="0"/>
      <w:marBottom w:val="0"/>
      <w:divBdr>
        <w:top w:val="none" w:sz="0" w:space="0" w:color="auto"/>
        <w:left w:val="none" w:sz="0" w:space="0" w:color="auto"/>
        <w:bottom w:val="none" w:sz="0" w:space="0" w:color="auto"/>
        <w:right w:val="none" w:sz="0" w:space="0" w:color="auto"/>
      </w:divBdr>
    </w:div>
    <w:div w:id="1483039424">
      <w:bodyDiv w:val="1"/>
      <w:marLeft w:val="0"/>
      <w:marRight w:val="0"/>
      <w:marTop w:val="0"/>
      <w:marBottom w:val="0"/>
      <w:divBdr>
        <w:top w:val="none" w:sz="0" w:space="0" w:color="auto"/>
        <w:left w:val="none" w:sz="0" w:space="0" w:color="auto"/>
        <w:bottom w:val="none" w:sz="0" w:space="0" w:color="auto"/>
        <w:right w:val="none" w:sz="0" w:space="0" w:color="auto"/>
      </w:divBdr>
    </w:div>
    <w:div w:id="160375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ma.europa.eu/en/medicines/human/EPAR/glivec" TargetMode="External"/><Relationship Id="rId12" Type="http://schemas.microsoft.com/office/2011/relationships/people" Target="peop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EMADOC-1700519818-2619261</_dlc_DocId>
    <_dlc_DocIdUrl xmlns="a034c160-bfb7-45f5-8632-2eb7e0508071">
      <Url>https://euema.sharepoint.com/sites/CRM/_layouts/15/DocIdRedir.aspx?ID=EMADOC-1700519818-2619261</Url>
      <Description>EMADOC-1700519818-2619261</Description>
    </_dlc_DocIdUrl>
  </documentManagement>
</p:properties>
</file>

<file path=customXml/itemProps1.xml><?xml version="1.0" encoding="utf-8"?>
<ds:datastoreItem xmlns:ds="http://schemas.openxmlformats.org/officeDocument/2006/customXml" ds:itemID="{F98B0041-7BB5-41D9-B144-7B9C11297434}"/>
</file>

<file path=customXml/itemProps2.xml><?xml version="1.0" encoding="utf-8"?>
<ds:datastoreItem xmlns:ds="http://schemas.openxmlformats.org/officeDocument/2006/customXml" ds:itemID="{BBC05206-55BB-4FA8-815B-4FE6FC7A7CD8}"/>
</file>

<file path=customXml/itemProps3.xml><?xml version="1.0" encoding="utf-8"?>
<ds:datastoreItem xmlns:ds="http://schemas.openxmlformats.org/officeDocument/2006/customXml" ds:itemID="{14A2D81B-5454-4E4B-B5E7-49771CC2BD54}"/>
</file>

<file path=customXml/itemProps4.xml><?xml version="1.0" encoding="utf-8"?>
<ds:datastoreItem xmlns:ds="http://schemas.openxmlformats.org/officeDocument/2006/customXml" ds:itemID="{35C1D42F-A9DC-468B-B43D-8A278656C55D}"/>
</file>

<file path=docMetadata/LabelInfo.xml><?xml version="1.0" encoding="utf-8"?>
<clbl:labelList xmlns:clbl="http://schemas.microsoft.com/office/2020/mipLabelMetadata">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58</Pages>
  <Words>14806</Words>
  <Characters>123193</Characters>
  <Application>Microsoft Office Word</Application>
  <DocSecurity>0</DocSecurity>
  <Lines>2737</Lines>
  <Paragraphs>1379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136620</CharactersWithSpaces>
  <SharedDoc>false</SharedDoc>
  <HLinks>
    <vt:vector size="36" baseType="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Glivec: EPAR - Product information - tracked changes</dc:title>
  <dc:subject/>
  <dc:creator/>
  <cp:keywords/>
  <cp:lastModifiedBy/>
  <cp:revision>1</cp:revision>
  <dcterms:created xsi:type="dcterms:W3CDTF">2025-10-30T14:01:00Z</dcterms:created>
  <dcterms:modified xsi:type="dcterms:W3CDTF">2025-10-30T14:01:00Z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f04a6cdf-e41c-49b0-a84f-126e8c5ff5d5</vt:lpwstr>
  </property>
</Properties>
</file>