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6FC6" w14:textId="382B04AF" w:rsidR="0037355A" w:rsidRDefault="0037355A" w:rsidP="00373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Tento dokument představuje schválené informace o přípravku Kefdensis, přičemž jsou sledovány změny, ke kterým došlo od předchozího postupu a které mají vliv na informace o přípravku ( EMA/VR/0000343436).</w:t>
      </w:r>
    </w:p>
    <w:p w14:paraId="6452CEE0" w14:textId="77777777" w:rsidR="0037355A" w:rsidRDefault="0037355A" w:rsidP="00373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D7604F" w14:textId="77777777" w:rsidR="0037355A" w:rsidRPr="003F66DE" w:rsidRDefault="0037355A" w:rsidP="00373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Další informace naleznete na internetových stránkách Evropské agentury pro léčivé přípravky na adrese </w:t>
      </w:r>
      <w:hyperlink r:id="rId12" w:history="1">
        <w:r>
          <w:rPr>
            <w:rStyle w:val="Hyperlink"/>
          </w:rPr>
          <w:t>https://www.ema.europa.eu/en/medicines/human/epar/kefdensis</w:t>
        </w:r>
      </w:hyperlink>
    </w:p>
    <w:p w14:paraId="7472598D" w14:textId="77777777" w:rsidR="00951F81" w:rsidRPr="00FF28F7" w:rsidRDefault="00951F81" w:rsidP="00B91B5A">
      <w:pPr>
        <w:jc w:val="center"/>
      </w:pPr>
    </w:p>
    <w:p w14:paraId="61E274ED" w14:textId="77777777" w:rsidR="00951F81" w:rsidRPr="00FF28F7" w:rsidRDefault="00951F81" w:rsidP="00B91B5A">
      <w:pPr>
        <w:jc w:val="center"/>
      </w:pPr>
    </w:p>
    <w:p w14:paraId="47AC87EE" w14:textId="77777777" w:rsidR="00951F81" w:rsidRPr="00FF28F7" w:rsidRDefault="00951F81" w:rsidP="00B91B5A">
      <w:pPr>
        <w:jc w:val="center"/>
      </w:pPr>
    </w:p>
    <w:p w14:paraId="40E79B83" w14:textId="77777777" w:rsidR="00951F81" w:rsidRPr="00FF28F7" w:rsidRDefault="00951F81" w:rsidP="00B91B5A">
      <w:pPr>
        <w:jc w:val="center"/>
      </w:pPr>
    </w:p>
    <w:p w14:paraId="1045D991" w14:textId="77777777" w:rsidR="00951F81" w:rsidRPr="00FF28F7" w:rsidRDefault="00951F81" w:rsidP="00B91B5A">
      <w:pPr>
        <w:jc w:val="center"/>
      </w:pPr>
    </w:p>
    <w:p w14:paraId="62B85582" w14:textId="77777777" w:rsidR="00951F81" w:rsidRPr="00FF28F7" w:rsidRDefault="00951F81" w:rsidP="00B91B5A">
      <w:pPr>
        <w:jc w:val="center"/>
      </w:pPr>
    </w:p>
    <w:p w14:paraId="54B54127" w14:textId="77777777" w:rsidR="00951F81" w:rsidRPr="00FF28F7" w:rsidRDefault="00951F81" w:rsidP="00B91B5A">
      <w:pPr>
        <w:jc w:val="center"/>
      </w:pPr>
    </w:p>
    <w:p w14:paraId="489168B5" w14:textId="77777777" w:rsidR="00951F81" w:rsidRPr="00FF28F7" w:rsidRDefault="00951F81" w:rsidP="00B91B5A">
      <w:pPr>
        <w:jc w:val="center"/>
      </w:pPr>
    </w:p>
    <w:p w14:paraId="0D6AC50B" w14:textId="77777777" w:rsidR="00951F81" w:rsidRPr="00FF28F7" w:rsidRDefault="00951F81" w:rsidP="00B91B5A">
      <w:pPr>
        <w:jc w:val="center"/>
        <w:rPr>
          <w:bCs/>
        </w:rPr>
      </w:pPr>
    </w:p>
    <w:p w14:paraId="5415EFF1" w14:textId="77777777" w:rsidR="00951F81" w:rsidRPr="00FF28F7" w:rsidRDefault="00951F81" w:rsidP="00B91B5A">
      <w:pPr>
        <w:jc w:val="center"/>
        <w:rPr>
          <w:bCs/>
        </w:rPr>
      </w:pPr>
    </w:p>
    <w:p w14:paraId="68A2CC30" w14:textId="77777777" w:rsidR="00951F81" w:rsidRPr="00FF28F7" w:rsidRDefault="00951F81" w:rsidP="00B91B5A">
      <w:pPr>
        <w:jc w:val="center"/>
        <w:rPr>
          <w:bCs/>
        </w:rPr>
      </w:pPr>
    </w:p>
    <w:p w14:paraId="48802CE5" w14:textId="77777777" w:rsidR="00951F81" w:rsidRPr="00FF28F7" w:rsidRDefault="00951F81" w:rsidP="00B91B5A">
      <w:pPr>
        <w:jc w:val="center"/>
        <w:rPr>
          <w:bCs/>
        </w:rPr>
      </w:pPr>
    </w:p>
    <w:p w14:paraId="784736C3" w14:textId="77777777" w:rsidR="00951F81" w:rsidRPr="00FF28F7" w:rsidRDefault="00951F81" w:rsidP="00B91B5A">
      <w:pPr>
        <w:jc w:val="center"/>
        <w:rPr>
          <w:bCs/>
        </w:rPr>
      </w:pPr>
    </w:p>
    <w:p w14:paraId="5F0CD46B" w14:textId="77777777" w:rsidR="00951F81" w:rsidRPr="00FF28F7" w:rsidRDefault="00951F81" w:rsidP="00B91B5A">
      <w:pPr>
        <w:jc w:val="center"/>
        <w:rPr>
          <w:bCs/>
        </w:rPr>
      </w:pPr>
    </w:p>
    <w:p w14:paraId="0A3DF733" w14:textId="77777777" w:rsidR="00951F81" w:rsidRPr="00FF28F7" w:rsidRDefault="00951F81" w:rsidP="00B91B5A">
      <w:pPr>
        <w:jc w:val="center"/>
        <w:rPr>
          <w:bCs/>
        </w:rPr>
      </w:pPr>
    </w:p>
    <w:p w14:paraId="06410957" w14:textId="77777777" w:rsidR="00951F81" w:rsidRPr="00FF28F7" w:rsidRDefault="00951F81" w:rsidP="00B91B5A">
      <w:pPr>
        <w:jc w:val="center"/>
        <w:rPr>
          <w:bCs/>
        </w:rPr>
      </w:pPr>
    </w:p>
    <w:p w14:paraId="08100FB9" w14:textId="77777777" w:rsidR="00951F81" w:rsidRPr="00FF28F7" w:rsidRDefault="00951F81" w:rsidP="00B91B5A">
      <w:pPr>
        <w:jc w:val="center"/>
        <w:rPr>
          <w:bCs/>
        </w:rPr>
      </w:pPr>
    </w:p>
    <w:p w14:paraId="6B37D9C3" w14:textId="77777777" w:rsidR="00951F81" w:rsidRPr="00FF28F7" w:rsidRDefault="00951F81" w:rsidP="00B91B5A">
      <w:pPr>
        <w:jc w:val="center"/>
        <w:rPr>
          <w:bCs/>
        </w:rPr>
      </w:pPr>
    </w:p>
    <w:p w14:paraId="58A9F876" w14:textId="77777777" w:rsidR="00951F81" w:rsidRPr="00FF28F7" w:rsidRDefault="00951F81" w:rsidP="00B91B5A">
      <w:pPr>
        <w:jc w:val="center"/>
        <w:rPr>
          <w:bCs/>
        </w:rPr>
      </w:pPr>
    </w:p>
    <w:p w14:paraId="0BADB2FE" w14:textId="77777777" w:rsidR="00951F81" w:rsidRPr="00FF28F7" w:rsidRDefault="00951F81" w:rsidP="00B91B5A">
      <w:pPr>
        <w:jc w:val="center"/>
        <w:rPr>
          <w:bCs/>
        </w:rPr>
      </w:pPr>
    </w:p>
    <w:p w14:paraId="21B871DF" w14:textId="77777777" w:rsidR="00951F81" w:rsidRPr="00FF28F7" w:rsidRDefault="00951F81" w:rsidP="00B91B5A">
      <w:pPr>
        <w:jc w:val="center"/>
        <w:rPr>
          <w:bCs/>
        </w:rPr>
      </w:pPr>
    </w:p>
    <w:p w14:paraId="3BF5494F" w14:textId="77777777" w:rsidR="00951F81" w:rsidRPr="00FF28F7" w:rsidRDefault="00951F81" w:rsidP="00B91B5A">
      <w:pPr>
        <w:jc w:val="center"/>
        <w:rPr>
          <w:bCs/>
        </w:rPr>
      </w:pPr>
    </w:p>
    <w:p w14:paraId="4C0A389C" w14:textId="77777777" w:rsidR="00951F81" w:rsidRPr="00FF28F7" w:rsidRDefault="00951F81" w:rsidP="00B91B5A">
      <w:pPr>
        <w:jc w:val="center"/>
        <w:rPr>
          <w:bCs/>
        </w:rPr>
      </w:pPr>
    </w:p>
    <w:p w14:paraId="3F2A9B81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</w:t>
      </w:r>
    </w:p>
    <w:p w14:paraId="609C6DBE" w14:textId="77777777" w:rsidR="00951F81" w:rsidRPr="00FF28F7" w:rsidRDefault="00951F81" w:rsidP="00B91B5A">
      <w:pPr>
        <w:jc w:val="center"/>
        <w:rPr>
          <w:bCs/>
        </w:rPr>
      </w:pPr>
    </w:p>
    <w:p w14:paraId="6C2AEF9B" w14:textId="77777777" w:rsidR="00951F81" w:rsidRPr="00FF28F7" w:rsidRDefault="00951F81" w:rsidP="00B91B5A">
      <w:pPr>
        <w:pStyle w:val="TitleA"/>
        <w:outlineLvl w:val="0"/>
      </w:pPr>
      <w:r>
        <w:t>SOUHRN ÚDAJŮ O PŘÍPRAVKU</w:t>
      </w:r>
    </w:p>
    <w:p w14:paraId="1E02121E" w14:textId="74599532" w:rsidR="008D4A9A" w:rsidRDefault="00884E6E" w:rsidP="00B91B5A">
      <w:r>
        <w:br w:type="page"/>
      </w:r>
      <w:r w:rsidR="00654719">
        <w:rPr>
          <w:noProof/>
          <w:lang w:val="en-GB" w:eastAsia="en-GB"/>
        </w:rPr>
        <w:lastRenderedPageBreak/>
        <w:drawing>
          <wp:inline distT="0" distB="0" distL="0" distR="0" wp14:anchorId="65C5A377" wp14:editId="6A1CE8B1">
            <wp:extent cx="200025" cy="171450"/>
            <wp:effectExtent l="0" t="0" r="0" b="0"/>
            <wp:docPr id="215903632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7962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719">
        <w:t xml:space="preserve">Tento léčivý přípravek podléhá dalšímu sledování. To umožní rychlé získání nových informací o bezpečnosti. Žádáme zdravotnické pracovníky, aby hlásili jakákoli podezření na nežádoucí účinky. Podrobnosti o hlášení nežádoucích účinků viz bod 4.8. </w:t>
      </w:r>
      <w:r w:rsidR="00654719">
        <w:rPr>
          <w:noProof/>
          <w:color w:val="00B050"/>
        </w:rPr>
        <w:t xml:space="preserve"> </w:t>
      </w:r>
    </w:p>
    <w:p w14:paraId="362BB4D5" w14:textId="77777777" w:rsidR="008D4A9A" w:rsidRDefault="008D4A9A" w:rsidP="00B91B5A"/>
    <w:p w14:paraId="7EED9A59" w14:textId="77777777" w:rsidR="008D4A9A" w:rsidRPr="00442125" w:rsidRDefault="008D4A9A" w:rsidP="00B91B5A"/>
    <w:p w14:paraId="484D94ED" w14:textId="507DCA63" w:rsidR="00951F81" w:rsidRPr="00FF28F7" w:rsidRDefault="00884E6E" w:rsidP="00B91B5A">
      <w:pPr>
        <w:keepNext/>
        <w:ind w:left="567" w:hanging="567"/>
      </w:pPr>
      <w:r>
        <w:rPr>
          <w:b/>
        </w:rPr>
        <w:t>1.</w:t>
      </w:r>
      <w:r>
        <w:rPr>
          <w:b/>
        </w:rPr>
        <w:tab/>
        <w:t>NÁZEV PŘÍPRAVKU</w:t>
      </w:r>
    </w:p>
    <w:p w14:paraId="6357290E" w14:textId="77777777" w:rsidR="00951F81" w:rsidRPr="00FF28F7" w:rsidRDefault="00951F81" w:rsidP="00B91B5A">
      <w:pPr>
        <w:keepNext/>
      </w:pPr>
    </w:p>
    <w:p w14:paraId="21CED993" w14:textId="706707C5" w:rsidR="00951F81" w:rsidRPr="00FF28F7" w:rsidRDefault="008D4A9A" w:rsidP="00B91B5A">
      <w:r>
        <w:t>Kefdensis</w:t>
      </w:r>
      <w:r w:rsidR="00951F81">
        <w:t xml:space="preserve"> 60 mg injekční roztok v předplněné injekční stříkačce</w:t>
      </w:r>
    </w:p>
    <w:p w14:paraId="177DADED" w14:textId="77777777" w:rsidR="00951F81" w:rsidRPr="00FF28F7" w:rsidRDefault="00951F81" w:rsidP="00B91B5A"/>
    <w:p w14:paraId="4B86288D" w14:textId="77777777" w:rsidR="00951F81" w:rsidRPr="00FF28F7" w:rsidRDefault="00951F81" w:rsidP="00B91B5A"/>
    <w:p w14:paraId="74CE7FB0" w14:textId="77777777" w:rsidR="00951F81" w:rsidRPr="00FF28F7" w:rsidRDefault="00951F81" w:rsidP="00B91B5A">
      <w:pPr>
        <w:keepNext/>
        <w:ind w:left="567" w:hanging="567"/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105744E" w14:textId="77777777" w:rsidR="00951F81" w:rsidRPr="00FF28F7" w:rsidRDefault="00951F81" w:rsidP="00B91B5A">
      <w:pPr>
        <w:keepNext/>
      </w:pPr>
    </w:p>
    <w:p w14:paraId="394BA76F" w14:textId="77777777" w:rsidR="00951F81" w:rsidRPr="00FF28F7" w:rsidRDefault="00951F81" w:rsidP="00B91B5A">
      <w:r>
        <w:t>Jedna předplněná injekční stříkačka obsahuje 60 mg denosumabu v 1 ml roztoku (60 mg/ml).</w:t>
      </w:r>
    </w:p>
    <w:p w14:paraId="266311A9" w14:textId="77777777" w:rsidR="00951F81" w:rsidRPr="00FF28F7" w:rsidRDefault="00951F81" w:rsidP="00B91B5A"/>
    <w:p w14:paraId="41A94D0C" w14:textId="77777777" w:rsidR="00951F81" w:rsidRPr="00FF28F7" w:rsidRDefault="00951F81" w:rsidP="00B91B5A">
      <w:r>
        <w:t>Denosumab je lidská monoklonální protilátka IgG2, produkovaná savčí buněčnou linií (ovariální buňky čínského křečíka) pomocí technologie rekombinantní DNA.</w:t>
      </w:r>
    </w:p>
    <w:p w14:paraId="16FD983C" w14:textId="77777777" w:rsidR="00951F81" w:rsidRPr="00FF28F7" w:rsidRDefault="00951F81" w:rsidP="00B91B5A"/>
    <w:p w14:paraId="41957CEC" w14:textId="77777777" w:rsidR="00951F81" w:rsidRPr="00FF28F7" w:rsidRDefault="00951F81" w:rsidP="00B91B5A">
      <w:r>
        <w:t>Úplný seznam pomocných látek viz bod 6.1.</w:t>
      </w:r>
    </w:p>
    <w:p w14:paraId="1EE635DD" w14:textId="77777777" w:rsidR="00951F81" w:rsidRPr="00FF28F7" w:rsidRDefault="00951F81" w:rsidP="00B91B5A"/>
    <w:p w14:paraId="00AD27BF" w14:textId="77777777" w:rsidR="00951F81" w:rsidRPr="00FF28F7" w:rsidRDefault="00951F81" w:rsidP="00B91B5A"/>
    <w:p w14:paraId="0DDA704E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>LÉKOVÁ FORMA</w:t>
      </w:r>
    </w:p>
    <w:p w14:paraId="1013105F" w14:textId="77777777" w:rsidR="00951F81" w:rsidRPr="00FF28F7" w:rsidRDefault="00951F81" w:rsidP="00B91B5A">
      <w:pPr>
        <w:keepNext/>
      </w:pPr>
    </w:p>
    <w:p w14:paraId="4667B5AF" w14:textId="77777777" w:rsidR="00951F81" w:rsidRPr="00FF28F7" w:rsidRDefault="00951F81" w:rsidP="00B91B5A">
      <w:r>
        <w:t>Injekční roztok (injekce).</w:t>
      </w:r>
    </w:p>
    <w:p w14:paraId="13B1E05E" w14:textId="77777777" w:rsidR="00951F81" w:rsidRPr="00FF28F7" w:rsidRDefault="00951F81" w:rsidP="00B91B5A"/>
    <w:p w14:paraId="605C957A" w14:textId="44D6F3C2" w:rsidR="008D4A9A" w:rsidRPr="00442125" w:rsidRDefault="00951F81" w:rsidP="00B91B5A">
      <w:pPr>
        <w:ind w:left="-5" w:right="3"/>
      </w:pPr>
      <w:r>
        <w:t>Čirý, bezbarvý až slabě nažloutlý roztok</w:t>
      </w:r>
      <w:r w:rsidR="00654719">
        <w:t xml:space="preserve"> s pH 5,9 </w:t>
      </w:r>
      <w:r w:rsidR="00654719" w:rsidRPr="00654719">
        <w:t>– </w:t>
      </w:r>
      <w:r w:rsidR="00654719">
        <w:t xml:space="preserve">6,5 a s osmolalitou </w:t>
      </w:r>
      <w:bookmarkStart w:id="0" w:name="_Hlk189657448"/>
      <w:r w:rsidR="008D4A9A" w:rsidRPr="00654719">
        <w:t>270 – 330 m</w:t>
      </w:r>
      <w:r w:rsidR="007F6DFE">
        <w:t>o</w:t>
      </w:r>
      <w:r w:rsidR="008D4A9A" w:rsidRPr="00654719">
        <w:t>sm</w:t>
      </w:r>
      <w:r w:rsidR="007F6DFE">
        <w:t>ol</w:t>
      </w:r>
      <w:r w:rsidR="008D4A9A" w:rsidRPr="00654719">
        <w:t>/kg.</w:t>
      </w:r>
      <w:bookmarkEnd w:id="0"/>
    </w:p>
    <w:p w14:paraId="583CFF98" w14:textId="77777777" w:rsidR="00951F81" w:rsidRPr="00FF28F7" w:rsidRDefault="00951F81" w:rsidP="00B91B5A"/>
    <w:p w14:paraId="37265EF5" w14:textId="77777777" w:rsidR="00951F81" w:rsidRPr="00FF28F7" w:rsidRDefault="00951F81" w:rsidP="00B91B5A"/>
    <w:p w14:paraId="5615B6B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1A0E8E67" w14:textId="77777777" w:rsidR="00951F81" w:rsidRPr="00FF28F7" w:rsidRDefault="00951F81" w:rsidP="00B91B5A">
      <w:pPr>
        <w:keepNext/>
      </w:pPr>
    </w:p>
    <w:p w14:paraId="3B79C0B0" w14:textId="0CE09C20" w:rsidR="00951F81" w:rsidRPr="00FF28F7" w:rsidRDefault="00951F81" w:rsidP="7A789448">
      <w:pPr>
        <w:keepNext/>
        <w:tabs>
          <w:tab w:val="clear" w:pos="567"/>
        </w:tabs>
        <w:ind w:left="567" w:hanging="567"/>
        <w:rPr>
          <w:b/>
          <w:bCs/>
        </w:rPr>
      </w:pPr>
      <w:r w:rsidRPr="7A789448">
        <w:rPr>
          <w:b/>
          <w:bCs/>
        </w:rPr>
        <w:t>4.1</w:t>
      </w:r>
      <w:r>
        <w:tab/>
      </w:r>
      <w:r w:rsidRPr="7A789448">
        <w:rPr>
          <w:b/>
          <w:bCs/>
        </w:rPr>
        <w:t>Terapeutické indikace</w:t>
      </w:r>
    </w:p>
    <w:p w14:paraId="48E1ED6A" w14:textId="77777777" w:rsidR="00951F81" w:rsidRPr="00FF28F7" w:rsidRDefault="00951F81" w:rsidP="00B91B5A">
      <w:pPr>
        <w:keepNext/>
      </w:pPr>
    </w:p>
    <w:p w14:paraId="1E5DCE4E" w14:textId="5C1ABE97" w:rsidR="00951F81" w:rsidRPr="00FF28F7" w:rsidRDefault="00951F81" w:rsidP="00B91B5A">
      <w:r>
        <w:t>Léčba osteoporózy u postmenopauzálních žen a u mužů se zvýšeným rizikem zlomenin. U</w:t>
      </w:r>
      <w:r w:rsidR="008D4A9A">
        <w:t> </w:t>
      </w:r>
      <w:r>
        <w:t xml:space="preserve">postmenopauzálních žen </w:t>
      </w:r>
      <w:r w:rsidR="008D4A9A">
        <w:t>Kefdensis</w:t>
      </w:r>
      <w:r>
        <w:t xml:space="preserve"> významně snižuje riziko zlomenin obratlů, nevertebrálních zlomenin a zlomenin celkového proximálního femuru.</w:t>
      </w:r>
    </w:p>
    <w:p w14:paraId="0FC0552A" w14:textId="77777777" w:rsidR="00951F81" w:rsidRPr="00FF28F7" w:rsidRDefault="00951F81" w:rsidP="00B91B5A"/>
    <w:p w14:paraId="608FE307" w14:textId="5CF0E9FB" w:rsidR="00951F81" w:rsidRPr="00FF28F7" w:rsidRDefault="00951F81" w:rsidP="00B91B5A">
      <w:r>
        <w:t xml:space="preserve">Léčba úbytku kostní hmoty vzniklého následkem hormonální ablace u mužů </w:t>
      </w:r>
      <w:r w:rsidR="00E07E0B">
        <w:t>s</w:t>
      </w:r>
      <w:r>
        <w:t xml:space="preserve"> </w:t>
      </w:r>
      <w:r w:rsidR="004C2EF7">
        <w:t>karcinomem</w:t>
      </w:r>
      <w:r>
        <w:t xml:space="preserve"> prostaty, u kterých je </w:t>
      </w:r>
      <w:r w:rsidR="00E07E0B">
        <w:t xml:space="preserve">zvýšené </w:t>
      </w:r>
      <w:r>
        <w:t>riziko vzniku zlomenin (viz bod 5.1). U mužů s </w:t>
      </w:r>
      <w:r w:rsidR="004C2EF7">
        <w:t>karcinomem</w:t>
      </w:r>
      <w:r>
        <w:t xml:space="preserve"> prostaty, léčených hormonální ablací, </w:t>
      </w:r>
      <w:r w:rsidR="008D4A9A">
        <w:t>Kefdensis</w:t>
      </w:r>
      <w:r>
        <w:t xml:space="preserve"> významně snižuje riziko zlomenin obratlů.</w:t>
      </w:r>
    </w:p>
    <w:p w14:paraId="0B057B48" w14:textId="77777777" w:rsidR="00951F81" w:rsidRPr="00FF28F7" w:rsidRDefault="00951F81" w:rsidP="00B91B5A"/>
    <w:p w14:paraId="6C5736AC" w14:textId="77777777" w:rsidR="00951F81" w:rsidRPr="00FF28F7" w:rsidRDefault="00951F81" w:rsidP="00B91B5A">
      <w:r>
        <w:t>Léčba úbytku kostní hmoty spojeného s dlouhodobou systémovou léčbou glukokortikoidy u dospělých pacientů se zvýšeným rizikem zlomenin (viz bod 5.1).</w:t>
      </w:r>
    </w:p>
    <w:p w14:paraId="68D94331" w14:textId="77777777" w:rsidR="00951F81" w:rsidRPr="00FF28F7" w:rsidRDefault="00951F81" w:rsidP="00B91B5A"/>
    <w:p w14:paraId="71F39F6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Dávkování a způsob podání</w:t>
      </w:r>
    </w:p>
    <w:p w14:paraId="2A37A5F0" w14:textId="77777777" w:rsidR="00951F81" w:rsidRPr="00FF28F7" w:rsidRDefault="00951F81" w:rsidP="00B91B5A">
      <w:pPr>
        <w:keepNext/>
      </w:pPr>
    </w:p>
    <w:p w14:paraId="33E5A88D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Dávkování</w:t>
      </w:r>
    </w:p>
    <w:p w14:paraId="0C800430" w14:textId="77777777" w:rsidR="00951F81" w:rsidRPr="00FF28F7" w:rsidRDefault="00951F81" w:rsidP="00B91B5A">
      <w:pPr>
        <w:keepNext/>
      </w:pPr>
    </w:p>
    <w:p w14:paraId="262D6C8C" w14:textId="0B914E47" w:rsidR="00951F81" w:rsidRPr="00FF28F7" w:rsidRDefault="00951F81" w:rsidP="00B91B5A">
      <w:r>
        <w:t xml:space="preserve">Doporučená dávka denosumabu je 60 mg, podávaná jednorázovou </w:t>
      </w:r>
      <w:r w:rsidR="008D4A9A">
        <w:t>subkutánní</w:t>
      </w:r>
      <w:r>
        <w:t xml:space="preserve"> injekcí jednou za 6 měsíců do stehna, břicha nebo horní části paže.</w:t>
      </w:r>
    </w:p>
    <w:p w14:paraId="37A9F8CC" w14:textId="77777777" w:rsidR="00951F81" w:rsidRPr="00FF28F7" w:rsidRDefault="00951F81" w:rsidP="00B91B5A"/>
    <w:p w14:paraId="0EBA7DF5" w14:textId="214D2BC2" w:rsidR="00951F81" w:rsidRPr="00FF28F7" w:rsidRDefault="00951F81" w:rsidP="00B91B5A">
      <w:r>
        <w:t xml:space="preserve">Pacienti musejí mít dostatečný příjem </w:t>
      </w:r>
      <w:r w:rsidR="00CD16E4">
        <w:t>vápníku</w:t>
      </w:r>
      <w:r>
        <w:t xml:space="preserve"> a vitaminu D (viz bod 4.4).</w:t>
      </w:r>
    </w:p>
    <w:p w14:paraId="237EDD4C" w14:textId="77777777" w:rsidR="00951F81" w:rsidRPr="00FF28F7" w:rsidRDefault="00951F81" w:rsidP="00B91B5A"/>
    <w:p w14:paraId="54FC766A" w14:textId="289488B2" w:rsidR="00951F81" w:rsidRPr="00FF28F7" w:rsidRDefault="00951F81" w:rsidP="00B91B5A">
      <w:r>
        <w:t xml:space="preserve">Pacienti léčení přípravkem </w:t>
      </w:r>
      <w:r w:rsidR="008D4A9A">
        <w:t>Kefdensis</w:t>
      </w:r>
      <w:r>
        <w:t xml:space="preserve"> mají dostat příbalovou informaci a kartu pacienta.</w:t>
      </w:r>
    </w:p>
    <w:p w14:paraId="7457971F" w14:textId="77777777" w:rsidR="00951F81" w:rsidRPr="00FF28F7" w:rsidRDefault="00951F81" w:rsidP="00B91B5A"/>
    <w:p w14:paraId="5F4D7F90" w14:textId="42B21B1C" w:rsidR="00951F81" w:rsidRPr="00FF28F7" w:rsidRDefault="00951F81" w:rsidP="00B91B5A">
      <w:r>
        <w:t>Optimální celková délka antiresorpční léčby osteoporózy (zahrnující denosumab a bisfosfonáty) nebyla stanovena. Potřeba další léčby se má pravidelně přehodnocovat na základě přínosů a</w:t>
      </w:r>
      <w:r w:rsidR="008D4A9A">
        <w:t> </w:t>
      </w:r>
      <w:r>
        <w:t>potenciálních rizik denosumabu pro individuálního pacienta, zejména po</w:t>
      </w:r>
      <w:r w:rsidR="008D4A9A">
        <w:t xml:space="preserve"> </w:t>
      </w:r>
      <w:r>
        <w:t>5 nebo více letech používání (viz bod 4.4).</w:t>
      </w:r>
    </w:p>
    <w:p w14:paraId="3B23A888" w14:textId="77777777" w:rsidR="00951F81" w:rsidRPr="00FF28F7" w:rsidRDefault="00951F81" w:rsidP="00B91B5A"/>
    <w:p w14:paraId="62052E7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Starší osoby (≥ 65 let)</w:t>
      </w:r>
    </w:p>
    <w:p w14:paraId="7BD55D61" w14:textId="2F4BADDC" w:rsidR="00951F81" w:rsidRPr="00FF28F7" w:rsidRDefault="00951F81" w:rsidP="00B91B5A">
      <w:r>
        <w:t xml:space="preserve">U starších pacientů není třeba </w:t>
      </w:r>
      <w:r w:rsidR="003D5E4B">
        <w:t xml:space="preserve">upravovat </w:t>
      </w:r>
      <w:r>
        <w:t>dávku.</w:t>
      </w:r>
    </w:p>
    <w:p w14:paraId="436C48A0" w14:textId="77777777" w:rsidR="00951F81" w:rsidRPr="00FF28F7" w:rsidRDefault="00951F81" w:rsidP="00B91B5A"/>
    <w:p w14:paraId="2C2AFBAA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080584EC" w14:textId="7C9DC0E1" w:rsidR="00951F81" w:rsidRPr="00FF28F7" w:rsidRDefault="00951F81" w:rsidP="00B91B5A">
      <w:r>
        <w:t xml:space="preserve">U pacientů s poruchou funkce ledvin není třeba </w:t>
      </w:r>
      <w:r w:rsidR="003D5E4B">
        <w:t xml:space="preserve">upravovat </w:t>
      </w:r>
      <w:r>
        <w:t>dávku (doporučení ohledně sledování hladin vápníku viz bod 4.4).</w:t>
      </w:r>
    </w:p>
    <w:p w14:paraId="56C9153E" w14:textId="77777777" w:rsidR="00951F81" w:rsidRPr="00FF28F7" w:rsidRDefault="00951F81" w:rsidP="00B91B5A"/>
    <w:p w14:paraId="7B40DE9C" w14:textId="1B5F9FA4" w:rsidR="00951F81" w:rsidRPr="00FF28F7" w:rsidRDefault="00951F81" w:rsidP="00B91B5A">
      <w:r>
        <w:t xml:space="preserve">U pacientů s dlouhodobou systémovou léčbou glukokortikoidy a s těžkou poruchou funkce ledvin </w:t>
      </w:r>
      <w:r w:rsidR="00DB138D">
        <w:t>(</w:t>
      </w:r>
      <w:r w:rsidR="00585A9B" w:rsidRPr="00585A9B">
        <w:t xml:space="preserve">rychlost glomerulární filtrace, </w:t>
      </w:r>
      <w:r>
        <w:t>GFR</w:t>
      </w:r>
      <w:r w:rsidR="000022FE">
        <w:t xml:space="preserve"> </w:t>
      </w:r>
      <w:r>
        <w:t>&lt; 30 ml/min) nejsou k dispozici žádné údaje.</w:t>
      </w:r>
    </w:p>
    <w:p w14:paraId="02A906E1" w14:textId="77777777" w:rsidR="00951F81" w:rsidRPr="00FF28F7" w:rsidRDefault="00951F81" w:rsidP="00B91B5A"/>
    <w:p w14:paraId="29799120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jater</w:t>
      </w:r>
    </w:p>
    <w:p w14:paraId="37C1329F" w14:textId="77777777" w:rsidR="00951F81" w:rsidRPr="00FF28F7" w:rsidRDefault="00951F81" w:rsidP="00B91B5A">
      <w:r>
        <w:t>U pacientů s poruchou funkce jater nebyla bezpečnost a účinnost denosumabu studována (viz bod 5.2).</w:t>
      </w:r>
    </w:p>
    <w:p w14:paraId="09BFDEDF" w14:textId="77777777" w:rsidR="00951F81" w:rsidRPr="00FF28F7" w:rsidRDefault="00951F81" w:rsidP="00B91B5A"/>
    <w:p w14:paraId="20D5D41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Pediatrická populace</w:t>
      </w:r>
    </w:p>
    <w:p w14:paraId="4635A62F" w14:textId="1490E170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dětí ve věku do 18 let z důvodu bezpečnostních obav souvisejících se závažnou hyperkalcemií a potenciální inhibicí růstu kostí a nedostatečným prořezáváním zubů (viz body</w:t>
      </w:r>
      <w:r w:rsidR="00654719">
        <w:t xml:space="preserve"> </w:t>
      </w:r>
      <w:r>
        <w:t>4.4 a 5.3). V současnosti dostupné údaje týkající se dětí ve věku od 2 do 17 let jsou popsány v</w:t>
      </w:r>
      <w:r w:rsidR="00654719">
        <w:t> </w:t>
      </w:r>
      <w:r>
        <w:t>bodech</w:t>
      </w:r>
      <w:r w:rsidR="00654719">
        <w:t xml:space="preserve"> </w:t>
      </w:r>
      <w:r>
        <w:t>5.1 a 5.2.</w:t>
      </w:r>
    </w:p>
    <w:p w14:paraId="13352548" w14:textId="77777777" w:rsidR="00951F81" w:rsidRDefault="00951F81" w:rsidP="00B91B5A"/>
    <w:p w14:paraId="78E3E43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Způsob podání</w:t>
      </w:r>
    </w:p>
    <w:p w14:paraId="59B70080" w14:textId="77777777" w:rsidR="00951F81" w:rsidRPr="00FF28F7" w:rsidRDefault="00951F81" w:rsidP="00B91B5A">
      <w:pPr>
        <w:keepNext/>
      </w:pPr>
    </w:p>
    <w:p w14:paraId="5C9B0557" w14:textId="77777777" w:rsidR="00951F81" w:rsidRPr="00FF28F7" w:rsidRDefault="00951F81" w:rsidP="00B91B5A">
      <w:r>
        <w:t>Subkutánní podání.</w:t>
      </w:r>
    </w:p>
    <w:p w14:paraId="4228C873" w14:textId="77777777" w:rsidR="00951F81" w:rsidRPr="00FF28F7" w:rsidRDefault="00951F81" w:rsidP="00B91B5A"/>
    <w:p w14:paraId="319EC88F" w14:textId="77777777" w:rsidR="00951F81" w:rsidRPr="00FF28F7" w:rsidRDefault="00951F81" w:rsidP="00B91B5A">
      <w:r>
        <w:t>Přípravek má podávat osoba náležitě zaškolená v aplikaci podkožních injekcí.</w:t>
      </w:r>
    </w:p>
    <w:p w14:paraId="3380D531" w14:textId="77777777" w:rsidR="00951F81" w:rsidRPr="00FF28F7" w:rsidRDefault="00951F81" w:rsidP="00B91B5A"/>
    <w:p w14:paraId="707F77F6" w14:textId="77777777" w:rsidR="00951F81" w:rsidRPr="00FF28F7" w:rsidRDefault="00951F81" w:rsidP="00B91B5A">
      <w:r>
        <w:t>Návod k použití, zacházení a likvidaci je uveden v bodě 6.6.</w:t>
      </w:r>
    </w:p>
    <w:p w14:paraId="652A1D4A" w14:textId="77777777" w:rsidR="00951F81" w:rsidRPr="00FF28F7" w:rsidRDefault="00951F81" w:rsidP="00B91B5A"/>
    <w:p w14:paraId="1BB282B7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Kontraindikace</w:t>
      </w:r>
    </w:p>
    <w:p w14:paraId="2A4D705D" w14:textId="77777777" w:rsidR="00951F81" w:rsidRPr="00FF28F7" w:rsidRDefault="00951F81" w:rsidP="00B91B5A">
      <w:pPr>
        <w:keepNext/>
      </w:pPr>
    </w:p>
    <w:p w14:paraId="77DC5701" w14:textId="77777777" w:rsidR="00951F81" w:rsidRPr="00FF28F7" w:rsidRDefault="00951F81" w:rsidP="00B91B5A">
      <w:r>
        <w:t>Hypersenzitivita na léčivou látku nebo na kteroukoli pomocnou látku uvedenou v bodě 6.1.</w:t>
      </w:r>
    </w:p>
    <w:p w14:paraId="5B02BC8B" w14:textId="77777777" w:rsidR="00951F81" w:rsidRPr="00FF28F7" w:rsidRDefault="00951F81" w:rsidP="00B91B5A"/>
    <w:p w14:paraId="13081204" w14:textId="77777777" w:rsidR="00951F81" w:rsidRPr="00FF28F7" w:rsidRDefault="00951F81" w:rsidP="00B91B5A">
      <w:r>
        <w:t>Hypokalcemie (viz bod 4.4).</w:t>
      </w:r>
    </w:p>
    <w:p w14:paraId="37A7DE0C" w14:textId="77777777" w:rsidR="00951F81" w:rsidRPr="00FF28F7" w:rsidRDefault="00951F81" w:rsidP="00B91B5A"/>
    <w:p w14:paraId="3DFE4DD9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4.4</w:t>
      </w:r>
      <w:r>
        <w:rPr>
          <w:b/>
        </w:rPr>
        <w:tab/>
        <w:t>Zvláštní upozornění a opatření pro použití</w:t>
      </w:r>
    </w:p>
    <w:p w14:paraId="5FFD4F5A" w14:textId="77777777" w:rsidR="00951F81" w:rsidRPr="00FF28F7" w:rsidRDefault="00951F81" w:rsidP="00B91B5A">
      <w:pPr>
        <w:keepNext/>
      </w:pPr>
    </w:p>
    <w:p w14:paraId="13DA2184" w14:textId="77777777" w:rsidR="00951F81" w:rsidRPr="00FF28F7" w:rsidRDefault="00951F81" w:rsidP="00B91B5A">
      <w:pPr>
        <w:pStyle w:val="Style11ptunderlined"/>
      </w:pPr>
      <w:r>
        <w:t>Sledovatelnost</w:t>
      </w:r>
    </w:p>
    <w:p w14:paraId="3244750F" w14:textId="77777777" w:rsidR="00951F81" w:rsidRPr="00FF28F7" w:rsidRDefault="00951F81" w:rsidP="00B91B5A">
      <w:pPr>
        <w:keepNext/>
      </w:pPr>
    </w:p>
    <w:p w14:paraId="074B8B75" w14:textId="77777777" w:rsidR="00951F81" w:rsidRPr="00FF28F7" w:rsidRDefault="00951F81" w:rsidP="00B91B5A">
      <w:r>
        <w:t>Aby se zlepšila sledovatelnost biologických léčivých přípravků, má se přehledně zaznamenat název podaného přípravku a číslo šarže.</w:t>
      </w:r>
    </w:p>
    <w:p w14:paraId="7831B428" w14:textId="77777777" w:rsidR="00951F81" w:rsidRPr="00FF28F7" w:rsidRDefault="00951F81" w:rsidP="00B91B5A"/>
    <w:p w14:paraId="25D96CA0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Příjem vápníku a vitaminu D</w:t>
      </w:r>
    </w:p>
    <w:p w14:paraId="212906FA" w14:textId="77777777" w:rsidR="00951F81" w:rsidRPr="00FF28F7" w:rsidRDefault="00951F81" w:rsidP="00B91B5A">
      <w:pPr>
        <w:keepNext/>
      </w:pPr>
    </w:p>
    <w:p w14:paraId="3DFD57EC" w14:textId="77777777" w:rsidR="00951F81" w:rsidRPr="00FF28F7" w:rsidRDefault="00951F81" w:rsidP="00B91B5A">
      <w:r>
        <w:t>U všech pacientů je důležitý dostatečný příjem vápníku a vitaminu D.</w:t>
      </w:r>
    </w:p>
    <w:p w14:paraId="3B22CDEE" w14:textId="77777777" w:rsidR="00951F81" w:rsidRPr="00FF28F7" w:rsidRDefault="00951F81" w:rsidP="00B91B5A"/>
    <w:p w14:paraId="4142EB18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Opatření pro použití</w:t>
      </w:r>
    </w:p>
    <w:p w14:paraId="3F41C412" w14:textId="77777777" w:rsidR="00951F81" w:rsidRPr="00FF28F7" w:rsidRDefault="00951F81" w:rsidP="00B91B5A">
      <w:pPr>
        <w:keepNext/>
      </w:pPr>
    </w:p>
    <w:p w14:paraId="590BC3E6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336734D5" w14:textId="654CD89F" w:rsidR="00951F81" w:rsidRPr="00FF28F7" w:rsidRDefault="00951F81" w:rsidP="00B91B5A">
      <w:r>
        <w:t xml:space="preserve">Je důležité identifikovat pacienty s rizikem hypokalcemie. Před zahájením léčby je třeba upravit hypokalcemii dostatečným příjmem vápníku a vitaminu D. Doporučuje se klinicky monitorovat hladinu vápníku před každou dávkou a u pacientů predisponovaných k hypokalcemii i </w:t>
      </w:r>
      <w:r w:rsidR="00CD16E4">
        <w:t>během</w:t>
      </w:r>
      <w:r>
        <w:t xml:space="preserve"> dvou týdnů po úvodní dávce. Pokud se u jakéhokoliv pacienta objeví během léčby suspektní příznaky hypokalcemie (příznaky viz bod 4.8), mají se změřit hladiny vápníku. Pacientům je třeba doporučit, aby hlásili příznaky hypokalcemie.</w:t>
      </w:r>
    </w:p>
    <w:p w14:paraId="1962A6E6" w14:textId="77777777" w:rsidR="00951F81" w:rsidRPr="00FF28F7" w:rsidRDefault="00951F81" w:rsidP="00B91B5A"/>
    <w:p w14:paraId="78A97F06" w14:textId="34788FCD" w:rsidR="00951F81" w:rsidRDefault="00951F81" w:rsidP="00B91B5A">
      <w:r>
        <w:lastRenderedPageBreak/>
        <w:t>Po uvedení přípravku na trh byla hlášena závažná symptomatická hypokalcemie (vedoucí k</w:t>
      </w:r>
      <w:r w:rsidR="008D4A9A">
        <w:t> </w:t>
      </w:r>
      <w:r>
        <w:t>hospitalizaci, život ohrožujícím nežádoucím účinkům a fatálním případům). I když se většina případů vyskytla během prvních týdnů po zahájení léčby, objevila se i později.</w:t>
      </w:r>
    </w:p>
    <w:p w14:paraId="1C38938F" w14:textId="77777777" w:rsidR="00951F81" w:rsidRPr="00FF28F7" w:rsidRDefault="00951F81" w:rsidP="00B91B5A"/>
    <w:p w14:paraId="4181A8B8" w14:textId="77777777" w:rsidR="00951F81" w:rsidRPr="00FF28F7" w:rsidRDefault="00951F81" w:rsidP="00B91B5A">
      <w:r>
        <w:t>Souběžná léčba glukokortikoidy je dalším rizikovým faktorem hypokalcemie.</w:t>
      </w:r>
    </w:p>
    <w:p w14:paraId="26327788" w14:textId="77777777" w:rsidR="00951F81" w:rsidRPr="00FF28F7" w:rsidRDefault="00951F81" w:rsidP="00B91B5A"/>
    <w:p w14:paraId="79206A54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6B9C151E" w14:textId="5A3F4516" w:rsidR="00951F81" w:rsidRPr="00FF28F7" w:rsidRDefault="00951F81" w:rsidP="00B91B5A">
      <w:r>
        <w:t xml:space="preserve">Pacienti s těžkou poruchou funkce ledvin (clearance kreatininu &lt; 30 ml/min) nebo dialyzovaní pacienti jsou vystaveni vyššímu riziku vzniku hypokalcemie. Riziko vzniku hypokalcemie a průvodního vzestupu hladin parathormonu se zvyšuje se zvyšujícím se stupněm poruchy funkce ledvin. Byly hlášeny závažné a fatální případy. U těchto pacientů je obzvlášť důležitý </w:t>
      </w:r>
      <w:r w:rsidR="00CD16E4">
        <w:t>dostatečný</w:t>
      </w:r>
      <w:r>
        <w:t xml:space="preserve"> přísun vápníku, vitaminu D a pravidelné sledování hladiny vápníku, viz výše.</w:t>
      </w:r>
    </w:p>
    <w:p w14:paraId="5DE322CC" w14:textId="77777777" w:rsidR="00951F81" w:rsidRPr="00FF28F7" w:rsidRDefault="00951F81" w:rsidP="00B91B5A"/>
    <w:p w14:paraId="6DBAD289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332BB739" w14:textId="484A30E9" w:rsidR="00951F81" w:rsidRPr="00FF28F7" w:rsidRDefault="00951F81" w:rsidP="00B91B5A">
      <w:r>
        <w:t>U pacientů léčených denosumabem se mohou vyskytnout kožní infekce (zejména flegmóna) vyžadující hospitalizaci (viz bod 4.8). Pacient má být poučen, že v případě výskytu známek či příznaků flegmóny musí neodkladně vyhledat lékařskou pomoc.</w:t>
      </w:r>
    </w:p>
    <w:p w14:paraId="2F20DD73" w14:textId="77777777" w:rsidR="00951F81" w:rsidRPr="00FF28F7" w:rsidRDefault="00951F81" w:rsidP="00B91B5A"/>
    <w:p w14:paraId="1ADC532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 (ONJ)</w:t>
      </w:r>
    </w:p>
    <w:p w14:paraId="116ED8DC" w14:textId="31D5F50C" w:rsidR="00951F81" w:rsidRPr="00FF28F7" w:rsidRDefault="00951F81" w:rsidP="00B91B5A">
      <w:r>
        <w:t>U pacientů s osteoporózou, kterým byl podáván</w:t>
      </w:r>
      <w:r w:rsidR="003D5E4B">
        <w:t xml:space="preserve"> denosumab</w:t>
      </w:r>
      <w:r>
        <w:t>, byla vzácně hlášena ONJ (viz bod 4.8).</w:t>
      </w:r>
    </w:p>
    <w:p w14:paraId="648233A8" w14:textId="77777777" w:rsidR="00951F81" w:rsidRPr="00FF28F7" w:rsidRDefault="00951F81" w:rsidP="00B91B5A"/>
    <w:p w14:paraId="720495A9" w14:textId="77777777" w:rsidR="00951F81" w:rsidRPr="00FF28F7" w:rsidRDefault="00951F81" w:rsidP="00B91B5A">
      <w:r>
        <w:t>Zahájení léčby/nové léčebné kúry má být odloženo u pacientů s nezhojenými lézemi měkké tkáně v ústech. Před léčbou denosumabem se pacientům se souběžnými rizikovými faktory doporučuje podstoupit preventivní zubní prohlídku s individuálním posouzením přínosu a rizika léčby.</w:t>
      </w:r>
    </w:p>
    <w:p w14:paraId="34EE683C" w14:textId="77777777" w:rsidR="00951F81" w:rsidRPr="00FF28F7" w:rsidRDefault="00951F81" w:rsidP="00B91B5A"/>
    <w:p w14:paraId="392198BE" w14:textId="77777777" w:rsidR="00951F81" w:rsidRPr="00FF28F7" w:rsidRDefault="00951F81" w:rsidP="00B91B5A">
      <w:pPr>
        <w:keepNext/>
      </w:pPr>
      <w:r>
        <w:t>Při posouzení rizika vzniku ONJ u pacienta je třeba zvážit následující rizikové faktory:</w:t>
      </w:r>
    </w:p>
    <w:p w14:paraId="58ED8DC9" w14:textId="61434544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účinnost léčivého přípravku, s jakou inhibuje kostní reso</w:t>
      </w:r>
      <w:r w:rsidR="000C2EBD">
        <w:t>r</w:t>
      </w:r>
      <w:r>
        <w:t>pci (vyšší riziko u vysoce účinných látek), cesta podání (vyšší riziko u parenterálního podávání) a kumulativní dávka léčby kostní resorpce.</w:t>
      </w:r>
    </w:p>
    <w:p w14:paraId="2C652CEA" w14:textId="79FDEE55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nádorové onemocnění, přidružená onemocnění (např. an</w:t>
      </w:r>
      <w:r w:rsidR="003D5E4B">
        <w:t>e</w:t>
      </w:r>
      <w:r>
        <w:t>mie, koagulopatie, infekce), kouření.</w:t>
      </w:r>
    </w:p>
    <w:p w14:paraId="4078DF21" w14:textId="49826CA8" w:rsidR="00951F81" w:rsidRPr="00FF28F7" w:rsidRDefault="00951F81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konkomitantní léčba: kortikoidy, chemoterapie, inhibitory angiogeneze, radioterapie hlavy a</w:t>
      </w:r>
      <w:r w:rsidR="000C2EBD">
        <w:t> </w:t>
      </w:r>
      <w:r>
        <w:t>krku.</w:t>
      </w:r>
    </w:p>
    <w:p w14:paraId="7814D1D2" w14:textId="6CC52DBF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špatná hygiena dutiny ústní, periodontální onemocnění, špatně </w:t>
      </w:r>
      <w:r w:rsidR="00C206C1">
        <w:t>padnoucí</w:t>
      </w:r>
      <w:r>
        <w:t xml:space="preserve"> zubní protéza, dentální onemocnění v anamnéze, invazivní zákroky v dutině ústní (např. extrakce zubů).</w:t>
      </w:r>
    </w:p>
    <w:p w14:paraId="51C26784" w14:textId="77777777" w:rsidR="00951F81" w:rsidRPr="00FF28F7" w:rsidRDefault="00951F81" w:rsidP="00B91B5A"/>
    <w:p w14:paraId="2A0A011B" w14:textId="77777777" w:rsidR="00951F81" w:rsidRPr="00FF28F7" w:rsidRDefault="00951F81" w:rsidP="00B91B5A">
      <w:r>
        <w:t>Všem pacientům je třeba doporučit, aby dbali na správnou hygienu dutiny ústní, pravidelně chodili na zubní prohlídky a během léčby denosumabem ihned hlásili výskyt jakýchkoli orálních příznaků jako je kývání zubů, bolest nebo otoky nebo nehojící se vředy či sekrece. Invazivní zákroky v dutině ústní mají být během léčby prováděny pouze po pečlivém posouzení a nemají se provádět v době blízké podání denosumabu.</w:t>
      </w:r>
    </w:p>
    <w:p w14:paraId="5CD92D97" w14:textId="77777777" w:rsidR="00951F81" w:rsidRPr="00FF28F7" w:rsidRDefault="00951F81" w:rsidP="00B91B5A"/>
    <w:p w14:paraId="12B6F052" w14:textId="77777777" w:rsidR="00951F81" w:rsidRPr="00FF28F7" w:rsidRDefault="00951F81" w:rsidP="00B91B5A">
      <w:r>
        <w:t>Má se vytvořit plán léčby jednotlivých pacientů, u kterých se vyvine ONJ, za úzké spolupráce ošetřujícího lékaře a stomatologa nebo stomatochirurga se zkušenostmi s ONJ. Pokud je to možné, je třeba zvážit dočasné přerušení léčby až do ústupu onemocnění a zmírnění přispívajících rizikových faktorů.</w:t>
      </w:r>
    </w:p>
    <w:p w14:paraId="0F2E33F0" w14:textId="77777777" w:rsidR="00951F81" w:rsidRPr="00FF28F7" w:rsidRDefault="00951F81" w:rsidP="00B91B5A"/>
    <w:p w14:paraId="7A8B2FD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zevního zvukovodu</w:t>
      </w:r>
    </w:p>
    <w:p w14:paraId="48B81B89" w14:textId="77777777" w:rsidR="00951F81" w:rsidRPr="00FF28F7" w:rsidRDefault="00951F81" w:rsidP="00B91B5A">
      <w:r>
        <w:t>V souvislosti s léčbou denosumabem byla hlášena osteonekróza zevního zvukovodu. Mezi možné rizikové faktory osteonekrózy zevního zvukovodu patří používání steroidů a chemoterapie a/nebo lokální rizikové faktory, jako například infekce nebo trauma. Možnost vzniku osteonekrózy zevního zvukovodu je třeba zvážit u pacientů léčených denosumabem, kteří mají ušní symptomy včetně chronických infekcí ucha.</w:t>
      </w:r>
    </w:p>
    <w:p w14:paraId="5A052020" w14:textId="77777777" w:rsidR="00951F81" w:rsidRPr="00FF28F7" w:rsidRDefault="00951F81" w:rsidP="00B91B5A"/>
    <w:p w14:paraId="11AE3ECC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Atypické zlomeniny femuru</w:t>
      </w:r>
    </w:p>
    <w:p w14:paraId="64ABE369" w14:textId="6378F5BD" w:rsidR="00951F81" w:rsidRPr="00FF28F7" w:rsidRDefault="00951F81" w:rsidP="00B91B5A">
      <w:r>
        <w:t xml:space="preserve">U pacientů </w:t>
      </w:r>
      <w:r w:rsidR="00CC7B00">
        <w:t>po</w:t>
      </w:r>
      <w:r>
        <w:t>užívajících denosumab byly zaznamenány atypické zlomeniny femuru (viz bod 4.8). Atypické zlomeniny femuru spojené s malým traumatem nebo bez traumatu se mohou vyskytnout v subtrochanterické a diafyzá</w:t>
      </w:r>
      <w:r w:rsidR="00C206C1">
        <w:t>r</w:t>
      </w:r>
      <w:r>
        <w:t>ní oblasti femuru a jsou charakteristické specifickými radiografickými nálezy. Atypické zlomeniny femuru byly zaznamenány také u pacientů s některými komorbiditami (např. nedostatek vitaminu D, revmatoidní artritida, hypofosfatázie) a spojeny s užíváním některých léčivých přípravků (např. bisfosfonáty, glukokortikoidy, inhibitory protonové pumpy). K těmto příhodám došlo i bez antiresorpční léčby. Podobné zlomeniny zaznamenané v souvislosti s léčbou bisfosfonáty jsou často bilaterální; proto je třeba u pacientů se zlomeninou diafýzy femuru léčených denosumabem vyšetřit kontralaterální femur. Vysazení léčby denosumabem u pacientů s podezřením na atypickou zlomeninu femuru se má zvážit při současném posouzení stavu pacienta na základě individuálního hodnocení přínosu a rizika léčby. Během léčby denosumabem mají být pacienti poučeni, aby hlásili nové nebo neobvyklé bolesti v oblasti stehna, kyčle nebo třísel. Pacienti s těmito příznaky mají být vyšetřeni s ohledem na možnost neúplné zlomeniny femuru.</w:t>
      </w:r>
    </w:p>
    <w:p w14:paraId="3140220A" w14:textId="77777777" w:rsidR="00951F81" w:rsidRPr="00FF28F7" w:rsidRDefault="00951F81" w:rsidP="00B91B5A"/>
    <w:p w14:paraId="0466ACE2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Dlouhodobá antiresorpční léčba</w:t>
      </w:r>
    </w:p>
    <w:p w14:paraId="72030602" w14:textId="77777777" w:rsidR="00951F81" w:rsidRPr="00FF28F7" w:rsidRDefault="00951F81" w:rsidP="00B91B5A">
      <w:r>
        <w:t>Dlouhodobá antiresorpční léčba (zahrnující denosumab a bisfosfonáty) může přispět ke zvýšenému riziku nežádoucích účinků jako je osteonekróza čelisti a atypické zlomeniny femuru kvůli významnému potlačení kostní remodelace (viz bod 4.2).</w:t>
      </w:r>
    </w:p>
    <w:p w14:paraId="790A657F" w14:textId="77777777" w:rsidR="00951F81" w:rsidRDefault="00951F81" w:rsidP="00B91B5A"/>
    <w:p w14:paraId="725FF1E4" w14:textId="77777777" w:rsidR="00434B04" w:rsidRPr="00EF10F1" w:rsidRDefault="00434B04" w:rsidP="00434B04">
      <w:pPr>
        <w:rPr>
          <w:i/>
          <w:iCs/>
        </w:rPr>
      </w:pPr>
      <w:r w:rsidRPr="00EF10F1">
        <w:rPr>
          <w:i/>
          <w:iCs/>
        </w:rPr>
        <w:t>Vysazení léčby</w:t>
      </w:r>
    </w:p>
    <w:p w14:paraId="41D372B9" w14:textId="332790BC" w:rsidR="00434B04" w:rsidRDefault="00434B04" w:rsidP="00434B04">
      <w:r>
        <w:t>Po vysazení denosumabu se očekává pokles kostní minerál</w:t>
      </w:r>
      <w:r w:rsidR="00AE6C02">
        <w:t>ní denzity</w:t>
      </w:r>
      <w:r>
        <w:t xml:space="preserve"> (BMD) (viz bod 5.1), což vede ke zvýšenému riziku zlomenin. Proto se doporučuje monitorování BMD a má by být zvážena alternativní léčba podle klinických doporučení.</w:t>
      </w:r>
    </w:p>
    <w:p w14:paraId="3A84FCE8" w14:textId="77777777" w:rsidR="00434B04" w:rsidRPr="00FF28F7" w:rsidRDefault="00434B04" w:rsidP="00B91B5A"/>
    <w:p w14:paraId="1EE4B332" w14:textId="3CBA579C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Souběžná léčba jinými lé</w:t>
      </w:r>
      <w:r w:rsidR="000C2EBD">
        <w:rPr>
          <w:i/>
        </w:rPr>
        <w:t>čivými příprav</w:t>
      </w:r>
      <w:r>
        <w:rPr>
          <w:i/>
        </w:rPr>
        <w:t>ky obsahujícími denosumab</w:t>
      </w:r>
    </w:p>
    <w:p w14:paraId="46BB5AF5" w14:textId="2109FB7B" w:rsidR="00951F81" w:rsidRDefault="00951F81" w:rsidP="00B91B5A">
      <w:r>
        <w:t xml:space="preserve">Pacienti léčení denosumabem nemají být zároveň léčeni jinými </w:t>
      </w:r>
      <w:r w:rsidR="000C2EBD">
        <w:t>přípravky</w:t>
      </w:r>
      <w:r>
        <w:t xml:space="preserve"> obsahujícími denosumab (k prevenci kostních příhod u dospělých s metastázami solidních nádorů do kostí).</w:t>
      </w:r>
    </w:p>
    <w:p w14:paraId="1C9D4205" w14:textId="77777777" w:rsidR="00951F81" w:rsidRDefault="00951F81" w:rsidP="00B91B5A"/>
    <w:p w14:paraId="57FA8B90" w14:textId="77777777" w:rsidR="00951F81" w:rsidRPr="00FB0522" w:rsidRDefault="00951F81" w:rsidP="00B91B5A">
      <w:pPr>
        <w:keepNext/>
        <w:rPr>
          <w:i/>
          <w:iCs/>
        </w:rPr>
      </w:pPr>
      <w:r>
        <w:rPr>
          <w:i/>
        </w:rPr>
        <w:t>Hyperkalcemie u pediatrických pacientů</w:t>
      </w:r>
    </w:p>
    <w:p w14:paraId="41C8F3AC" w14:textId="72401AD8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pediatrických pacientů (ve věku do 18 let). Byla hlášena závažná hyperkalcemie. Některé případy v klinických </w:t>
      </w:r>
      <w:r w:rsidR="000C2EBD">
        <w:t>studiích</w:t>
      </w:r>
      <w:r>
        <w:t xml:space="preserve"> byly komplikované akutním poškozením ledvin.</w:t>
      </w:r>
    </w:p>
    <w:p w14:paraId="5538D796" w14:textId="77777777" w:rsidR="00951F81" w:rsidRPr="00FF28F7" w:rsidRDefault="00951F81" w:rsidP="00B91B5A"/>
    <w:p w14:paraId="3135E4C5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Interakce s jinými léčivými přípravky a jiné formy interakce</w:t>
      </w:r>
    </w:p>
    <w:p w14:paraId="7B9639FF" w14:textId="77777777" w:rsidR="00951F81" w:rsidRPr="00FF28F7" w:rsidRDefault="00951F81" w:rsidP="00B91B5A">
      <w:pPr>
        <w:keepNext/>
      </w:pPr>
    </w:p>
    <w:p w14:paraId="4D3BE312" w14:textId="6AB0595D" w:rsidR="00951F81" w:rsidRPr="00FF28F7" w:rsidRDefault="00951F81" w:rsidP="00B91B5A">
      <w:r>
        <w:t>V interakční studii denosumab neovlivňoval farmakokinetiku midazolamu, který je metabolizován cytochromem P450 3A4</w:t>
      </w:r>
      <w:r w:rsidR="000C2EBD">
        <w:t xml:space="preserve"> </w:t>
      </w:r>
      <w:r>
        <w:t>(CYP3A4). To naznačuje, že by denosumab neměl měnit farmakokinetiku léčivých přípravků metabolizovaných CYP3A4.</w:t>
      </w:r>
    </w:p>
    <w:p w14:paraId="0D831810" w14:textId="77777777" w:rsidR="00951F81" w:rsidRPr="00FF28F7" w:rsidRDefault="00951F81" w:rsidP="00B91B5A"/>
    <w:p w14:paraId="793ECE37" w14:textId="77777777" w:rsidR="00951F81" w:rsidRPr="00FF28F7" w:rsidRDefault="00951F81" w:rsidP="00B91B5A">
      <w:r>
        <w:t>Klinické údaje o souběžném podávání denosumabu a substituční hormonální léčby (estrogen) nejsou k dispozici, nicméně potenciál pro farmakodynamickou interakci je považován za nízký.</w:t>
      </w:r>
    </w:p>
    <w:p w14:paraId="7979FADB" w14:textId="77777777" w:rsidR="00951F81" w:rsidRPr="00FF28F7" w:rsidRDefault="00951F81" w:rsidP="00B91B5A"/>
    <w:p w14:paraId="57998C88" w14:textId="77777777" w:rsidR="00951F81" w:rsidRPr="00FF28F7" w:rsidRDefault="00951F81" w:rsidP="00B91B5A">
      <w:r>
        <w:t>Podle údajů z přechodové studie (z alendronátu na denosumab) předchozí léčba alendronátem neovlivnila farmakokinetiku a farmakodynamiku denosumabu u postmenopauzálních žen s osteoporózou.</w:t>
      </w:r>
    </w:p>
    <w:p w14:paraId="38B129AE" w14:textId="77777777" w:rsidR="00951F81" w:rsidRPr="00FF28F7" w:rsidRDefault="00951F81" w:rsidP="00B91B5A"/>
    <w:p w14:paraId="7F98BDBE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  <w:t>Fertilita, těhotenství a kojení</w:t>
      </w:r>
    </w:p>
    <w:p w14:paraId="21B41172" w14:textId="77777777" w:rsidR="00951F81" w:rsidRPr="00FF28F7" w:rsidRDefault="00951F81" w:rsidP="00B91B5A">
      <w:pPr>
        <w:keepNext/>
      </w:pPr>
    </w:p>
    <w:p w14:paraId="140DF9CA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Těhotenství</w:t>
      </w:r>
    </w:p>
    <w:p w14:paraId="773476C6" w14:textId="77777777" w:rsidR="00951F81" w:rsidRPr="00FF28F7" w:rsidRDefault="00951F81" w:rsidP="00B91B5A">
      <w:pPr>
        <w:keepNext/>
      </w:pPr>
    </w:p>
    <w:p w14:paraId="32BD7335" w14:textId="6448FFD2" w:rsidR="00951F81" w:rsidRPr="00FF28F7" w:rsidRDefault="00AE6C02" w:rsidP="00B91B5A">
      <w:r>
        <w:t>Údaje o</w:t>
      </w:r>
      <w:r w:rsidR="00951F81">
        <w:t xml:space="preserve"> podávání denosumabu těhotným ženám jsou omezené </w:t>
      </w:r>
      <w:r>
        <w:t>nebo nejsou k dispozici</w:t>
      </w:r>
      <w:r w:rsidR="00951F81">
        <w:t xml:space="preserve">. </w:t>
      </w:r>
      <w:r>
        <w:t>S</w:t>
      </w:r>
      <w:r w:rsidR="00951F81">
        <w:t>tudi</w:t>
      </w:r>
      <w:r>
        <w:t>e</w:t>
      </w:r>
      <w:r w:rsidR="00951F81">
        <w:t xml:space="preserve"> na zvířatech prokáz</w:t>
      </w:r>
      <w:r>
        <w:t>aly</w:t>
      </w:r>
      <w:r w:rsidR="00951F81">
        <w:t xml:space="preserve"> reprodukční toxicit</w:t>
      </w:r>
      <w:r>
        <w:t>u</w:t>
      </w:r>
      <w:r w:rsidR="00951F81">
        <w:t xml:space="preserve"> (viz bod 5.3).</w:t>
      </w:r>
    </w:p>
    <w:p w14:paraId="28F973AC" w14:textId="77777777" w:rsidR="00951F81" w:rsidRPr="00FF28F7" w:rsidRDefault="00951F81" w:rsidP="00B91B5A"/>
    <w:p w14:paraId="04D768E7" w14:textId="7E781D7F" w:rsidR="00951F81" w:rsidRPr="00FF28F7" w:rsidRDefault="00951F81" w:rsidP="00B91B5A">
      <w:r>
        <w:t xml:space="preserve">Přípravek </w:t>
      </w:r>
      <w:r w:rsidR="008D4A9A">
        <w:t>Kefdensis</w:t>
      </w:r>
      <w:r>
        <w:t xml:space="preserve"> se nedoporučuje podávat těhotným ženám a ženám ve fertilním věku</w:t>
      </w:r>
      <w:r w:rsidR="000C2EBD">
        <w:t>, které</w:t>
      </w:r>
      <w:r>
        <w:t xml:space="preserve"> nepoužívají antikoncepci. Ženy je třeba upozornit, aby během léčby a nejméně 5 měsíců po léčbě </w:t>
      </w:r>
      <w:r w:rsidR="000C2EBD">
        <w:t>denosumabem</w:t>
      </w:r>
      <w:r>
        <w:t xml:space="preserve"> neotěhotněly. Všechny účinky </w:t>
      </w:r>
      <w:r w:rsidR="000C2EBD">
        <w:t>denosumabu</w:t>
      </w:r>
      <w:r>
        <w:t xml:space="preserve"> jsou pravděpodobně silnější v průběhu druhého a třetího trimestru gravidity, protože monoklonální protilátky procházejí přes placentu lineárně v průběhu těhotenství, přičemž největší množství prochází během třetího trimestru.</w:t>
      </w:r>
    </w:p>
    <w:p w14:paraId="56E00A1B" w14:textId="77777777" w:rsidR="00951F81" w:rsidRPr="00FF28F7" w:rsidRDefault="00951F81" w:rsidP="00B91B5A"/>
    <w:p w14:paraId="6BF0A3BE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Kojení</w:t>
      </w:r>
    </w:p>
    <w:p w14:paraId="09C6AC7C" w14:textId="77777777" w:rsidR="00951F81" w:rsidRPr="00FF28F7" w:rsidRDefault="00951F81" w:rsidP="00B91B5A">
      <w:pPr>
        <w:keepNext/>
      </w:pPr>
    </w:p>
    <w:p w14:paraId="25D3B949" w14:textId="66CAB06E" w:rsidR="00951F81" w:rsidRPr="00FF28F7" w:rsidRDefault="00951F81" w:rsidP="00B91B5A">
      <w:pPr>
        <w:keepNext/>
      </w:pPr>
      <w:r>
        <w:t>Není známo, zda se denosumab vylučuje do lidského mateřského mléka. Studie provedené u geneticky modifikovaných myší, kterým byl RANKL vyřazen odstraněním příslušného genu (tzv. kno</w:t>
      </w:r>
      <w:r w:rsidR="004E306B">
        <w:t>c</w:t>
      </w:r>
      <w:r>
        <w:t>k</w:t>
      </w:r>
      <w:r w:rsidR="004E306B">
        <w:t>o</w:t>
      </w:r>
      <w:r>
        <w:t xml:space="preserve">utované myši), naznačují, že absence RANKL (cíl denosumabu – viz bod 5.1) v průběhu těhotenství může zasahovat do procesu zrání mléčné žlázy a vést k poruše laktace po porodu (viz bod 5.3). </w:t>
      </w:r>
      <w:r w:rsidR="00A075FC">
        <w:t>Na základě posouzení prospěšnosti kojení pro dítě a prospěšnosti léčby pro matku j</w:t>
      </w:r>
      <w:r>
        <w:t xml:space="preserve">e třeba rozhodnout, zda </w:t>
      </w:r>
      <w:r w:rsidR="00A075FC">
        <w:t>přerušit</w:t>
      </w:r>
      <w:r>
        <w:t xml:space="preserve"> kojení nebo zda </w:t>
      </w:r>
      <w:r w:rsidR="00A075FC">
        <w:t>přerušit podávání</w:t>
      </w:r>
      <w:r>
        <w:t xml:space="preserve"> </w:t>
      </w:r>
      <w:r w:rsidR="000C2EBD">
        <w:t>denosumab</w:t>
      </w:r>
      <w:r w:rsidR="00A075FC">
        <w:t>u</w:t>
      </w:r>
      <w:r>
        <w:t>.</w:t>
      </w:r>
    </w:p>
    <w:p w14:paraId="4677EDC0" w14:textId="77777777" w:rsidR="00951F81" w:rsidRPr="00FF28F7" w:rsidRDefault="00951F81" w:rsidP="00B91B5A">
      <w:pPr>
        <w:keepNext/>
      </w:pPr>
    </w:p>
    <w:p w14:paraId="01E8BC7D" w14:textId="77777777" w:rsidR="00951F81" w:rsidRPr="00FF28F7" w:rsidRDefault="00951F81" w:rsidP="00B91B5A">
      <w:pPr>
        <w:rPr>
          <w:u w:val="single"/>
        </w:rPr>
      </w:pPr>
      <w:r>
        <w:rPr>
          <w:u w:val="single"/>
        </w:rPr>
        <w:t>Fertilita</w:t>
      </w:r>
    </w:p>
    <w:p w14:paraId="5893C3CD" w14:textId="77777777" w:rsidR="00951F81" w:rsidRPr="00FF28F7" w:rsidRDefault="00951F81" w:rsidP="00B91B5A"/>
    <w:p w14:paraId="37CB78C0" w14:textId="77777777" w:rsidR="00951F81" w:rsidRPr="00FF28F7" w:rsidRDefault="00951F81" w:rsidP="00B91B5A">
      <w:r>
        <w:t>Nejsou k dispozici žádné údaje o vlivu denosumabu na fertilitu u člověka. Studie na zvířatech nenaznačují přímé ani nepřímé škodlivé účinky na fertilitu (viz bod 5.3).</w:t>
      </w:r>
    </w:p>
    <w:p w14:paraId="13E43019" w14:textId="77777777" w:rsidR="00951F81" w:rsidRPr="00FF28F7" w:rsidRDefault="00951F81" w:rsidP="00B91B5A"/>
    <w:p w14:paraId="3415FA76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Účinky na schopnost řídit a obsluhovat stroje</w:t>
      </w:r>
    </w:p>
    <w:p w14:paraId="4A36505E" w14:textId="77777777" w:rsidR="00951F81" w:rsidRPr="00FF28F7" w:rsidRDefault="00951F81" w:rsidP="00B91B5A">
      <w:pPr>
        <w:keepNext/>
      </w:pPr>
    </w:p>
    <w:p w14:paraId="20B5F546" w14:textId="03CB937F" w:rsidR="00951F81" w:rsidRPr="00FF28F7" w:rsidRDefault="000C2EBD" w:rsidP="00B91B5A">
      <w:r>
        <w:t>Denosumab</w:t>
      </w:r>
      <w:r w:rsidR="00951F81">
        <w:t xml:space="preserve"> nemá žádný nebo má zanedbatelný vliv na schopnost řídit nebo obsluhovat stroje.</w:t>
      </w:r>
    </w:p>
    <w:p w14:paraId="7F8F5112" w14:textId="77777777" w:rsidR="00951F81" w:rsidRPr="00FF28F7" w:rsidRDefault="00951F81" w:rsidP="00B91B5A"/>
    <w:p w14:paraId="38262D28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Nežádoucí účinky</w:t>
      </w:r>
    </w:p>
    <w:p w14:paraId="2B9F16B3" w14:textId="77777777" w:rsidR="00951F81" w:rsidRPr="00FF28F7" w:rsidRDefault="00951F81" w:rsidP="00B91B5A">
      <w:pPr>
        <w:keepNext/>
      </w:pPr>
    </w:p>
    <w:p w14:paraId="1136893A" w14:textId="0D55DD5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 xml:space="preserve">Souhrn </w:t>
      </w:r>
      <w:r w:rsidR="000C2EBD">
        <w:rPr>
          <w:u w:val="single"/>
        </w:rPr>
        <w:t xml:space="preserve">bezpečnostního </w:t>
      </w:r>
      <w:r>
        <w:rPr>
          <w:u w:val="single"/>
        </w:rPr>
        <w:t xml:space="preserve">profilu </w:t>
      </w:r>
    </w:p>
    <w:p w14:paraId="743B3262" w14:textId="77777777" w:rsidR="00951F81" w:rsidRPr="00FF28F7" w:rsidRDefault="00951F81" w:rsidP="00B91B5A">
      <w:pPr>
        <w:keepNext/>
      </w:pPr>
    </w:p>
    <w:p w14:paraId="1E08E246" w14:textId="6AB87E92" w:rsidR="00951F81" w:rsidRPr="00FF28F7" w:rsidRDefault="00951F81" w:rsidP="00B91B5A">
      <w:r>
        <w:t xml:space="preserve">Nejčastější nežádoucí účinky denosumabu (pozorované u více než jednoho pacienta z deseti) jsou muskuloskeletální bolest a bolest </w:t>
      </w:r>
      <w:r w:rsidR="005F63CC">
        <w:t xml:space="preserve">v </w:t>
      </w:r>
      <w:r>
        <w:t>končetin</w:t>
      </w:r>
      <w:r w:rsidR="005F63CC">
        <w:t>ě</w:t>
      </w:r>
      <w:r>
        <w:t>. U pacientů užívajících</w:t>
      </w:r>
      <w:r w:rsidR="004C2EF7">
        <w:t xml:space="preserve"> </w:t>
      </w:r>
      <w:r>
        <w:t>denosumab byly pozorovány méně časté případy flegmóny, vzácné případy hypokalcemie, hypersenzitivity, osteonekrózy čelisti a atypických zlomenin femuru (viz body 4.4 a 4.8 – popis vybraných nežádoucích účinků).</w:t>
      </w:r>
    </w:p>
    <w:p w14:paraId="55DD56E5" w14:textId="77777777" w:rsidR="00951F81" w:rsidRPr="00FF28F7" w:rsidRDefault="00951F81" w:rsidP="00B91B5A"/>
    <w:p w14:paraId="275B6343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Tabulkový seznam nežádoucích účinků</w:t>
      </w:r>
    </w:p>
    <w:p w14:paraId="77FBD388" w14:textId="77777777" w:rsidR="00951F81" w:rsidRPr="00FF28F7" w:rsidRDefault="00951F81" w:rsidP="00B91B5A">
      <w:pPr>
        <w:keepNext/>
      </w:pPr>
    </w:p>
    <w:p w14:paraId="12EF1294" w14:textId="09C84499" w:rsidR="00951F81" w:rsidRPr="00FF28F7" w:rsidRDefault="00951F81" w:rsidP="00B91B5A">
      <w:r>
        <w:t xml:space="preserve">Údaje uvedené </w:t>
      </w:r>
      <w:r w:rsidR="004C2EF7">
        <w:t xml:space="preserve">níže </w:t>
      </w:r>
      <w:r>
        <w:t>v tabulce 1 popisují nežádoucí účinky hlášené z klinických studií fáze II a III u pacientů s osteoporózou a u pacientů s karcinomem prsu nebo prostaty podstupujících hormonální ablaci; a/nebo spontánní hlášení.</w:t>
      </w:r>
    </w:p>
    <w:p w14:paraId="78A86924" w14:textId="77777777" w:rsidR="00951F81" w:rsidRPr="00FF28F7" w:rsidRDefault="00951F81" w:rsidP="00B91B5A"/>
    <w:p w14:paraId="6FD67ED0" w14:textId="20D7DB3C" w:rsidR="00951F81" w:rsidRPr="00FF28F7" w:rsidRDefault="00951F81" w:rsidP="00B91B5A">
      <w:r>
        <w:t xml:space="preserve">Pro klasifikaci nežádoucích účinků (viz tabulka 1) byla použita následující </w:t>
      </w:r>
      <w:r w:rsidR="004C2EF7">
        <w:t>konvence</w:t>
      </w:r>
      <w:r>
        <w:t>: velmi časté (≥ 1/10), časté (≥ 1/100 až &lt; 1/10), méně časté (≥ 1/1 000 až &lt; 1/100), vzácné (≥ 1/10 000 až &lt; 1/1 000), velmi vzácné (&lt; 1/10 000) a není známo (z dostupných údajů nelze určit). V každé třídě orgánových systémů a skupině definované frekvencí výskytu jsou nežádoucí účinky seřazeny podle klesající závažnosti.</w:t>
      </w:r>
    </w:p>
    <w:p w14:paraId="12CBF1C5" w14:textId="77777777" w:rsidR="00951F81" w:rsidRPr="00FF28F7" w:rsidRDefault="00951F81" w:rsidP="00B91B5A"/>
    <w:p w14:paraId="3506BDF3" w14:textId="7C26F22B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>Tabulka 1. Nežádoucí účinky hlášené u pacientů s osteoporózou a u pacientů s </w:t>
      </w:r>
      <w:r w:rsidR="004C2EF7">
        <w:rPr>
          <w:b/>
        </w:rPr>
        <w:t>karcinomem</w:t>
      </w:r>
      <w:r>
        <w:rPr>
          <w:b/>
        </w:rPr>
        <w:t xml:space="preserve"> prsu nebo prostaty léčených hormonální ablací</w:t>
      </w:r>
    </w:p>
    <w:p w14:paraId="5EB1F3A2" w14:textId="77777777" w:rsidR="00951F81" w:rsidRPr="00FF28F7" w:rsidRDefault="00951F81" w:rsidP="00B91B5A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9"/>
        <w:gridCol w:w="2465"/>
        <w:gridCol w:w="3455"/>
      </w:tblGrid>
      <w:tr w:rsidR="00951F81" w14:paraId="4967274B" w14:textId="77777777" w:rsidTr="00884E6E">
        <w:trPr>
          <w:cantSplit/>
          <w:trHeight w:val="57"/>
          <w:tblHeader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E51" w14:textId="77777777" w:rsidR="00951F81" w:rsidRPr="00FF28F7" w:rsidRDefault="00951F81" w:rsidP="00B91B5A">
            <w:pPr>
              <w:keepNext/>
              <w:rPr>
                <w:rFonts w:eastAsia="MS Mincho"/>
                <w:b/>
              </w:rPr>
            </w:pPr>
            <w:r>
              <w:rPr>
                <w:b/>
              </w:rPr>
              <w:t>Třída orgánových systémů podle MedDRA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BEC" w14:textId="77777777" w:rsidR="00951F81" w:rsidRPr="00FF28F7" w:rsidRDefault="00951F81" w:rsidP="00B91B5A">
            <w:pPr>
              <w:keepNext/>
              <w:rPr>
                <w:rFonts w:eastAsia="MS Mincho"/>
                <w:bCs/>
                <w:u w:val="single"/>
              </w:rPr>
            </w:pPr>
            <w:r>
              <w:rPr>
                <w:b/>
              </w:rPr>
              <w:t>Frekvence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ED4" w14:textId="77777777" w:rsidR="00951F81" w:rsidRPr="00FF28F7" w:rsidRDefault="00951F81" w:rsidP="00B91B5A">
            <w:pPr>
              <w:keepNext/>
              <w:rPr>
                <w:rFonts w:eastAsia="MS Mincho"/>
                <w:b/>
                <w:bCs/>
              </w:rPr>
            </w:pPr>
            <w:r>
              <w:rPr>
                <w:b/>
              </w:rPr>
              <w:t>Nežádoucí účinek</w:t>
            </w:r>
          </w:p>
        </w:tc>
      </w:tr>
      <w:tr w:rsidR="00951F81" w14:paraId="75024CB3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3EA4" w14:textId="77777777" w:rsidR="00951F81" w:rsidRPr="00FF28F7" w:rsidRDefault="00951F81" w:rsidP="00B91B5A">
            <w:pPr>
              <w:keepNext/>
            </w:pPr>
            <w:r>
              <w:t>Infekce a infestace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EDD9C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8A72D" w14:textId="77777777" w:rsidR="00951F81" w:rsidRPr="00FF28F7" w:rsidRDefault="00951F81" w:rsidP="00B91B5A">
            <w:r>
              <w:t>Infekce močových cest</w:t>
            </w:r>
          </w:p>
        </w:tc>
      </w:tr>
      <w:tr w:rsidR="00951F81" w14:paraId="46499A82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69AF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45C1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4B53D" w14:textId="77777777" w:rsidR="00951F81" w:rsidRPr="00FF28F7" w:rsidRDefault="00951F81" w:rsidP="00B91B5A">
            <w:r>
              <w:t>Infekce horních cest dýchacích</w:t>
            </w:r>
          </w:p>
        </w:tc>
      </w:tr>
      <w:tr w:rsidR="00951F81" w14:paraId="726888F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953A8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131F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963DA" w14:textId="77777777" w:rsidR="00951F81" w:rsidRPr="00FF28F7" w:rsidRDefault="00951F81" w:rsidP="00B91B5A">
            <w:r>
              <w:t>Divertikulitida</w:t>
            </w:r>
            <w:r>
              <w:rPr>
                <w:vertAlign w:val="superscript"/>
              </w:rPr>
              <w:t>1</w:t>
            </w:r>
          </w:p>
        </w:tc>
      </w:tr>
      <w:tr w:rsidR="00951F81" w14:paraId="582125C5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8092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D241A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EC2BA" w14:textId="77777777" w:rsidR="00951F81" w:rsidRPr="00FF28F7" w:rsidRDefault="00951F81" w:rsidP="00B91B5A">
            <w:r>
              <w:t>Flegmóna</w:t>
            </w:r>
            <w:r>
              <w:rPr>
                <w:vertAlign w:val="superscript"/>
              </w:rPr>
              <w:t>1</w:t>
            </w:r>
          </w:p>
        </w:tc>
      </w:tr>
      <w:tr w:rsidR="00951F81" w14:paraId="32656944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C5B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738" w14:textId="77777777" w:rsidR="00951F81" w:rsidRPr="00FF28F7" w:rsidRDefault="00951F81" w:rsidP="00B91B5A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FBF" w14:textId="77777777" w:rsidR="00951F81" w:rsidRPr="00FF28F7" w:rsidRDefault="00951F81" w:rsidP="00B91B5A">
            <w:r>
              <w:t>Ušní infekce</w:t>
            </w:r>
          </w:p>
        </w:tc>
      </w:tr>
      <w:tr w:rsidR="00951F81" w14:paraId="260EA276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1850" w14:textId="77777777" w:rsidR="00951F81" w:rsidRPr="00FF28F7" w:rsidRDefault="00951F81" w:rsidP="00B91B5A">
            <w:pPr>
              <w:keepNext/>
            </w:pPr>
            <w:r>
              <w:t>Poruchy imunitního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5A143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845E7" w14:textId="687ECE6B" w:rsidR="00951F81" w:rsidRPr="00FF28F7" w:rsidRDefault="00B26815" w:rsidP="00B91B5A">
            <w:r>
              <w:t>Přecitlivělost na lék</w:t>
            </w:r>
            <w:r>
              <w:rPr>
                <w:vertAlign w:val="superscript"/>
              </w:rPr>
              <w:t>1</w:t>
            </w:r>
          </w:p>
        </w:tc>
      </w:tr>
      <w:tr w:rsidR="00951F81" w14:paraId="15F892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FCB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7B2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CF1" w14:textId="77777777" w:rsidR="00951F81" w:rsidRPr="00FF28F7" w:rsidRDefault="00951F81" w:rsidP="00B91B5A">
            <w:r>
              <w:t>Anafylaktická reakce</w:t>
            </w:r>
            <w:r>
              <w:rPr>
                <w:vertAlign w:val="superscript"/>
              </w:rPr>
              <w:t>1</w:t>
            </w:r>
          </w:p>
        </w:tc>
      </w:tr>
      <w:tr w:rsidR="00951F81" w14:paraId="4E7C5B16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83" w14:textId="77777777" w:rsidR="00951F81" w:rsidRPr="00FF28F7" w:rsidRDefault="00951F81" w:rsidP="00B91B5A">
            <w:r>
              <w:t>Poruchy metabolismu a výživy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82C" w14:textId="77777777" w:rsidR="00951F81" w:rsidRPr="00FF28F7" w:rsidRDefault="00951F81" w:rsidP="00B91B5A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3F1" w14:textId="77777777" w:rsidR="00951F81" w:rsidRPr="00FF28F7" w:rsidRDefault="00951F81" w:rsidP="00B91B5A">
            <w:r>
              <w:t>Hypokalcemie</w:t>
            </w:r>
            <w:r>
              <w:rPr>
                <w:vertAlign w:val="superscript"/>
              </w:rPr>
              <w:t>1</w:t>
            </w:r>
          </w:p>
        </w:tc>
      </w:tr>
      <w:tr w:rsidR="00951F81" w14:paraId="00985113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29F" w14:textId="77777777" w:rsidR="00951F81" w:rsidRPr="00FF28F7" w:rsidRDefault="00951F81" w:rsidP="00B91B5A">
            <w:r>
              <w:t>Poruchy nervového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942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4FE" w14:textId="77777777" w:rsidR="00951F81" w:rsidRPr="00FF28F7" w:rsidRDefault="00951F81" w:rsidP="00B91B5A">
            <w:r>
              <w:t>Ischias</w:t>
            </w:r>
          </w:p>
        </w:tc>
      </w:tr>
      <w:tr w:rsidR="00951F81" w14:paraId="766C33CF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EF7C" w14:textId="77777777" w:rsidR="00951F81" w:rsidRPr="00FF28F7" w:rsidRDefault="00951F81" w:rsidP="00B91B5A">
            <w:r>
              <w:t>Gastrointestinální poruchy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260FC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6902" w14:textId="77777777" w:rsidR="00951F81" w:rsidRPr="00FF28F7" w:rsidRDefault="00951F81" w:rsidP="00B91B5A">
            <w:r>
              <w:t>Zácpa</w:t>
            </w:r>
          </w:p>
        </w:tc>
      </w:tr>
      <w:tr w:rsidR="00951F81" w14:paraId="6CE110F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458" w14:textId="77777777" w:rsidR="00951F81" w:rsidRPr="00FF28F7" w:rsidRDefault="00951F81" w:rsidP="00B91B5A"/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F74" w14:textId="77777777" w:rsidR="00951F81" w:rsidRPr="00FF28F7" w:rsidRDefault="00951F81" w:rsidP="00B91B5A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D07" w14:textId="52A4ABE8" w:rsidR="00951F81" w:rsidRPr="00FF28F7" w:rsidRDefault="00951F81" w:rsidP="00B91B5A">
            <w:r>
              <w:t xml:space="preserve">Břišní </w:t>
            </w:r>
            <w:r w:rsidR="00B26815">
              <w:t>diskomfort</w:t>
            </w:r>
          </w:p>
        </w:tc>
      </w:tr>
      <w:tr w:rsidR="00951F81" w14:paraId="48EAA8A4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5DD1B" w14:textId="77777777" w:rsidR="00951F81" w:rsidRPr="00FF28F7" w:rsidRDefault="00951F81" w:rsidP="00B91B5A">
            <w:pPr>
              <w:keepNext/>
            </w:pPr>
            <w:r>
              <w:t>Poruchy kůže a podkožní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01FF7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70153" w14:textId="77777777" w:rsidR="00951F81" w:rsidRPr="00FF28F7" w:rsidRDefault="00951F81" w:rsidP="00B91B5A">
            <w:pPr>
              <w:keepNext/>
            </w:pPr>
            <w:r>
              <w:t>Vyrážka</w:t>
            </w:r>
          </w:p>
        </w:tc>
      </w:tr>
      <w:tr w:rsidR="00951F81" w14:paraId="51AC380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6D19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49E6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1D318" w14:textId="77777777" w:rsidR="00951F81" w:rsidRPr="00FF28F7" w:rsidRDefault="00951F81" w:rsidP="00B91B5A">
            <w:pPr>
              <w:keepNext/>
            </w:pPr>
            <w:r>
              <w:t>Ekzém</w:t>
            </w:r>
          </w:p>
        </w:tc>
      </w:tr>
      <w:tr w:rsidR="00951F81" w14:paraId="77341C9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3FFC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8AA7" w14:textId="77777777" w:rsidR="00951F81" w:rsidRPr="00FF28F7" w:rsidRDefault="00951F81" w:rsidP="00B91B5A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F5EB" w14:textId="77777777" w:rsidR="00951F81" w:rsidRPr="00FF28F7" w:rsidRDefault="00951F81" w:rsidP="00B91B5A">
            <w:pPr>
              <w:keepNext/>
            </w:pPr>
            <w:r>
              <w:t>Alopecie</w:t>
            </w:r>
          </w:p>
        </w:tc>
      </w:tr>
      <w:tr w:rsidR="00951F81" w14:paraId="5E8640F7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0151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E3626" w14:textId="77777777" w:rsidR="00951F81" w:rsidRPr="00FF28F7" w:rsidRDefault="00951F81" w:rsidP="00B91B5A">
            <w:pPr>
              <w:keepNext/>
            </w:pPr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32B6" w14:textId="77777777" w:rsidR="00951F81" w:rsidRPr="00FF28F7" w:rsidRDefault="00951F81" w:rsidP="00B91B5A">
            <w:pPr>
              <w:keepNext/>
            </w:pPr>
            <w:r>
              <w:t>Lichenoidní erupce způsobené léky</w:t>
            </w:r>
            <w:r>
              <w:rPr>
                <w:vertAlign w:val="superscript"/>
              </w:rPr>
              <w:t>1</w:t>
            </w:r>
          </w:p>
        </w:tc>
      </w:tr>
      <w:tr w:rsidR="00951F81" w14:paraId="69734E70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71D31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C5B" w14:textId="77777777" w:rsidR="00951F81" w:rsidRPr="00FF28F7" w:rsidRDefault="00951F81" w:rsidP="00B91B5A">
            <w:pPr>
              <w:keepNext/>
            </w:pPr>
            <w:r>
              <w:t>Velmi 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D0D" w14:textId="77777777" w:rsidR="00951F81" w:rsidRPr="00FF28F7" w:rsidRDefault="00951F81" w:rsidP="00B91B5A">
            <w:pPr>
              <w:keepNext/>
            </w:pPr>
            <w:r>
              <w:t>Hypersenzitivní vaskulitida</w:t>
            </w:r>
          </w:p>
        </w:tc>
      </w:tr>
      <w:tr w:rsidR="00951F81" w14:paraId="27D3980C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FC20" w14:textId="77777777" w:rsidR="00951F81" w:rsidRPr="00FF28F7" w:rsidRDefault="00951F81" w:rsidP="00B91B5A">
            <w:pPr>
              <w:keepNext/>
            </w:pPr>
            <w:r>
              <w:t>Poruchy svalové a kosterní soustavy a pojivové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91E81" w14:textId="77777777" w:rsidR="00951F81" w:rsidRPr="00FF28F7" w:rsidRDefault="00951F81" w:rsidP="00B91B5A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434A0" w14:textId="4B4C8E10" w:rsidR="00951F81" w:rsidRPr="00FF28F7" w:rsidRDefault="00951F81" w:rsidP="00B91B5A">
            <w:pPr>
              <w:keepNext/>
            </w:pPr>
            <w:r>
              <w:t xml:space="preserve">Bolest </w:t>
            </w:r>
            <w:r w:rsidR="005F63CC">
              <w:t xml:space="preserve">v </w:t>
            </w:r>
            <w:r>
              <w:t>končetin</w:t>
            </w:r>
            <w:r w:rsidR="005F63CC">
              <w:t>ě</w:t>
            </w:r>
          </w:p>
        </w:tc>
      </w:tr>
      <w:tr w:rsidR="00951F81" w14:paraId="2C623969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C77F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E3A62" w14:textId="77777777" w:rsidR="00951F81" w:rsidRPr="00FF28F7" w:rsidRDefault="00951F81" w:rsidP="00B91B5A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CD7E" w14:textId="77777777" w:rsidR="00951F81" w:rsidRPr="00FF28F7" w:rsidRDefault="00951F81" w:rsidP="00B91B5A">
            <w:pPr>
              <w:keepNext/>
            </w:pPr>
            <w:r>
              <w:t>Muskuloskeletální bolest</w:t>
            </w:r>
            <w:r>
              <w:rPr>
                <w:vertAlign w:val="superscript"/>
              </w:rPr>
              <w:t>1</w:t>
            </w:r>
          </w:p>
        </w:tc>
      </w:tr>
      <w:tr w:rsidR="00951F81" w14:paraId="2202457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346E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53E26" w14:textId="77777777" w:rsidR="00951F81" w:rsidRPr="00FF28F7" w:rsidRDefault="00951F81" w:rsidP="00B91B5A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DF7A4" w14:textId="77777777" w:rsidR="00951F81" w:rsidRPr="00FF28F7" w:rsidRDefault="00951F81" w:rsidP="00B91B5A">
            <w:pPr>
              <w:keepNext/>
            </w:pPr>
            <w:r>
              <w:t>Osteonekróza čelisti</w:t>
            </w:r>
            <w:r>
              <w:rPr>
                <w:vertAlign w:val="superscript"/>
              </w:rPr>
              <w:t>1</w:t>
            </w:r>
          </w:p>
        </w:tc>
      </w:tr>
      <w:tr w:rsidR="00951F81" w14:paraId="1C4D166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B070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A556" w14:textId="77777777" w:rsidR="00951F81" w:rsidRPr="00FF28F7" w:rsidRDefault="00951F81" w:rsidP="00B91B5A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C9640" w14:textId="77777777" w:rsidR="00951F81" w:rsidRPr="00FF28F7" w:rsidRDefault="00951F81" w:rsidP="00B91B5A">
            <w:pPr>
              <w:keepNext/>
            </w:pPr>
            <w:r>
              <w:t>Atypické zlomeniny femuru</w:t>
            </w:r>
            <w:r>
              <w:rPr>
                <w:vertAlign w:val="superscript"/>
              </w:rPr>
              <w:t>1</w:t>
            </w:r>
          </w:p>
        </w:tc>
      </w:tr>
      <w:tr w:rsidR="00951F81" w14:paraId="555FEC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A35" w14:textId="77777777" w:rsidR="00951F81" w:rsidRPr="00FF28F7" w:rsidRDefault="00951F81" w:rsidP="00B91B5A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1B2" w14:textId="77777777" w:rsidR="00951F81" w:rsidRPr="00FF28F7" w:rsidRDefault="00951F81" w:rsidP="00B91B5A">
            <w:pPr>
              <w:keepNext/>
            </w:pPr>
            <w:r>
              <w:t>Není známo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FD4" w14:textId="77777777" w:rsidR="00951F81" w:rsidRPr="00FF28F7" w:rsidRDefault="00951F81" w:rsidP="00B91B5A">
            <w:pPr>
              <w:keepNext/>
            </w:pPr>
            <w:r>
              <w:t>Osteonekróza zevního zvukovodu</w:t>
            </w:r>
            <w:r>
              <w:rPr>
                <w:vertAlign w:val="superscript"/>
              </w:rPr>
              <w:t>2</w:t>
            </w:r>
          </w:p>
        </w:tc>
      </w:tr>
    </w:tbl>
    <w:p w14:paraId="5C0684D4" w14:textId="2C96E508" w:rsidR="00951F81" w:rsidRPr="00654719" w:rsidRDefault="00951F81" w:rsidP="00B91B5A">
      <w:pPr>
        <w:keepNext/>
      </w:pPr>
      <w:r w:rsidRPr="00654719">
        <w:rPr>
          <w:vertAlign w:val="superscript"/>
        </w:rPr>
        <w:t>1</w:t>
      </w:r>
      <w:r w:rsidRPr="00654719">
        <w:t xml:space="preserve"> Viz Popis vybraných nežádoucích účinků.</w:t>
      </w:r>
    </w:p>
    <w:p w14:paraId="0122A1C5" w14:textId="77777777" w:rsidR="00951F81" w:rsidRPr="00654719" w:rsidRDefault="00951F81" w:rsidP="00B91B5A">
      <w:r w:rsidRPr="00654719">
        <w:rPr>
          <w:vertAlign w:val="superscript"/>
        </w:rPr>
        <w:t>2</w:t>
      </w:r>
      <w:r w:rsidRPr="00654719">
        <w:t xml:space="preserve"> Viz bod 4.4.</w:t>
      </w:r>
    </w:p>
    <w:p w14:paraId="28A4B37F" w14:textId="77777777" w:rsidR="00951F81" w:rsidRPr="00FF28F7" w:rsidRDefault="00951F81" w:rsidP="00B91B5A">
      <w:pPr>
        <w:pStyle w:val="CommentText"/>
        <w:rPr>
          <w:sz w:val="22"/>
        </w:rPr>
      </w:pPr>
    </w:p>
    <w:p w14:paraId="5186DA11" w14:textId="08DF46A1" w:rsidR="00951F81" w:rsidRPr="00FF28F7" w:rsidRDefault="00951F81" w:rsidP="00B91B5A">
      <w:r>
        <w:t xml:space="preserve">V souhrnné analýze údajů z placebem kontrolovaných klinických </w:t>
      </w:r>
      <w:r w:rsidR="008A07E6">
        <w:t>studií</w:t>
      </w:r>
      <w:r>
        <w:t xml:space="preserve"> fáze II a fáze III byla přibližná frekvence výskytu onemocnění s příznaky podobnými chřipce 1,2 % při podávání denosumabu a 0,7 % u placeba. Ačkoliv souhrnná analýza zjistila výše uvedený rozdíl, stratifikovaná analýza tento rozdíl nepotvrdila.</w:t>
      </w:r>
    </w:p>
    <w:p w14:paraId="3D6895BB" w14:textId="77777777" w:rsidR="00951F81" w:rsidRPr="00FF28F7" w:rsidRDefault="00951F81" w:rsidP="00B91B5A"/>
    <w:p w14:paraId="7044F71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Popis vybraných nežádoucích účinků</w:t>
      </w:r>
    </w:p>
    <w:p w14:paraId="20C8AE49" w14:textId="77777777" w:rsidR="00951F81" w:rsidRPr="00FF28F7" w:rsidRDefault="00951F81" w:rsidP="00B91B5A">
      <w:pPr>
        <w:keepNext/>
      </w:pPr>
    </w:p>
    <w:p w14:paraId="4DD2FA8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31E1652F" w14:textId="3EA2D45D" w:rsidR="00951F81" w:rsidRPr="00FF28F7" w:rsidRDefault="00951F81" w:rsidP="00B91B5A">
      <w:r>
        <w:t xml:space="preserve">Ve dvou placebem kontrolovaných klinických studiích fáze III u postmenopauzálních žen s osteoporózou byl po podání </w:t>
      </w:r>
      <w:r w:rsidR="00941EAE">
        <w:t>denosumabu</w:t>
      </w:r>
      <w:r>
        <w:t xml:space="preserve"> zaznamenán pokles hladiny vápníku (pod 1,88 mmol/l) přibližně u 0,05 % (2 ze 4050) pacientek. Poklesy hladin vápníku v séru (pod 1,88 mmol/l) nebyly hlášeny ve dvou placebem kontrolovaných klinických studiích fáze III u pacientů léčených hormonální ablací ani v placebem kontrolované klinické studii fáze III u mužů s osteoporózou.</w:t>
      </w:r>
    </w:p>
    <w:p w14:paraId="2FB6F939" w14:textId="77777777" w:rsidR="006079AB" w:rsidRPr="00FF28F7" w:rsidRDefault="006079AB" w:rsidP="00B91B5A"/>
    <w:p w14:paraId="4E27AD95" w14:textId="522017DF" w:rsidR="00951F81" w:rsidRDefault="00951F81" w:rsidP="00B91B5A">
      <w:r>
        <w:t>Po uvedení přípravku na trh byla převážně u pacientů se zvýšeným rizikem výskytu hypokalcemie dostávajících denosumab vzácně hlášena závažná symptomatická hypokalcemie, která měla za následek hospitalizaci, život ohrožující nežádoucí účinky a fatální případy. Většina případů se vyskytla během prvních týdnů úvodní léčby. Příklady klinických projevů závažné symptomatické hypokalcemie zahrnovaly prodloužení QT intervalu, tetanii, křeče a poruchy duševního stavu (viz bod 4.4). Příznaky hypokalcemie v klinických studiích s denosumabem zahrnovaly parestézie nebo svalovou ztuhlost, záškuby, spazmy a svalové křeče.</w:t>
      </w:r>
    </w:p>
    <w:p w14:paraId="633AFF06" w14:textId="77777777" w:rsidR="00951F81" w:rsidRDefault="00951F81" w:rsidP="00B91B5A"/>
    <w:p w14:paraId="6494E8F3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3FB99A0E" w14:textId="75A440A0" w:rsidR="00951F81" w:rsidRPr="00FF28F7" w:rsidRDefault="00951F81" w:rsidP="00B91B5A">
      <w:r>
        <w:t xml:space="preserve">V placebem kontrolovaných klinických studiích fáze III byl celkový výskyt kožních infekcí podobný v placebové skupině i ve skupině léčené denosumabem: u postmenopauzálních žen s osteoporózou (placebo [1,2 %, 50 ze 4041] versus </w:t>
      </w:r>
      <w:r w:rsidR="00941EAE">
        <w:t>denosumab</w:t>
      </w:r>
      <w:r>
        <w:t xml:space="preserve"> [1,5 %, 59 ze 4050]); u mužů s osteoporózou (placebo [0,8 %, 1 ze 120] versus </w:t>
      </w:r>
      <w:r w:rsidR="00941EAE">
        <w:t xml:space="preserve">denosumab </w:t>
      </w:r>
      <w:r>
        <w:t>[0 %, 0 ze 120]); u pacientů s </w:t>
      </w:r>
      <w:r w:rsidR="004C2EF7">
        <w:t>karcinomem</w:t>
      </w:r>
      <w:r>
        <w:t xml:space="preserve"> prsu nebo prostaty léčených hormonální ablací (placebo [1,7 %, 14 z 845] versus </w:t>
      </w:r>
      <w:r w:rsidR="00941EAE">
        <w:t xml:space="preserve">denosumab </w:t>
      </w:r>
      <w:r>
        <w:t xml:space="preserve">[1,4 %, 12 z 860]). Kožní infekce vyžadující hospitalizaci byly hlášeny u 0,1 % (3 ze 4041) postmenopauzálních žen s osteoporózou užívajících placebo, oproti 0,4 % (16 ze 4050) žen léčených </w:t>
      </w:r>
      <w:r w:rsidR="00941EAE">
        <w:t>denosumabem</w:t>
      </w:r>
      <w:r>
        <w:t xml:space="preserve">. V těchto případech se jednalo převážně o flegmónu. V klinických </w:t>
      </w:r>
      <w:r w:rsidR="008A07E6">
        <w:t>studiích</w:t>
      </w:r>
      <w:r>
        <w:t xml:space="preserve"> u pacientů s </w:t>
      </w:r>
      <w:r w:rsidR="004C2EF7">
        <w:t>karcinomem</w:t>
      </w:r>
      <w:r>
        <w:t xml:space="preserve"> prsu nebo prostaty byl výskyt kožních infekcí, hlášených jako závažný nežádoucí účinek, ve skupině léčené placebem (0,6 %, 5 z 845) i ve skupinách léčených </w:t>
      </w:r>
      <w:r w:rsidR="00941EAE">
        <w:t xml:space="preserve">denosumabem </w:t>
      </w:r>
      <w:r>
        <w:t>(0,6 %, 5 z 860) podobný.</w:t>
      </w:r>
    </w:p>
    <w:p w14:paraId="4E57D484" w14:textId="77777777" w:rsidR="00951F81" w:rsidRPr="00FF28F7" w:rsidRDefault="00951F81" w:rsidP="00B91B5A"/>
    <w:p w14:paraId="1A80A61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</w:t>
      </w:r>
    </w:p>
    <w:p w14:paraId="5470ADE6" w14:textId="395032D6" w:rsidR="00951F81" w:rsidRDefault="00951F81" w:rsidP="00B91B5A">
      <w:r>
        <w:t>ONJ byla hlášena vzácně</w:t>
      </w:r>
      <w:r w:rsidR="00E46216">
        <w:t>,</w:t>
      </w:r>
      <w:r>
        <w:t xml:space="preserve"> u 16 pacientů</w:t>
      </w:r>
      <w:r w:rsidR="00E46216">
        <w:t>,</w:t>
      </w:r>
      <w:r>
        <w:t xml:space="preserve"> v klinických studiích s osteoporózou a u pacientů s </w:t>
      </w:r>
      <w:r w:rsidR="004C2EF7">
        <w:t xml:space="preserve">karcinomem </w:t>
      </w:r>
      <w:r>
        <w:t>prsu nebo prostaty léčených hormonální ablací zahrnujících celkem 23148 pacientů (viz bod 4.4). Třináct z těchto případů ONJ se vyskytlo u postmenopauzálních žen s osteoporózou v průběhu prodloužení fáze III klinické</w:t>
      </w:r>
      <w:r w:rsidR="008A07E6">
        <w:t xml:space="preserve"> studie</w:t>
      </w:r>
      <w:r>
        <w:t xml:space="preserve"> po léčbě denosumabem po dobu až 10 let. Incidence ONJ byla 0,04 % u 3leté, 0,06 % u 5leté a 0,44 % u 10leté léčby denosumabem. Riziko výskytu ONJ se zvyšovalo s dobou trvání expozice denosumabu.</w:t>
      </w:r>
    </w:p>
    <w:p w14:paraId="5770F1E8" w14:textId="77777777" w:rsidR="00D67D34" w:rsidRDefault="00D67D34" w:rsidP="00B91B5A"/>
    <w:p w14:paraId="01C71654" w14:textId="4EA52FEA" w:rsidR="004D1912" w:rsidRDefault="004D1912" w:rsidP="00B91B5A">
      <w:pPr>
        <w:rPr>
          <w:rFonts w:cs="Verdana"/>
          <w:i/>
          <w:iCs/>
          <w:color w:val="000000"/>
        </w:rPr>
      </w:pPr>
      <w:r>
        <w:t>Riziko výskytu ONJ bylo také hodnoceno v retrospektivní kohortové studii u 76</w:t>
      </w:r>
      <w:r w:rsidR="000B2B37">
        <w:t> </w:t>
      </w:r>
      <w:r>
        <w:t>192</w:t>
      </w:r>
      <w:r w:rsidR="000B2B37">
        <w:t xml:space="preserve"> </w:t>
      </w:r>
      <w:r>
        <w:t xml:space="preserve">postmenopauzálních žen, u kterých byla nově zahájena léčba </w:t>
      </w:r>
      <w:r w:rsidR="00941EAE">
        <w:t>denosumabem</w:t>
      </w:r>
      <w:r>
        <w:t>. Incidence ONJ byla 0,32 % (95% interval spolehlivosti [CI]: 0,26; 0,39) u pacient</w:t>
      </w:r>
      <w:r w:rsidR="00A132A3">
        <w:t>ek</w:t>
      </w:r>
      <w:r>
        <w:t xml:space="preserve"> </w:t>
      </w:r>
      <w:r w:rsidR="00B82CC1">
        <w:t>po</w:t>
      </w:r>
      <w:r>
        <w:t>užívajících denosumab po dobu až 3 let a 0,51 % (95%</w:t>
      </w:r>
      <w:r w:rsidR="00941EAE">
        <w:t xml:space="preserve"> </w:t>
      </w:r>
      <w:r>
        <w:t>CI: 0,39; 0,65) u pacient</w:t>
      </w:r>
      <w:r w:rsidR="00A132A3">
        <w:t>ek</w:t>
      </w:r>
      <w:r>
        <w:t xml:space="preserve"> </w:t>
      </w:r>
      <w:r w:rsidR="00DB138D">
        <w:t>po</w:t>
      </w:r>
      <w:r>
        <w:t>užívajících denosumab po dobu až 5 let v rámci následného sledování.</w:t>
      </w:r>
    </w:p>
    <w:p w14:paraId="01CC3FD4" w14:textId="77777777" w:rsidR="00951F81" w:rsidRDefault="00951F81" w:rsidP="00B91B5A"/>
    <w:p w14:paraId="13B95161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Atypické zlomeniny femuru</w:t>
      </w:r>
    </w:p>
    <w:p w14:paraId="4773B3E8" w14:textId="0DCAC086" w:rsidR="00951F81" w:rsidRPr="00FF28F7" w:rsidRDefault="00951F81" w:rsidP="00B91B5A">
      <w:r>
        <w:t>V programu klinických studií s osteoporózou byly vzácně hlášeny atypické zlomeniny femuru u pacientů léčených denosumabem (viz bod 4.4).</w:t>
      </w:r>
    </w:p>
    <w:p w14:paraId="3CC9A891" w14:textId="77777777" w:rsidR="00951F81" w:rsidRPr="00FF28F7" w:rsidRDefault="00951F81" w:rsidP="00B91B5A"/>
    <w:p w14:paraId="1F54A1FD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Divertikulitida</w:t>
      </w:r>
    </w:p>
    <w:p w14:paraId="0CD71C30" w14:textId="7343E894" w:rsidR="00951F81" w:rsidRPr="00FF28F7" w:rsidRDefault="00951F81" w:rsidP="00B91B5A">
      <w:r>
        <w:t>V jedn</w:t>
      </w:r>
      <w:r w:rsidR="008A07E6">
        <w:t>é</w:t>
      </w:r>
      <w:r>
        <w:t xml:space="preserve"> placebem kontrolované klinické </w:t>
      </w:r>
      <w:r w:rsidR="008A07E6">
        <w:t>studii</w:t>
      </w:r>
      <w:r>
        <w:t xml:space="preserve"> fáze III u pacientů s </w:t>
      </w:r>
      <w:r w:rsidR="004C2EF7">
        <w:t xml:space="preserve">karcinomem </w:t>
      </w:r>
      <w:r>
        <w:t xml:space="preserve">prostaty léčených androgen deprivační terapií (ADT) byl pozorován rozdílný výskyt divertikulitidy jako nežádoucího účinku (1,2 % denosumab, 0 % placebo). Incidence divertikulitidy ve skupině postmenopauzálních žen nebo mužů s osteoporózou a ve skupině žen léčených inhibitory aromatázy pro nemetastazující </w:t>
      </w:r>
      <w:r w:rsidR="004C2EF7">
        <w:t>karcinom</w:t>
      </w:r>
      <w:r>
        <w:t xml:space="preserve"> prsu byla srovnatelná.</w:t>
      </w:r>
    </w:p>
    <w:p w14:paraId="33611689" w14:textId="77777777" w:rsidR="00951F81" w:rsidRPr="00FF28F7" w:rsidRDefault="00951F81" w:rsidP="00B91B5A"/>
    <w:p w14:paraId="2EAA48FB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Hypersenzitivní reakce související s lékem</w:t>
      </w:r>
    </w:p>
    <w:p w14:paraId="55BE9C66" w14:textId="7932F426" w:rsidR="00951F81" w:rsidRPr="00FF28F7" w:rsidRDefault="00951F81" w:rsidP="00B91B5A">
      <w:r>
        <w:t xml:space="preserve">Po uvedení přípravku na trh byla u pacientů </w:t>
      </w:r>
      <w:r w:rsidR="003E63DA">
        <w:t>po</w:t>
      </w:r>
      <w:r w:rsidR="00941EAE">
        <w:t>užívajících denosumab</w:t>
      </w:r>
      <w:r>
        <w:t xml:space="preserve"> vzácně hlášena hypersenzitivita související s lékem, včetně vyrážky, urtikarie, otoku obličeje, erytému a anafylaktických reakcí.</w:t>
      </w:r>
    </w:p>
    <w:p w14:paraId="0C82DF62" w14:textId="77777777" w:rsidR="00951F81" w:rsidRPr="00FF28F7" w:rsidRDefault="00951F81" w:rsidP="00B91B5A"/>
    <w:p w14:paraId="13C05C6A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Muskuloskeletální bolest</w:t>
      </w:r>
    </w:p>
    <w:p w14:paraId="55A60F9F" w14:textId="4AA53364" w:rsidR="00951F81" w:rsidRPr="00FF28F7" w:rsidRDefault="00951F81" w:rsidP="00B91B5A">
      <w:r>
        <w:t xml:space="preserve">Po uvedení přípravku na trh byla u pacientů užívajících </w:t>
      </w:r>
      <w:r w:rsidR="00941EAE">
        <w:t xml:space="preserve">denosumab </w:t>
      </w:r>
      <w:r>
        <w:t>hlášena muskuloskeletální bolest včetně závažných případů. V klinických studiích byla muskuloskeletální bolest velmi častá v obou skupinách jak s denosumabem, tak s placebem. Muskuloskeletální bolest vedoucí k přerušení léčby ve studii byla méně častá.</w:t>
      </w:r>
    </w:p>
    <w:p w14:paraId="5EB21AAE" w14:textId="77777777" w:rsidR="00951F81" w:rsidRPr="00FF28F7" w:rsidRDefault="00951F81" w:rsidP="00B91B5A"/>
    <w:p w14:paraId="71B66FD5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Lichenoidní erupce způsobené léky</w:t>
      </w:r>
    </w:p>
    <w:p w14:paraId="7EED2A6C" w14:textId="77777777" w:rsidR="00951F81" w:rsidRPr="00FF28F7" w:rsidRDefault="00951F81" w:rsidP="00B91B5A">
      <w:r>
        <w:t>Lichenoidní erupce způsobené léky (např. reakce odpovídající obrazu lichen ruber planus) byly hlášeny u pacientů po uvedení přípravku na trh.</w:t>
      </w:r>
    </w:p>
    <w:p w14:paraId="6B816EBD" w14:textId="77777777" w:rsidR="00951F81" w:rsidRPr="00FF28F7" w:rsidRDefault="00951F81" w:rsidP="00B91B5A"/>
    <w:p w14:paraId="5F822C1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Jiné zvláštní skupiny pacientů</w:t>
      </w:r>
    </w:p>
    <w:p w14:paraId="1FE249B2" w14:textId="77777777" w:rsidR="00951F81" w:rsidRDefault="00951F81" w:rsidP="00B91B5A">
      <w:pPr>
        <w:keepNext/>
      </w:pPr>
    </w:p>
    <w:p w14:paraId="4731F540" w14:textId="77777777" w:rsidR="00951F81" w:rsidRPr="00434AA6" w:rsidRDefault="00951F81" w:rsidP="00B91B5A">
      <w:pPr>
        <w:keepNext/>
        <w:rPr>
          <w:i/>
          <w:iCs/>
        </w:rPr>
      </w:pPr>
      <w:r>
        <w:rPr>
          <w:i/>
        </w:rPr>
        <w:t>Pediatrická populace</w:t>
      </w:r>
    </w:p>
    <w:p w14:paraId="629A6BF1" w14:textId="0F3E5980" w:rsidR="00951F81" w:rsidRDefault="00951F81" w:rsidP="00B91B5A">
      <w:r>
        <w:t xml:space="preserve">Přípravek </w:t>
      </w:r>
      <w:r w:rsidR="008D4A9A">
        <w:t>Kefdensis</w:t>
      </w:r>
      <w:r>
        <w:t xml:space="preserve"> se nemá používat u pediatrických pacientů (ve věku do 18 let). Byla hlášena závažná hyperkalcemie (viz bod 5.1). Některé případy v klinických </w:t>
      </w:r>
      <w:r w:rsidR="008A07E6">
        <w:t>studiích</w:t>
      </w:r>
      <w:r>
        <w:t xml:space="preserve"> byly komplikované akutním poškozením ledvin.</w:t>
      </w:r>
    </w:p>
    <w:p w14:paraId="592BF8A1" w14:textId="77777777" w:rsidR="00951F81" w:rsidRPr="00FF28F7" w:rsidRDefault="00951F81" w:rsidP="00B91B5A">
      <w:pPr>
        <w:keepNext/>
      </w:pPr>
    </w:p>
    <w:p w14:paraId="06EE30E7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7AD6BD6B" w14:textId="65FC2DFB" w:rsidR="00951F81" w:rsidRPr="00FF28F7" w:rsidRDefault="00951F81" w:rsidP="00B91B5A">
      <w:r>
        <w:t xml:space="preserve">V klinických </w:t>
      </w:r>
      <w:r w:rsidR="008A07E6">
        <w:t>studiích</w:t>
      </w:r>
      <w:r>
        <w:t xml:space="preserve"> byli hypokalcemií více ohroženi pacienti s</w:t>
      </w:r>
      <w:r w:rsidR="00602C33">
        <w:t xml:space="preserve"> těžkou</w:t>
      </w:r>
      <w:r>
        <w:t xml:space="preserve"> poruchou funkce ledvin (clearance kreatininu &lt;30 ml/min) nebo dialyzovaní pacienti, pokud neužívali vápník. Dostatečný příjem vápníku a vitaminu D je důležitý u pacientů </w:t>
      </w:r>
      <w:r w:rsidR="00941EAE">
        <w:t>s těžkou</w:t>
      </w:r>
      <w:r>
        <w:t xml:space="preserve"> poruchou funkce ledvin nebo u dialyzovaných pacientů (viz bod 4.4).</w:t>
      </w:r>
    </w:p>
    <w:p w14:paraId="1B2DB838" w14:textId="77777777" w:rsidR="00951F81" w:rsidRPr="00FF28F7" w:rsidRDefault="00951F81" w:rsidP="00B91B5A"/>
    <w:p w14:paraId="44010A0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Hlášení podezření na nežádoucí účinky</w:t>
      </w:r>
    </w:p>
    <w:p w14:paraId="76EB2FB2" w14:textId="77777777" w:rsidR="00951F81" w:rsidRPr="00FF28F7" w:rsidRDefault="00951F81" w:rsidP="00B91B5A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eastAsia="en-GB"/>
        </w:rPr>
      </w:pPr>
    </w:p>
    <w:p w14:paraId="3791A87D" w14:textId="42A9F76D" w:rsidR="00951F81" w:rsidRPr="00FF28F7" w:rsidRDefault="00951F81" w:rsidP="00B91B5A">
      <w:r w:rsidRPr="005926D3"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5926D3">
        <w:rPr>
          <w:highlight w:val="lightGray"/>
        </w:rPr>
        <w:t>prostřednictvím národního systému hlášení nežádoucích účinků uvedeného v </w:t>
      </w:r>
      <w:hyperlink r:id="rId14" w:history="1">
        <w:r w:rsidRPr="005926D3">
          <w:rPr>
            <w:rStyle w:val="Hyperlink"/>
            <w:highlight w:val="lightGray"/>
          </w:rPr>
          <w:t>Dodatku V</w:t>
        </w:r>
      </w:hyperlink>
      <w:r w:rsidRPr="005926D3">
        <w:t>.</w:t>
      </w:r>
    </w:p>
    <w:p w14:paraId="69F9A1BE" w14:textId="77777777" w:rsidR="00951F81" w:rsidRPr="00FF28F7" w:rsidRDefault="00951F81" w:rsidP="00B91B5A"/>
    <w:p w14:paraId="28BEEA2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4.9</w:t>
      </w:r>
      <w:r>
        <w:rPr>
          <w:b/>
        </w:rPr>
        <w:tab/>
        <w:t>Předávkování</w:t>
      </w:r>
    </w:p>
    <w:p w14:paraId="3F2A1590" w14:textId="77777777" w:rsidR="00951F81" w:rsidRPr="00FF28F7" w:rsidRDefault="00951F81" w:rsidP="00B91B5A">
      <w:pPr>
        <w:keepNext/>
      </w:pPr>
    </w:p>
    <w:p w14:paraId="4C8A1A04" w14:textId="7A2CE29E" w:rsidR="00951F81" w:rsidRPr="00FF28F7" w:rsidRDefault="00951F81" w:rsidP="00B91B5A">
      <w:r>
        <w:t xml:space="preserve">Neexistují zkušenosti s předávkováním v klinických </w:t>
      </w:r>
      <w:r w:rsidR="00602C33">
        <w:t>studiích</w:t>
      </w:r>
      <w:r>
        <w:t xml:space="preserve">. Denosumab byl podáván v rámci klinických </w:t>
      </w:r>
      <w:r w:rsidR="00602C33">
        <w:t>studií</w:t>
      </w:r>
      <w:r>
        <w:t xml:space="preserve"> v dávkách až 180 mg každé 4 týdny (kumulativní dávky až 1 080 mg za 6 měsíců) a žádné další nežádoucí účinky nebyly pozorovány.</w:t>
      </w:r>
    </w:p>
    <w:p w14:paraId="6914EA16" w14:textId="77777777" w:rsidR="00951F81" w:rsidRPr="00FF28F7" w:rsidRDefault="00951F81" w:rsidP="00B91B5A"/>
    <w:p w14:paraId="626537A4" w14:textId="77777777" w:rsidR="00951F81" w:rsidRPr="00FF28F7" w:rsidRDefault="00951F81" w:rsidP="00B91B5A"/>
    <w:p w14:paraId="60146CC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0A9D5B0C" w14:textId="77777777" w:rsidR="00951F81" w:rsidRPr="00FF28F7" w:rsidRDefault="00951F81" w:rsidP="00B91B5A">
      <w:pPr>
        <w:keepNext/>
      </w:pPr>
    </w:p>
    <w:p w14:paraId="51BA858B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5.1</w:t>
      </w:r>
      <w:r>
        <w:rPr>
          <w:b/>
        </w:rPr>
        <w:tab/>
        <w:t>Farmakodynamické vlastnosti</w:t>
      </w:r>
    </w:p>
    <w:p w14:paraId="7BA20972" w14:textId="77777777" w:rsidR="00951F81" w:rsidRPr="00FF28F7" w:rsidRDefault="00951F81" w:rsidP="00B91B5A">
      <w:pPr>
        <w:keepNext/>
      </w:pPr>
    </w:p>
    <w:p w14:paraId="12516675" w14:textId="77777777" w:rsidR="00951F81" w:rsidRPr="00FF28F7" w:rsidRDefault="00951F81" w:rsidP="00B91B5A">
      <w:r>
        <w:t>Farmakoterapeutická skupina: Léčiva k terapii nemocí kostí – jiná léčiva ovlivňující stavbu a mineralizaci kosti, ATC kód: M05BX04</w:t>
      </w:r>
    </w:p>
    <w:p w14:paraId="57D45CB6" w14:textId="77777777" w:rsidR="00951F81" w:rsidRDefault="00951F81" w:rsidP="00B91B5A"/>
    <w:p w14:paraId="7F4D3956" w14:textId="0037ECF8" w:rsidR="00602C33" w:rsidRPr="00442125" w:rsidRDefault="00602C33" w:rsidP="00B91B5A">
      <w:r w:rsidRPr="005926D3">
        <w:t xml:space="preserve">Kefdensis </w:t>
      </w:r>
      <w:r w:rsidR="005926D3" w:rsidRPr="005926D3">
        <w:t>je</w:t>
      </w:r>
      <w:r w:rsidR="005926D3">
        <w:t xml:space="preserve"> tzv. podobným biologickým léčivým přípravkem („biosimilar“). Podrobné informace jsou k dispozici na webových stránkách Evropské agentury pro léčivé přípravky </w:t>
      </w:r>
      <w:hyperlink r:id="rId15" w:history="1">
        <w:r w:rsidR="005926D3" w:rsidRPr="0099067D">
          <w:rPr>
            <w:rStyle w:val="Hyperlink"/>
            <w:noProof/>
          </w:rPr>
          <w:t>https://www.ema.europa.eu</w:t>
        </w:r>
      </w:hyperlink>
      <w:r w:rsidR="005926D3">
        <w:rPr>
          <w:rStyle w:val="Hyperlink"/>
          <w:noProof/>
        </w:rPr>
        <w:t>.</w:t>
      </w:r>
    </w:p>
    <w:p w14:paraId="2146469B" w14:textId="77777777" w:rsidR="00602C33" w:rsidRDefault="00602C33" w:rsidP="00B91B5A"/>
    <w:p w14:paraId="08F5938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Mechanismus účinku</w:t>
      </w:r>
    </w:p>
    <w:p w14:paraId="50295A9D" w14:textId="77777777" w:rsidR="00951F81" w:rsidRPr="00FF28F7" w:rsidRDefault="00951F81" w:rsidP="00B91B5A">
      <w:pPr>
        <w:keepNext/>
        <w:rPr>
          <w:u w:val="single"/>
        </w:rPr>
      </w:pPr>
    </w:p>
    <w:p w14:paraId="5D861831" w14:textId="52F6A648" w:rsidR="00951F81" w:rsidRPr="00FF28F7" w:rsidRDefault="00951F81" w:rsidP="00B91B5A">
      <w:r>
        <w:t xml:space="preserve">Denosumab je lidská monoklonální protilátka (IgG2), která se s vysokou afinitou i specificitou zaměřuje a váže na RANKL a zabraňuje aktivaci jeho receptoru, RANK, na povrchu osteoklastů a jejich prekurzorů. Zabráněním interakce RANKL/RANK inhibuje tvorbu, funkci a životnost osteoklastů, a tím snižuje resorpci </w:t>
      </w:r>
      <w:r w:rsidR="004A066C">
        <w:t xml:space="preserve">kompaktní </w:t>
      </w:r>
      <w:r>
        <w:t xml:space="preserve">a </w:t>
      </w:r>
      <w:r w:rsidR="004A066C">
        <w:t>spongiózní</w:t>
      </w:r>
      <w:r>
        <w:t xml:space="preserve"> kosti.</w:t>
      </w:r>
    </w:p>
    <w:p w14:paraId="7C5B03DD" w14:textId="77777777" w:rsidR="00951F81" w:rsidRPr="00FF28F7" w:rsidRDefault="00951F81" w:rsidP="00B91B5A"/>
    <w:p w14:paraId="4AB01CFC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Farmakodynamické účinky</w:t>
      </w:r>
    </w:p>
    <w:p w14:paraId="6154D85F" w14:textId="77777777" w:rsidR="00951F81" w:rsidRPr="00FF28F7" w:rsidRDefault="00951F81" w:rsidP="00B91B5A">
      <w:pPr>
        <w:keepNext/>
      </w:pPr>
    </w:p>
    <w:p w14:paraId="0EFD92C6" w14:textId="5C3D025B" w:rsidR="00951F81" w:rsidRPr="00FF28F7" w:rsidRDefault="00951F81" w:rsidP="00B91B5A">
      <w:r>
        <w:t xml:space="preserve">Léčba </w:t>
      </w:r>
      <w:r w:rsidR="00602C33">
        <w:t>denosumabem</w:t>
      </w:r>
      <w:r>
        <w:t xml:space="preserve"> rychle snížila rychlost kostního obratu (</w:t>
      </w:r>
      <w:r>
        <w:rPr>
          <w:i/>
        </w:rPr>
        <w:t>bone turnover</w:t>
      </w:r>
      <w:r>
        <w:t>), nejnižších hladin sérového markeru kostní resorpce, C</w:t>
      </w:r>
      <w:r>
        <w:noBreakHyphen/>
        <w:t>telopeptidu typu 1 (CTX) (85% pokles), bylo dosaženo do 3 dnů a tento pokles přetrval po celou dobu intervalu dávkování. Na konci každého dávkovacího intervalu byl pokles CTX méně výrazný, z maxima ≥87 % na přibližně ≥45 % (rozmezí 45</w:t>
      </w:r>
      <w:r>
        <w:noBreakHyphen/>
        <w:t xml:space="preserve">80 %), což odráží reverzibilitu účinku </w:t>
      </w:r>
      <w:r w:rsidR="00602C33">
        <w:t>denosumabu</w:t>
      </w:r>
      <w:r>
        <w:t xml:space="preserve"> na remodelaci kosti, jakmile dojde k poklesu jeho sérové hladiny. Tyto účinky při pokračující léčbě přetrvávaly. Markery kostního obratu obecně dosáhly hladin před zahájením léčby během 9 měsíců po poslední dávce. Při znovuzahájení léčby byl pokles CTX vlivem denosumabu podobný poklesu pozorovanému u pacientů na začátku primární léčby denosumabem.</w:t>
      </w:r>
    </w:p>
    <w:p w14:paraId="30F47CBD" w14:textId="77777777" w:rsidR="00951F81" w:rsidRPr="00FF28F7" w:rsidRDefault="00951F81" w:rsidP="00B91B5A"/>
    <w:p w14:paraId="2E622B17" w14:textId="77777777" w:rsidR="00951F81" w:rsidRPr="00654719" w:rsidRDefault="00951F81" w:rsidP="00B91B5A">
      <w:pPr>
        <w:keepNext/>
        <w:rPr>
          <w:u w:val="single"/>
        </w:rPr>
      </w:pPr>
      <w:r w:rsidRPr="00654719">
        <w:rPr>
          <w:u w:val="single"/>
        </w:rPr>
        <w:t>Imunogenita</w:t>
      </w:r>
    </w:p>
    <w:p w14:paraId="071BCF53" w14:textId="77777777" w:rsidR="00951F81" w:rsidRPr="00654719" w:rsidRDefault="00951F81" w:rsidP="00B91B5A">
      <w:pPr>
        <w:keepNext/>
      </w:pPr>
    </w:p>
    <w:p w14:paraId="129980EE" w14:textId="05AC77C5" w:rsidR="00602C33" w:rsidRPr="00442125" w:rsidRDefault="005926D3" w:rsidP="00B91B5A">
      <w:pPr>
        <w:ind w:left="-5" w:right="3"/>
      </w:pPr>
      <w:r w:rsidRPr="00654719">
        <w:t xml:space="preserve">V průběhu léčby denosumabem se mohou tvořit protilátky proti denosumabu. Nebyla pozorována žádná </w:t>
      </w:r>
      <w:r w:rsidR="00654719" w:rsidRPr="00654719">
        <w:t>zřejmá</w:t>
      </w:r>
      <w:r w:rsidRPr="00654719">
        <w:t xml:space="preserve"> korelace mezi tvorbou protilátek a farmakokinetikou, klinickou odpovědí či nežádoucí příhodou. </w:t>
      </w:r>
    </w:p>
    <w:p w14:paraId="3D6041CE" w14:textId="77777777" w:rsidR="00951F81" w:rsidRPr="00FF28F7" w:rsidRDefault="00951F81" w:rsidP="00B91B5A"/>
    <w:p w14:paraId="30C9582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postmenopauzálních žen s osteoporózou</w:t>
      </w:r>
    </w:p>
    <w:p w14:paraId="37477B41" w14:textId="77777777" w:rsidR="00951F81" w:rsidRPr="00FF28F7" w:rsidRDefault="00951F81" w:rsidP="00B91B5A">
      <w:pPr>
        <w:keepNext/>
      </w:pPr>
    </w:p>
    <w:p w14:paraId="4C503119" w14:textId="643EC724" w:rsidR="00951F81" w:rsidRPr="00FF28F7" w:rsidRDefault="00951F81" w:rsidP="00B91B5A">
      <w:r>
        <w:t>Účinnost a bezpečnost denosumabu podávaného jednou za 6 měsíců po dobu 3 let byla studována u postmenopauzálních žen (7 808 žen ve věku 60</w:t>
      </w:r>
      <w:r>
        <w:noBreakHyphen/>
        <w:t>91 let, z nichž 23,6 % mělo převážně zlomeniny obratlů) se vstupním T</w:t>
      </w:r>
      <w:r>
        <w:noBreakHyphen/>
        <w:t>skóre kostní minerál</w:t>
      </w:r>
      <w:r w:rsidR="00CE3402">
        <w:t>ní denzity</w:t>
      </w:r>
      <w:r>
        <w:t xml:space="preserve"> (BMD) bederní páteře nebo celkového proximálního femuru v rozmezí −2,5 až −4,0 a průměrnou absolutní pravděpodobností zlomeniny za 10 let 18,60 % (decily: 7,9</w:t>
      </w:r>
      <w:r>
        <w:noBreakHyphen/>
        <w:t xml:space="preserve">32,4 %) pro velké osteoporotické zlomeniny </w:t>
      </w:r>
      <w:r w:rsidR="00CE3402">
        <w:t xml:space="preserve">a </w:t>
      </w:r>
      <w:r>
        <w:t>7,22% (decily: 1,4</w:t>
      </w:r>
      <w:r>
        <w:noBreakHyphen/>
        <w:t>14,9 %) pro zlomeninu celkového proximálního femuru. Ženy, které měly jiná onemocnění, nebo kterým byla podávána jiná léčba, která mohla mít účinky na kost, byly z</w:t>
      </w:r>
      <w:r w:rsidR="008A07E6">
        <w:t> </w:t>
      </w:r>
      <w:r>
        <w:t>klinické</w:t>
      </w:r>
      <w:r w:rsidR="008A07E6">
        <w:t xml:space="preserve"> studie</w:t>
      </w:r>
      <w:r>
        <w:t xml:space="preserve"> vyřazeny. Ženy každý den užívaly vápník (nejméně 1 000 mg) a vitamin D (nejméně 400 IU).</w:t>
      </w:r>
    </w:p>
    <w:p w14:paraId="3B7866AC" w14:textId="77777777" w:rsidR="00951F81" w:rsidRPr="00FF28F7" w:rsidRDefault="00951F81" w:rsidP="00B91B5A"/>
    <w:p w14:paraId="15079F1E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zlomeniny obratlů</w:t>
      </w:r>
    </w:p>
    <w:p w14:paraId="606FF213" w14:textId="6913B101" w:rsidR="00951F81" w:rsidRPr="00FF28F7" w:rsidRDefault="00602C33" w:rsidP="00B91B5A">
      <w:r>
        <w:t>Denosumab</w:t>
      </w:r>
      <w:r w:rsidR="00951F81">
        <w:t xml:space="preserve"> významně snížil riziko vzniku nových zlomenin obratlů po 1, 2 a 3 letech (p &lt; 0,0001) (viz tabulka 2).</w:t>
      </w:r>
    </w:p>
    <w:p w14:paraId="41A6BB3D" w14:textId="77777777" w:rsidR="00951F81" w:rsidRPr="00FF28F7" w:rsidRDefault="00951F81" w:rsidP="00B91B5A"/>
    <w:p w14:paraId="3469E210" w14:textId="729CFA26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 xml:space="preserve">Tabulka 2. Účinek </w:t>
      </w:r>
      <w:r w:rsidR="00602C33">
        <w:rPr>
          <w:b/>
        </w:rPr>
        <w:t>denosumabu</w:t>
      </w:r>
      <w:r>
        <w:rPr>
          <w:b/>
        </w:rPr>
        <w:t xml:space="preserve"> na riziko nových zlomenin obratlů</w:t>
      </w:r>
    </w:p>
    <w:p w14:paraId="5D123D8D" w14:textId="77777777" w:rsidR="00951F81" w:rsidRPr="00FF28F7" w:rsidRDefault="00951F81" w:rsidP="00B91B5A">
      <w:pPr>
        <w:keepNext/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0"/>
        <w:gridCol w:w="1996"/>
        <w:gridCol w:w="1996"/>
        <w:gridCol w:w="1906"/>
        <w:gridCol w:w="1768"/>
      </w:tblGrid>
      <w:tr w:rsidR="00951F81" w14:paraId="44A8A2D0" w14:textId="77777777" w:rsidTr="00FC6A5D">
        <w:trPr>
          <w:cantSplit/>
          <w:trHeight w:val="57"/>
          <w:tblHeader/>
        </w:trPr>
        <w:tc>
          <w:tcPr>
            <w:tcW w:w="652" w:type="pct"/>
            <w:vMerge w:val="restart"/>
          </w:tcPr>
          <w:p w14:paraId="1FD03DD7" w14:textId="77777777" w:rsidR="00951F81" w:rsidRPr="00FF28F7" w:rsidRDefault="00951F81" w:rsidP="00B91B5A">
            <w:pPr>
              <w:keepNext/>
            </w:pPr>
          </w:p>
        </w:tc>
        <w:tc>
          <w:tcPr>
            <w:tcW w:w="2264" w:type="pct"/>
            <w:gridSpan w:val="2"/>
          </w:tcPr>
          <w:p w14:paraId="12E11F00" w14:textId="77777777" w:rsidR="00951F81" w:rsidRPr="00FF28F7" w:rsidRDefault="00951F81" w:rsidP="00B91B5A">
            <w:pPr>
              <w:keepNext/>
              <w:jc w:val="center"/>
            </w:pPr>
            <w:r>
              <w:t>Podíl žen se zlomeninou (%)</w:t>
            </w:r>
          </w:p>
        </w:tc>
        <w:tc>
          <w:tcPr>
            <w:tcW w:w="1081" w:type="pct"/>
            <w:vMerge w:val="restart"/>
          </w:tcPr>
          <w:p w14:paraId="616EF7D3" w14:textId="77777777" w:rsidR="00951F81" w:rsidRPr="00FF28F7" w:rsidRDefault="00951F81" w:rsidP="00B91B5A">
            <w:pPr>
              <w:keepNext/>
            </w:pPr>
            <w:r>
              <w:t>Absolutní snížení rizika (%)</w:t>
            </w:r>
          </w:p>
          <w:p w14:paraId="792635A9" w14:textId="77777777" w:rsidR="00951F81" w:rsidRPr="00FF28F7" w:rsidRDefault="00951F81" w:rsidP="00B91B5A">
            <w:pPr>
              <w:keepNext/>
            </w:pPr>
            <w:r>
              <w:t>(95% CI)</w:t>
            </w:r>
          </w:p>
        </w:tc>
        <w:tc>
          <w:tcPr>
            <w:tcW w:w="1003" w:type="pct"/>
            <w:vMerge w:val="restart"/>
          </w:tcPr>
          <w:p w14:paraId="49E596B2" w14:textId="77777777" w:rsidR="00951F81" w:rsidRPr="00FF28F7" w:rsidRDefault="00951F81" w:rsidP="00B91B5A">
            <w:pPr>
              <w:keepNext/>
            </w:pPr>
            <w:r>
              <w:t>Relativní snížení rizika (%)</w:t>
            </w:r>
          </w:p>
          <w:p w14:paraId="07D2FFB6" w14:textId="77777777" w:rsidR="00951F81" w:rsidRPr="00FF28F7" w:rsidRDefault="00951F81" w:rsidP="00B91B5A">
            <w:pPr>
              <w:keepNext/>
            </w:pPr>
            <w:r>
              <w:t>(95% CI)</w:t>
            </w:r>
          </w:p>
        </w:tc>
      </w:tr>
      <w:tr w:rsidR="00951F81" w14:paraId="1F2C013D" w14:textId="77777777" w:rsidTr="00FC6A5D">
        <w:trPr>
          <w:cantSplit/>
          <w:trHeight w:val="57"/>
          <w:tblHeader/>
        </w:trPr>
        <w:tc>
          <w:tcPr>
            <w:tcW w:w="652" w:type="pct"/>
            <w:vMerge/>
          </w:tcPr>
          <w:p w14:paraId="147ADA29" w14:textId="77777777" w:rsidR="00951F81" w:rsidRPr="00FF28F7" w:rsidRDefault="00951F81" w:rsidP="00B91B5A">
            <w:pPr>
              <w:keepNext/>
            </w:pPr>
          </w:p>
        </w:tc>
        <w:tc>
          <w:tcPr>
            <w:tcW w:w="1132" w:type="pct"/>
          </w:tcPr>
          <w:p w14:paraId="48100D24" w14:textId="77777777" w:rsidR="00951F81" w:rsidRPr="00FF28F7" w:rsidRDefault="00951F81" w:rsidP="00B91B5A">
            <w:pPr>
              <w:keepNext/>
              <w:jc w:val="center"/>
            </w:pPr>
            <w:r>
              <w:t>Placebo</w:t>
            </w:r>
          </w:p>
          <w:p w14:paraId="2AD50B66" w14:textId="760641D9" w:rsidR="00951F81" w:rsidRPr="00FF28F7" w:rsidRDefault="00951F81" w:rsidP="00B91B5A">
            <w:pPr>
              <w:keepNext/>
              <w:jc w:val="center"/>
            </w:pPr>
            <w:r>
              <w:t>n = 3 906</w:t>
            </w:r>
          </w:p>
        </w:tc>
        <w:tc>
          <w:tcPr>
            <w:tcW w:w="1131" w:type="pct"/>
          </w:tcPr>
          <w:p w14:paraId="4A23226B" w14:textId="78129430" w:rsidR="00951F81" w:rsidRPr="00FF28F7" w:rsidRDefault="005926D3" w:rsidP="00B91B5A">
            <w:pPr>
              <w:keepNext/>
              <w:jc w:val="center"/>
            </w:pPr>
            <w:r>
              <w:t>Denosumab</w:t>
            </w:r>
          </w:p>
          <w:p w14:paraId="40EC3EF5" w14:textId="078A4942" w:rsidR="00951F81" w:rsidRPr="00FF28F7" w:rsidRDefault="00951F81" w:rsidP="00B91B5A">
            <w:pPr>
              <w:keepNext/>
              <w:jc w:val="center"/>
            </w:pPr>
            <w:r>
              <w:t>n = 3 902</w:t>
            </w:r>
          </w:p>
        </w:tc>
        <w:tc>
          <w:tcPr>
            <w:tcW w:w="1081" w:type="pct"/>
            <w:vMerge/>
          </w:tcPr>
          <w:p w14:paraId="42381FE9" w14:textId="77777777" w:rsidR="00951F81" w:rsidRPr="00FF28F7" w:rsidRDefault="00951F81" w:rsidP="00B91B5A">
            <w:pPr>
              <w:keepNext/>
            </w:pPr>
          </w:p>
        </w:tc>
        <w:tc>
          <w:tcPr>
            <w:tcW w:w="1003" w:type="pct"/>
            <w:vMerge/>
          </w:tcPr>
          <w:p w14:paraId="7E2CFE7D" w14:textId="77777777" w:rsidR="00951F81" w:rsidRPr="00FF28F7" w:rsidRDefault="00951F81" w:rsidP="00B91B5A">
            <w:pPr>
              <w:keepNext/>
            </w:pPr>
          </w:p>
        </w:tc>
      </w:tr>
      <w:tr w:rsidR="00951F81" w14:paraId="1AFD2607" w14:textId="77777777" w:rsidTr="00FC6A5D">
        <w:trPr>
          <w:cantSplit/>
          <w:trHeight w:val="57"/>
        </w:trPr>
        <w:tc>
          <w:tcPr>
            <w:tcW w:w="652" w:type="pct"/>
          </w:tcPr>
          <w:p w14:paraId="76385680" w14:textId="77777777" w:rsidR="00951F81" w:rsidRPr="00FF28F7" w:rsidRDefault="00951F81" w:rsidP="00B91B5A">
            <w:pPr>
              <w:keepNext/>
            </w:pPr>
            <w:r>
              <w:t>0–1 rok</w:t>
            </w:r>
          </w:p>
        </w:tc>
        <w:tc>
          <w:tcPr>
            <w:tcW w:w="1132" w:type="pct"/>
          </w:tcPr>
          <w:p w14:paraId="6A5B686E" w14:textId="77777777" w:rsidR="00951F81" w:rsidRPr="00FF28F7" w:rsidRDefault="00951F81" w:rsidP="00B91B5A">
            <w:pPr>
              <w:keepNext/>
              <w:jc w:val="center"/>
            </w:pPr>
            <w:r>
              <w:t>2,2</w:t>
            </w:r>
          </w:p>
        </w:tc>
        <w:tc>
          <w:tcPr>
            <w:tcW w:w="1131" w:type="pct"/>
          </w:tcPr>
          <w:p w14:paraId="4FC22E95" w14:textId="77777777" w:rsidR="00951F81" w:rsidRPr="00FF28F7" w:rsidRDefault="00951F81" w:rsidP="00B91B5A">
            <w:pPr>
              <w:keepNext/>
              <w:jc w:val="center"/>
            </w:pPr>
            <w:r>
              <w:t>0,9</w:t>
            </w:r>
          </w:p>
        </w:tc>
        <w:tc>
          <w:tcPr>
            <w:tcW w:w="1081" w:type="pct"/>
          </w:tcPr>
          <w:p w14:paraId="6781F62C" w14:textId="77777777" w:rsidR="00951F81" w:rsidRPr="00FF28F7" w:rsidRDefault="00951F81" w:rsidP="00B91B5A">
            <w:pPr>
              <w:keepNext/>
            </w:pPr>
            <w:r>
              <w:t>1,4 (0,8; 1,9)</w:t>
            </w:r>
          </w:p>
        </w:tc>
        <w:tc>
          <w:tcPr>
            <w:tcW w:w="1003" w:type="pct"/>
          </w:tcPr>
          <w:p w14:paraId="7FCDF356" w14:textId="77777777" w:rsidR="00951F81" w:rsidRPr="00FF28F7" w:rsidRDefault="00951F81" w:rsidP="00B91B5A">
            <w:pPr>
              <w:keepNext/>
            </w:pPr>
            <w:r>
              <w:t>61 (42; 74)**</w:t>
            </w:r>
          </w:p>
        </w:tc>
      </w:tr>
      <w:tr w:rsidR="00951F81" w14:paraId="0F1324AD" w14:textId="77777777" w:rsidTr="00FC6A5D">
        <w:trPr>
          <w:cantSplit/>
          <w:trHeight w:val="57"/>
        </w:trPr>
        <w:tc>
          <w:tcPr>
            <w:tcW w:w="652" w:type="pct"/>
          </w:tcPr>
          <w:p w14:paraId="7CA890B6" w14:textId="77777777" w:rsidR="00951F81" w:rsidRPr="00FF28F7" w:rsidRDefault="00951F81" w:rsidP="00B91B5A">
            <w:pPr>
              <w:keepNext/>
            </w:pPr>
            <w:r>
              <w:t>0–2 roky</w:t>
            </w:r>
          </w:p>
        </w:tc>
        <w:tc>
          <w:tcPr>
            <w:tcW w:w="1132" w:type="pct"/>
          </w:tcPr>
          <w:p w14:paraId="69C4A2D5" w14:textId="77777777" w:rsidR="00951F81" w:rsidRPr="00FF28F7" w:rsidRDefault="00951F81" w:rsidP="00B91B5A">
            <w:pPr>
              <w:keepNext/>
              <w:jc w:val="center"/>
            </w:pPr>
            <w:r>
              <w:t>5,0</w:t>
            </w:r>
          </w:p>
        </w:tc>
        <w:tc>
          <w:tcPr>
            <w:tcW w:w="1131" w:type="pct"/>
          </w:tcPr>
          <w:p w14:paraId="37A7A404" w14:textId="77777777" w:rsidR="00951F81" w:rsidRPr="00FF28F7" w:rsidRDefault="00951F81" w:rsidP="00B91B5A">
            <w:pPr>
              <w:keepNext/>
              <w:jc w:val="center"/>
            </w:pPr>
            <w:r>
              <w:t>1,4</w:t>
            </w:r>
          </w:p>
        </w:tc>
        <w:tc>
          <w:tcPr>
            <w:tcW w:w="1081" w:type="pct"/>
          </w:tcPr>
          <w:p w14:paraId="354BF0BD" w14:textId="77777777" w:rsidR="00951F81" w:rsidRPr="00FF28F7" w:rsidRDefault="00951F81" w:rsidP="00B91B5A">
            <w:pPr>
              <w:keepNext/>
            </w:pPr>
            <w:r>
              <w:t>3,5 (2,7; 4,3)</w:t>
            </w:r>
          </w:p>
        </w:tc>
        <w:tc>
          <w:tcPr>
            <w:tcW w:w="1003" w:type="pct"/>
          </w:tcPr>
          <w:p w14:paraId="3D5F60D8" w14:textId="74E0EA49" w:rsidR="00951F81" w:rsidRPr="00FF28F7" w:rsidRDefault="00951F81" w:rsidP="00B91B5A">
            <w:pPr>
              <w:keepNext/>
            </w:pPr>
            <w:r>
              <w:t>71 (61</w:t>
            </w:r>
            <w:r w:rsidR="00A132A3">
              <w:t>;</w:t>
            </w:r>
            <w:r>
              <w:t xml:space="preserve"> 79)**</w:t>
            </w:r>
          </w:p>
        </w:tc>
      </w:tr>
      <w:tr w:rsidR="00951F81" w14:paraId="187411EE" w14:textId="77777777" w:rsidTr="00FC6A5D">
        <w:trPr>
          <w:cantSplit/>
          <w:trHeight w:val="57"/>
        </w:trPr>
        <w:tc>
          <w:tcPr>
            <w:tcW w:w="652" w:type="pct"/>
          </w:tcPr>
          <w:p w14:paraId="6C72AB08" w14:textId="77777777" w:rsidR="00951F81" w:rsidRPr="00FF28F7" w:rsidRDefault="00951F81" w:rsidP="00B91B5A">
            <w:pPr>
              <w:keepNext/>
            </w:pPr>
            <w:r>
              <w:t>0–3 roky</w:t>
            </w:r>
          </w:p>
        </w:tc>
        <w:tc>
          <w:tcPr>
            <w:tcW w:w="1132" w:type="pct"/>
          </w:tcPr>
          <w:p w14:paraId="061835DD" w14:textId="77777777" w:rsidR="00951F81" w:rsidRPr="00FF28F7" w:rsidRDefault="00951F81" w:rsidP="00B91B5A">
            <w:pPr>
              <w:keepNext/>
              <w:jc w:val="center"/>
            </w:pPr>
            <w:r>
              <w:t>7,2</w:t>
            </w:r>
          </w:p>
        </w:tc>
        <w:tc>
          <w:tcPr>
            <w:tcW w:w="1131" w:type="pct"/>
          </w:tcPr>
          <w:p w14:paraId="69D71EBF" w14:textId="77777777" w:rsidR="00951F81" w:rsidRPr="00FF28F7" w:rsidRDefault="00951F81" w:rsidP="00B91B5A">
            <w:pPr>
              <w:keepNext/>
              <w:jc w:val="center"/>
            </w:pPr>
            <w:r>
              <w:t>2,3</w:t>
            </w:r>
          </w:p>
        </w:tc>
        <w:tc>
          <w:tcPr>
            <w:tcW w:w="1081" w:type="pct"/>
          </w:tcPr>
          <w:p w14:paraId="7CC37FD1" w14:textId="77777777" w:rsidR="00951F81" w:rsidRPr="00FF28F7" w:rsidRDefault="00951F81" w:rsidP="00B91B5A">
            <w:pPr>
              <w:keepNext/>
            </w:pPr>
            <w:r>
              <w:t>4,8 (3,9; 5,8)</w:t>
            </w:r>
          </w:p>
        </w:tc>
        <w:tc>
          <w:tcPr>
            <w:tcW w:w="1003" w:type="pct"/>
          </w:tcPr>
          <w:p w14:paraId="730B6D7C" w14:textId="77777777" w:rsidR="00951F81" w:rsidRPr="00FF28F7" w:rsidRDefault="00951F81" w:rsidP="00B91B5A">
            <w:pPr>
              <w:keepNext/>
            </w:pPr>
            <w:r>
              <w:t>68 (59; 74)*</w:t>
            </w:r>
          </w:p>
        </w:tc>
      </w:tr>
    </w:tbl>
    <w:p w14:paraId="37E08FE2" w14:textId="77777777" w:rsidR="00951F81" w:rsidRPr="00FF28F7" w:rsidRDefault="00951F81" w:rsidP="00B91B5A">
      <w:pPr>
        <w:rPr>
          <w:sz w:val="20"/>
          <w:szCs w:val="20"/>
        </w:rPr>
      </w:pPr>
      <w:r>
        <w:rPr>
          <w:sz w:val="20"/>
        </w:rPr>
        <w:t>*p &lt; 0,0001, **p &lt; 0,0001 – explorativní analýza</w:t>
      </w:r>
    </w:p>
    <w:p w14:paraId="3CFCA253" w14:textId="77777777" w:rsidR="00951F81" w:rsidRPr="00FF28F7" w:rsidRDefault="00951F81" w:rsidP="00B91B5A"/>
    <w:p w14:paraId="42EC201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zlomeniny celkového proximálního femuru</w:t>
      </w:r>
    </w:p>
    <w:p w14:paraId="77981FAB" w14:textId="44DB3B63" w:rsidR="00951F81" w:rsidRPr="00FF28F7" w:rsidRDefault="00A741C3" w:rsidP="00B91B5A">
      <w:r>
        <w:t>Denosumab</w:t>
      </w:r>
      <w:r w:rsidR="00951F81">
        <w:t xml:space="preserve"> prokázal 40% relativní snížení rizika (0,5% absolutní snížení rizika) zlomenin celkového proximálního femuru (p &lt; 0,05) po dobu 3 let. Incidence zlomenin celkového proximálního femuru za tříleté období činil</w:t>
      </w:r>
      <w:r w:rsidR="005B2088">
        <w:t>a</w:t>
      </w:r>
      <w:r w:rsidR="00951F81">
        <w:t xml:space="preserve"> ve skupině léčené placebem 1,2 %, v porovnání s 0,7 % ve skupině léčené </w:t>
      </w:r>
      <w:r>
        <w:t>denosumabem</w:t>
      </w:r>
      <w:r w:rsidR="00951F81">
        <w:t>.</w:t>
      </w:r>
    </w:p>
    <w:p w14:paraId="2203D2FE" w14:textId="77777777" w:rsidR="00951F81" w:rsidRPr="00FF28F7" w:rsidRDefault="00951F81" w:rsidP="00B91B5A"/>
    <w:p w14:paraId="07C21519" w14:textId="6A73DB6A" w:rsidR="00951F81" w:rsidRPr="00FF28F7" w:rsidRDefault="00951F81" w:rsidP="00B91B5A">
      <w:r>
        <w:t>V post</w:t>
      </w:r>
      <w:r>
        <w:noBreakHyphen/>
        <w:t xml:space="preserve">hoc analýze u žen ve věku &gt; 75 let bylo při podávání </w:t>
      </w:r>
      <w:r w:rsidR="00A741C3">
        <w:t>denosumabu</w:t>
      </w:r>
      <w:r>
        <w:t xml:space="preserve"> pozorováno 62% relativní snížení rizika (1,4% absolutní snížení rizika, p &lt; 0,01).</w:t>
      </w:r>
    </w:p>
    <w:p w14:paraId="3BB003C0" w14:textId="77777777" w:rsidR="00951F81" w:rsidRPr="00FF28F7" w:rsidRDefault="00951F81" w:rsidP="00B91B5A"/>
    <w:p w14:paraId="6A8CA1E8" w14:textId="7777777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všechny klinické zlomeniny</w:t>
      </w:r>
    </w:p>
    <w:p w14:paraId="302C3439" w14:textId="6A8390F5" w:rsidR="00951F81" w:rsidRPr="00FF28F7" w:rsidRDefault="00A741C3" w:rsidP="00B91B5A">
      <w:r>
        <w:t>Denosumab</w:t>
      </w:r>
      <w:r w:rsidR="00951F81">
        <w:t xml:space="preserve"> signifikantně snížil výskyt zlomenin všech typů/skupin (viz tabulka 3).</w:t>
      </w:r>
    </w:p>
    <w:p w14:paraId="2ADC3A9C" w14:textId="77777777" w:rsidR="00951F81" w:rsidRPr="00FF28F7" w:rsidRDefault="00951F81" w:rsidP="00B91B5A"/>
    <w:p w14:paraId="5DC14C96" w14:textId="45A50DBE" w:rsidR="00951F81" w:rsidRPr="00FF28F7" w:rsidRDefault="00951F81" w:rsidP="00B91B5A">
      <w:pPr>
        <w:pStyle w:val="Text"/>
        <w:keepNext/>
        <w:tabs>
          <w:tab w:val="left" w:pos="567"/>
        </w:tabs>
        <w:spacing w:before="0" w:beforeAutospacing="0" w:after="0" w:afterAutospacing="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</w:rPr>
        <w:t xml:space="preserve">Tabulka 3. Účinek </w:t>
      </w:r>
      <w:r w:rsidR="00A741C3">
        <w:rPr>
          <w:rFonts w:ascii="Times New Roman" w:hAnsi="Times New Roman"/>
          <w:b/>
          <w:color w:val="auto"/>
          <w:sz w:val="22"/>
        </w:rPr>
        <w:t>denosumabu</w:t>
      </w:r>
      <w:r>
        <w:rPr>
          <w:rFonts w:ascii="Times New Roman" w:hAnsi="Times New Roman"/>
          <w:b/>
          <w:color w:val="auto"/>
          <w:sz w:val="22"/>
        </w:rPr>
        <w:t xml:space="preserve"> na riziko vzniku klinických zlomenin za období 3 let</w:t>
      </w:r>
    </w:p>
    <w:p w14:paraId="5BA3EF22" w14:textId="77777777" w:rsidR="00951F81" w:rsidRPr="00FF28F7" w:rsidRDefault="00951F81" w:rsidP="00B91B5A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7"/>
        <w:gridCol w:w="1372"/>
        <w:gridCol w:w="1517"/>
        <w:gridCol w:w="1749"/>
        <w:gridCol w:w="1696"/>
      </w:tblGrid>
      <w:tr w:rsidR="00951F81" w14:paraId="0C12509D" w14:textId="77777777" w:rsidTr="00FC6A5D">
        <w:trPr>
          <w:cantSplit/>
          <w:trHeight w:val="57"/>
          <w:tblHeader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9C09F" w14:textId="77777777" w:rsidR="00951F81" w:rsidRPr="00FF28F7" w:rsidRDefault="00951F81" w:rsidP="00B91B5A">
            <w:pPr>
              <w:pStyle w:val="lbltxt"/>
              <w:keepNext/>
              <w:rPr>
                <w:noProof w:val="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25C" w14:textId="77777777" w:rsidR="00951F81" w:rsidRPr="00FF28F7" w:rsidRDefault="00951F81" w:rsidP="00B91B5A">
            <w:pPr>
              <w:jc w:val="center"/>
            </w:pPr>
            <w:r>
              <w:t>Podíl žen se zlomeninou (%)</w:t>
            </w:r>
            <w:r>
              <w:rPr>
                <w:vertAlign w:val="superscript"/>
              </w:rPr>
              <w:t>+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205" w14:textId="77777777" w:rsidR="00951F81" w:rsidRPr="00FF28F7" w:rsidRDefault="00951F81" w:rsidP="00B91B5A">
            <w:r>
              <w:t>Absolutní snížení rizika (%)</w:t>
            </w:r>
          </w:p>
          <w:p w14:paraId="29F04131" w14:textId="77777777" w:rsidR="00951F81" w:rsidRPr="00FF28F7" w:rsidRDefault="00951F81" w:rsidP="00B91B5A">
            <w:r>
              <w:t>(95% CI)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32" w14:textId="77777777" w:rsidR="00951F81" w:rsidRPr="00FF28F7" w:rsidRDefault="00951F81" w:rsidP="00B91B5A">
            <w:r>
              <w:t>Relativní snížení rizika (%)</w:t>
            </w:r>
          </w:p>
          <w:p w14:paraId="38F78E13" w14:textId="77777777" w:rsidR="00951F81" w:rsidRPr="00FF28F7" w:rsidRDefault="00951F81" w:rsidP="00B91B5A">
            <w:r>
              <w:t>(95% CI)</w:t>
            </w:r>
          </w:p>
        </w:tc>
      </w:tr>
      <w:tr w:rsidR="00951F81" w14:paraId="1CBDBE21" w14:textId="77777777" w:rsidTr="00FC6A5D">
        <w:trPr>
          <w:cantSplit/>
          <w:trHeight w:val="57"/>
          <w:tblHeader/>
        </w:trPr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095" w14:textId="77777777" w:rsidR="00951F81" w:rsidRPr="00FF28F7" w:rsidRDefault="00951F81" w:rsidP="00B91B5A">
            <w:pPr>
              <w:keepNext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ACA" w14:textId="77777777" w:rsidR="00951F81" w:rsidRPr="00FF28F7" w:rsidRDefault="00951F81" w:rsidP="00B91B5A">
            <w:pPr>
              <w:jc w:val="center"/>
            </w:pPr>
            <w:r>
              <w:t>Placebo</w:t>
            </w:r>
          </w:p>
          <w:p w14:paraId="7A5945DF" w14:textId="1DB15D70" w:rsidR="00951F81" w:rsidRPr="00FF28F7" w:rsidRDefault="00951F81" w:rsidP="00B91B5A">
            <w:pPr>
              <w:jc w:val="center"/>
            </w:pPr>
            <w:r>
              <w:t>n = 3 906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895" w14:textId="55D54F4A" w:rsidR="00951F81" w:rsidRPr="00FF28F7" w:rsidRDefault="00D45112" w:rsidP="00B91B5A">
            <w:pPr>
              <w:jc w:val="center"/>
            </w:pPr>
            <w:r>
              <w:t>Denosumab</w:t>
            </w:r>
          </w:p>
          <w:p w14:paraId="4EEAFD9C" w14:textId="33F957B8" w:rsidR="00951F81" w:rsidRPr="00FF28F7" w:rsidRDefault="00951F81" w:rsidP="00B91B5A">
            <w:pPr>
              <w:jc w:val="center"/>
            </w:pPr>
            <w:r>
              <w:t>n = 3 902</w:t>
            </w: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F93" w14:textId="77777777" w:rsidR="00951F81" w:rsidRPr="00FF28F7" w:rsidRDefault="00951F81" w:rsidP="00B91B5A"/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572" w14:textId="77777777" w:rsidR="00951F81" w:rsidRPr="00FF28F7" w:rsidRDefault="00951F81" w:rsidP="00B91B5A"/>
        </w:tc>
      </w:tr>
      <w:tr w:rsidR="00951F81" w14:paraId="3465914E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5CE" w14:textId="77777777" w:rsidR="00951F81" w:rsidRPr="00FF28F7" w:rsidRDefault="00951F81" w:rsidP="00B91B5A">
            <w:r>
              <w:t>Jakákoliv klinická zlomenina</w:t>
            </w:r>
            <w:r>
              <w:rPr>
                <w:vertAlign w:val="superscript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40D" w14:textId="77777777" w:rsidR="00951F81" w:rsidRPr="00FF28F7" w:rsidRDefault="00951F81" w:rsidP="00B91B5A">
            <w:pPr>
              <w:jc w:val="center"/>
            </w:pPr>
            <w:r>
              <w:t>10,2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D38" w14:textId="77777777" w:rsidR="00951F81" w:rsidRPr="00FF28F7" w:rsidRDefault="00951F81" w:rsidP="00B91B5A">
            <w:pPr>
              <w:jc w:val="center"/>
            </w:pPr>
            <w:r>
              <w:t>7,2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FA" w14:textId="77777777" w:rsidR="00951F81" w:rsidRPr="00FF28F7" w:rsidRDefault="00951F81" w:rsidP="00B91B5A">
            <w:r>
              <w:t>2,9 (1,6; 4,2)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4A5" w14:textId="7388F7D0" w:rsidR="00951F81" w:rsidRPr="00FF28F7" w:rsidRDefault="00951F81" w:rsidP="00B91B5A">
            <w:r>
              <w:t>30 (19</w:t>
            </w:r>
            <w:r w:rsidR="00A132A3">
              <w:t>;</w:t>
            </w:r>
            <w:r>
              <w:t xml:space="preserve"> 41)***</w:t>
            </w:r>
          </w:p>
        </w:tc>
      </w:tr>
      <w:tr w:rsidR="00951F81" w14:paraId="30A9BC71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C20" w14:textId="77777777" w:rsidR="00951F81" w:rsidRPr="00FF28F7" w:rsidRDefault="00951F81" w:rsidP="00B91B5A">
            <w:r>
              <w:t>Klinická zlomenina obratle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B4" w14:textId="77777777" w:rsidR="00951F81" w:rsidRPr="00FF28F7" w:rsidRDefault="00951F81" w:rsidP="00B91B5A">
            <w:pPr>
              <w:jc w:val="center"/>
            </w:pPr>
            <w:r>
              <w:t>2,6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5AE" w14:textId="77777777" w:rsidR="00951F81" w:rsidRPr="00FF28F7" w:rsidRDefault="00951F81" w:rsidP="00B91B5A">
            <w:pPr>
              <w:jc w:val="center"/>
            </w:pPr>
            <w:r>
              <w:t>0,8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E48" w14:textId="77777777" w:rsidR="00951F81" w:rsidRPr="00FF28F7" w:rsidRDefault="00951F81" w:rsidP="00B91B5A">
            <w:r>
              <w:t>1,8 (1,2; 2,4)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13C" w14:textId="6897EC28" w:rsidR="00951F81" w:rsidRPr="00FF28F7" w:rsidRDefault="00951F81" w:rsidP="00B91B5A">
            <w:r>
              <w:t>69 (53</w:t>
            </w:r>
            <w:r w:rsidR="00A132A3">
              <w:t>;</w:t>
            </w:r>
            <w:r>
              <w:t xml:space="preserve"> 80)***</w:t>
            </w:r>
          </w:p>
        </w:tc>
      </w:tr>
      <w:tr w:rsidR="00951F81" w14:paraId="277803C4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3E1" w14:textId="77777777" w:rsidR="00951F81" w:rsidRPr="00FF28F7" w:rsidRDefault="00951F81" w:rsidP="00B91B5A">
            <w:r>
              <w:t>Nevertebrální zlomenina</w:t>
            </w:r>
            <w:r>
              <w:rPr>
                <w:vertAlign w:val="superscript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95C" w14:textId="77777777" w:rsidR="00951F81" w:rsidRPr="00FF28F7" w:rsidRDefault="00951F81" w:rsidP="00B91B5A">
            <w:pPr>
              <w:jc w:val="center"/>
            </w:pPr>
            <w:r>
              <w:t>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EF9" w14:textId="77777777" w:rsidR="00951F81" w:rsidRPr="00FF28F7" w:rsidRDefault="00951F81" w:rsidP="00B91B5A">
            <w:pPr>
              <w:jc w:val="center"/>
            </w:pPr>
            <w:r>
              <w:t>6,5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0D" w14:textId="77777777" w:rsidR="00951F81" w:rsidRPr="00FF28F7" w:rsidRDefault="00951F81" w:rsidP="00B91B5A">
            <w:r>
              <w:t>1,5 (0,3; 2,7)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60A" w14:textId="274BB5A4" w:rsidR="00951F81" w:rsidRPr="00FF28F7" w:rsidRDefault="00951F81" w:rsidP="00B91B5A">
            <w:r>
              <w:t>20 (5</w:t>
            </w:r>
            <w:r w:rsidR="00A132A3">
              <w:t>;</w:t>
            </w:r>
            <w:r>
              <w:t xml:space="preserve"> 33)**</w:t>
            </w:r>
          </w:p>
        </w:tc>
      </w:tr>
      <w:tr w:rsidR="00951F81" w14:paraId="452B3A71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0A4" w14:textId="77777777" w:rsidR="00951F81" w:rsidRPr="00FF28F7" w:rsidRDefault="00951F81" w:rsidP="00B91B5A">
            <w:r>
              <w:t>Velká nevertebrální zlomenina</w:t>
            </w:r>
            <w:r>
              <w:rPr>
                <w:vertAlign w:val="superscript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6A3" w14:textId="77777777" w:rsidR="00951F81" w:rsidRPr="00FF28F7" w:rsidRDefault="00951F81" w:rsidP="00B91B5A">
            <w:pPr>
              <w:jc w:val="center"/>
            </w:pPr>
            <w:r>
              <w:t>6,4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3A4" w14:textId="77777777" w:rsidR="00951F81" w:rsidRPr="00FF28F7" w:rsidRDefault="00951F81" w:rsidP="00B91B5A">
            <w:pPr>
              <w:jc w:val="center"/>
            </w:pPr>
            <w:r>
              <w:t>5,2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56F" w14:textId="77777777" w:rsidR="00951F81" w:rsidRPr="00FF28F7" w:rsidRDefault="00951F81" w:rsidP="00B91B5A">
            <w:r>
              <w:t>1,2 (0,1; 2,2)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A1" w14:textId="1E8418C4" w:rsidR="00951F81" w:rsidRPr="00FF28F7" w:rsidRDefault="00951F81" w:rsidP="00B91B5A">
            <w:r>
              <w:t>20 (3</w:t>
            </w:r>
            <w:r w:rsidR="00A132A3">
              <w:t>;</w:t>
            </w:r>
            <w:r>
              <w:t xml:space="preserve"> 34)*</w:t>
            </w:r>
          </w:p>
        </w:tc>
      </w:tr>
      <w:tr w:rsidR="00951F81" w14:paraId="21B7D039" w14:textId="77777777" w:rsidTr="00FC6A5D">
        <w:trPr>
          <w:cantSplit/>
          <w:trHeight w:val="57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A8F" w14:textId="77777777" w:rsidR="00951F81" w:rsidRPr="00FF28F7" w:rsidRDefault="00951F81" w:rsidP="00B91B5A">
            <w:r>
              <w:t>Velká osteoporotická zlomenina</w:t>
            </w:r>
            <w:r>
              <w:rPr>
                <w:vertAlign w:val="superscript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AB1" w14:textId="77777777" w:rsidR="00951F81" w:rsidRPr="00FF28F7" w:rsidRDefault="00951F81" w:rsidP="00B91B5A">
            <w:pPr>
              <w:jc w:val="center"/>
            </w:pPr>
            <w:r>
              <w:t>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1B9" w14:textId="77777777" w:rsidR="00951F81" w:rsidRPr="00FF28F7" w:rsidRDefault="00951F81" w:rsidP="00B91B5A">
            <w:pPr>
              <w:jc w:val="center"/>
            </w:pPr>
            <w:r>
              <w:t>5,3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5DA" w14:textId="77777777" w:rsidR="00951F81" w:rsidRPr="00FF28F7" w:rsidRDefault="00951F81" w:rsidP="00B91B5A">
            <w:r>
              <w:t>2,7 (1,6; 3,9)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88C" w14:textId="4CB6D5EB" w:rsidR="00951F81" w:rsidRPr="00FF28F7" w:rsidRDefault="00951F81" w:rsidP="00B91B5A">
            <w:r>
              <w:t>35 (22</w:t>
            </w:r>
            <w:r w:rsidR="00A132A3">
              <w:t>;</w:t>
            </w:r>
            <w:r>
              <w:t xml:space="preserve"> 45)***</w:t>
            </w:r>
          </w:p>
        </w:tc>
      </w:tr>
    </w:tbl>
    <w:p w14:paraId="23BBDA9F" w14:textId="7DA4226C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</w:rPr>
        <w:t xml:space="preserve">*p ≤ 0,05, **p = 0,0106 </w:t>
      </w:r>
      <w:r>
        <w:rPr>
          <w:i/>
          <w:sz w:val="20"/>
        </w:rPr>
        <w:t>(sekundární cíl</w:t>
      </w:r>
      <w:r w:rsidR="005F64ED">
        <w:rPr>
          <w:i/>
          <w:sz w:val="20"/>
        </w:rPr>
        <w:t>ový parametr</w:t>
      </w:r>
      <w:r>
        <w:rPr>
          <w:i/>
          <w:sz w:val="20"/>
        </w:rPr>
        <w:t xml:space="preserve"> zahrnut v úpravě pro multiplicitu),</w:t>
      </w:r>
      <w:r>
        <w:rPr>
          <w:sz w:val="20"/>
        </w:rPr>
        <w:t xml:space="preserve"> ***p ≤ 0,0001</w:t>
      </w:r>
    </w:p>
    <w:p w14:paraId="78BEDD46" w14:textId="2D2DFE0F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+</w:t>
      </w:r>
      <w:r>
        <w:rPr>
          <w:sz w:val="20"/>
        </w:rPr>
        <w:t xml:space="preserve"> Výskyt příhod založený na Kaplan</w:t>
      </w:r>
      <w:r w:rsidR="005F64ED">
        <w:rPr>
          <w:sz w:val="20"/>
        </w:rPr>
        <w:t>ových</w:t>
      </w:r>
      <w:r>
        <w:rPr>
          <w:sz w:val="20"/>
        </w:rPr>
        <w:noBreakHyphen/>
        <w:t>Meierových odhadech za období 3 let.</w:t>
      </w:r>
    </w:p>
    <w:p w14:paraId="4D3BCCA0" w14:textId="77777777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Zahrnuje klinické zlomeniny obratů a nevertebrální zlomeniny.</w:t>
      </w:r>
    </w:p>
    <w:p w14:paraId="0A25FC42" w14:textId="77777777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Nepatří sem zlomeniny obratlů, lebky, obličejových kostí, mandibuly, metakarpů, falangů prstů ruky a nohy.</w:t>
      </w:r>
    </w:p>
    <w:p w14:paraId="6E4B1331" w14:textId="576A8FE9" w:rsidR="00951F81" w:rsidRPr="00FF28F7" w:rsidRDefault="00951F81" w:rsidP="00B91B5A">
      <w:pPr>
        <w:keepNext/>
        <w:rPr>
          <w:sz w:val="20"/>
          <w:szCs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Zahrnuje pánev, distální femur, proximální tibii, žebra, proximální humerus, předloktí a </w:t>
      </w:r>
      <w:r w:rsidR="005B2088">
        <w:rPr>
          <w:sz w:val="20"/>
        </w:rPr>
        <w:t>celkový proximální femur</w:t>
      </w:r>
      <w:r>
        <w:rPr>
          <w:sz w:val="20"/>
        </w:rPr>
        <w:t>.</w:t>
      </w:r>
    </w:p>
    <w:p w14:paraId="512C26E0" w14:textId="2E1FC3B3" w:rsidR="00951F81" w:rsidRPr="00FF28F7" w:rsidRDefault="00951F81" w:rsidP="00B91B5A">
      <w:pPr>
        <w:rPr>
          <w:sz w:val="20"/>
          <w:szCs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Zahrnuje klinické zlomeniny obratlů, zlomeniny </w:t>
      </w:r>
      <w:r w:rsidR="005B2088">
        <w:rPr>
          <w:sz w:val="20"/>
        </w:rPr>
        <w:t>celkového proximálního femuru</w:t>
      </w:r>
      <w:r>
        <w:rPr>
          <w:sz w:val="20"/>
        </w:rPr>
        <w:t>, předloktí a humeru, dle definice WHO.</w:t>
      </w:r>
    </w:p>
    <w:p w14:paraId="25DC44C1" w14:textId="77777777" w:rsidR="00951F81" w:rsidRPr="00FF28F7" w:rsidRDefault="00951F81" w:rsidP="00B91B5A"/>
    <w:p w14:paraId="0E4670BD" w14:textId="13A36CA4" w:rsidR="00951F81" w:rsidRPr="00FF28F7" w:rsidRDefault="005F64ED" w:rsidP="00B91B5A">
      <w:r>
        <w:t>Denosumab</w:t>
      </w:r>
      <w:r w:rsidR="00951F81">
        <w:t xml:space="preserve"> snížil riziko nevertebrálních zlomenin u žen se vstupní BMD krčku </w:t>
      </w:r>
      <w:r w:rsidR="003F0709">
        <w:t>femuru</w:t>
      </w:r>
      <w:r w:rsidR="00951F81">
        <w:t xml:space="preserve"> ≤ </w:t>
      </w:r>
      <w:r w:rsidR="00951F81">
        <w:noBreakHyphen/>
        <w:t>2,5 (35% snížení relativního rizika, 4,1% snížení absolutního rizika, p &lt; 0,001, explorativní analýza).</w:t>
      </w:r>
    </w:p>
    <w:p w14:paraId="3F5FC738" w14:textId="77777777" w:rsidR="00951F81" w:rsidRPr="00FF28F7" w:rsidRDefault="00951F81" w:rsidP="00B91B5A"/>
    <w:p w14:paraId="586A90E6" w14:textId="30BCCEC8" w:rsidR="00951F81" w:rsidRPr="00FF28F7" w:rsidRDefault="00951F81" w:rsidP="00B91B5A">
      <w:r>
        <w:t xml:space="preserve">Snížení incidence nových zlomenin obratlů, nevertebrálních zlomenin a zlomenin celkového proximálního femuru při léčbě </w:t>
      </w:r>
      <w:r w:rsidR="005F64ED">
        <w:t>denosumabem</w:t>
      </w:r>
      <w:r>
        <w:t xml:space="preserve"> bylo během 3letého období konzistentní, bez ohledu na vstupní 10leté riziko zlomeniny.</w:t>
      </w:r>
    </w:p>
    <w:p w14:paraId="0B45B46E" w14:textId="77777777" w:rsidR="00951F81" w:rsidRPr="00FF28F7" w:rsidRDefault="00951F81" w:rsidP="00B91B5A"/>
    <w:p w14:paraId="0C279085" w14:textId="10F52028" w:rsidR="00951F81" w:rsidRPr="005F64ED" w:rsidRDefault="00951F81" w:rsidP="00B91B5A">
      <w:pPr>
        <w:keepNext/>
        <w:tabs>
          <w:tab w:val="clear" w:pos="567"/>
        </w:tabs>
        <w:rPr>
          <w:iCs/>
          <w:u w:val="single"/>
        </w:rPr>
      </w:pPr>
      <w:r w:rsidRPr="005F64ED">
        <w:rPr>
          <w:iCs/>
          <w:u w:val="single"/>
        </w:rPr>
        <w:t>Účinek na kostní minerál</w:t>
      </w:r>
      <w:r w:rsidR="00673BB0">
        <w:rPr>
          <w:iCs/>
          <w:u w:val="single"/>
        </w:rPr>
        <w:t>ní denzitu</w:t>
      </w:r>
    </w:p>
    <w:p w14:paraId="61B0EED4" w14:textId="77777777" w:rsidR="005F64ED" w:rsidRDefault="005F64ED" w:rsidP="00B91B5A">
      <w:r>
        <w:t>Denosumab</w:t>
      </w:r>
      <w:r w:rsidR="00951F81">
        <w:t xml:space="preserve"> (v porovnání s placebem) po 1, 2 a 3 letech významně zvýšil BMD ve všech měřených klinických místech. </w:t>
      </w:r>
    </w:p>
    <w:p w14:paraId="64DFE667" w14:textId="61E9766C" w:rsidR="00951F81" w:rsidRPr="00FF28F7" w:rsidRDefault="005F64ED" w:rsidP="00B91B5A">
      <w:r>
        <w:t>Denosumab</w:t>
      </w:r>
      <w:r w:rsidR="00951F81">
        <w:t xml:space="preserve"> zvýšil během 3 let BMD bederní páteře o 9,2 %, celkového proximálního femuru o 6,0 %, krčku </w:t>
      </w:r>
      <w:r w:rsidR="003F0709">
        <w:t>femuru</w:t>
      </w:r>
      <w:r w:rsidR="00951F81">
        <w:t xml:space="preserve"> o 4,8 %, trochanteru </w:t>
      </w:r>
      <w:r w:rsidR="003F0709">
        <w:t>femuru</w:t>
      </w:r>
      <w:r w:rsidR="00951F81">
        <w:t xml:space="preserve"> o 7,9 %, distální třetiny radia o 3,5 % a v celém těle o 4,1 % (všechna p &lt; 0,0001).</w:t>
      </w:r>
    </w:p>
    <w:p w14:paraId="7C96DE12" w14:textId="77777777" w:rsidR="00951F81" w:rsidRPr="00FF28F7" w:rsidRDefault="00951F81" w:rsidP="00B91B5A"/>
    <w:p w14:paraId="42D264E1" w14:textId="5470E93F" w:rsidR="00951F81" w:rsidRPr="00FF28F7" w:rsidRDefault="00951F81" w:rsidP="00B91B5A">
      <w:r>
        <w:t xml:space="preserve">V klinických </w:t>
      </w:r>
      <w:r w:rsidR="008A07E6">
        <w:t>studiích</w:t>
      </w:r>
      <w:r>
        <w:t xml:space="preserve"> </w:t>
      </w:r>
      <w:r w:rsidR="005F64ED">
        <w:t>zkoumajících</w:t>
      </w:r>
      <w:r>
        <w:t xml:space="preserve"> účinky vysazení </w:t>
      </w:r>
      <w:r w:rsidR="005F64ED">
        <w:t>denosumabu</w:t>
      </w:r>
      <w:r>
        <w:t xml:space="preserve"> se hodnota BMD vrátila přibližně do hladin před léčbou a zůstala vyšší než u placeba během 18 měsíců po poslední dávce. Tyto údaje ukazují, že k udržení účinku je třeba </w:t>
      </w:r>
      <w:r w:rsidR="005F64ED">
        <w:t>denosumab</w:t>
      </w:r>
      <w:r>
        <w:t xml:space="preserve"> podávat kontinuálně. Znovuzahájení léčby </w:t>
      </w:r>
      <w:r w:rsidR="005F64ED">
        <w:t>denosumabem</w:t>
      </w:r>
      <w:r>
        <w:t xml:space="preserve"> vedlo k podobnému vzestupu BMD, jako když byl </w:t>
      </w:r>
      <w:r w:rsidR="005F64ED">
        <w:t>denosumab</w:t>
      </w:r>
      <w:r>
        <w:t xml:space="preserve"> podán poprvé.</w:t>
      </w:r>
    </w:p>
    <w:p w14:paraId="1C74EDD2" w14:textId="77777777" w:rsidR="00951F81" w:rsidRPr="00FF28F7" w:rsidRDefault="00951F81" w:rsidP="00B91B5A"/>
    <w:p w14:paraId="4CD46236" w14:textId="77777777" w:rsidR="00951F81" w:rsidRPr="005F64ED" w:rsidRDefault="00951F81" w:rsidP="00B91B5A">
      <w:pPr>
        <w:keepNext/>
        <w:tabs>
          <w:tab w:val="clear" w:pos="567"/>
        </w:tabs>
        <w:rPr>
          <w:iCs/>
          <w:u w:val="single"/>
        </w:rPr>
      </w:pPr>
      <w:r w:rsidRPr="005F64ED">
        <w:rPr>
          <w:iCs/>
          <w:u w:val="single"/>
        </w:rPr>
        <w:t>Otevřená prodloužená studie u léčby postmenopauzální osteoporózy</w:t>
      </w:r>
    </w:p>
    <w:p w14:paraId="0AC8920E" w14:textId="0AB0F1D4" w:rsidR="00951F81" w:rsidRPr="00FF28F7" w:rsidRDefault="00951F81" w:rsidP="00B91B5A">
      <w:r>
        <w:t xml:space="preserve">Do 7letého, mezinárodního, multicentrického, </w:t>
      </w:r>
      <w:r w:rsidR="005B2088">
        <w:t>otevřeného</w:t>
      </w:r>
      <w:r>
        <w:t xml:space="preserve">, jednoramenného prodloužení studie hodnotící dlouhodobou bezpečnost a účinnost </w:t>
      </w:r>
      <w:r w:rsidR="005F64ED">
        <w:t>denosumabu</w:t>
      </w:r>
      <w:r>
        <w:t xml:space="preserve"> bylo zařazeno celkem 4 550 pacientek (2 343 </w:t>
      </w:r>
      <w:r w:rsidR="005F64ED">
        <w:t>denosumab</w:t>
      </w:r>
      <w:r>
        <w:t xml:space="preserve"> a 2 207 placebo), u kterých byla vynechána maximálně jedna dávka testovaného </w:t>
      </w:r>
      <w:r w:rsidR="005F64ED">
        <w:t>přípravku</w:t>
      </w:r>
      <w:r>
        <w:t xml:space="preserve"> v pivotní studii popsané výše a které dokončily 36. měsíc studie. V prodloužení studie všechny pacientky dostávaly </w:t>
      </w:r>
      <w:r w:rsidR="005F64ED">
        <w:t>denosumab</w:t>
      </w:r>
      <w:r>
        <w:t xml:space="preserve"> </w:t>
      </w:r>
      <w:r w:rsidR="005B2088">
        <w:t xml:space="preserve">v dávce </w:t>
      </w:r>
      <w:r>
        <w:t>60 mg každých 6 měsíců a rovněž každý den užívaly vápník (nejméně 1 g) a vitamin D (nejméně 400 IU). Celkem 2 626 subjektů (58 % žen zahrnutých do prodloužení studie, tj. 34 % žen zahrnutých do pivotní studie) dokončilo prodloužení studie.</w:t>
      </w:r>
    </w:p>
    <w:p w14:paraId="4B97CDCB" w14:textId="77777777" w:rsidR="00951F81" w:rsidRPr="00FF28F7" w:rsidRDefault="00951F81" w:rsidP="00B91B5A"/>
    <w:p w14:paraId="19BED31E" w14:textId="1BA4EFE5" w:rsidR="00951F81" w:rsidRPr="00FF28F7" w:rsidRDefault="00951F81" w:rsidP="00B91B5A">
      <w:r>
        <w:t xml:space="preserve">U pacientek léčených </w:t>
      </w:r>
      <w:r w:rsidR="005F64ED">
        <w:t>denosumabem</w:t>
      </w:r>
      <w:r>
        <w:t xml:space="preserve"> po dobu až 10 let se hodnota BMD oproti výchozím hodnotám na začátku pivotní studie zvýšila o 21,7 % v bederní páteři, o 9,2 % v celkovém proximálním femuru, o 9,0 % v krčku femuru, o 13,0 % v trochanteru a o 2,8 % v distální 1/3 radia. Průměrné T</w:t>
      </w:r>
      <w:r>
        <w:noBreakHyphen/>
        <w:t>skóre BMD v bederní páteři na konci studie bylo –1,3 u pacientek léčených po dobu 10 let.</w:t>
      </w:r>
    </w:p>
    <w:p w14:paraId="48B5EEBB" w14:textId="77777777" w:rsidR="00951F81" w:rsidRPr="00FF28F7" w:rsidRDefault="00951F81" w:rsidP="00B91B5A"/>
    <w:p w14:paraId="069444B1" w14:textId="77777777" w:rsidR="00951F81" w:rsidRPr="00FF28F7" w:rsidRDefault="00951F81" w:rsidP="00B91B5A">
      <w:r>
        <w:t>Ukazatelem bezpečnosti bylo hodnocení incidence zlomenin, avšak účinnost prevence zlomenin nelze odhadnout vzhledem k velkému počtu přerušení léčby a otevřenému designu studie. Kumulativní incidence nových vertebrálních a nevertebrálních zlomenin byla přibližně 6,8 %, resp. 13,1 % u pacientek, které zůstaly na léčbě denosumabem 10 let (n = 1278). Pacientky, které nedokončily studii z jakéhokoli důvodu, měly při léčbě vyšší míru zlomenin.</w:t>
      </w:r>
    </w:p>
    <w:p w14:paraId="011BFC18" w14:textId="77777777" w:rsidR="00951F81" w:rsidRPr="00FF28F7" w:rsidRDefault="00951F81" w:rsidP="00B91B5A"/>
    <w:p w14:paraId="29A2C444" w14:textId="77777777" w:rsidR="00951F81" w:rsidRPr="00FF28F7" w:rsidRDefault="00951F81" w:rsidP="00B91B5A">
      <w:r>
        <w:t>Během prodloužení studie se objevilo třináct hodnocených případů osteonekrózy čelisti (ONJ) a dva hodnocené případy atypické zlomeniny femuru.</w:t>
      </w:r>
    </w:p>
    <w:p w14:paraId="64502A3C" w14:textId="77777777" w:rsidR="00951F81" w:rsidRPr="00FF28F7" w:rsidRDefault="00951F81" w:rsidP="00B91B5A"/>
    <w:p w14:paraId="72713AB7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mužů s osteoporózou</w:t>
      </w:r>
    </w:p>
    <w:p w14:paraId="7CE66AD3" w14:textId="77777777" w:rsidR="00951F81" w:rsidRPr="00FF28F7" w:rsidRDefault="00951F81" w:rsidP="00B91B5A">
      <w:pPr>
        <w:keepNext/>
      </w:pPr>
    </w:p>
    <w:p w14:paraId="2E9D13AB" w14:textId="21605072" w:rsidR="00951F81" w:rsidRPr="00FF28F7" w:rsidRDefault="00951F81" w:rsidP="00B91B5A">
      <w:r>
        <w:t xml:space="preserve">Účinnost a bezpečnost </w:t>
      </w:r>
      <w:r w:rsidR="005F64ED">
        <w:t>denosumabu</w:t>
      </w:r>
      <w:r>
        <w:t xml:space="preserve"> podávaného jednou za 6 měsíců po dobu 1 roku byla studována u 242 mužů ve věku 31</w:t>
      </w:r>
      <w:r>
        <w:noBreakHyphen/>
        <w:t>84 let. Subjekty s eGFR &lt; 30 ml/min/1,73 m</w:t>
      </w:r>
      <w:r>
        <w:rPr>
          <w:vertAlign w:val="superscript"/>
        </w:rPr>
        <w:t>2</w:t>
      </w:r>
      <w:r>
        <w:t xml:space="preserve"> byly ze studie vyřazeny. Všichni muži každý den užívali vápník (nejméně 1 000 mg) a vitamin D (nejméně 800 IU).</w:t>
      </w:r>
    </w:p>
    <w:p w14:paraId="5B085A11" w14:textId="77777777" w:rsidR="00951F81" w:rsidRPr="00FF28F7" w:rsidRDefault="00951F81" w:rsidP="00B91B5A"/>
    <w:p w14:paraId="6A741AEF" w14:textId="48D1CDA8" w:rsidR="00951F81" w:rsidRPr="00FF28F7" w:rsidRDefault="00951F81" w:rsidP="00B91B5A">
      <w:r w:rsidRPr="00D45112">
        <w:t xml:space="preserve">Primární proměnnou účinnosti byla procentuální změna BMD v bederní páteři, účinek na výskyt </w:t>
      </w:r>
      <w:r w:rsidR="008A07E6">
        <w:t>zlomenin</w:t>
      </w:r>
      <w:r w:rsidRPr="00D45112">
        <w:t xml:space="preserve"> nebyl hodnocen. </w:t>
      </w:r>
      <w:r w:rsidR="00D45112" w:rsidRPr="00D45112">
        <w:t>Denosumab</w:t>
      </w:r>
      <w:r w:rsidRPr="00D45112">
        <w:t xml:space="preserve"> během 12 měsíců signifikantně zvýšil BMD ve všech měřených klinických místech oproti placebu: o 4,8 % v bederní páteři, o 2,0 % v celkovém proximálním femuru, o 2,2 % v krčku </w:t>
      </w:r>
      <w:r w:rsidR="003F0709">
        <w:t>femuru</w:t>
      </w:r>
      <w:r w:rsidRPr="00D45112">
        <w:t xml:space="preserve">, o 2,3 % v trochanteru </w:t>
      </w:r>
      <w:r w:rsidR="003F0709">
        <w:t>femuru</w:t>
      </w:r>
      <w:r w:rsidRPr="00D45112">
        <w:t xml:space="preserve"> a o 0,9 % v distální 1/3 radia (všechna p &lt; 0,05). </w:t>
      </w:r>
      <w:r w:rsidR="00D45112" w:rsidRPr="00D45112">
        <w:t>Denosumab</w:t>
      </w:r>
      <w:r w:rsidRPr="00D45112">
        <w:t xml:space="preserve"> zvýšil BMD v bederní páteři oproti výchozí hodnotě u 94,7 % mužů po 1 roce. Signifikantní vzestup BMD v bederní páteři, celkovém proximálním femuru, krčku </w:t>
      </w:r>
      <w:r w:rsidR="003F0709">
        <w:t>femuru</w:t>
      </w:r>
      <w:r w:rsidRPr="00D45112">
        <w:t xml:space="preserve"> a trochanteru </w:t>
      </w:r>
      <w:r w:rsidR="003F0709">
        <w:t>femuru</w:t>
      </w:r>
      <w:r w:rsidRPr="00D45112">
        <w:t xml:space="preserve"> byl pozorován po 6 měsících (p &lt; 0,0001).</w:t>
      </w:r>
    </w:p>
    <w:p w14:paraId="033A3E16" w14:textId="77777777" w:rsidR="00951F81" w:rsidRPr="00FF28F7" w:rsidRDefault="00951F81" w:rsidP="00B91B5A"/>
    <w:p w14:paraId="6C6C7DB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Histologické vyšetření kosti u postmenopauzálních žen a mužů s osteoporózou</w:t>
      </w:r>
    </w:p>
    <w:p w14:paraId="19210B97" w14:textId="77777777" w:rsidR="00951F81" w:rsidRPr="00FF28F7" w:rsidRDefault="00951F81" w:rsidP="00B91B5A">
      <w:pPr>
        <w:keepNext/>
      </w:pPr>
    </w:p>
    <w:p w14:paraId="23C66C5C" w14:textId="33CB759B" w:rsidR="00951F81" w:rsidRPr="00FF28F7" w:rsidRDefault="00951F81" w:rsidP="00B91B5A">
      <w:r>
        <w:t>Histologické vyšetření kosti bylo provedeno u 62 postmenopauzálních žen s osteoporózou nebo s úbytkem kostní hmoty, které se dříve neléčily s osteoporózou nebo přešly z předchozí léčby alendronátem na 1</w:t>
      </w:r>
      <w:r>
        <w:noBreakHyphen/>
        <w:t xml:space="preserve">3letou léčbu </w:t>
      </w:r>
      <w:r w:rsidR="00D45112">
        <w:t>denosumabem</w:t>
      </w:r>
      <w:r>
        <w:t xml:space="preserve">. V rámci prodloužení studie u postmenopauzálních žen s osteoporózou se padesát devět žen zúčastnilo podstudie s kostní biopsií v měsíci 24 (n = 41) a/nebo v měsíci 84 (n = 22). Histologické vyšetření kosti bylo rovněž provedeno u 17 mužů s osteoporózou po roční léčbě </w:t>
      </w:r>
      <w:r w:rsidR="00D45112">
        <w:t>denosumabem</w:t>
      </w:r>
      <w:r>
        <w:t xml:space="preserve">. Výsledky kostní biopsie vykazovaly normální architekturu a kvalitu kosti bez průkazu defektů mineralizace, vláknité kosti či fibrózy kostní dřeně. Výsledky histomorfometrie v prodloužení studie u postmenopauzálních žen s osteoporózou ukázaly, že antiresorpční účinky </w:t>
      </w:r>
      <w:r w:rsidR="00D45112">
        <w:t xml:space="preserve">denosumabu </w:t>
      </w:r>
      <w:r>
        <w:t xml:space="preserve">byly, dle měření aktivační frekvence a rychlosti tvorby kosti, po dobu studie </w:t>
      </w:r>
      <w:r w:rsidR="00140EEB">
        <w:t>zachovány</w:t>
      </w:r>
      <w:r>
        <w:t>.</w:t>
      </w:r>
    </w:p>
    <w:p w14:paraId="0E37CA5C" w14:textId="77777777" w:rsidR="00951F81" w:rsidRPr="00FF28F7" w:rsidRDefault="00951F81" w:rsidP="00B91B5A"/>
    <w:p w14:paraId="0D5AE319" w14:textId="429BEBE1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pacientů s úbytkem kostní hmoty vzniklým v souvislosti s androgenní deprivací</w:t>
      </w:r>
    </w:p>
    <w:p w14:paraId="72C6E7FB" w14:textId="77777777" w:rsidR="00951F81" w:rsidRPr="00FF28F7" w:rsidRDefault="00951F81" w:rsidP="00B91B5A">
      <w:pPr>
        <w:keepNext/>
      </w:pPr>
    </w:p>
    <w:p w14:paraId="53BE8756" w14:textId="1F6B9167" w:rsidR="00951F81" w:rsidRPr="00FF28F7" w:rsidRDefault="00951F81" w:rsidP="00B91B5A">
      <w:r>
        <w:t xml:space="preserve">Účinnost a bezpečnost </w:t>
      </w:r>
      <w:r w:rsidR="00D45112">
        <w:t>denosumabu</w:t>
      </w:r>
      <w:r>
        <w:t xml:space="preserve"> podávaného jednou za 6 měsíců po dobu 3 let, byla studována u mužů s histologicky potvrzen</w:t>
      </w:r>
      <w:r w:rsidR="004C2EF7">
        <w:t>ým</w:t>
      </w:r>
      <w:r>
        <w:t xml:space="preserve"> nemetastazující</w:t>
      </w:r>
      <w:r w:rsidR="004C2EF7">
        <w:t>m</w:t>
      </w:r>
      <w:r>
        <w:t xml:space="preserve"> </w:t>
      </w:r>
      <w:r w:rsidR="004C2EF7">
        <w:t>karcinomem</w:t>
      </w:r>
      <w:r>
        <w:t xml:space="preserve"> prostaty léčených ADT (1 468 mužů ve věku 48</w:t>
      </w:r>
      <w:r>
        <w:noBreakHyphen/>
        <w:t>97 let) se zvýšeným rizikem vzniku zlomeniny (definováno jako věk &gt; 70 let, nebo věk &lt; 70 let s T</w:t>
      </w:r>
      <w:r>
        <w:noBreakHyphen/>
        <w:t xml:space="preserve">skóre BMD bederní páteře, celkového proximálního femuru nebo krčku </w:t>
      </w:r>
      <w:r w:rsidR="003F0709">
        <w:t>femuru</w:t>
      </w:r>
      <w:r>
        <w:t xml:space="preserve"> &lt; −1,0 nebo osteoporotická zlomenina v anamnéze). Všichni muži každý den užívali vápník (nejméně 1 000 mg) a vitamin D (nejméně 400 IU).</w:t>
      </w:r>
    </w:p>
    <w:p w14:paraId="4F5AD186" w14:textId="77777777" w:rsidR="00951F81" w:rsidRPr="00FF28F7" w:rsidRDefault="00951F81" w:rsidP="00B91B5A"/>
    <w:p w14:paraId="6A24CF01" w14:textId="0C842C25" w:rsidR="00951F81" w:rsidRPr="00FF28F7" w:rsidRDefault="00D45112" w:rsidP="00B91B5A">
      <w:r>
        <w:t>Denosumab</w:t>
      </w:r>
      <w:r w:rsidR="00951F81">
        <w:t xml:space="preserve"> za 3 roky léčby signifikantně zvýšil BMD ve všech měřených klinických místech oproti léčbě placebem: o 7,9 % v bederní páteři, o 5,7 % v celkovém proximálním femuru, o 4,9 % v krčku </w:t>
      </w:r>
      <w:r w:rsidR="003F0709">
        <w:t>femuru</w:t>
      </w:r>
      <w:r w:rsidR="00951F81">
        <w:t>, o 6,9 % v</w:t>
      </w:r>
      <w:r w:rsidR="00140EEB">
        <w:t> </w:t>
      </w:r>
      <w:r w:rsidR="00951F81">
        <w:t>trochanteru</w:t>
      </w:r>
      <w:r w:rsidR="00140EEB">
        <w:t xml:space="preserve"> </w:t>
      </w:r>
      <w:r w:rsidR="003F0709">
        <w:t>femuru</w:t>
      </w:r>
      <w:r w:rsidR="00951F81">
        <w:t xml:space="preserve">, o 6,9 % v distální 1/3 radia a o 4,7 % v celém těle (všechna p &lt; 0,0001). V prospektivně plánované explorativní analýze byl zaznamenán signifikantní vzestup BMD v bederní páteři, celkovém proximálním femuru, krčku </w:t>
      </w:r>
      <w:r w:rsidR="003F0709">
        <w:t>femuru</w:t>
      </w:r>
      <w:r w:rsidR="00951F81">
        <w:t xml:space="preserve"> a trochanteru </w:t>
      </w:r>
      <w:r w:rsidR="003F0709">
        <w:t>femuru</w:t>
      </w:r>
      <w:r w:rsidR="00951F81">
        <w:t xml:space="preserve"> za 1 měsíc po podání úvodní dávky.</w:t>
      </w:r>
    </w:p>
    <w:p w14:paraId="21264496" w14:textId="77777777" w:rsidR="00951F81" w:rsidRPr="00FF28F7" w:rsidRDefault="00951F81" w:rsidP="00B91B5A"/>
    <w:p w14:paraId="5422058F" w14:textId="0372786A" w:rsidR="00951F81" w:rsidRPr="00FF28F7" w:rsidRDefault="00D45112" w:rsidP="00B91B5A">
      <w:r>
        <w:t xml:space="preserve">Denosumab </w:t>
      </w:r>
      <w:r w:rsidR="00951F81">
        <w:t>vykazoval signifikantní relativní snížení rizika nových zlomenin obratlů: 85 % (1,6 % absolutní snížení rizika) po 1 roce, 69 % (2,2 % snížení absolutního rizika) po 2 letech a 62 % (2,4 % snížení absolutního rizika) po 3 letech (všechna p &lt; 0,01).</w:t>
      </w:r>
    </w:p>
    <w:p w14:paraId="383C1B56" w14:textId="77777777" w:rsidR="00951F81" w:rsidRPr="00FF28F7" w:rsidRDefault="00951F81" w:rsidP="00B91B5A"/>
    <w:p w14:paraId="74F18AA8" w14:textId="59823254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Klinická účinnost a bezpečnost u pacientů s</w:t>
      </w:r>
      <w:r w:rsidR="004C2EF7">
        <w:rPr>
          <w:u w:val="single"/>
        </w:rPr>
        <w:t> </w:t>
      </w:r>
      <w:r>
        <w:rPr>
          <w:u w:val="single"/>
        </w:rPr>
        <w:t>úbytkem</w:t>
      </w:r>
      <w:r w:rsidR="004C2EF7">
        <w:rPr>
          <w:u w:val="single"/>
        </w:rPr>
        <w:t xml:space="preserve"> </w:t>
      </w:r>
      <w:r>
        <w:rPr>
          <w:u w:val="single"/>
        </w:rPr>
        <w:t>kostní hmoty vzniklým v souvislosti s adjuvantní léčbou inhibitory aromatázy</w:t>
      </w:r>
    </w:p>
    <w:p w14:paraId="716135C1" w14:textId="77777777" w:rsidR="00951F81" w:rsidRPr="00FF28F7" w:rsidRDefault="00951F81" w:rsidP="00B91B5A">
      <w:pPr>
        <w:keepNext/>
      </w:pPr>
    </w:p>
    <w:p w14:paraId="39582E84" w14:textId="676209A2" w:rsidR="00951F81" w:rsidRPr="00FF28F7" w:rsidRDefault="00951F81" w:rsidP="00B91B5A">
      <w:r>
        <w:t xml:space="preserve">Účinnost a bezpečnost </w:t>
      </w:r>
      <w:r w:rsidR="00D45112">
        <w:t xml:space="preserve">denosumabu </w:t>
      </w:r>
      <w:r>
        <w:t>podávaného jednou za 6 měsíců po dobu 2 let byly studovány u žen s nemetast</w:t>
      </w:r>
      <w:r w:rsidR="004C2EF7">
        <w:t>a</w:t>
      </w:r>
      <w:r>
        <w:t>zující</w:t>
      </w:r>
      <w:r w:rsidR="004C2EF7">
        <w:t>m</w:t>
      </w:r>
      <w:r>
        <w:t xml:space="preserve"> </w:t>
      </w:r>
      <w:r w:rsidR="004C2EF7">
        <w:t>karcinomem</w:t>
      </w:r>
      <w:r>
        <w:t xml:space="preserve"> prsu (252 žen ve věku 35</w:t>
      </w:r>
      <w:r>
        <w:noBreakHyphen/>
        <w:t>84 let) a vstupním T</w:t>
      </w:r>
      <w:r>
        <w:noBreakHyphen/>
        <w:t>skóre BMD v rozmezí -1,0 až -2,5 v bederní páteři, celkovém proximálním femuru a krčku femuru. Všechny ženy užívaly vápník (nejméně 1 000 mg) a vitamin D (nejméně 400 IU) denně.</w:t>
      </w:r>
    </w:p>
    <w:p w14:paraId="06FD4C1B" w14:textId="77777777" w:rsidR="00951F81" w:rsidRPr="00FF28F7" w:rsidRDefault="00951F81" w:rsidP="00B91B5A"/>
    <w:p w14:paraId="3E5D6C98" w14:textId="275B34BD" w:rsidR="00951F81" w:rsidRPr="00FF28F7" w:rsidRDefault="00951F81" w:rsidP="00B91B5A">
      <w:r>
        <w:t xml:space="preserve">Primární proměnnou účinnosti byla procentuální změna BMD v bederní páteři, účinnost na výskyt </w:t>
      </w:r>
      <w:r w:rsidR="008A07E6">
        <w:t>zlomenin</w:t>
      </w:r>
      <w:r>
        <w:t xml:space="preserve"> nebyla hodnocena. </w:t>
      </w:r>
      <w:r w:rsidR="00D45112">
        <w:t xml:space="preserve">Denosumab </w:t>
      </w:r>
      <w:r>
        <w:t xml:space="preserve">v porovnání s placebem signifikantně zvýšil během 2 let BMD ve všech měřených klinických místech: o 7,6 % v bederní páteři, o 4,7 % v celkovém proximálním femuru, o 3,6 % v krčku </w:t>
      </w:r>
      <w:r w:rsidR="003F0709">
        <w:t>femuru</w:t>
      </w:r>
      <w:r>
        <w:t xml:space="preserve">, o 5,9 % v trochanteru </w:t>
      </w:r>
      <w:r w:rsidR="003F0709">
        <w:t>femuru</w:t>
      </w:r>
      <w:r>
        <w:t>, o 6,1 % v distální 1/3 radia a o 4,2 % v celém těle (všechna p &lt; 0,0001).</w:t>
      </w:r>
    </w:p>
    <w:p w14:paraId="211BD352" w14:textId="77777777" w:rsidR="00951F81" w:rsidRPr="00FF28F7" w:rsidRDefault="00951F81" w:rsidP="00B91B5A"/>
    <w:p w14:paraId="4386AAEF" w14:textId="71030256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 xml:space="preserve">Léčba </w:t>
      </w:r>
      <w:r w:rsidR="002733C6">
        <w:rPr>
          <w:u w:val="single"/>
        </w:rPr>
        <w:t>úbytku</w:t>
      </w:r>
      <w:r>
        <w:rPr>
          <w:u w:val="single"/>
        </w:rPr>
        <w:t xml:space="preserve"> kostní hmoty související se systémovou léčbou glukokortikoidy</w:t>
      </w:r>
    </w:p>
    <w:p w14:paraId="20586ADE" w14:textId="77777777" w:rsidR="00951F81" w:rsidRPr="00FF28F7" w:rsidRDefault="00951F81" w:rsidP="00B91B5A">
      <w:pPr>
        <w:keepNext/>
      </w:pPr>
    </w:p>
    <w:p w14:paraId="7B088A88" w14:textId="2F0C0F70" w:rsidR="00951F81" w:rsidRPr="00FF28F7" w:rsidRDefault="00951F81" w:rsidP="00B91B5A">
      <w:r>
        <w:t xml:space="preserve">Účinnost a bezpečnost </w:t>
      </w:r>
      <w:r w:rsidR="00D45112">
        <w:t xml:space="preserve">denosumabu </w:t>
      </w:r>
      <w:r>
        <w:t>byla zkoumána u 795 pacientů (70 % žen a 30 % mužů) ve věku 20 až 94 let léčených ≥ 7,5 mg perorálně podávaného prednisonu denně (nebo ekvivalentu).</w:t>
      </w:r>
    </w:p>
    <w:p w14:paraId="11B772FA" w14:textId="77777777" w:rsidR="00951F81" w:rsidRPr="00FF28F7" w:rsidRDefault="00951F81" w:rsidP="00B91B5A"/>
    <w:p w14:paraId="45C2A621" w14:textId="38C3736C" w:rsidR="00951F81" w:rsidRPr="00FF28F7" w:rsidRDefault="00951F81" w:rsidP="00B91B5A">
      <w:r>
        <w:t>Byly studovány dvě subpopulace: soustavně užívající glukokortikoidy (≥ 7,5 mg prednisonu nebo jeho ekvivalentu denně ≥ 3 měsíce před zařazením do studie, n = 505) a nově nasazené glukokortikoidy (≥ 7,5 mg prednisonu nebo jeho ekvivalentu denně &lt; 3 měsíce před zařazením do studie, n = 290). Pacienti byli randomizováni (1:1) buď k </w:t>
      </w:r>
      <w:r w:rsidR="00CE7C78">
        <w:t>denosumabu</w:t>
      </w:r>
      <w:r>
        <w:t xml:space="preserve"> </w:t>
      </w:r>
      <w:r w:rsidR="00673BB0">
        <w:t xml:space="preserve">v dávce </w:t>
      </w:r>
      <w:r>
        <w:t xml:space="preserve">60 mg podávanému subkutánně jednou za 6 měsíců, nebo k perorálně podávanému risedronátu </w:t>
      </w:r>
      <w:r w:rsidR="00673BB0">
        <w:t xml:space="preserve">v dávce </w:t>
      </w:r>
      <w:r>
        <w:t>5 mg jednou denně (aktivní kontrola) po dobu 2 let. Pacienti dostávali denní dávku vápníku (nejméně 1 000 mg) a vitaminu D (nejméně 800 IU).</w:t>
      </w:r>
    </w:p>
    <w:p w14:paraId="576C1A80" w14:textId="77777777" w:rsidR="00951F81" w:rsidRPr="00FF28F7" w:rsidRDefault="00951F81" w:rsidP="00B91B5A"/>
    <w:p w14:paraId="69418A85" w14:textId="1A4C37A7" w:rsidR="00951F81" w:rsidRPr="00FF28F7" w:rsidRDefault="00951F81" w:rsidP="00B91B5A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kostní minerál</w:t>
      </w:r>
      <w:r w:rsidR="00673BB0">
        <w:rPr>
          <w:i/>
        </w:rPr>
        <w:t>ní denzitu</w:t>
      </w:r>
      <w:r>
        <w:rPr>
          <w:i/>
        </w:rPr>
        <w:t xml:space="preserve"> (Bone Mineral Density, BMD)</w:t>
      </w:r>
    </w:p>
    <w:p w14:paraId="126C1159" w14:textId="03C875DE" w:rsidR="00951F81" w:rsidRPr="00FF28F7" w:rsidRDefault="00951F81" w:rsidP="00B91B5A">
      <w:r>
        <w:t xml:space="preserve">V subpopulaci soustavně užívající glukokortikoidy prokázal </w:t>
      </w:r>
      <w:r w:rsidR="00CE7C78">
        <w:t>denosumab</w:t>
      </w:r>
      <w:r>
        <w:t xml:space="preserve"> větší zvýšení BMD bederní páteře v porovnání s risedronátem za 1 rok (</w:t>
      </w:r>
      <w:r w:rsidR="00CE7C78">
        <w:t>denosumab</w:t>
      </w:r>
      <w:r>
        <w:t xml:space="preserve"> 3,6 %, risedronát 2,0 %; p &lt; 0,001) a za 2 roky (</w:t>
      </w:r>
      <w:r w:rsidR="00CE7C78">
        <w:t xml:space="preserve">denosumab </w:t>
      </w:r>
      <w:r>
        <w:t xml:space="preserve">4,5 %, risedronát 2,2 %; p &lt; 0,001). V subpopulaci s nově nasazenými glukokortikoidy prokázal </w:t>
      </w:r>
      <w:r w:rsidR="00CE7C78">
        <w:t xml:space="preserve">denosumab </w:t>
      </w:r>
      <w:r>
        <w:t>větší zvýšení BMD bederní páteře v porovnání s risedronátem za 1 rok (</w:t>
      </w:r>
      <w:r w:rsidR="00CE7C78">
        <w:t xml:space="preserve">denosumab </w:t>
      </w:r>
      <w:r>
        <w:t>3,1 %, risedronát 0,8 %; p &lt; 0,001) a za 2 roky (</w:t>
      </w:r>
      <w:r w:rsidR="00CE7C78">
        <w:t xml:space="preserve">denosumab </w:t>
      </w:r>
      <w:r>
        <w:t>4,6 %, risedronát 1,5 %; p &lt; 0,001).</w:t>
      </w:r>
    </w:p>
    <w:p w14:paraId="56E22E91" w14:textId="77777777" w:rsidR="00951F81" w:rsidRPr="00FF28F7" w:rsidRDefault="00951F81" w:rsidP="00B91B5A"/>
    <w:p w14:paraId="3E214319" w14:textId="0EA47A73" w:rsidR="00951F81" w:rsidRPr="00FF28F7" w:rsidRDefault="00951F81" w:rsidP="00B91B5A">
      <w:r>
        <w:t xml:space="preserve">Kromě toho </w:t>
      </w:r>
      <w:r w:rsidR="00CE7C78">
        <w:t xml:space="preserve">denosumab </w:t>
      </w:r>
      <w:r>
        <w:t>prokázal signifikantně vyšší průměrné procento zvýšení BMD oproti výchozím hodnotám v porovnání s risedronátem v celkovém proximálním femuru, krčku femuru a trochanteru femuru.</w:t>
      </w:r>
    </w:p>
    <w:p w14:paraId="1D17E86E" w14:textId="77777777" w:rsidR="00951F81" w:rsidRPr="00FF28F7" w:rsidRDefault="00951F81" w:rsidP="00B91B5A"/>
    <w:p w14:paraId="393C8F57" w14:textId="77777777" w:rsidR="00951F81" w:rsidRPr="00FF28F7" w:rsidRDefault="00951F81" w:rsidP="00B91B5A">
      <w:r>
        <w:t>Studie nebyla zaměřena na prokázání rozdílu u jednotlivých zlomenin. Po 1 roce byla incidence nové radiologicky prokázané vertebrální zlomeniny u pacientů 2,7 % (denosumab) oproti 3,2 % (risedronát). Incidence nevertebrální zlomeniny u pacientů činila 4,3 % (denosumab) oproti 2,5 % (risedronát). Po 2 letech byly odpovídající hodnoty 4,1 % oproti 5,8 % u nových radiologicky prokázaných vertebrálních zlomenin a 5,3 % oproti 3,8 % u nevertebrálních zlomenin. Většina zlomenin se vyskytla v subpopulaci soustavně užívající glukokortikoidy.</w:t>
      </w:r>
    </w:p>
    <w:p w14:paraId="6353CC1A" w14:textId="77777777" w:rsidR="00951F81" w:rsidRPr="00FF28F7" w:rsidRDefault="00951F81" w:rsidP="00B91B5A"/>
    <w:p w14:paraId="20C9F6E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7F130177" w14:textId="77777777" w:rsidR="00951F81" w:rsidRPr="00FF28F7" w:rsidRDefault="00951F81" w:rsidP="00B91B5A">
      <w:pPr>
        <w:keepNext/>
      </w:pPr>
    </w:p>
    <w:p w14:paraId="172C3FD9" w14:textId="445B2086" w:rsidR="00951F81" w:rsidRDefault="00951F81" w:rsidP="00B91B5A">
      <w:r>
        <w:t>Jednoramenná studie fáze </w:t>
      </w:r>
      <w:r w:rsidR="00CE7C78">
        <w:t>III</w:t>
      </w:r>
      <w:r>
        <w:t xml:space="preserve"> hodnotila účinnost, bezpečnost a farmakokinetiku u dětí s osteogenesis imperfecta ve věku 2 až 17 let, z čehož bylo 52,3 % mužského pohlaví a 88,2 % bělochů. Celkem 153 pacientům byl zpočátku denosumab podáván subkutánně (s.c.) v dávce 1 mg/kg (maximálně 60 mg) každých 6 měsíců po dobu 36 měsíců. U 60 pacientů byl později změněn interval podání na každé 3 měsíce.</w:t>
      </w:r>
    </w:p>
    <w:p w14:paraId="179A2700" w14:textId="77777777" w:rsidR="00951F81" w:rsidRDefault="00951F81" w:rsidP="00B91B5A"/>
    <w:p w14:paraId="0FD6E333" w14:textId="78FFB058" w:rsidR="00951F81" w:rsidRDefault="00951F81" w:rsidP="00B91B5A">
      <w:r>
        <w:t>Ve 12. měsíci při podávání každé 3 měsíce byla hodnota nejmenších čtverců (LS) průměrné (</w:t>
      </w:r>
      <w:r w:rsidR="009F0FA6">
        <w:t>směrodatná</w:t>
      </w:r>
      <w:r>
        <w:t xml:space="preserve"> chyba, SE) změny oproti výchozí hodnotě BMD podle Z-skóre bederní páteře 1,01 (0,12).</w:t>
      </w:r>
    </w:p>
    <w:p w14:paraId="41D6D7D8" w14:textId="77777777" w:rsidR="00951F81" w:rsidRDefault="00951F81" w:rsidP="00B91B5A"/>
    <w:p w14:paraId="6A235BC6" w14:textId="524534EF" w:rsidR="00951F81" w:rsidRDefault="00951F81" w:rsidP="00B91B5A">
      <w:r>
        <w:t>Nejčastějšími nežádoucími účinky hlášenými při podávání každých 6 měsíců byly artralgie (45,8 %), bolest v končetině (37,9 %), bolest zad (32,7 %) a hyperkalciurie (32,0 %). Hyperkalcemie byla hlášena při podávání každých 6 měsíců (19 %) a každé 3 měsíce (36,7 %). Závažná forma hyperkalcemie (13,3 %) byla hlášena při podávání každé 3 měsíce.</w:t>
      </w:r>
    </w:p>
    <w:p w14:paraId="6984A0C1" w14:textId="77777777" w:rsidR="00951F81" w:rsidRDefault="00951F81" w:rsidP="00B91B5A"/>
    <w:p w14:paraId="2018068C" w14:textId="1D718FBD" w:rsidR="00951F81" w:rsidRDefault="00951F81" w:rsidP="00B91B5A">
      <w:r>
        <w:t>V prodloužené studii (n = 75) byla pozorována závažná forma hyperkalcemie (18,5 %) při podávání každé 3 měsíce.</w:t>
      </w:r>
    </w:p>
    <w:p w14:paraId="54BFFB0E" w14:textId="77777777" w:rsidR="00951F81" w:rsidRDefault="00951F81" w:rsidP="00B91B5A"/>
    <w:p w14:paraId="640F2BE3" w14:textId="79802284" w:rsidR="00951F81" w:rsidRDefault="00951F81" w:rsidP="00B91B5A">
      <w:r>
        <w:t>Studie byly předčasně ukončeny kvůli výskytu život ohrožujících nežádoucích účinků a nutných hospitalizací následkem hyperkalcemie (viz bod 4.2).</w:t>
      </w:r>
    </w:p>
    <w:p w14:paraId="3513A192" w14:textId="77777777" w:rsidR="00951F81" w:rsidRDefault="00951F81" w:rsidP="00B91B5A"/>
    <w:p w14:paraId="26717AD5" w14:textId="6D569F12" w:rsidR="005465CB" w:rsidRDefault="005465CB" w:rsidP="00B91B5A">
      <w:r w:rsidRPr="005465CB">
        <w:t xml:space="preserve">V jedné multicentrické, randomizované, dvojitě zaslepené, placebem kontrolované studii s paralelními skupinami, které se zúčastnilo 24 pediatrických pacientů ve věku od 5 do 17 let s glukokortikoidy indukovanou osteoporózou a která hodnotila změny BMD podle Z-skóre bederní páteře oproti výchozí hodnotě, nebyly bezpečnost a účinnost stanoveny, a proto se </w:t>
      </w:r>
      <w:r>
        <w:t>denosumab</w:t>
      </w:r>
      <w:r w:rsidRPr="005465CB">
        <w:t xml:space="preserve"> pro tuto indikaci </w:t>
      </w:r>
      <w:r w:rsidR="009F0FA6">
        <w:t>nemá</w:t>
      </w:r>
      <w:r w:rsidRPr="005465CB">
        <w:t xml:space="preserve"> používat.</w:t>
      </w:r>
    </w:p>
    <w:p w14:paraId="7D828989" w14:textId="77777777" w:rsidR="005465CB" w:rsidRDefault="005465CB" w:rsidP="00B91B5A"/>
    <w:p w14:paraId="4D2A2C6A" w14:textId="2F216017" w:rsidR="00951F81" w:rsidRDefault="00951F81" w:rsidP="00B91B5A">
      <w:r>
        <w:t xml:space="preserve">Evropská agentura pro léčivé přípravky rozhodla o zproštění povinnosti předložit výsledky studií </w:t>
      </w:r>
      <w:r w:rsidR="00CE7C78">
        <w:t xml:space="preserve">s referenčním léčivým </w:t>
      </w:r>
      <w:r>
        <w:t xml:space="preserve">přípravkem </w:t>
      </w:r>
      <w:r w:rsidR="00CE7C78">
        <w:t>obsahujícím denosumab</w:t>
      </w:r>
      <w:r>
        <w:t xml:space="preserve"> u všech podskupin pediatrické populace v léčbě úbytku kostní tkáně spojeného s hormonální ablativní léčbou a u podskupin pediatrické populace mladší 2 let v léčbě osteoporózy</w:t>
      </w:r>
      <w:r w:rsidR="00CE7C78">
        <w:t xml:space="preserve"> (i</w:t>
      </w:r>
      <w:r>
        <w:t xml:space="preserve">nformace o použití u </w:t>
      </w:r>
      <w:r w:rsidR="009F0FA6">
        <w:t>pediatrické populace</w:t>
      </w:r>
      <w:r>
        <w:t xml:space="preserve"> viz bod 4.2</w:t>
      </w:r>
      <w:r w:rsidR="00CE7C78">
        <w:t>)</w:t>
      </w:r>
      <w:r>
        <w:t>.</w:t>
      </w:r>
    </w:p>
    <w:p w14:paraId="65F6B832" w14:textId="77777777" w:rsidR="00951F81" w:rsidRPr="00FF28F7" w:rsidRDefault="00951F81" w:rsidP="00B91B5A"/>
    <w:p w14:paraId="4505404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5.2</w:t>
      </w:r>
      <w:r>
        <w:rPr>
          <w:b/>
        </w:rPr>
        <w:tab/>
        <w:t>Farmakokinetické vlastnosti</w:t>
      </w:r>
    </w:p>
    <w:p w14:paraId="757F2BF8" w14:textId="77777777" w:rsidR="00951F81" w:rsidRPr="00FF28F7" w:rsidRDefault="00951F81" w:rsidP="00B91B5A">
      <w:pPr>
        <w:keepNext/>
      </w:pPr>
    </w:p>
    <w:p w14:paraId="2AC6BCEF" w14:textId="77777777" w:rsidR="00951F81" w:rsidRPr="00860290" w:rsidRDefault="00951F81" w:rsidP="00B91B5A">
      <w:pPr>
        <w:keepNext/>
        <w:rPr>
          <w:u w:val="single"/>
        </w:rPr>
      </w:pPr>
      <w:r w:rsidRPr="00860290">
        <w:rPr>
          <w:u w:val="single"/>
        </w:rPr>
        <w:t>Absorpce</w:t>
      </w:r>
    </w:p>
    <w:p w14:paraId="254AEFC6" w14:textId="77777777" w:rsidR="00951F81" w:rsidRPr="00860290" w:rsidRDefault="00951F81" w:rsidP="00B91B5A">
      <w:pPr>
        <w:keepNext/>
      </w:pPr>
    </w:p>
    <w:p w14:paraId="46DD3554" w14:textId="77777777" w:rsidR="00951F81" w:rsidRPr="00FF28F7" w:rsidRDefault="00951F81" w:rsidP="00B91B5A">
      <w:r w:rsidRPr="00860290">
        <w:t>Po subkutánním podání dávky 1,0 mg/kg, která se přibližuje schválené/doporučované dávce 60 mg, dosáhla expozice založená na AUC 78 % hodnoty, které bylo dosaženo po intravenózním podání stejné dávky. Při subkutánním podání dávky 60 mg bylo dosaženo maximální sérové koncentrace denosumabu (C</w:t>
      </w:r>
      <w:r w:rsidRPr="00860290">
        <w:rPr>
          <w:vertAlign w:val="subscript"/>
        </w:rPr>
        <w:t>max</w:t>
      </w:r>
      <w:r w:rsidRPr="00860290">
        <w:t>) 6 μg/ml (rozmezí 1</w:t>
      </w:r>
      <w:r w:rsidRPr="00860290">
        <w:noBreakHyphen/>
        <w:t>17 μg/ml) za 10 dní (rozmezí 2</w:t>
      </w:r>
      <w:r w:rsidRPr="00860290">
        <w:noBreakHyphen/>
        <w:t>28 dní).</w:t>
      </w:r>
    </w:p>
    <w:p w14:paraId="2F53AC69" w14:textId="77777777" w:rsidR="00951F81" w:rsidRPr="00FF28F7" w:rsidRDefault="00951F81" w:rsidP="00B91B5A"/>
    <w:p w14:paraId="380A0A44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Biotransformace</w:t>
      </w:r>
    </w:p>
    <w:p w14:paraId="7438AF89" w14:textId="77777777" w:rsidR="00951F81" w:rsidRPr="00FF28F7" w:rsidRDefault="00951F81" w:rsidP="00B91B5A">
      <w:pPr>
        <w:keepNext/>
      </w:pPr>
    </w:p>
    <w:p w14:paraId="3DB31CFF" w14:textId="4EDE6534" w:rsidR="00951F81" w:rsidRPr="00FF28F7" w:rsidRDefault="00951F81" w:rsidP="00B91B5A">
      <w:r>
        <w:t xml:space="preserve">Denosumab se skládá, stejně jako přirozené imunoglobuliny, pouze z aminokyselin a </w:t>
      </w:r>
      <w:r w:rsidR="00CE7C78">
        <w:t>sacharidů</w:t>
      </w:r>
      <w:r>
        <w:t xml:space="preserve"> a není proto pravděpodobné, že by byl eliminován metabolickými mechanismy v játrech. Předpokládá se, že jeho metabolismus a eliminace probíhají stejným způsobem a drahami jako clearance imunoglobulinů a výslednými produkty jsou nakonec malé peptidy a jednotlivé aminokyseliny.</w:t>
      </w:r>
    </w:p>
    <w:p w14:paraId="1B6C30CA" w14:textId="77777777" w:rsidR="00951F81" w:rsidRPr="00FF28F7" w:rsidRDefault="00951F81" w:rsidP="00B91B5A"/>
    <w:p w14:paraId="20987A2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Eliminace</w:t>
      </w:r>
    </w:p>
    <w:p w14:paraId="149393B9" w14:textId="77777777" w:rsidR="00951F81" w:rsidRPr="00FF28F7" w:rsidRDefault="00951F81" w:rsidP="00B91B5A">
      <w:pPr>
        <w:keepNext/>
      </w:pPr>
    </w:p>
    <w:p w14:paraId="7C96DA59" w14:textId="77777777" w:rsidR="00951F81" w:rsidRPr="00FF28F7" w:rsidRDefault="00951F81" w:rsidP="00B91B5A">
      <w:r>
        <w:t>Po dosažení C</w:t>
      </w:r>
      <w:r>
        <w:rPr>
          <w:vertAlign w:val="subscript"/>
        </w:rPr>
        <w:t>max</w:t>
      </w:r>
      <w:r>
        <w:t xml:space="preserve"> klesaly sérové hladiny s poločasem 26 dní (rozmezí 6</w:t>
      </w:r>
      <w:r>
        <w:noBreakHyphen/>
        <w:t>52 dní) během období 3 měsíců (rozmezí 1,5</w:t>
      </w:r>
      <w:r>
        <w:noBreakHyphen/>
        <w:t>4,5 měsíce). U padesáti tří procent (53 %) pacientů nebyla za 6 měsíců po podání hladina denosumabu měřitelná.</w:t>
      </w:r>
    </w:p>
    <w:p w14:paraId="424386BC" w14:textId="77777777" w:rsidR="00951F81" w:rsidRPr="00FF28F7" w:rsidRDefault="00951F81" w:rsidP="00B91B5A"/>
    <w:p w14:paraId="3394C49F" w14:textId="51948A78" w:rsidR="00951F81" w:rsidRPr="00FF28F7" w:rsidRDefault="00951F81" w:rsidP="00B91B5A">
      <w:r>
        <w:t>Při subkutánním podání 60mg dávek, aplikovaných opakovaně jednou za 6 měsíců, nebyla zaznamenána žádná kumulace nebo změna farmakokinetiky denosumabu. Farmakokinetika denosumabu nebyla ovlivněna tvorbou protilátek vázajících se na denosumab a u mužů i žen byla podobná. Nezdá se, že by věk (28</w:t>
      </w:r>
      <w:r>
        <w:noBreakHyphen/>
        <w:t xml:space="preserve">87 let), rasa či stav onemocnění (úbytek kostní hmoty nebo osteoporóza, </w:t>
      </w:r>
      <w:r w:rsidR="004C2EF7">
        <w:t>karcinom</w:t>
      </w:r>
      <w:r>
        <w:t xml:space="preserve"> prostaty nebo prsu) významně ovlivňovaly farmakokinetiku denosumabu.</w:t>
      </w:r>
    </w:p>
    <w:p w14:paraId="6D47D7EF" w14:textId="77777777" w:rsidR="00951F81" w:rsidRPr="00FF28F7" w:rsidRDefault="00951F81" w:rsidP="00B91B5A"/>
    <w:p w14:paraId="7833D34C" w14:textId="77777777" w:rsidR="00951F81" w:rsidRPr="00FF28F7" w:rsidRDefault="00951F81" w:rsidP="00B91B5A">
      <w:r>
        <w:t>Byl pozorován trend mezi vyšší tělesnou hmotností a nižší expozicí, hodnocenou podle AUC a C</w:t>
      </w:r>
      <w:r>
        <w:rPr>
          <w:vertAlign w:val="subscript"/>
        </w:rPr>
        <w:t>max</w:t>
      </w:r>
      <w:r>
        <w:t>. Tento trend však není považován za klinicky významný, jelikož farmakodynamické účinky, posuzované dle markerů kostního obratu a vzestupu BMD, byly v širokém rozmezí tělesných hmotností konzistentní.</w:t>
      </w:r>
    </w:p>
    <w:p w14:paraId="773E04F7" w14:textId="77777777" w:rsidR="00951F81" w:rsidRPr="00FF28F7" w:rsidRDefault="00951F81" w:rsidP="00B91B5A"/>
    <w:p w14:paraId="2151696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Linearita/nelinearita</w:t>
      </w:r>
    </w:p>
    <w:p w14:paraId="4B4536A9" w14:textId="77777777" w:rsidR="00951F81" w:rsidRPr="00FF28F7" w:rsidRDefault="00951F81" w:rsidP="00B91B5A">
      <w:pPr>
        <w:keepNext/>
      </w:pPr>
    </w:p>
    <w:p w14:paraId="394ECB9C" w14:textId="77777777" w:rsidR="00951F81" w:rsidRPr="00FF28F7" w:rsidRDefault="00951F81" w:rsidP="00B91B5A">
      <w:r>
        <w:t>Ve studiích zaměřených na stanovení dávky přípravku vykazoval denosumab nelineární, na dávce závislou farmakokinetiku, s nižší clearance při vyšších dávkách nebo koncentracích, ale při dávkách 60 mg a vyšších se expozice zvyšovaly přibližně v závislosti na velikosti dávek.</w:t>
      </w:r>
    </w:p>
    <w:p w14:paraId="1EE5EDD3" w14:textId="77777777" w:rsidR="00951F81" w:rsidRPr="00FF28F7" w:rsidRDefault="00951F81" w:rsidP="00B91B5A"/>
    <w:p w14:paraId="75E17C6F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Porucha funkce ledvin</w:t>
      </w:r>
    </w:p>
    <w:p w14:paraId="666FA4C9" w14:textId="77777777" w:rsidR="00951F81" w:rsidRPr="00FF28F7" w:rsidRDefault="00951F81" w:rsidP="00B91B5A">
      <w:pPr>
        <w:keepNext/>
      </w:pPr>
    </w:p>
    <w:p w14:paraId="6411939A" w14:textId="77777777" w:rsidR="00951F81" w:rsidRPr="00FF28F7" w:rsidRDefault="00951F81" w:rsidP="00B91B5A">
      <w:r>
        <w:t>Ve studii, která hodnotila 55 pacientů s různými stupni funkce ledvin, včetně dialyzovaných pacientů, neměl stupeň poruchy funkce ledvin žádný vliv na farmakokinetiku denosumabu.</w:t>
      </w:r>
    </w:p>
    <w:p w14:paraId="115859F5" w14:textId="77777777" w:rsidR="00951F81" w:rsidRPr="00FF28F7" w:rsidRDefault="00951F81" w:rsidP="00B91B5A"/>
    <w:p w14:paraId="057FCBC6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Porucha funkce jater</w:t>
      </w:r>
    </w:p>
    <w:p w14:paraId="12B90E26" w14:textId="77777777" w:rsidR="00951F81" w:rsidRPr="00FF28F7" w:rsidRDefault="00951F81" w:rsidP="00B91B5A">
      <w:pPr>
        <w:keepNext/>
      </w:pPr>
    </w:p>
    <w:p w14:paraId="60608984" w14:textId="2E701139" w:rsidR="00951F81" w:rsidRPr="00FF28F7" w:rsidRDefault="00951F81" w:rsidP="00B91B5A">
      <w:r>
        <w:t xml:space="preserve">U pacientů s poruchou funkce jater nebyly provedeny žádné specifické studie. Monoklonální protilátky nejsou obecně </w:t>
      </w:r>
      <w:r w:rsidR="001D7EF0">
        <w:t>eliminovány</w:t>
      </w:r>
      <w:r>
        <w:t xml:space="preserve"> prostřednictvím jaterního metabolismu. Neočekává se, že by porucha funkce jater ovlivnila farmakokinetiku denosumabu.</w:t>
      </w:r>
    </w:p>
    <w:p w14:paraId="72887241" w14:textId="77777777" w:rsidR="00951F81" w:rsidRPr="00FF28F7" w:rsidRDefault="00951F81" w:rsidP="00B91B5A"/>
    <w:p w14:paraId="779417A1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075B6A9C" w14:textId="77777777" w:rsidR="00951F81" w:rsidRDefault="00951F81" w:rsidP="00B91B5A"/>
    <w:p w14:paraId="5915A488" w14:textId="1C517A65" w:rsidR="00951F81" w:rsidRDefault="00951F81" w:rsidP="00B91B5A">
      <w:r>
        <w:t xml:space="preserve">Přípravek </w:t>
      </w:r>
      <w:r w:rsidR="008D4A9A">
        <w:t>Kefdensis</w:t>
      </w:r>
      <w:r>
        <w:t xml:space="preserve"> se u pediatrické populace </w:t>
      </w:r>
      <w:r w:rsidR="001D7EF0">
        <w:t>nemá</w:t>
      </w:r>
      <w:r>
        <w:t xml:space="preserve"> používat (viz body 4.2 a 5.1).</w:t>
      </w:r>
    </w:p>
    <w:p w14:paraId="2E55E8A6" w14:textId="77777777" w:rsidR="00951F81" w:rsidRDefault="00951F81" w:rsidP="00B91B5A"/>
    <w:p w14:paraId="30CAE9B8" w14:textId="7F29DD0F" w:rsidR="00951F81" w:rsidRDefault="00951F81" w:rsidP="00B91B5A">
      <w:r>
        <w:t>Ve studii fáze </w:t>
      </w:r>
      <w:r w:rsidR="00845306">
        <w:t>III</w:t>
      </w:r>
      <w:r>
        <w:t>, do které byli zařazeni pediatričtí pacienti s osteogenesis imperfecta (n = 153), byly maximální koncentrace denosumabu v séru pozorovány 10. den u všech věkových skupin. Při podávání každé 3 měsíce a každých 6 měsíců bylo zjištěno, že průměrné minimální koncentrace denosumabu v séru jsou vyšší u dětí ve věku 11 až 17 let, zatímco nejnižší průměrné minimální koncentrace byly zjištěny u dětí ve věku 2 až 6 let.</w:t>
      </w:r>
    </w:p>
    <w:p w14:paraId="73750145" w14:textId="77777777" w:rsidR="00951F81" w:rsidRDefault="00951F81" w:rsidP="00B91B5A"/>
    <w:p w14:paraId="6ABEB49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5.3</w:t>
      </w:r>
      <w:r>
        <w:rPr>
          <w:b/>
        </w:rPr>
        <w:tab/>
        <w:t>Předklinické údaje vztahující se k bezpečnosti</w:t>
      </w:r>
    </w:p>
    <w:p w14:paraId="31220C4C" w14:textId="77777777" w:rsidR="00951F81" w:rsidRPr="00FF28F7" w:rsidRDefault="00951F81" w:rsidP="00B91B5A">
      <w:pPr>
        <w:keepNext/>
      </w:pPr>
    </w:p>
    <w:p w14:paraId="023E8F7D" w14:textId="28C1A4AE" w:rsidR="00951F81" w:rsidRPr="00FF28F7" w:rsidRDefault="00951F81" w:rsidP="00B91B5A">
      <w:r>
        <w:t>Ve studiích toxicity jednorázových a opakovaných dávek u makaků jávských neměly dávky denosumabu, které vedly k 100 až 150</w:t>
      </w:r>
      <w:r w:rsidR="002D5A9A">
        <w:t>násobně</w:t>
      </w:r>
      <w:r>
        <w:t xml:space="preserve"> vyšší systémové expozici, než jaké je dosahováno po podání doporučených dávek u člověka, žádný vliv na fyziologii kardiovaskulární soustavy, </w:t>
      </w:r>
      <w:r w:rsidR="002D5A9A">
        <w:t>samčí</w:t>
      </w:r>
      <w:r>
        <w:t xml:space="preserve"> ani </w:t>
      </w:r>
      <w:r w:rsidR="002D5A9A">
        <w:t>samičí</w:t>
      </w:r>
      <w:r>
        <w:t xml:space="preserve"> fertilitu a nevyvolaly ani žádnou specifickou toxickou reakci v cílových orgánech.</w:t>
      </w:r>
    </w:p>
    <w:p w14:paraId="351353A7" w14:textId="77777777" w:rsidR="00951F81" w:rsidRPr="00FF28F7" w:rsidRDefault="00951F81" w:rsidP="00B91B5A"/>
    <w:p w14:paraId="417CEBB6" w14:textId="77777777" w:rsidR="00951F81" w:rsidRPr="00FF28F7" w:rsidRDefault="00951F81" w:rsidP="00B91B5A">
      <w:r>
        <w:t>Standardní vyšetření genotoxického potenciálu denosumabu nebyla provedena, neboť tato vyšetření nejsou pro tuto molekulu relevantní. Vzhledem k charakteru denosumabu je nepravděpodobné, že by měl jakýkoliv potenciál genotoxicity.</w:t>
      </w:r>
    </w:p>
    <w:p w14:paraId="706B7EE1" w14:textId="77777777" w:rsidR="00951F81" w:rsidRPr="00FF28F7" w:rsidRDefault="00951F81" w:rsidP="00B91B5A"/>
    <w:p w14:paraId="66EF6ECE" w14:textId="77777777" w:rsidR="00951F81" w:rsidRPr="00FF28F7" w:rsidRDefault="00951F81" w:rsidP="00B91B5A">
      <w:r>
        <w:t>Kancerogenní potenciál denosumabu nebyl v dlouhodobých studiích na zvířatech hodnocen.</w:t>
      </w:r>
    </w:p>
    <w:p w14:paraId="0A7AB26D" w14:textId="77777777" w:rsidR="00951F81" w:rsidRPr="00FF28F7" w:rsidRDefault="00951F81" w:rsidP="00B91B5A"/>
    <w:p w14:paraId="201BAE0E" w14:textId="117BD888" w:rsidR="00951F81" w:rsidRPr="00FF28F7" w:rsidRDefault="00951F81" w:rsidP="00B91B5A">
      <w:r>
        <w:t>V preklinických studiích na kno</w:t>
      </w:r>
      <w:r w:rsidR="002D5A9A">
        <w:t>c</w:t>
      </w:r>
      <w:r>
        <w:t>k</w:t>
      </w:r>
      <w:r w:rsidR="002D5A9A">
        <w:t>o</w:t>
      </w:r>
      <w:r>
        <w:t>utovaných myších postrádajících RANK nebo RANKL bylo pozorováno poškození tvorby lymfatických uzlin u plodu. U kno</w:t>
      </w:r>
      <w:r w:rsidR="002D5A9A">
        <w:t>c</w:t>
      </w:r>
      <w:r>
        <w:t>k</w:t>
      </w:r>
      <w:r w:rsidR="002D5A9A">
        <w:t>o</w:t>
      </w:r>
      <w:r>
        <w:t>utovaných myší postrádajících RANK nebo RANKL byla pozorována také absence laktace v důsledku inhibice zrání mléčné žlázy (lobuloalveolární vývoj žlázy v průběhu březosti).</w:t>
      </w:r>
    </w:p>
    <w:p w14:paraId="60F11A3D" w14:textId="77777777" w:rsidR="00951F81" w:rsidRPr="00FF28F7" w:rsidRDefault="00951F81" w:rsidP="00B91B5A"/>
    <w:p w14:paraId="1C88771F" w14:textId="572E877C" w:rsidR="00951F81" w:rsidRPr="00FF28F7" w:rsidRDefault="00951F81" w:rsidP="00B91B5A">
      <w:r>
        <w:t>Ve studii u makaků jávských, kteří dostávali denosumab v období odpovídajícímu prvnímu trimestru při expozici AUC až 99</w:t>
      </w:r>
      <w:r w:rsidR="00596D6F">
        <w:t>násobně</w:t>
      </w:r>
      <w:r>
        <w:t xml:space="preserve"> vyšší</w:t>
      </w:r>
      <w:r w:rsidR="00845306">
        <w:t xml:space="preserve">, </w:t>
      </w:r>
      <w:r>
        <w:t>než je dávka u člověka (60 mg každých 6 měsíců), nebylo prokázáno žádné poškození matky ani plodu. V této studii nebyly vyšetřovány lymfatické uzliny plodu.</w:t>
      </w:r>
    </w:p>
    <w:p w14:paraId="3A4E9563" w14:textId="77777777" w:rsidR="00951F81" w:rsidRPr="00FF28F7" w:rsidRDefault="00951F81" w:rsidP="00B91B5A"/>
    <w:p w14:paraId="73C5C87C" w14:textId="2F109516" w:rsidR="00951F81" w:rsidRPr="00FF28F7" w:rsidRDefault="00951F81" w:rsidP="00B91B5A">
      <w:r>
        <w:t>V další studii u makaků jávských, kteří dostávali denosumab po dobu březosti v expozicích AUC až 119</w:t>
      </w:r>
      <w:r w:rsidR="00596D6F">
        <w:t>násobně</w:t>
      </w:r>
      <w:r>
        <w:t xml:space="preserve"> vyšších, než je dávka u člověka (60 mg každých 6 měsíců), byl zjištěn zvýšený výskyt narozených mrtvých plodů a postnatální mortality; abnormální růst kostí vedoucí k jejich nižší pevnosti, snížená hematopoeza a chybné postavení zubů; chybějící periferní lymfatické uzliny; a pomalejší neonatální růst. Nebyla stanovena hladina, při níž ještě nebyly zjištěny reprodukční nežádoucí účinky. Po 6 měsících po narození se kostní změny upravily a nebyl zjištěn žádný vliv na prořezávání zubů. Účinky na lymfatické uzliny a chybné postavení zubů však přetrvávaly a u jednoho zvíř</w:t>
      </w:r>
      <w:r w:rsidR="00845306">
        <w:t>e</w:t>
      </w:r>
      <w:r>
        <w:t>te byla pozorována minimální až střední mineralizace v různých tkáních (souvislost s léčbou není jasná). Nebylo prokázáno poškození matek před porodem; nežádoucí účinky se při porodu vyskytly u</w:t>
      </w:r>
      <w:r w:rsidR="00845306">
        <w:t> </w:t>
      </w:r>
      <w:r>
        <w:t>matek vzácně. Vývoj mléčné žlázy u matek byl normální.</w:t>
      </w:r>
    </w:p>
    <w:p w14:paraId="05A92EDE" w14:textId="77777777" w:rsidR="00951F81" w:rsidRPr="00FF28F7" w:rsidRDefault="00951F81" w:rsidP="00B91B5A"/>
    <w:p w14:paraId="4677AAD4" w14:textId="77777777" w:rsidR="00951F81" w:rsidRPr="00FF28F7" w:rsidRDefault="00951F81" w:rsidP="00B91B5A">
      <w:r>
        <w:t>V preklinických studiích, zabývajících se kvalitou kostí u opic dlouhodobě léčených denosumabem, bylo snížení kostního obratu spojeno se zlepšením pevnosti kosti a normálním histologickým obrazem kosti. U opic po ovarektomii, léčených denosumabem, byly hladiny vápníku přechodně nižší a hladiny parathormonu se přechodně zvýšily.</w:t>
      </w:r>
    </w:p>
    <w:p w14:paraId="77E158FC" w14:textId="77777777" w:rsidR="00951F81" w:rsidRPr="00FF28F7" w:rsidRDefault="00951F81" w:rsidP="00B91B5A"/>
    <w:p w14:paraId="1B1FB0D0" w14:textId="2A343C31" w:rsidR="00951F81" w:rsidRPr="00FF28F7" w:rsidRDefault="00951F81" w:rsidP="00B91B5A">
      <w:r>
        <w:t>U samců myší geneticky modifikovaných k expresi humánního RANKL (tzv. „knock</w:t>
      </w:r>
      <w:r>
        <w:noBreakHyphen/>
        <w:t xml:space="preserve">in myši”), kteří byli vystaveni transkortikální </w:t>
      </w:r>
      <w:r w:rsidR="008A07E6">
        <w:t>zlomenině</w:t>
      </w:r>
      <w:r>
        <w:t>, denosumab zpomalil (oproti kontrole) odbourání chrupavky a remodelaci kostního svalku, biomechanická pevnost ale nebyla nepříznivě ovlivněna.</w:t>
      </w:r>
    </w:p>
    <w:p w14:paraId="29CED961" w14:textId="77777777" w:rsidR="00951F81" w:rsidRPr="00FF28F7" w:rsidRDefault="00951F81" w:rsidP="00B91B5A"/>
    <w:p w14:paraId="7F763274" w14:textId="30F5FD6B" w:rsidR="00951F81" w:rsidRPr="00FF28F7" w:rsidRDefault="00951F81" w:rsidP="00B91B5A">
      <w:r>
        <w:t>Kno</w:t>
      </w:r>
      <w:r w:rsidR="002D5A9A">
        <w:t>c</w:t>
      </w:r>
      <w:r>
        <w:t>k</w:t>
      </w:r>
      <w:r w:rsidR="002D5A9A">
        <w:t>o</w:t>
      </w:r>
      <w:r>
        <w:t>utované myši (viz bod 4.6) postrádající RANK nebo RANKL měly nižší tělesnou hmotnost, snížený růst kosti a nedostatečné prořezávání zubů. U novorozených potkanů byla inhibice RANKL (cíl léčby denosumabem) vysokými dávkami komplexu osteoprotegerinu vázaného na Fc (OPG</w:t>
      </w:r>
      <w:r>
        <w:noBreakHyphen/>
        <w:t>Fc) spojena s inhibicí růstu kosti a prořezávání zubů. V tomto modelu byly tyto změny částečně reverzibilní po přerušení dávek inhibitorů RANKL. Dospívající primáti, kterým byl podáván denosumab ve 27 a 150násobku klinické expozice (dávka 10 a 50 mg/kg), měli abnormality růstových plotének. Léčba denosumabem může tedy narušit růst kostí u dětí s otevřenými růstovými ploténkami a může i bránit prořezávání zubů.</w:t>
      </w:r>
    </w:p>
    <w:p w14:paraId="747A92A2" w14:textId="77777777" w:rsidR="00951F81" w:rsidRPr="00FF28F7" w:rsidRDefault="00951F81" w:rsidP="00B91B5A"/>
    <w:p w14:paraId="1D5852DB" w14:textId="77777777" w:rsidR="00951F81" w:rsidRPr="00FF28F7" w:rsidRDefault="00951F81" w:rsidP="00B91B5A"/>
    <w:p w14:paraId="606F54BA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2A12541D" w14:textId="77777777" w:rsidR="00951F81" w:rsidRPr="00FF28F7" w:rsidRDefault="00951F81" w:rsidP="00B91B5A">
      <w:pPr>
        <w:keepNext/>
      </w:pPr>
    </w:p>
    <w:p w14:paraId="1C31AFA2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Seznam pomocných látek</w:t>
      </w:r>
    </w:p>
    <w:p w14:paraId="392B9E30" w14:textId="77777777" w:rsidR="00951F81" w:rsidRPr="00FF28F7" w:rsidRDefault="00951F81" w:rsidP="00B91B5A">
      <w:pPr>
        <w:keepNext/>
      </w:pPr>
    </w:p>
    <w:p w14:paraId="32248F72" w14:textId="09C388F9" w:rsidR="00845306" w:rsidRPr="00860290" w:rsidRDefault="004955BF" w:rsidP="00B91B5A">
      <w:r>
        <w:t>H</w:t>
      </w:r>
      <w:r w:rsidR="00845306" w:rsidRPr="00860290">
        <w:t>istidin</w:t>
      </w:r>
    </w:p>
    <w:p w14:paraId="3F9FCD59" w14:textId="64D2D77B" w:rsidR="00845306" w:rsidRPr="00AE5D1D" w:rsidRDefault="00860290" w:rsidP="00B91B5A">
      <w:r w:rsidRPr="00AE5D1D">
        <w:t xml:space="preserve">Monohydrát </w:t>
      </w:r>
      <w:r w:rsidR="00845306" w:rsidRPr="00AE5D1D">
        <w:t>histidin</w:t>
      </w:r>
      <w:r w:rsidR="004955BF">
        <w:t>-</w:t>
      </w:r>
      <w:r w:rsidRPr="00AE5D1D">
        <w:t>hydrochloridu</w:t>
      </w:r>
    </w:p>
    <w:p w14:paraId="7095AD5D" w14:textId="2CB69639" w:rsidR="00845306" w:rsidRPr="00AE5D1D" w:rsidRDefault="00845306" w:rsidP="00B91B5A">
      <w:pPr>
        <w:ind w:left="708" w:hanging="708"/>
      </w:pPr>
      <w:r w:rsidRPr="00AE5D1D">
        <w:t>S</w:t>
      </w:r>
      <w:r w:rsidR="00860290" w:rsidRPr="00AE5D1D">
        <w:t>acharóza</w:t>
      </w:r>
    </w:p>
    <w:p w14:paraId="3928C76A" w14:textId="77777777" w:rsidR="00845306" w:rsidRPr="00AE5D1D" w:rsidRDefault="00845306" w:rsidP="00B91B5A">
      <w:pPr>
        <w:ind w:left="708" w:hanging="708"/>
      </w:pPr>
      <w:r w:rsidRPr="00AE5D1D">
        <w:t>Poloxamer 188</w:t>
      </w:r>
    </w:p>
    <w:p w14:paraId="4B7049B8" w14:textId="77777777" w:rsidR="00951F81" w:rsidRPr="00FF28F7" w:rsidRDefault="00951F81" w:rsidP="00B91B5A">
      <w:pPr>
        <w:keepNext/>
      </w:pPr>
      <w:r>
        <w:t>Voda pro injekci</w:t>
      </w:r>
    </w:p>
    <w:p w14:paraId="11E6ACFF" w14:textId="77777777" w:rsidR="00951F81" w:rsidRPr="00FF28F7" w:rsidRDefault="00951F81" w:rsidP="00B91B5A"/>
    <w:p w14:paraId="59877EC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Inkompatibility</w:t>
      </w:r>
    </w:p>
    <w:p w14:paraId="3E16EDA9" w14:textId="77777777" w:rsidR="00951F81" w:rsidRPr="00FF28F7" w:rsidRDefault="00951F81" w:rsidP="00B91B5A">
      <w:pPr>
        <w:keepNext/>
      </w:pPr>
    </w:p>
    <w:p w14:paraId="10A838AD" w14:textId="77777777" w:rsidR="00951F81" w:rsidRPr="00FF28F7" w:rsidRDefault="00951F81" w:rsidP="00B91B5A">
      <w:r>
        <w:t>Studie kompatibility nejsou k dispozici, a proto nesmí být tento léčivý přípravek mísen s jinými léčivými přípravky.</w:t>
      </w:r>
    </w:p>
    <w:p w14:paraId="2092F4E1" w14:textId="77777777" w:rsidR="00951F81" w:rsidRPr="00FF28F7" w:rsidRDefault="00951F81" w:rsidP="00B91B5A"/>
    <w:p w14:paraId="40C91FC6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>Doba použitelnosti</w:t>
      </w:r>
    </w:p>
    <w:p w14:paraId="7ED4C611" w14:textId="77777777" w:rsidR="00951F81" w:rsidRPr="00FF28F7" w:rsidRDefault="00951F81" w:rsidP="00B91B5A">
      <w:pPr>
        <w:keepNext/>
      </w:pPr>
    </w:p>
    <w:p w14:paraId="43BF83E5" w14:textId="422969FF" w:rsidR="00951F81" w:rsidRPr="00FF28F7" w:rsidRDefault="00E16D41" w:rsidP="00B91B5A">
      <w:r>
        <w:t>3</w:t>
      </w:r>
      <w:r w:rsidR="00951F81">
        <w:t> roky.</w:t>
      </w:r>
    </w:p>
    <w:p w14:paraId="2533BCA3" w14:textId="77777777" w:rsidR="00951F81" w:rsidRPr="00FF28F7" w:rsidRDefault="00951F81" w:rsidP="00B91B5A"/>
    <w:p w14:paraId="4CD887E4" w14:textId="7A491EBD" w:rsidR="00951F81" w:rsidRPr="00FF28F7" w:rsidRDefault="00951F81" w:rsidP="00B91B5A">
      <w:r>
        <w:t xml:space="preserve">Jakmile je přípravek </w:t>
      </w:r>
      <w:r w:rsidR="008D4A9A">
        <w:t>Kefdensis</w:t>
      </w:r>
      <w:r>
        <w:t xml:space="preserve"> vyjmut z chladničky, může být uchováván při pokojové teplotě (do 25 °C) po dobu až 30 dní v původním obalu. Musí být použit během těchto 30 dní.</w:t>
      </w:r>
    </w:p>
    <w:p w14:paraId="29E20507" w14:textId="77777777" w:rsidR="00951F81" w:rsidRPr="00FF28F7" w:rsidRDefault="00951F81" w:rsidP="00B91B5A"/>
    <w:p w14:paraId="5EE7B728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  <w:t>Zvláštní opatření pro uchovávání</w:t>
      </w:r>
    </w:p>
    <w:p w14:paraId="7A6A5CA8" w14:textId="77777777" w:rsidR="00951F81" w:rsidRPr="00FF28F7" w:rsidRDefault="00951F81" w:rsidP="00B91B5A">
      <w:pPr>
        <w:keepNext/>
      </w:pPr>
    </w:p>
    <w:p w14:paraId="5D71A525" w14:textId="4C9D65F6" w:rsidR="00951F81" w:rsidRPr="00FF28F7" w:rsidRDefault="00951F81" w:rsidP="00B91B5A">
      <w:r>
        <w:t>Uchovávejte v chladničce (2</w:t>
      </w:r>
      <w:r w:rsidR="00CE7C78">
        <w:t> </w:t>
      </w:r>
      <w:r>
        <w:t>°C – 8</w:t>
      </w:r>
      <w:r w:rsidR="00CE7C78">
        <w:t> </w:t>
      </w:r>
      <w:r>
        <w:t>°C).</w:t>
      </w:r>
    </w:p>
    <w:p w14:paraId="6BD9700E" w14:textId="77777777" w:rsidR="00951F81" w:rsidRPr="00FF28F7" w:rsidRDefault="00951F81" w:rsidP="00B91B5A">
      <w:r>
        <w:t>Chraňte před mrazem.</w:t>
      </w:r>
    </w:p>
    <w:p w14:paraId="0FACAD58" w14:textId="07A16D1E" w:rsidR="00951F81" w:rsidRPr="00FF28F7" w:rsidRDefault="00951F81" w:rsidP="00B91B5A">
      <w:r>
        <w:t>Uchovávejte předplněnou injekční stříkačku v </w:t>
      </w:r>
      <w:r w:rsidR="004955BF">
        <w:t>krabičce</w:t>
      </w:r>
      <w:r>
        <w:t>, aby byl přípravek chráněn před světlem.</w:t>
      </w:r>
    </w:p>
    <w:p w14:paraId="6E82BDF1" w14:textId="77777777" w:rsidR="00951F81" w:rsidRPr="00FF28F7" w:rsidRDefault="00951F81" w:rsidP="00B91B5A"/>
    <w:p w14:paraId="28BDB080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  <w:t>Druh obalu a obsah balení</w:t>
      </w:r>
    </w:p>
    <w:p w14:paraId="1028F259" w14:textId="77777777" w:rsidR="00951F81" w:rsidRPr="00FF28F7" w:rsidRDefault="00951F81" w:rsidP="00B91B5A">
      <w:pPr>
        <w:keepNext/>
      </w:pPr>
    </w:p>
    <w:p w14:paraId="0DE5FDA0" w14:textId="7C349116" w:rsidR="00951F81" w:rsidRPr="00FF28F7" w:rsidRDefault="00860290" w:rsidP="00B91B5A">
      <w:r>
        <w:t xml:space="preserve">Jeden mililitr </w:t>
      </w:r>
      <w:r w:rsidRPr="00860290">
        <w:t xml:space="preserve">roztoku v jednorázové předplněné injekční stříkačce vyrobené ze skla </w:t>
      </w:r>
      <w:r w:rsidR="008D14EE">
        <w:t>třídy</w:t>
      </w:r>
      <w:r w:rsidRPr="00860290">
        <w:t xml:space="preserve"> I, s nerezovou jehlou o průměru 29 gauge, rozšířenými opěrkami pro prsty, ochranným krytem jehly a pístem s těsněním </w:t>
      </w:r>
      <w:r>
        <w:t>(</w:t>
      </w:r>
      <w:r w:rsidRPr="00860290">
        <w:t xml:space="preserve">z brombutylové </w:t>
      </w:r>
      <w:r>
        <w:t>pryže).</w:t>
      </w:r>
    </w:p>
    <w:p w14:paraId="4B3FACEE" w14:textId="77777777" w:rsidR="00951F81" w:rsidRPr="00FF28F7" w:rsidRDefault="00951F81" w:rsidP="00B91B5A"/>
    <w:p w14:paraId="64D9FD13" w14:textId="67CA4F3E" w:rsidR="00951F81" w:rsidRPr="00FF28F7" w:rsidRDefault="00951F81" w:rsidP="00B91B5A">
      <w:r>
        <w:t>Balení obsahuje jednu předplněnou injekční stříkačku v blistru.</w:t>
      </w:r>
    </w:p>
    <w:p w14:paraId="19CEC135" w14:textId="77777777" w:rsidR="00951F81" w:rsidRPr="00FF28F7" w:rsidRDefault="00951F81" w:rsidP="00B91B5A"/>
    <w:p w14:paraId="77895BB1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6.6</w:t>
      </w:r>
      <w:r>
        <w:rPr>
          <w:b/>
        </w:rPr>
        <w:tab/>
        <w:t>Zvláštní opatření pro likvidaci přípravku a pro zacházení s ním</w:t>
      </w:r>
    </w:p>
    <w:p w14:paraId="6B8F8B4F" w14:textId="77777777" w:rsidR="00951F81" w:rsidRPr="00FF28F7" w:rsidRDefault="00951F81" w:rsidP="00B91B5A">
      <w:pPr>
        <w:keepNext/>
      </w:pPr>
    </w:p>
    <w:p w14:paraId="7CE05932" w14:textId="4411CF8F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 xml:space="preserve">Roztok před podáním pečlivě prohlédněte. </w:t>
      </w:r>
      <w:r w:rsidR="008D14EE">
        <w:t xml:space="preserve">Roztok může obsahovat stopové množství průsvitných až bílých částic proteinové povahy. </w:t>
      </w:r>
      <w:r w:rsidRPr="00860290">
        <w:t>Roztok nepodávejte, pokud obsahuje částice, je zakalen nebo má odlišnou barvu.</w:t>
      </w:r>
    </w:p>
    <w:p w14:paraId="45CACAF9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Přípravkem netřepejte.</w:t>
      </w:r>
    </w:p>
    <w:p w14:paraId="0FD99D62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Předplněnou injekční stříkačku nechte před podáním přípravku ohřát na pokojovou teplotu (do 25 °C) a roztok aplikujte pomalu – předejdete tím nepříjemným pocitům v místě vpichu.</w:t>
      </w:r>
    </w:p>
    <w:p w14:paraId="2A7773CC" w14:textId="77777777" w:rsidR="00951F81" w:rsidRPr="00860290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860290">
        <w:t>Aplikujte celý obsah předplněné injekční stříkačky.</w:t>
      </w:r>
    </w:p>
    <w:p w14:paraId="43A21F9E" w14:textId="77777777" w:rsidR="00951F81" w:rsidRPr="00FF28F7" w:rsidRDefault="00951F81" w:rsidP="00B91B5A"/>
    <w:p w14:paraId="3DA3C751" w14:textId="77777777" w:rsidR="00951F81" w:rsidRPr="00FF28F7" w:rsidRDefault="00951F81" w:rsidP="00B91B5A">
      <w:r>
        <w:t>Veškerý nepoužitý léčivý přípravek nebo odpad musí být zlikvidován v souladu s místními požadavky.</w:t>
      </w:r>
    </w:p>
    <w:p w14:paraId="4F223CE0" w14:textId="77777777" w:rsidR="00951F81" w:rsidRPr="00FF28F7" w:rsidRDefault="00951F81" w:rsidP="00B91B5A"/>
    <w:p w14:paraId="6F863E08" w14:textId="77777777" w:rsidR="00951F81" w:rsidRPr="00FF28F7" w:rsidRDefault="00951F81" w:rsidP="00B91B5A"/>
    <w:p w14:paraId="0C069EE3" w14:textId="77777777" w:rsidR="00951F81" w:rsidRPr="00FF28F7" w:rsidRDefault="00951F81" w:rsidP="00B91B5A">
      <w:pPr>
        <w:keepNext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  <w:t>DRŽITEL ROZHODNUTÍ O REGISTRACI</w:t>
      </w:r>
    </w:p>
    <w:p w14:paraId="750A262E" w14:textId="77777777" w:rsidR="00951F81" w:rsidRPr="00FF28F7" w:rsidRDefault="00951F81" w:rsidP="00B91B5A">
      <w:pPr>
        <w:keepNext/>
      </w:pPr>
    </w:p>
    <w:p w14:paraId="1B262669" w14:textId="77777777" w:rsidR="00CE7C78" w:rsidRPr="00442125" w:rsidRDefault="00CE7C78" w:rsidP="00B91B5A">
      <w:r w:rsidRPr="00442125">
        <w:t>STADA Arzneimittel AG</w:t>
      </w:r>
    </w:p>
    <w:p w14:paraId="219C4CFC" w14:textId="77777777" w:rsidR="00CE7C78" w:rsidRPr="00442125" w:rsidRDefault="00CE7C78" w:rsidP="00B91B5A">
      <w:r w:rsidRPr="00442125">
        <w:t>Stadastrasse 2–18</w:t>
      </w:r>
    </w:p>
    <w:p w14:paraId="044213ED" w14:textId="77777777" w:rsidR="00CE7C78" w:rsidRPr="00442125" w:rsidRDefault="00CE7C78" w:rsidP="00B91B5A">
      <w:r w:rsidRPr="00442125">
        <w:t>61118 Bad Vilbel</w:t>
      </w:r>
    </w:p>
    <w:p w14:paraId="76031D4C" w14:textId="772F5E6D" w:rsidR="00CE7C78" w:rsidRPr="00442125" w:rsidRDefault="00CE7C78" w:rsidP="00B91B5A">
      <w:r>
        <w:t>Německo</w:t>
      </w:r>
    </w:p>
    <w:p w14:paraId="4C7568E7" w14:textId="77777777" w:rsidR="00951F81" w:rsidRPr="00FF28F7" w:rsidRDefault="00951F81" w:rsidP="00B91B5A"/>
    <w:p w14:paraId="4F4635A4" w14:textId="77777777" w:rsidR="00951F81" w:rsidRPr="00FF28F7" w:rsidRDefault="00951F81" w:rsidP="00B91B5A"/>
    <w:p w14:paraId="5384B89B" w14:textId="109785A1" w:rsidR="00951F81" w:rsidRPr="00FF28F7" w:rsidRDefault="00951F81" w:rsidP="3C6085A6">
      <w:pPr>
        <w:keepNext/>
        <w:ind w:left="567" w:hanging="567"/>
        <w:rPr>
          <w:b/>
          <w:bCs/>
        </w:rPr>
      </w:pPr>
      <w:r w:rsidRPr="3C6085A6">
        <w:rPr>
          <w:b/>
          <w:bCs/>
        </w:rPr>
        <w:t>8.</w:t>
      </w:r>
      <w:r>
        <w:tab/>
      </w:r>
      <w:r w:rsidRPr="3C6085A6">
        <w:rPr>
          <w:b/>
          <w:bCs/>
        </w:rPr>
        <w:t>REGISTRAČNÍ ČÍSLO</w:t>
      </w:r>
      <w:r w:rsidR="63EC66DC" w:rsidRPr="3C6085A6">
        <w:rPr>
          <w:b/>
          <w:bCs/>
        </w:rPr>
        <w:t>/REGISTRAČNÍ ČÍSLA</w:t>
      </w:r>
    </w:p>
    <w:p w14:paraId="25AAFEF5" w14:textId="77777777" w:rsidR="00951F81" w:rsidRPr="00FF28F7" w:rsidRDefault="00951F81" w:rsidP="00B91B5A">
      <w:pPr>
        <w:keepNext/>
      </w:pPr>
    </w:p>
    <w:p w14:paraId="4D558D57" w14:textId="36038A9B" w:rsidR="00951F81" w:rsidRDefault="001F7D18" w:rsidP="00B91B5A">
      <w:pPr>
        <w:tabs>
          <w:tab w:val="clear" w:pos="567"/>
        </w:tabs>
        <w:rPr>
          <w:rFonts w:cs="Verdana"/>
          <w:color w:val="000000"/>
        </w:rPr>
      </w:pPr>
      <w:r w:rsidRPr="00146300">
        <w:rPr>
          <w:rFonts w:cs="Verdana"/>
          <w:color w:val="000000"/>
        </w:rPr>
        <w:t>EU/1/25/1980/001</w:t>
      </w:r>
    </w:p>
    <w:p w14:paraId="418FB7E3" w14:textId="77777777" w:rsidR="001F7D18" w:rsidRPr="00FF28F7" w:rsidRDefault="001F7D18" w:rsidP="00B91B5A">
      <w:pPr>
        <w:tabs>
          <w:tab w:val="clear" w:pos="567"/>
        </w:tabs>
      </w:pPr>
    </w:p>
    <w:p w14:paraId="661C15B3" w14:textId="77777777" w:rsidR="00951F81" w:rsidRPr="00FF28F7" w:rsidRDefault="00951F81" w:rsidP="00B91B5A">
      <w:pPr>
        <w:tabs>
          <w:tab w:val="clear" w:pos="567"/>
        </w:tabs>
      </w:pPr>
    </w:p>
    <w:p w14:paraId="5E795EB9" w14:textId="77777777" w:rsidR="00951F81" w:rsidRPr="00FF28F7" w:rsidRDefault="00951F81" w:rsidP="00B91B5A">
      <w:pPr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>DATUM PRVNÍ REGISTRACE/PRODLOUŽENÍ REGISTRACE</w:t>
      </w:r>
    </w:p>
    <w:p w14:paraId="7133D238" w14:textId="77777777" w:rsidR="00951F81" w:rsidRPr="00FF28F7" w:rsidRDefault="00951F81" w:rsidP="00B91B5A"/>
    <w:p w14:paraId="6C14A793" w14:textId="24940822" w:rsidR="00951F81" w:rsidRPr="00FF28F7" w:rsidRDefault="00951F81" w:rsidP="00B91B5A">
      <w:pPr>
        <w:tabs>
          <w:tab w:val="clear" w:pos="567"/>
        </w:tabs>
      </w:pPr>
      <w:r>
        <w:t xml:space="preserve">Datum první registrace: </w:t>
      </w:r>
      <w:r w:rsidR="00566C48">
        <w:t xml:space="preserve">17 </w:t>
      </w:r>
      <w:r w:rsidR="00566C48" w:rsidRPr="00992E95">
        <w:t>listopad 2025</w:t>
      </w:r>
    </w:p>
    <w:p w14:paraId="5DD43CC7" w14:textId="77777777" w:rsidR="00951F81" w:rsidRPr="00FF28F7" w:rsidRDefault="00951F81" w:rsidP="00B91B5A">
      <w:pPr>
        <w:tabs>
          <w:tab w:val="clear" w:pos="567"/>
        </w:tabs>
      </w:pPr>
    </w:p>
    <w:p w14:paraId="322C9535" w14:textId="77777777" w:rsidR="00951F81" w:rsidRPr="00FF28F7" w:rsidRDefault="00951F81" w:rsidP="00B91B5A">
      <w:pPr>
        <w:tabs>
          <w:tab w:val="clear" w:pos="567"/>
        </w:tabs>
      </w:pPr>
    </w:p>
    <w:p w14:paraId="7364CFD8" w14:textId="77777777" w:rsidR="00951F81" w:rsidRPr="00FF28F7" w:rsidRDefault="00951F81" w:rsidP="00B91B5A">
      <w:pPr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DATUM REVIZE TEXTU</w:t>
      </w:r>
    </w:p>
    <w:p w14:paraId="7D867725" w14:textId="77777777" w:rsidR="00951F81" w:rsidRPr="00FF28F7" w:rsidRDefault="00951F81" w:rsidP="00B91B5A"/>
    <w:p w14:paraId="64130A4E" w14:textId="77777777" w:rsidR="001F7D18" w:rsidRDefault="00951F81" w:rsidP="00B91B5A">
      <w:pPr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 </w:t>
      </w:r>
      <w:hyperlink r:id="rId16" w:history="1">
        <w:r>
          <w:rPr>
            <w:rStyle w:val="Hyperlink"/>
          </w:rPr>
          <w:t>http://www.ema.europa.eu</w:t>
        </w:r>
      </w:hyperlink>
      <w:r>
        <w:t>.</w:t>
      </w:r>
    </w:p>
    <w:p w14:paraId="0157C403" w14:textId="6672FAF9" w:rsidR="00951F81" w:rsidRPr="00FF28F7" w:rsidRDefault="00951F81" w:rsidP="00B91B5A">
      <w:pPr>
        <w:tabs>
          <w:tab w:val="clear" w:pos="567"/>
        </w:tabs>
      </w:pPr>
      <w:r>
        <w:br w:type="page"/>
      </w:r>
    </w:p>
    <w:p w14:paraId="1F074583" w14:textId="77777777" w:rsidR="00951F81" w:rsidRPr="00FF28F7" w:rsidRDefault="00951F81" w:rsidP="00B91B5A">
      <w:pPr>
        <w:jc w:val="center"/>
      </w:pPr>
    </w:p>
    <w:p w14:paraId="750282B0" w14:textId="77777777" w:rsidR="00951F81" w:rsidRPr="00FF28F7" w:rsidRDefault="00951F81" w:rsidP="00B91B5A">
      <w:pPr>
        <w:jc w:val="center"/>
      </w:pPr>
    </w:p>
    <w:p w14:paraId="7C5C85F1" w14:textId="77777777" w:rsidR="00951F81" w:rsidRPr="00FF28F7" w:rsidRDefault="00951F81" w:rsidP="00B91B5A">
      <w:pPr>
        <w:jc w:val="center"/>
      </w:pPr>
    </w:p>
    <w:p w14:paraId="048B7BA5" w14:textId="77777777" w:rsidR="00951F81" w:rsidRPr="00FF28F7" w:rsidRDefault="00951F81" w:rsidP="00B91B5A">
      <w:pPr>
        <w:jc w:val="center"/>
      </w:pPr>
    </w:p>
    <w:p w14:paraId="76131D9D" w14:textId="77777777" w:rsidR="00951F81" w:rsidRPr="00FF28F7" w:rsidRDefault="00951F81" w:rsidP="00B91B5A">
      <w:pPr>
        <w:jc w:val="center"/>
      </w:pPr>
    </w:p>
    <w:p w14:paraId="56640479" w14:textId="77777777" w:rsidR="00951F81" w:rsidRPr="00FF28F7" w:rsidRDefault="00951F81" w:rsidP="00B91B5A">
      <w:pPr>
        <w:jc w:val="center"/>
      </w:pPr>
    </w:p>
    <w:p w14:paraId="560C7A49" w14:textId="77777777" w:rsidR="00951F81" w:rsidRPr="00FF28F7" w:rsidRDefault="00951F81" w:rsidP="00B91B5A">
      <w:pPr>
        <w:jc w:val="center"/>
      </w:pPr>
    </w:p>
    <w:p w14:paraId="37BC24AD" w14:textId="77777777" w:rsidR="00951F81" w:rsidRPr="00FF28F7" w:rsidRDefault="00951F81" w:rsidP="00B91B5A">
      <w:pPr>
        <w:jc w:val="center"/>
      </w:pPr>
    </w:p>
    <w:p w14:paraId="47D7D8BD" w14:textId="77777777" w:rsidR="00951F81" w:rsidRPr="00FF28F7" w:rsidRDefault="00951F81" w:rsidP="00B91B5A">
      <w:pPr>
        <w:jc w:val="center"/>
      </w:pPr>
    </w:p>
    <w:p w14:paraId="3EA2A6F9" w14:textId="77777777" w:rsidR="00951F81" w:rsidRPr="00FF28F7" w:rsidRDefault="00951F81" w:rsidP="00B91B5A">
      <w:pPr>
        <w:jc w:val="center"/>
      </w:pPr>
    </w:p>
    <w:p w14:paraId="00EC6FE9" w14:textId="77777777" w:rsidR="00951F81" w:rsidRPr="00FF28F7" w:rsidRDefault="00951F81" w:rsidP="00B91B5A">
      <w:pPr>
        <w:jc w:val="center"/>
      </w:pPr>
    </w:p>
    <w:p w14:paraId="098DDBC5" w14:textId="77777777" w:rsidR="00951F81" w:rsidRPr="00FF28F7" w:rsidRDefault="00951F81" w:rsidP="00B91B5A">
      <w:pPr>
        <w:jc w:val="center"/>
      </w:pPr>
    </w:p>
    <w:p w14:paraId="2234C8CB" w14:textId="77777777" w:rsidR="00951F81" w:rsidRPr="00FF28F7" w:rsidRDefault="00951F81" w:rsidP="00B91B5A">
      <w:pPr>
        <w:jc w:val="center"/>
      </w:pPr>
    </w:p>
    <w:p w14:paraId="5E07E9E0" w14:textId="77777777" w:rsidR="00951F81" w:rsidRPr="00FF28F7" w:rsidRDefault="00951F81" w:rsidP="00B91B5A">
      <w:pPr>
        <w:jc w:val="center"/>
      </w:pPr>
    </w:p>
    <w:p w14:paraId="70A41B90" w14:textId="77777777" w:rsidR="00951F81" w:rsidRPr="00FF28F7" w:rsidRDefault="00951F81" w:rsidP="00B91B5A">
      <w:pPr>
        <w:jc w:val="center"/>
      </w:pPr>
    </w:p>
    <w:p w14:paraId="62C25C18" w14:textId="77777777" w:rsidR="00951F81" w:rsidRPr="00FF28F7" w:rsidRDefault="00951F81" w:rsidP="00B91B5A">
      <w:pPr>
        <w:jc w:val="center"/>
      </w:pPr>
    </w:p>
    <w:p w14:paraId="5553FD6D" w14:textId="77777777" w:rsidR="00951F81" w:rsidRPr="00FF28F7" w:rsidRDefault="00951F81" w:rsidP="00B91B5A">
      <w:pPr>
        <w:jc w:val="center"/>
      </w:pPr>
    </w:p>
    <w:p w14:paraId="122E3058" w14:textId="77777777" w:rsidR="00951F81" w:rsidRPr="00FF28F7" w:rsidRDefault="00951F81" w:rsidP="00B91B5A">
      <w:pPr>
        <w:jc w:val="center"/>
      </w:pPr>
    </w:p>
    <w:p w14:paraId="1101491C" w14:textId="77777777" w:rsidR="00951F81" w:rsidRPr="00FF28F7" w:rsidRDefault="00951F81" w:rsidP="00B91B5A">
      <w:pPr>
        <w:jc w:val="center"/>
      </w:pPr>
    </w:p>
    <w:p w14:paraId="795E5FEE" w14:textId="77777777" w:rsidR="00951F81" w:rsidRPr="00FF28F7" w:rsidRDefault="00951F81" w:rsidP="00B91B5A">
      <w:pPr>
        <w:jc w:val="center"/>
      </w:pPr>
    </w:p>
    <w:p w14:paraId="34932679" w14:textId="77777777" w:rsidR="00951F81" w:rsidRPr="00FF28F7" w:rsidRDefault="00951F81" w:rsidP="00B91B5A">
      <w:pPr>
        <w:jc w:val="center"/>
      </w:pPr>
    </w:p>
    <w:p w14:paraId="0C37B0EC" w14:textId="77777777" w:rsidR="00951F81" w:rsidRPr="00FF28F7" w:rsidRDefault="00951F81" w:rsidP="00B91B5A">
      <w:pPr>
        <w:jc w:val="center"/>
      </w:pPr>
    </w:p>
    <w:p w14:paraId="4F8B13B7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II</w:t>
      </w:r>
    </w:p>
    <w:p w14:paraId="25804659" w14:textId="77777777" w:rsidR="00951F81" w:rsidRPr="00FF28F7" w:rsidRDefault="00951F81" w:rsidP="00B91B5A">
      <w:pPr>
        <w:jc w:val="center"/>
      </w:pPr>
    </w:p>
    <w:p w14:paraId="45178944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A.</w:t>
      </w:r>
      <w:r w:rsidRPr="00B03B93">
        <w:rPr>
          <w:b/>
        </w:rPr>
        <w:tab/>
        <w:t>VÝROBCI BIOLOGICKÉ LÉČIVÉ LÁTKY A VÝROBCI ODPOVĚDNÍ ZA PROPOUŠTĚNÍ ŠARŽÍ</w:t>
      </w:r>
    </w:p>
    <w:p w14:paraId="32F9D3BD" w14:textId="77777777" w:rsidR="00951F81" w:rsidRPr="00FF28F7" w:rsidRDefault="00951F81" w:rsidP="00B91B5A">
      <w:pPr>
        <w:jc w:val="center"/>
      </w:pPr>
    </w:p>
    <w:p w14:paraId="353CD1ED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B.</w:t>
      </w:r>
      <w:r w:rsidRPr="00B03B93">
        <w:rPr>
          <w:b/>
        </w:rPr>
        <w:tab/>
        <w:t>PODMÍNKY NEBO OMEZENÍ VÝDEJE A POUŽITÍ</w:t>
      </w:r>
    </w:p>
    <w:p w14:paraId="794E49E2" w14:textId="77777777" w:rsidR="00951F81" w:rsidRPr="00FF28F7" w:rsidRDefault="00951F81" w:rsidP="00B91B5A">
      <w:pPr>
        <w:jc w:val="center"/>
      </w:pPr>
    </w:p>
    <w:p w14:paraId="4B756CAB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C.</w:t>
      </w:r>
      <w:r w:rsidRPr="00B03B93">
        <w:rPr>
          <w:b/>
        </w:rPr>
        <w:tab/>
        <w:t>DALŠÍ PODMÍNKY A POŽADAVKY REGISTRACE</w:t>
      </w:r>
    </w:p>
    <w:p w14:paraId="72D6C8D7" w14:textId="77777777" w:rsidR="00951F81" w:rsidRPr="00FF28F7" w:rsidRDefault="00951F81" w:rsidP="00B91B5A">
      <w:pPr>
        <w:jc w:val="center"/>
      </w:pPr>
    </w:p>
    <w:p w14:paraId="34E3CF73" w14:textId="77777777" w:rsidR="00951F81" w:rsidRPr="00B03B93" w:rsidRDefault="00951F81" w:rsidP="00B91B5A">
      <w:pPr>
        <w:ind w:left="1701" w:right="1418" w:hanging="709"/>
        <w:rPr>
          <w:b/>
        </w:rPr>
      </w:pPr>
      <w:r w:rsidRPr="00B03B93">
        <w:rPr>
          <w:b/>
        </w:rPr>
        <w:t>D.</w:t>
      </w:r>
      <w:r w:rsidRPr="00B03B93">
        <w:rPr>
          <w:b/>
        </w:rPr>
        <w:tab/>
        <w:t>PODMÍNKY NEBO OMEZENÍ S OHLEDEM NA BEZPEČNÉ A ÚČINNÉ POUŽÍVÁNÍ LÉČIVÉHO PŘÍPRAVKU</w:t>
      </w:r>
    </w:p>
    <w:p w14:paraId="229A459F" w14:textId="77777777" w:rsidR="00951F81" w:rsidRPr="00FF28F7" w:rsidRDefault="00951F81" w:rsidP="00B91B5A">
      <w:pPr>
        <w:jc w:val="center"/>
      </w:pPr>
    </w:p>
    <w:p w14:paraId="136DAC3F" w14:textId="77777777" w:rsidR="00951F81" w:rsidRPr="00FF28F7" w:rsidRDefault="00951F81" w:rsidP="00B91B5A">
      <w:pPr>
        <w:jc w:val="center"/>
      </w:pPr>
    </w:p>
    <w:p w14:paraId="7175AB4D" w14:textId="07266DE3" w:rsidR="00951F81" w:rsidRPr="00FF28F7" w:rsidRDefault="00951F81" w:rsidP="00B91B5A">
      <w:pPr>
        <w:pStyle w:val="TitleB"/>
        <w:outlineLvl w:val="0"/>
      </w:pPr>
      <w:r>
        <w:br w:type="page"/>
        <w:t>A.</w:t>
      </w:r>
      <w:r>
        <w:tab/>
        <w:t>VÝROBC</w:t>
      </w:r>
      <w:r w:rsidR="00845306">
        <w:t>E</w:t>
      </w:r>
      <w:r>
        <w:t xml:space="preserve"> BIOLOGICKÉ LÉČIVÉ LÁTKY A VÝROBC</w:t>
      </w:r>
      <w:r w:rsidR="00845306">
        <w:t>E</w:t>
      </w:r>
      <w:r>
        <w:t xml:space="preserve"> ODPOVĚDN</w:t>
      </w:r>
      <w:r w:rsidR="00845306">
        <w:t>Ý</w:t>
      </w:r>
      <w:r>
        <w:t xml:space="preserve"> ZA PROPOUŠTĚNÍ ŠARŽÍ</w:t>
      </w:r>
    </w:p>
    <w:p w14:paraId="4A398E93" w14:textId="77777777" w:rsidR="00951F81" w:rsidRPr="00FF28F7" w:rsidRDefault="00951F81" w:rsidP="00B91B5A">
      <w:pPr>
        <w:keepNext/>
      </w:pPr>
    </w:p>
    <w:p w14:paraId="1D1F82EF" w14:textId="10E34A55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Název a adresa výrobc</w:t>
      </w:r>
      <w:r w:rsidR="00845306">
        <w:rPr>
          <w:u w:val="single"/>
        </w:rPr>
        <w:t>e</w:t>
      </w:r>
      <w:r>
        <w:rPr>
          <w:u w:val="single"/>
        </w:rPr>
        <w:t xml:space="preserve"> biologické léčivé látky</w:t>
      </w:r>
    </w:p>
    <w:p w14:paraId="5CEEC305" w14:textId="77777777" w:rsidR="00951F81" w:rsidRPr="00FF28F7" w:rsidRDefault="00951F81" w:rsidP="00B91B5A">
      <w:pPr>
        <w:keepNext/>
      </w:pPr>
    </w:p>
    <w:p w14:paraId="60D427DA" w14:textId="77777777" w:rsidR="00845306" w:rsidRPr="00442125" w:rsidRDefault="00845306" w:rsidP="00B91B5A">
      <w:r w:rsidRPr="00442125">
        <w:t>Alvotech hf</w:t>
      </w:r>
    </w:p>
    <w:p w14:paraId="4609BEF2" w14:textId="77777777" w:rsidR="00845306" w:rsidRPr="00442125" w:rsidRDefault="00845306" w:rsidP="00B91B5A">
      <w:r w:rsidRPr="00442125">
        <w:t>Sæmundargata 15-19</w:t>
      </w:r>
    </w:p>
    <w:p w14:paraId="7EEF2134" w14:textId="77777777" w:rsidR="00845306" w:rsidRPr="00442125" w:rsidRDefault="00845306" w:rsidP="00B91B5A">
      <w:r w:rsidRPr="00442125">
        <w:t>102 Reykjavik</w:t>
      </w:r>
    </w:p>
    <w:p w14:paraId="36D9B92F" w14:textId="73CA0ED0" w:rsidR="00845306" w:rsidRPr="00442125" w:rsidRDefault="00845306" w:rsidP="00B91B5A">
      <w:r w:rsidRPr="00442125">
        <w:t>I</w:t>
      </w:r>
      <w:r>
        <w:t>s</w:t>
      </w:r>
      <w:r w:rsidRPr="00442125">
        <w:t>land</w:t>
      </w:r>
    </w:p>
    <w:p w14:paraId="5EF83CC4" w14:textId="77777777" w:rsidR="00951F81" w:rsidRPr="00FF28F7" w:rsidRDefault="00951F81" w:rsidP="00B91B5A">
      <w:pPr>
        <w:tabs>
          <w:tab w:val="clear" w:pos="567"/>
        </w:tabs>
      </w:pPr>
    </w:p>
    <w:p w14:paraId="7440014B" w14:textId="483C9A1C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Název a adresa výrobc</w:t>
      </w:r>
      <w:r w:rsidR="00845306">
        <w:rPr>
          <w:u w:val="single"/>
        </w:rPr>
        <w:t>e</w:t>
      </w:r>
      <w:r>
        <w:rPr>
          <w:u w:val="single"/>
        </w:rPr>
        <w:t xml:space="preserve"> odpovědn</w:t>
      </w:r>
      <w:r w:rsidR="00845306">
        <w:rPr>
          <w:u w:val="single"/>
        </w:rPr>
        <w:t>ého</w:t>
      </w:r>
      <w:r>
        <w:rPr>
          <w:u w:val="single"/>
        </w:rPr>
        <w:t xml:space="preserve"> za propouštění šarží</w:t>
      </w:r>
    </w:p>
    <w:p w14:paraId="567E8F22" w14:textId="77777777" w:rsidR="00951F81" w:rsidRPr="00FF28F7" w:rsidRDefault="00951F81" w:rsidP="00B91B5A">
      <w:pPr>
        <w:keepNext/>
      </w:pPr>
    </w:p>
    <w:p w14:paraId="1FE46DF1" w14:textId="77777777" w:rsidR="00845306" w:rsidRPr="00442125" w:rsidRDefault="00845306" w:rsidP="00B91B5A">
      <w:r w:rsidRPr="00442125">
        <w:t>Alvotech hf</w:t>
      </w:r>
    </w:p>
    <w:p w14:paraId="195A8707" w14:textId="77777777" w:rsidR="00845306" w:rsidRPr="00442125" w:rsidRDefault="00845306" w:rsidP="00B91B5A">
      <w:r w:rsidRPr="00442125">
        <w:t>Sæmundargata 15-19</w:t>
      </w:r>
    </w:p>
    <w:p w14:paraId="40FACE2A" w14:textId="77777777" w:rsidR="00845306" w:rsidRPr="00442125" w:rsidRDefault="00845306" w:rsidP="00B91B5A">
      <w:r w:rsidRPr="00442125">
        <w:t>102 Reykjavik</w:t>
      </w:r>
    </w:p>
    <w:p w14:paraId="70C40B0E" w14:textId="77777777" w:rsidR="00845306" w:rsidRPr="00442125" w:rsidRDefault="00845306" w:rsidP="00B91B5A">
      <w:r w:rsidRPr="00442125">
        <w:t>I</w:t>
      </w:r>
      <w:r>
        <w:t>s</w:t>
      </w:r>
      <w:r w:rsidRPr="00442125">
        <w:t>land</w:t>
      </w:r>
    </w:p>
    <w:p w14:paraId="732ADD05" w14:textId="77777777" w:rsidR="00951F81" w:rsidRPr="00FE29AF" w:rsidRDefault="00951F81" w:rsidP="00B91B5A">
      <w:pPr>
        <w:tabs>
          <w:tab w:val="clear" w:pos="567"/>
        </w:tabs>
      </w:pPr>
    </w:p>
    <w:p w14:paraId="199DB2B4" w14:textId="77777777" w:rsidR="00566C48" w:rsidRPr="006E1867" w:rsidRDefault="00566C48" w:rsidP="00566C48">
      <w:pPr>
        <w:widowControl w:val="0"/>
      </w:pPr>
      <w:r w:rsidRPr="006E1867">
        <w:t>STADA Arzneimittel AG</w:t>
      </w:r>
    </w:p>
    <w:p w14:paraId="51DD4FE6" w14:textId="77777777" w:rsidR="00566C48" w:rsidRPr="00992E95" w:rsidRDefault="00566C48" w:rsidP="00566C48">
      <w:pPr>
        <w:widowControl w:val="0"/>
      </w:pPr>
      <w:r w:rsidRPr="00992E95">
        <w:t>Stadastrasse 2–18</w:t>
      </w:r>
    </w:p>
    <w:p w14:paraId="324F0059" w14:textId="77777777" w:rsidR="00566C48" w:rsidRPr="00992E95" w:rsidRDefault="00566C48" w:rsidP="00566C48">
      <w:pPr>
        <w:widowControl w:val="0"/>
      </w:pPr>
      <w:r w:rsidRPr="00992E95">
        <w:t>61118 Bad Vilbel</w:t>
      </w:r>
    </w:p>
    <w:p w14:paraId="1BCD2F59" w14:textId="77777777" w:rsidR="00566C48" w:rsidRPr="005973AB" w:rsidRDefault="00566C48" w:rsidP="00566C48">
      <w:r w:rsidRPr="00992E95">
        <w:t>Německo</w:t>
      </w:r>
    </w:p>
    <w:p w14:paraId="299E3B15" w14:textId="77777777" w:rsidR="00566C48" w:rsidRDefault="00566C48" w:rsidP="00566C4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14:paraId="4E6DFBD5" w14:textId="38ADB75A" w:rsidR="00951F81" w:rsidRPr="003D45AF" w:rsidRDefault="00566C48" w:rsidP="00490D1E">
      <w:pPr>
        <w:pStyle w:val="NormalAgency"/>
      </w:pPr>
      <w:r w:rsidRPr="003D45AF">
        <w:rPr>
          <w:rFonts w:ascii="Times New Roman" w:hAnsi="Times New Roman" w:cs="Times New Roman"/>
          <w:sz w:val="22"/>
          <w:szCs w:val="22"/>
        </w:rPr>
        <w:t>V příbalové informaci k léčivému přípravku musí být uveden název a adresa výrobce odpovědného za propouštění dané šarže.</w:t>
      </w:r>
    </w:p>
    <w:p w14:paraId="6C62ED52" w14:textId="77777777" w:rsidR="00951F81" w:rsidRPr="00FF28F7" w:rsidRDefault="00951F81" w:rsidP="00B91B5A">
      <w:pPr>
        <w:tabs>
          <w:tab w:val="clear" w:pos="567"/>
        </w:tabs>
      </w:pPr>
    </w:p>
    <w:p w14:paraId="2A3765EA" w14:textId="77777777" w:rsidR="00951F81" w:rsidRPr="00FF28F7" w:rsidRDefault="00951F81" w:rsidP="00B91B5A">
      <w:pPr>
        <w:tabs>
          <w:tab w:val="clear" w:pos="567"/>
        </w:tabs>
      </w:pPr>
    </w:p>
    <w:p w14:paraId="2A4D970E" w14:textId="77777777" w:rsidR="00951F81" w:rsidRPr="00FF28F7" w:rsidRDefault="00951F81" w:rsidP="00B91B5A">
      <w:pPr>
        <w:pStyle w:val="TitleB"/>
        <w:outlineLvl w:val="0"/>
      </w:pPr>
      <w:r>
        <w:t>B.</w:t>
      </w:r>
      <w:r>
        <w:tab/>
        <w:t>PODMÍNKY NEBO OMEZENÍ VÝDEJE A POUŽITÍ</w:t>
      </w:r>
    </w:p>
    <w:p w14:paraId="7DA8ADC7" w14:textId="77777777" w:rsidR="00951F81" w:rsidRPr="00FF28F7" w:rsidRDefault="00951F81" w:rsidP="00B91B5A">
      <w:pPr>
        <w:keepNext/>
      </w:pPr>
    </w:p>
    <w:p w14:paraId="4B1FA640" w14:textId="77777777" w:rsidR="00951F81" w:rsidRPr="00FF28F7" w:rsidRDefault="00951F81" w:rsidP="00B91B5A">
      <w:pPr>
        <w:tabs>
          <w:tab w:val="clear" w:pos="567"/>
        </w:tabs>
      </w:pPr>
      <w:r>
        <w:t>Výdej léčivého přípravku je vázán na lékařský předpis.</w:t>
      </w:r>
    </w:p>
    <w:p w14:paraId="1839C1F0" w14:textId="77777777" w:rsidR="00951F81" w:rsidRPr="00FF28F7" w:rsidRDefault="00951F81" w:rsidP="00B91B5A">
      <w:pPr>
        <w:tabs>
          <w:tab w:val="clear" w:pos="567"/>
        </w:tabs>
      </w:pPr>
    </w:p>
    <w:p w14:paraId="7AD1E21C" w14:textId="77777777" w:rsidR="00951F81" w:rsidRPr="00FF28F7" w:rsidRDefault="00951F81" w:rsidP="00B91B5A">
      <w:pPr>
        <w:tabs>
          <w:tab w:val="clear" w:pos="567"/>
        </w:tabs>
      </w:pPr>
    </w:p>
    <w:p w14:paraId="60DC48C7" w14:textId="77777777" w:rsidR="00951F81" w:rsidRPr="00FF28F7" w:rsidRDefault="00951F81" w:rsidP="00B91B5A">
      <w:pPr>
        <w:pStyle w:val="TitleB"/>
        <w:outlineLvl w:val="0"/>
      </w:pPr>
      <w:r>
        <w:t>C.</w:t>
      </w:r>
      <w:r>
        <w:tab/>
        <w:t>DALŠÍ PODMÍNKY A POŽADAVKY REGISTRACE</w:t>
      </w:r>
    </w:p>
    <w:p w14:paraId="7DE0D6D3" w14:textId="77777777" w:rsidR="00951F81" w:rsidRPr="00FF28F7" w:rsidRDefault="00951F81" w:rsidP="00B91B5A">
      <w:pPr>
        <w:keepNext/>
      </w:pPr>
    </w:p>
    <w:p w14:paraId="359E695E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Pravidelně aktualizované zprávy o bezpečnosti (PSUR)</w:t>
      </w:r>
    </w:p>
    <w:p w14:paraId="193D19C9" w14:textId="77777777" w:rsidR="00951F81" w:rsidRPr="00FF28F7" w:rsidRDefault="00951F81" w:rsidP="00B91B5A">
      <w:pPr>
        <w:keepNext/>
      </w:pPr>
    </w:p>
    <w:p w14:paraId="5812F74E" w14:textId="77777777" w:rsidR="00951F81" w:rsidRPr="00FF28F7" w:rsidRDefault="00951F81" w:rsidP="00B91B5A">
      <w:pPr>
        <w:tabs>
          <w:tab w:val="clear" w:pos="567"/>
        </w:tabs>
      </w:pPr>
      <w:r>
        <w:t>Požadavky pro předkládání PSUR pro tento léčivý přípravek jsou uvedeny v seznamu referenčních dat Unie (seznam EURD) stanoveném v čl. 107c odst. 7 směrnice 2001/83/ES a jakékoli následné změny jsou zveřejněny na evropském webovém portálu pro léčivé přípravky.</w:t>
      </w:r>
    </w:p>
    <w:p w14:paraId="6AA64985" w14:textId="77777777" w:rsidR="00951F81" w:rsidRPr="00FF28F7" w:rsidRDefault="00951F81" w:rsidP="00B91B5A">
      <w:pPr>
        <w:tabs>
          <w:tab w:val="clear" w:pos="567"/>
        </w:tabs>
      </w:pPr>
    </w:p>
    <w:p w14:paraId="085F5986" w14:textId="77777777" w:rsidR="00951F81" w:rsidRPr="00FF28F7" w:rsidRDefault="00951F81" w:rsidP="00B91B5A">
      <w:pPr>
        <w:tabs>
          <w:tab w:val="clear" w:pos="567"/>
        </w:tabs>
      </w:pPr>
    </w:p>
    <w:p w14:paraId="4CFA13DD" w14:textId="77777777" w:rsidR="00951F81" w:rsidRPr="00FF28F7" w:rsidRDefault="00951F81" w:rsidP="00B91B5A">
      <w:pPr>
        <w:pStyle w:val="TitleB"/>
        <w:outlineLvl w:val="0"/>
      </w:pPr>
      <w:r>
        <w:t>D.</w:t>
      </w:r>
      <w:r>
        <w:tab/>
        <w:t>PODMÍNKY NEBO OMEZENÍ S OHLEDEM NA BEZPEČNÉ A ÚČINNÉ POUŽÍVÁNÍ LÉČIVÉHO PŘÍPRAVKU</w:t>
      </w:r>
    </w:p>
    <w:p w14:paraId="30D8E93E" w14:textId="77777777" w:rsidR="00951F81" w:rsidRPr="00FF28F7" w:rsidRDefault="00951F81" w:rsidP="00B91B5A">
      <w:pPr>
        <w:keepNext/>
      </w:pPr>
    </w:p>
    <w:p w14:paraId="0C78AED7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Plán řízení rizik (RMP)</w:t>
      </w:r>
    </w:p>
    <w:p w14:paraId="0CD8343E" w14:textId="77777777" w:rsidR="00951F81" w:rsidRPr="00FF28F7" w:rsidRDefault="00951F81" w:rsidP="00B91B5A">
      <w:pPr>
        <w:keepNext/>
      </w:pPr>
    </w:p>
    <w:p w14:paraId="5D58E299" w14:textId="77777777" w:rsidR="00951F81" w:rsidRPr="00FF28F7" w:rsidRDefault="00951F81" w:rsidP="00B91B5A">
      <w:pPr>
        <w:tabs>
          <w:tab w:val="clear" w:pos="567"/>
        </w:tabs>
      </w:pPr>
      <w:r>
        <w:t>Držitel rozhodnutí o registraci (MAH) uskuteční požadované činnosti a intervence v oblasti farmakovigilance podrobně popsané ve schváleném RMP uvedeném v modulu 1.8.2 registrace a ve veškerých schválených následných aktualizacích RMP.</w:t>
      </w:r>
    </w:p>
    <w:p w14:paraId="35F9EAA3" w14:textId="77777777" w:rsidR="00951F81" w:rsidRPr="00FF28F7" w:rsidRDefault="00951F81" w:rsidP="00B91B5A">
      <w:pPr>
        <w:tabs>
          <w:tab w:val="clear" w:pos="567"/>
        </w:tabs>
      </w:pPr>
    </w:p>
    <w:p w14:paraId="4FAB4E00" w14:textId="77777777" w:rsidR="00951F81" w:rsidRPr="00FF28F7" w:rsidRDefault="00951F81" w:rsidP="00B91B5A">
      <w:pPr>
        <w:keepNext/>
        <w:tabs>
          <w:tab w:val="clear" w:pos="567"/>
        </w:tabs>
      </w:pPr>
      <w:r>
        <w:t>Aktualizovaný RMP je třeba předložit:</w:t>
      </w:r>
    </w:p>
    <w:p w14:paraId="79DC2738" w14:textId="77777777" w:rsidR="00951F81" w:rsidRPr="00FF28F7" w:rsidRDefault="00951F81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na žádost Evropské agentury pro léčivé přípravky;</w:t>
      </w:r>
    </w:p>
    <w:p w14:paraId="0DD98BA7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při každé změně systému řízení rizik, zejména v důsledku obdržení nových informací, které mohou vést k významným změnám poměru přínosů a rizik, nebo z důvodu dosažení význačného milníku (v rámci farmakovigilance nebo minimalizace rizik).</w:t>
      </w:r>
    </w:p>
    <w:p w14:paraId="6DCF4654" w14:textId="77777777" w:rsidR="00951F81" w:rsidRPr="00FF28F7" w:rsidRDefault="00951F81" w:rsidP="00B91B5A">
      <w:pPr>
        <w:pStyle w:val="Default"/>
        <w:rPr>
          <w:iCs/>
          <w:color w:val="auto"/>
          <w:sz w:val="22"/>
          <w:szCs w:val="22"/>
        </w:rPr>
      </w:pPr>
    </w:p>
    <w:p w14:paraId="43C9FB5A" w14:textId="77777777" w:rsidR="00951F81" w:rsidRPr="00FF28F7" w:rsidRDefault="00951F81" w:rsidP="00B91B5A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Další opatření k minimalizaci rizik</w:t>
      </w:r>
    </w:p>
    <w:p w14:paraId="36BC88D5" w14:textId="77777777" w:rsidR="00951F81" w:rsidRPr="00FF28F7" w:rsidRDefault="00951F81" w:rsidP="00B91B5A">
      <w:pPr>
        <w:keepNext/>
      </w:pPr>
    </w:p>
    <w:p w14:paraId="7ACA9AD8" w14:textId="5E4D2854" w:rsidR="00AC2AFA" w:rsidRDefault="00AC2AFA" w:rsidP="00B91B5A">
      <w:pPr>
        <w:tabs>
          <w:tab w:val="clear" w:pos="567"/>
        </w:tabs>
      </w:pPr>
      <w:r>
        <w:t xml:space="preserve">Pro následující bezpečnostní riziko jsou zavedena </w:t>
      </w:r>
      <w:r w:rsidR="005D2271">
        <w:t>další</w:t>
      </w:r>
      <w:r>
        <w:t xml:space="preserve"> opatření k</w:t>
      </w:r>
      <w:r w:rsidR="005D2271">
        <w:t xml:space="preserve"> minimalizaci</w:t>
      </w:r>
      <w:r>
        <w:t xml:space="preserve"> rizik:</w:t>
      </w:r>
    </w:p>
    <w:p w14:paraId="18973107" w14:textId="77777777" w:rsidR="00AC2AFA" w:rsidRDefault="00AC2AFA" w:rsidP="00B91B5A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Osteonekróza čelisti</w:t>
      </w:r>
    </w:p>
    <w:p w14:paraId="79DA24BF" w14:textId="1270B41B" w:rsidR="00951F81" w:rsidRPr="00AC2AFA" w:rsidRDefault="005D2271" w:rsidP="00B91B5A">
      <w:pPr>
        <w:tabs>
          <w:tab w:val="clear" w:pos="567"/>
        </w:tabs>
        <w:rPr>
          <w:b/>
          <w:bCs/>
        </w:rPr>
      </w:pPr>
      <w:r>
        <w:rPr>
          <w:b/>
          <w:bCs/>
        </w:rPr>
        <w:t>K</w:t>
      </w:r>
      <w:r w:rsidR="00951F81" w:rsidRPr="00AC2AFA">
        <w:rPr>
          <w:b/>
          <w:bCs/>
        </w:rPr>
        <w:t>art</w:t>
      </w:r>
      <w:r w:rsidR="00AC2AFA" w:rsidRPr="00AC2AFA">
        <w:rPr>
          <w:b/>
          <w:bCs/>
        </w:rPr>
        <w:t>a</w:t>
      </w:r>
      <w:r w:rsidR="00951F81" w:rsidRPr="00AC2AFA">
        <w:rPr>
          <w:b/>
          <w:bCs/>
        </w:rPr>
        <w:t xml:space="preserve"> pacienta</w:t>
      </w:r>
    </w:p>
    <w:p w14:paraId="40C0BDA1" w14:textId="77777777" w:rsidR="00951F81" w:rsidRPr="00FF28F7" w:rsidRDefault="00951F81" w:rsidP="00B91B5A">
      <w:pPr>
        <w:jc w:val="center"/>
      </w:pPr>
      <w:r>
        <w:br w:type="page"/>
      </w:r>
    </w:p>
    <w:p w14:paraId="3D37A846" w14:textId="77777777" w:rsidR="00951F81" w:rsidRPr="00FF28F7" w:rsidRDefault="00951F81" w:rsidP="00B91B5A">
      <w:pPr>
        <w:jc w:val="center"/>
      </w:pPr>
    </w:p>
    <w:p w14:paraId="1B3F56A8" w14:textId="77777777" w:rsidR="00951F81" w:rsidRPr="00FF28F7" w:rsidRDefault="00951F81" w:rsidP="00B91B5A">
      <w:pPr>
        <w:jc w:val="center"/>
      </w:pPr>
    </w:p>
    <w:p w14:paraId="67EC1A9C" w14:textId="77777777" w:rsidR="00951F81" w:rsidRPr="00FF28F7" w:rsidRDefault="00951F81" w:rsidP="00B91B5A">
      <w:pPr>
        <w:jc w:val="center"/>
      </w:pPr>
    </w:p>
    <w:p w14:paraId="67C5B99F" w14:textId="77777777" w:rsidR="00951F81" w:rsidRPr="00FF28F7" w:rsidRDefault="00951F81" w:rsidP="00B91B5A">
      <w:pPr>
        <w:jc w:val="center"/>
      </w:pPr>
    </w:p>
    <w:p w14:paraId="276EF8A2" w14:textId="77777777" w:rsidR="00951F81" w:rsidRPr="00FF28F7" w:rsidRDefault="00951F81" w:rsidP="00B91B5A">
      <w:pPr>
        <w:jc w:val="center"/>
      </w:pPr>
    </w:p>
    <w:p w14:paraId="67451998" w14:textId="77777777" w:rsidR="00951F81" w:rsidRPr="00FF28F7" w:rsidRDefault="00951F81" w:rsidP="00B91B5A">
      <w:pPr>
        <w:jc w:val="center"/>
      </w:pPr>
    </w:p>
    <w:p w14:paraId="60F3C5A4" w14:textId="77777777" w:rsidR="00951F81" w:rsidRPr="00FF28F7" w:rsidRDefault="00951F81" w:rsidP="00B91B5A">
      <w:pPr>
        <w:jc w:val="center"/>
      </w:pPr>
    </w:p>
    <w:p w14:paraId="02F2143A" w14:textId="77777777" w:rsidR="00951F81" w:rsidRPr="00FF28F7" w:rsidRDefault="00951F81" w:rsidP="00B91B5A">
      <w:pPr>
        <w:jc w:val="center"/>
      </w:pPr>
    </w:p>
    <w:p w14:paraId="1BFE9AE9" w14:textId="77777777" w:rsidR="00951F81" w:rsidRPr="00FF28F7" w:rsidRDefault="00951F81" w:rsidP="00B91B5A">
      <w:pPr>
        <w:jc w:val="center"/>
      </w:pPr>
    </w:p>
    <w:p w14:paraId="1189AC13" w14:textId="77777777" w:rsidR="00951F81" w:rsidRPr="00FF28F7" w:rsidRDefault="00951F81" w:rsidP="00B91B5A">
      <w:pPr>
        <w:jc w:val="center"/>
      </w:pPr>
    </w:p>
    <w:p w14:paraId="699B0DB2" w14:textId="77777777" w:rsidR="00951F81" w:rsidRPr="00FF28F7" w:rsidRDefault="00951F81" w:rsidP="00B91B5A">
      <w:pPr>
        <w:jc w:val="center"/>
      </w:pPr>
    </w:p>
    <w:p w14:paraId="7C6959BA" w14:textId="77777777" w:rsidR="00951F81" w:rsidRPr="00FF28F7" w:rsidRDefault="00951F81" w:rsidP="00B91B5A">
      <w:pPr>
        <w:jc w:val="center"/>
      </w:pPr>
    </w:p>
    <w:p w14:paraId="70A41C45" w14:textId="77777777" w:rsidR="00951F81" w:rsidRPr="00FF28F7" w:rsidRDefault="00951F81" w:rsidP="00B91B5A">
      <w:pPr>
        <w:jc w:val="center"/>
      </w:pPr>
    </w:p>
    <w:p w14:paraId="62DD6BE4" w14:textId="77777777" w:rsidR="00951F81" w:rsidRPr="00FF28F7" w:rsidRDefault="00951F81" w:rsidP="00B91B5A">
      <w:pPr>
        <w:jc w:val="center"/>
      </w:pPr>
    </w:p>
    <w:p w14:paraId="6380E829" w14:textId="77777777" w:rsidR="00951F81" w:rsidRPr="00FF28F7" w:rsidRDefault="00951F81" w:rsidP="00B91B5A">
      <w:pPr>
        <w:jc w:val="center"/>
      </w:pPr>
    </w:p>
    <w:p w14:paraId="63576108" w14:textId="77777777" w:rsidR="00951F81" w:rsidRPr="00FF28F7" w:rsidRDefault="00951F81" w:rsidP="00B91B5A">
      <w:pPr>
        <w:jc w:val="center"/>
      </w:pPr>
    </w:p>
    <w:p w14:paraId="2A325E94" w14:textId="77777777" w:rsidR="00951F81" w:rsidRPr="00FF28F7" w:rsidRDefault="00951F81" w:rsidP="00B91B5A">
      <w:pPr>
        <w:jc w:val="center"/>
      </w:pPr>
    </w:p>
    <w:p w14:paraId="6963121B" w14:textId="77777777" w:rsidR="00951F81" w:rsidRPr="00FF28F7" w:rsidRDefault="00951F81" w:rsidP="00B91B5A">
      <w:pPr>
        <w:jc w:val="center"/>
      </w:pPr>
    </w:p>
    <w:p w14:paraId="18BA7472" w14:textId="77777777" w:rsidR="00951F81" w:rsidRPr="00FF28F7" w:rsidRDefault="00951F81" w:rsidP="00B91B5A">
      <w:pPr>
        <w:jc w:val="center"/>
      </w:pPr>
    </w:p>
    <w:p w14:paraId="4411FCB3" w14:textId="77777777" w:rsidR="00951F81" w:rsidRPr="00FF28F7" w:rsidRDefault="00951F81" w:rsidP="00B91B5A">
      <w:pPr>
        <w:jc w:val="center"/>
      </w:pPr>
    </w:p>
    <w:p w14:paraId="01183D37" w14:textId="77777777" w:rsidR="00951F81" w:rsidRPr="00FF28F7" w:rsidRDefault="00951F81" w:rsidP="00B91B5A">
      <w:pPr>
        <w:jc w:val="center"/>
      </w:pPr>
    </w:p>
    <w:p w14:paraId="19F126D2" w14:textId="77777777" w:rsidR="00951F81" w:rsidRPr="00FF28F7" w:rsidRDefault="00951F81" w:rsidP="00B91B5A">
      <w:pPr>
        <w:jc w:val="center"/>
      </w:pPr>
    </w:p>
    <w:p w14:paraId="536B16D6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PŘÍLOHA III</w:t>
      </w:r>
    </w:p>
    <w:p w14:paraId="4E57FF33" w14:textId="77777777" w:rsidR="00951F81" w:rsidRPr="00FF28F7" w:rsidRDefault="00951F81" w:rsidP="00B91B5A">
      <w:pPr>
        <w:jc w:val="center"/>
      </w:pPr>
    </w:p>
    <w:p w14:paraId="20E61574" w14:textId="77777777" w:rsidR="00951F81" w:rsidRPr="00FF28F7" w:rsidRDefault="00951F81" w:rsidP="00B91B5A">
      <w:pPr>
        <w:jc w:val="center"/>
        <w:rPr>
          <w:b/>
          <w:bCs/>
        </w:rPr>
      </w:pPr>
      <w:r>
        <w:rPr>
          <w:b/>
        </w:rPr>
        <w:t>OZNAČENÍ NA OBALU A PŘÍBALOVÁ INFORMACE</w:t>
      </w:r>
    </w:p>
    <w:p w14:paraId="35D1D962" w14:textId="77777777" w:rsidR="00951F81" w:rsidRPr="00FF28F7" w:rsidRDefault="00951F81" w:rsidP="00B91B5A">
      <w:pPr>
        <w:jc w:val="center"/>
      </w:pPr>
      <w:r>
        <w:br w:type="page"/>
      </w:r>
    </w:p>
    <w:p w14:paraId="4E8D6110" w14:textId="77777777" w:rsidR="00951F81" w:rsidRPr="00FF28F7" w:rsidRDefault="00951F81" w:rsidP="00B91B5A">
      <w:pPr>
        <w:jc w:val="center"/>
      </w:pPr>
    </w:p>
    <w:p w14:paraId="20D18233" w14:textId="77777777" w:rsidR="00951F81" w:rsidRPr="00FF28F7" w:rsidRDefault="00951F81" w:rsidP="00B91B5A">
      <w:pPr>
        <w:jc w:val="center"/>
      </w:pPr>
    </w:p>
    <w:p w14:paraId="207C9AC6" w14:textId="77777777" w:rsidR="00951F81" w:rsidRPr="00FF28F7" w:rsidRDefault="00951F81" w:rsidP="00B91B5A">
      <w:pPr>
        <w:jc w:val="center"/>
      </w:pPr>
    </w:p>
    <w:p w14:paraId="674A52E7" w14:textId="77777777" w:rsidR="00951F81" w:rsidRPr="00FF28F7" w:rsidRDefault="00951F81" w:rsidP="00B91B5A">
      <w:pPr>
        <w:jc w:val="center"/>
      </w:pPr>
    </w:p>
    <w:p w14:paraId="295B51DE" w14:textId="77777777" w:rsidR="00951F81" w:rsidRPr="00FF28F7" w:rsidRDefault="00951F81" w:rsidP="00B91B5A">
      <w:pPr>
        <w:jc w:val="center"/>
      </w:pPr>
    </w:p>
    <w:p w14:paraId="2F608558" w14:textId="77777777" w:rsidR="00951F81" w:rsidRPr="00FF28F7" w:rsidRDefault="00951F81" w:rsidP="00B91B5A">
      <w:pPr>
        <w:jc w:val="center"/>
      </w:pPr>
    </w:p>
    <w:p w14:paraId="24E856B0" w14:textId="77777777" w:rsidR="00951F81" w:rsidRPr="00FF28F7" w:rsidRDefault="00951F81" w:rsidP="00B91B5A">
      <w:pPr>
        <w:jc w:val="center"/>
      </w:pPr>
    </w:p>
    <w:p w14:paraId="00526FFD" w14:textId="77777777" w:rsidR="00951F81" w:rsidRPr="00FF28F7" w:rsidRDefault="00951F81" w:rsidP="00B91B5A">
      <w:pPr>
        <w:jc w:val="center"/>
      </w:pPr>
    </w:p>
    <w:p w14:paraId="759EEC69" w14:textId="77777777" w:rsidR="00951F81" w:rsidRPr="00FF28F7" w:rsidRDefault="00951F81" w:rsidP="00B91B5A">
      <w:pPr>
        <w:jc w:val="center"/>
      </w:pPr>
    </w:p>
    <w:p w14:paraId="6CE07E7D" w14:textId="77777777" w:rsidR="00951F81" w:rsidRPr="00FF28F7" w:rsidRDefault="00951F81" w:rsidP="00B91B5A">
      <w:pPr>
        <w:jc w:val="center"/>
      </w:pPr>
    </w:p>
    <w:p w14:paraId="7B6183DB" w14:textId="77777777" w:rsidR="00951F81" w:rsidRPr="00FF28F7" w:rsidRDefault="00951F81" w:rsidP="00B91B5A">
      <w:pPr>
        <w:jc w:val="center"/>
      </w:pPr>
    </w:p>
    <w:p w14:paraId="670C71E6" w14:textId="77777777" w:rsidR="00951F81" w:rsidRPr="00FF28F7" w:rsidRDefault="00951F81" w:rsidP="00B91B5A">
      <w:pPr>
        <w:jc w:val="center"/>
      </w:pPr>
    </w:p>
    <w:p w14:paraId="637A82CF" w14:textId="77777777" w:rsidR="00951F81" w:rsidRPr="00FF28F7" w:rsidRDefault="00951F81" w:rsidP="00B91B5A">
      <w:pPr>
        <w:jc w:val="center"/>
      </w:pPr>
    </w:p>
    <w:p w14:paraId="6DF91B82" w14:textId="77777777" w:rsidR="00951F81" w:rsidRPr="00FF28F7" w:rsidRDefault="00951F81" w:rsidP="00B91B5A">
      <w:pPr>
        <w:jc w:val="center"/>
      </w:pPr>
    </w:p>
    <w:p w14:paraId="08A1420A" w14:textId="77777777" w:rsidR="00951F81" w:rsidRPr="00FF28F7" w:rsidRDefault="00951F81" w:rsidP="00B91B5A">
      <w:pPr>
        <w:jc w:val="center"/>
      </w:pPr>
    </w:p>
    <w:p w14:paraId="2D6F3E32" w14:textId="77777777" w:rsidR="00951F81" w:rsidRPr="00FF28F7" w:rsidRDefault="00951F81" w:rsidP="00B91B5A">
      <w:pPr>
        <w:jc w:val="center"/>
      </w:pPr>
    </w:p>
    <w:p w14:paraId="1FB1BF5C" w14:textId="77777777" w:rsidR="00951F81" w:rsidRPr="00FF28F7" w:rsidRDefault="00951F81" w:rsidP="00B91B5A">
      <w:pPr>
        <w:jc w:val="center"/>
      </w:pPr>
    </w:p>
    <w:p w14:paraId="0106F2EF" w14:textId="77777777" w:rsidR="00951F81" w:rsidRPr="00FF28F7" w:rsidRDefault="00951F81" w:rsidP="00B91B5A">
      <w:pPr>
        <w:jc w:val="center"/>
      </w:pPr>
    </w:p>
    <w:p w14:paraId="02A26B62" w14:textId="77777777" w:rsidR="00951F81" w:rsidRPr="00FF28F7" w:rsidRDefault="00951F81" w:rsidP="00B91B5A">
      <w:pPr>
        <w:jc w:val="center"/>
      </w:pPr>
    </w:p>
    <w:p w14:paraId="2BFE36B1" w14:textId="77777777" w:rsidR="00951F81" w:rsidRPr="00FF28F7" w:rsidRDefault="00951F81" w:rsidP="00B91B5A">
      <w:pPr>
        <w:jc w:val="center"/>
      </w:pPr>
    </w:p>
    <w:p w14:paraId="5284EA18" w14:textId="77777777" w:rsidR="00951F81" w:rsidRPr="00FF28F7" w:rsidRDefault="00951F81" w:rsidP="00B91B5A">
      <w:pPr>
        <w:jc w:val="center"/>
      </w:pPr>
    </w:p>
    <w:p w14:paraId="50157857" w14:textId="77777777" w:rsidR="00951F81" w:rsidRPr="00FF28F7" w:rsidRDefault="00951F81" w:rsidP="00B91B5A">
      <w:pPr>
        <w:jc w:val="center"/>
      </w:pPr>
    </w:p>
    <w:p w14:paraId="62B68D0D" w14:textId="77777777" w:rsidR="00951F81" w:rsidRPr="00FF28F7" w:rsidRDefault="00951F81" w:rsidP="00B91B5A">
      <w:pPr>
        <w:pStyle w:val="TitleA"/>
        <w:outlineLvl w:val="0"/>
      </w:pPr>
      <w:r>
        <w:t>A. OZNAČENÍ NA OBALU</w:t>
      </w:r>
    </w:p>
    <w:p w14:paraId="104E17B3" w14:textId="77777777" w:rsidR="00951F81" w:rsidRPr="00FF28F7" w:rsidRDefault="00951F81" w:rsidP="00B91B5A">
      <w:pPr>
        <w:jc w:val="center"/>
      </w:pPr>
    </w:p>
    <w:p w14:paraId="72325479" w14:textId="147AFBFC" w:rsidR="00951F81" w:rsidRPr="00FF28F7" w:rsidRDefault="00884E6E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>
        <w:br w:type="page"/>
      </w:r>
      <w:r>
        <w:rPr>
          <w:b/>
        </w:rPr>
        <w:t>ÚDAJE UVÁDĚNÉ NA VNĚJŠÍM OBALU</w:t>
      </w:r>
    </w:p>
    <w:p w14:paraId="0FDFA87C" w14:textId="77777777" w:rsidR="00951F81" w:rsidRPr="00FF28F7" w:rsidRDefault="00951F81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</w:rPr>
      </w:pPr>
    </w:p>
    <w:p w14:paraId="124F60B6" w14:textId="08BA278F" w:rsidR="00951F81" w:rsidRPr="00FF28F7" w:rsidRDefault="00951F81" w:rsidP="00B9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>
        <w:rPr>
          <w:b/>
        </w:rPr>
        <w:t xml:space="preserve">KRABIČKA </w:t>
      </w:r>
      <w:r w:rsidR="00F007A5">
        <w:rPr>
          <w:b/>
        </w:rPr>
        <w:t>PRO</w:t>
      </w:r>
      <w:r>
        <w:rPr>
          <w:b/>
        </w:rPr>
        <w:t xml:space="preserve"> PŘEDPLNĚNOU INJEKČNÍ STŘÍKAČKU</w:t>
      </w:r>
    </w:p>
    <w:p w14:paraId="0A3DDA6C" w14:textId="77777777" w:rsidR="00951F81" w:rsidRPr="00FF28F7" w:rsidRDefault="00951F81" w:rsidP="00B91B5A">
      <w:pPr>
        <w:tabs>
          <w:tab w:val="clear" w:pos="567"/>
        </w:tabs>
      </w:pPr>
    </w:p>
    <w:p w14:paraId="01F10C79" w14:textId="77777777" w:rsidR="00951F81" w:rsidRPr="00FF28F7" w:rsidRDefault="00951F81" w:rsidP="00B91B5A">
      <w:pPr>
        <w:tabs>
          <w:tab w:val="clear" w:pos="567"/>
        </w:tabs>
      </w:pPr>
    </w:p>
    <w:p w14:paraId="17782A05" w14:textId="4C9D2515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1.</w:t>
      </w:r>
      <w:r>
        <w:rPr>
          <w:b/>
        </w:rPr>
        <w:tab/>
        <w:t>NÁZEV LÉČIVÉHO PŘÍPRAVKU</w:t>
      </w:r>
    </w:p>
    <w:p w14:paraId="77F0ADCC" w14:textId="77777777" w:rsidR="00951F81" w:rsidRPr="00FF28F7" w:rsidRDefault="00951F81" w:rsidP="00B91B5A">
      <w:pPr>
        <w:keepNext/>
      </w:pPr>
    </w:p>
    <w:p w14:paraId="674873DA" w14:textId="622D3F01" w:rsidR="00951F81" w:rsidRPr="00FF28F7" w:rsidRDefault="008D4A9A" w:rsidP="00B91B5A">
      <w:pPr>
        <w:keepNext/>
        <w:tabs>
          <w:tab w:val="clear" w:pos="567"/>
        </w:tabs>
      </w:pPr>
      <w:r>
        <w:t>Kefdensis</w:t>
      </w:r>
      <w:r w:rsidR="00951F81">
        <w:t xml:space="preserve"> 60 mg injekční roztok v předplněné injekční stříkačce</w:t>
      </w:r>
    </w:p>
    <w:p w14:paraId="61915F10" w14:textId="77777777" w:rsidR="00951F81" w:rsidRPr="00FF28F7" w:rsidRDefault="00951F81" w:rsidP="00B91B5A">
      <w:pPr>
        <w:tabs>
          <w:tab w:val="clear" w:pos="567"/>
        </w:tabs>
      </w:pPr>
      <w:r>
        <w:t>denosumab</w:t>
      </w:r>
    </w:p>
    <w:p w14:paraId="20F8E618" w14:textId="77777777" w:rsidR="00951F81" w:rsidRPr="00FF28F7" w:rsidRDefault="00951F81" w:rsidP="00B91B5A">
      <w:pPr>
        <w:tabs>
          <w:tab w:val="clear" w:pos="567"/>
        </w:tabs>
      </w:pPr>
    </w:p>
    <w:p w14:paraId="079FF52C" w14:textId="77777777" w:rsidR="00951F81" w:rsidRPr="00FF28F7" w:rsidRDefault="00951F81" w:rsidP="00B91B5A">
      <w:pPr>
        <w:tabs>
          <w:tab w:val="clear" w:pos="567"/>
        </w:tabs>
      </w:pPr>
    </w:p>
    <w:p w14:paraId="1E8D5348" w14:textId="43A47B8F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  <w:t>OBSAH LÉČIVÉ LÁTKY/LÉČIVÝCH LÁTEK</w:t>
      </w:r>
    </w:p>
    <w:p w14:paraId="2EC0B0C6" w14:textId="77777777" w:rsidR="00951F81" w:rsidRPr="00FF28F7" w:rsidRDefault="00951F81" w:rsidP="00B91B5A">
      <w:pPr>
        <w:keepNext/>
      </w:pPr>
    </w:p>
    <w:p w14:paraId="314A5793" w14:textId="4BC278F1" w:rsidR="00951F81" w:rsidRPr="00FF28F7" w:rsidRDefault="00951F81" w:rsidP="00B91B5A">
      <w:pPr>
        <w:tabs>
          <w:tab w:val="clear" w:pos="567"/>
        </w:tabs>
      </w:pPr>
      <w:r>
        <w:t>Jedna předplněná injekční stříkačka o objemu 1 ml obsahuje 60 mg denosumabu</w:t>
      </w:r>
      <w:r w:rsidR="00434B04">
        <w:t xml:space="preserve"> (60 mg/ml)</w:t>
      </w:r>
      <w:r w:rsidR="00AC2AFA">
        <w:t>.</w:t>
      </w:r>
    </w:p>
    <w:p w14:paraId="0C0E6C5C" w14:textId="77777777" w:rsidR="00951F81" w:rsidRPr="00FF28F7" w:rsidRDefault="00951F81" w:rsidP="00B91B5A">
      <w:pPr>
        <w:tabs>
          <w:tab w:val="clear" w:pos="567"/>
        </w:tabs>
      </w:pPr>
    </w:p>
    <w:p w14:paraId="205FC39D" w14:textId="77777777" w:rsidR="00951F81" w:rsidRPr="00FF28F7" w:rsidRDefault="00951F81" w:rsidP="00B91B5A">
      <w:pPr>
        <w:tabs>
          <w:tab w:val="clear" w:pos="567"/>
        </w:tabs>
      </w:pPr>
    </w:p>
    <w:p w14:paraId="14E02EBC" w14:textId="1824EA21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3.</w:t>
      </w:r>
      <w:r>
        <w:rPr>
          <w:b/>
        </w:rPr>
        <w:tab/>
        <w:t>SEZNAM POMOCNÝCH LÁTEK</w:t>
      </w:r>
    </w:p>
    <w:p w14:paraId="776DADD2" w14:textId="77777777" w:rsidR="00951F81" w:rsidRPr="00FF28F7" w:rsidRDefault="00951F81" w:rsidP="00B91B5A">
      <w:pPr>
        <w:keepNext/>
      </w:pPr>
    </w:p>
    <w:p w14:paraId="1DB343AB" w14:textId="03ED7055" w:rsidR="00AC2AFA" w:rsidRPr="00FF28F7" w:rsidRDefault="00F007A5" w:rsidP="00B91B5A">
      <w:r>
        <w:t>H</w:t>
      </w:r>
      <w:r w:rsidR="00AC2AFA" w:rsidRPr="00860290">
        <w:t>istidin</w:t>
      </w:r>
      <w:r w:rsidR="00AC2AFA">
        <w:t>, m</w:t>
      </w:r>
      <w:r w:rsidR="00AC2AFA" w:rsidRPr="00AE5D1D">
        <w:t>onohydrát histidin</w:t>
      </w:r>
      <w:r>
        <w:t>-</w:t>
      </w:r>
      <w:r w:rsidR="00AC2AFA" w:rsidRPr="00AE5D1D">
        <w:t>hydrochloridu, sacharóza, poloxamer 188, v</w:t>
      </w:r>
      <w:r w:rsidR="00AC2AFA">
        <w:t>oda pro injekci.</w:t>
      </w:r>
    </w:p>
    <w:p w14:paraId="45B25517" w14:textId="0137AA9A" w:rsidR="00951F81" w:rsidRPr="00FF28F7" w:rsidRDefault="00951F81" w:rsidP="00B91B5A">
      <w:pPr>
        <w:tabs>
          <w:tab w:val="clear" w:pos="567"/>
        </w:tabs>
      </w:pPr>
    </w:p>
    <w:p w14:paraId="2539496E" w14:textId="77777777" w:rsidR="00951F81" w:rsidRPr="00FF28F7" w:rsidRDefault="00951F81" w:rsidP="00B91B5A">
      <w:pPr>
        <w:tabs>
          <w:tab w:val="clear" w:pos="567"/>
        </w:tabs>
      </w:pPr>
    </w:p>
    <w:p w14:paraId="21C2B6B0" w14:textId="5B36AAE9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4.</w:t>
      </w:r>
      <w:r>
        <w:rPr>
          <w:b/>
        </w:rPr>
        <w:tab/>
        <w:t>LÉKOVÁ FORMA A OBSAH BALENÍ</w:t>
      </w:r>
    </w:p>
    <w:p w14:paraId="45E73A7B" w14:textId="77777777" w:rsidR="00951F81" w:rsidRPr="00FF28F7" w:rsidRDefault="00951F81" w:rsidP="00B91B5A">
      <w:pPr>
        <w:keepNext/>
      </w:pPr>
    </w:p>
    <w:p w14:paraId="52BB5188" w14:textId="77777777" w:rsidR="00951F81" w:rsidRDefault="00951F81" w:rsidP="00B91B5A">
      <w:pPr>
        <w:keepNext/>
        <w:rPr>
          <w:highlight w:val="lightGray"/>
        </w:rPr>
      </w:pPr>
      <w:r>
        <w:rPr>
          <w:highlight w:val="lightGray"/>
        </w:rPr>
        <w:t>Injekční roztok</w:t>
      </w:r>
    </w:p>
    <w:p w14:paraId="13BBEB35" w14:textId="07EF6C05" w:rsidR="00951F81" w:rsidRPr="00FF28F7" w:rsidRDefault="00434B04" w:rsidP="00B91B5A">
      <w:r>
        <w:t>1</w:t>
      </w:r>
      <w:r w:rsidR="00951F81" w:rsidRPr="00AC2AFA">
        <w:t xml:space="preserve"> předplněná injekční stříkačka</w:t>
      </w:r>
    </w:p>
    <w:p w14:paraId="2B3B17F6" w14:textId="77777777" w:rsidR="00951F81" w:rsidRPr="00FF28F7" w:rsidRDefault="00951F81" w:rsidP="00B91B5A">
      <w:pPr>
        <w:tabs>
          <w:tab w:val="clear" w:pos="567"/>
        </w:tabs>
      </w:pPr>
    </w:p>
    <w:p w14:paraId="15130BB1" w14:textId="77777777" w:rsidR="00951F81" w:rsidRPr="00FF28F7" w:rsidRDefault="00951F81" w:rsidP="00B91B5A">
      <w:pPr>
        <w:tabs>
          <w:tab w:val="clear" w:pos="567"/>
        </w:tabs>
      </w:pPr>
    </w:p>
    <w:p w14:paraId="16B4382E" w14:textId="5B478BF4" w:rsidR="00951F81" w:rsidRDefault="00951F81" w:rsidP="00B91B5A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5.</w:t>
      </w:r>
      <w:r>
        <w:rPr>
          <w:b/>
        </w:rPr>
        <w:tab/>
        <w:t>ZPŮSOB A CESTA/CESTY PODÁNÍ</w:t>
      </w:r>
    </w:p>
    <w:p w14:paraId="1ADBFD01" w14:textId="77777777" w:rsidR="00951F81" w:rsidRPr="00FF28F7" w:rsidRDefault="00951F81" w:rsidP="00B91B5A">
      <w:pPr>
        <w:keepNext/>
      </w:pPr>
    </w:p>
    <w:p w14:paraId="0485BD00" w14:textId="070FB5E4" w:rsidR="00951F81" w:rsidRPr="00FF28F7" w:rsidRDefault="00951F81" w:rsidP="00B91B5A">
      <w:pPr>
        <w:keepNext/>
        <w:tabs>
          <w:tab w:val="clear" w:pos="567"/>
        </w:tabs>
      </w:pPr>
      <w:r>
        <w:t>Subkutánní podání</w:t>
      </w:r>
    </w:p>
    <w:p w14:paraId="19B04DDE" w14:textId="77777777" w:rsidR="00951F81" w:rsidRPr="00FF28F7" w:rsidRDefault="00951F81" w:rsidP="00B91B5A">
      <w:pPr>
        <w:keepNext/>
        <w:tabs>
          <w:tab w:val="clear" w:pos="567"/>
        </w:tabs>
      </w:pPr>
      <w:r>
        <w:rPr>
          <w:b/>
        </w:rPr>
        <w:t>Důležité:</w:t>
      </w:r>
      <w:r>
        <w:t xml:space="preserve"> než začnete používat předplněnou injekční stříkačku, přečtěte si příbalovou informaci.</w:t>
      </w:r>
    </w:p>
    <w:p w14:paraId="1BA7FF37" w14:textId="77777777" w:rsidR="00951F81" w:rsidRPr="00FF28F7" w:rsidRDefault="00951F81" w:rsidP="00B91B5A">
      <w:pPr>
        <w:keepNext/>
        <w:tabs>
          <w:tab w:val="clear" w:pos="567"/>
        </w:tabs>
      </w:pPr>
      <w:r>
        <w:t>Přípravkem netřepejte.</w:t>
      </w:r>
    </w:p>
    <w:p w14:paraId="16F691FD" w14:textId="77777777" w:rsidR="00951F81" w:rsidRDefault="00951F81" w:rsidP="00B91B5A">
      <w:pPr>
        <w:rPr>
          <w:highlight w:val="lightGray"/>
        </w:rPr>
      </w:pPr>
      <w:r>
        <w:rPr>
          <w:highlight w:val="lightGray"/>
        </w:rPr>
        <w:t>Před použitím si přečtěte příbalovou informaci.</w:t>
      </w:r>
    </w:p>
    <w:p w14:paraId="0C4B4272" w14:textId="77777777" w:rsidR="00951F81" w:rsidRDefault="00951F81" w:rsidP="00B91B5A">
      <w:pPr>
        <w:tabs>
          <w:tab w:val="clear" w:pos="567"/>
        </w:tabs>
      </w:pPr>
    </w:p>
    <w:p w14:paraId="33C8BA41" w14:textId="72F4EBA9" w:rsidR="00AC2AFA" w:rsidRDefault="00AC2AFA" w:rsidP="00B91B5A">
      <w:pPr>
        <w:tabs>
          <w:tab w:val="clear" w:pos="567"/>
        </w:tabs>
      </w:pPr>
      <w:r w:rsidRPr="00AC2AFA">
        <w:rPr>
          <w:highlight w:val="lightGray"/>
        </w:rPr>
        <w:t>Bude připojen QR kód</w:t>
      </w:r>
    </w:p>
    <w:p w14:paraId="10615270" w14:textId="5A5D75E8" w:rsidR="00AC2AFA" w:rsidRDefault="00AC2AFA" w:rsidP="00B91B5A">
      <w:pPr>
        <w:tabs>
          <w:tab w:val="clear" w:pos="567"/>
        </w:tabs>
      </w:pPr>
      <w:r>
        <w:t>kefdensispatients.com</w:t>
      </w:r>
    </w:p>
    <w:p w14:paraId="6BA66473" w14:textId="77777777" w:rsidR="00AC2AFA" w:rsidRPr="00FF28F7" w:rsidRDefault="00AC2AFA" w:rsidP="00B91B5A">
      <w:pPr>
        <w:tabs>
          <w:tab w:val="clear" w:pos="567"/>
        </w:tabs>
      </w:pPr>
    </w:p>
    <w:p w14:paraId="3E40D758" w14:textId="77777777" w:rsidR="00951F81" w:rsidRPr="00FF28F7" w:rsidRDefault="00951F81" w:rsidP="00B91B5A">
      <w:pPr>
        <w:tabs>
          <w:tab w:val="clear" w:pos="567"/>
        </w:tabs>
      </w:pPr>
    </w:p>
    <w:p w14:paraId="58923331" w14:textId="62D0EB4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6.</w:t>
      </w:r>
      <w:r>
        <w:rPr>
          <w:b/>
        </w:rPr>
        <w:tab/>
        <w:t>ZVLÁŠTNÍ UPOZORNĚNÍ, ŽE LÉČIVÝ PŘÍPRAVEK MUSÍ BÝT UCHOVÁVÁN MIMO DOHLED A DOSAH DĚTÍ</w:t>
      </w:r>
    </w:p>
    <w:p w14:paraId="7BC2D20A" w14:textId="77777777" w:rsidR="00951F81" w:rsidRPr="00FF28F7" w:rsidRDefault="00951F81" w:rsidP="00B91B5A">
      <w:pPr>
        <w:keepNext/>
      </w:pPr>
    </w:p>
    <w:p w14:paraId="7C00B168" w14:textId="77777777" w:rsidR="00951F81" w:rsidRPr="00FF28F7" w:rsidRDefault="00951F81" w:rsidP="00B91B5A">
      <w:pPr>
        <w:tabs>
          <w:tab w:val="clear" w:pos="567"/>
        </w:tabs>
      </w:pPr>
      <w:r>
        <w:t>Uchovávejte mimo dohled a dosah dětí.</w:t>
      </w:r>
    </w:p>
    <w:p w14:paraId="41A2D2A6" w14:textId="77777777" w:rsidR="00951F81" w:rsidRPr="00FF28F7" w:rsidRDefault="00951F81" w:rsidP="00B91B5A">
      <w:pPr>
        <w:tabs>
          <w:tab w:val="clear" w:pos="567"/>
        </w:tabs>
      </w:pPr>
    </w:p>
    <w:p w14:paraId="1E780B7D" w14:textId="77777777" w:rsidR="00951F81" w:rsidRPr="00FF28F7" w:rsidRDefault="00951F81" w:rsidP="00B91B5A">
      <w:pPr>
        <w:tabs>
          <w:tab w:val="clear" w:pos="567"/>
        </w:tabs>
      </w:pPr>
    </w:p>
    <w:p w14:paraId="7E5D8470" w14:textId="03DEE241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7.</w:t>
      </w:r>
      <w:r>
        <w:rPr>
          <w:b/>
        </w:rPr>
        <w:tab/>
        <w:t>DALŠÍ ZVLÁŠTNÍ UPOZORNĚNÍ, POKUD JE POTŘEBNÉ</w:t>
      </w:r>
    </w:p>
    <w:p w14:paraId="64AEA835" w14:textId="77777777" w:rsidR="00951F81" w:rsidRPr="00FF28F7" w:rsidRDefault="00951F81" w:rsidP="00B91B5A">
      <w:pPr>
        <w:keepNext/>
      </w:pPr>
    </w:p>
    <w:p w14:paraId="1B77EC45" w14:textId="77777777" w:rsidR="00951F81" w:rsidRPr="00FF28F7" w:rsidRDefault="00951F81" w:rsidP="00B91B5A">
      <w:pPr>
        <w:tabs>
          <w:tab w:val="clear" w:pos="567"/>
        </w:tabs>
      </w:pPr>
    </w:p>
    <w:p w14:paraId="62AFE5EF" w14:textId="189A9AD4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>
        <w:rPr>
          <w:b/>
        </w:rPr>
        <w:t>8.</w:t>
      </w:r>
      <w:r>
        <w:rPr>
          <w:b/>
        </w:rPr>
        <w:tab/>
        <w:t>POUŽITELNOST</w:t>
      </w:r>
    </w:p>
    <w:p w14:paraId="1114FDFC" w14:textId="77777777" w:rsidR="00951F81" w:rsidRPr="00FF28F7" w:rsidRDefault="00951F81" w:rsidP="00B91B5A">
      <w:pPr>
        <w:keepNext/>
      </w:pPr>
    </w:p>
    <w:p w14:paraId="6D605F32" w14:textId="77777777" w:rsidR="00951F81" w:rsidRPr="00FF28F7" w:rsidRDefault="00951F81" w:rsidP="00B91B5A">
      <w:pPr>
        <w:tabs>
          <w:tab w:val="clear" w:pos="567"/>
        </w:tabs>
      </w:pPr>
      <w:r>
        <w:t>EXP</w:t>
      </w:r>
    </w:p>
    <w:p w14:paraId="2530F947" w14:textId="77777777" w:rsidR="00951F81" w:rsidRPr="00FF28F7" w:rsidRDefault="00951F81" w:rsidP="00B91B5A">
      <w:pPr>
        <w:tabs>
          <w:tab w:val="clear" w:pos="567"/>
        </w:tabs>
      </w:pPr>
    </w:p>
    <w:p w14:paraId="62D7D2DC" w14:textId="77777777" w:rsidR="00951F81" w:rsidRPr="00FF28F7" w:rsidRDefault="00951F81" w:rsidP="00B91B5A">
      <w:pPr>
        <w:tabs>
          <w:tab w:val="clear" w:pos="567"/>
        </w:tabs>
      </w:pPr>
    </w:p>
    <w:p w14:paraId="0CC1395C" w14:textId="7E3267DE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9.</w:t>
      </w:r>
      <w:r>
        <w:rPr>
          <w:b/>
        </w:rPr>
        <w:tab/>
        <w:t>ZVLÁŠTNÍ PODMÍNKY PRO UCHOVÁVÁNÍ</w:t>
      </w:r>
    </w:p>
    <w:p w14:paraId="6BC2466D" w14:textId="77777777" w:rsidR="00951F81" w:rsidRPr="00FF28F7" w:rsidRDefault="00951F81" w:rsidP="00B91B5A">
      <w:pPr>
        <w:keepNext/>
      </w:pPr>
    </w:p>
    <w:p w14:paraId="1714B2CB" w14:textId="77777777" w:rsidR="00951F81" w:rsidRPr="00FF28F7" w:rsidRDefault="00951F81" w:rsidP="00B91B5A">
      <w:pPr>
        <w:keepNext/>
        <w:tabs>
          <w:tab w:val="clear" w:pos="567"/>
        </w:tabs>
      </w:pPr>
      <w:r>
        <w:t>Uchovávejte v chladničce.</w:t>
      </w:r>
    </w:p>
    <w:p w14:paraId="101BDE81" w14:textId="77777777" w:rsidR="00951F81" w:rsidRPr="00FF28F7" w:rsidRDefault="00951F81" w:rsidP="00B91B5A">
      <w:pPr>
        <w:keepNext/>
        <w:tabs>
          <w:tab w:val="clear" w:pos="567"/>
        </w:tabs>
      </w:pPr>
      <w:r>
        <w:t>Chraňte před mrazem.</w:t>
      </w:r>
    </w:p>
    <w:p w14:paraId="1833BCA7" w14:textId="46FB2141" w:rsidR="00951F81" w:rsidRPr="00FF28F7" w:rsidRDefault="00951F81" w:rsidP="00B91B5A">
      <w:pPr>
        <w:keepNext/>
        <w:tabs>
          <w:tab w:val="clear" w:pos="567"/>
        </w:tabs>
      </w:pPr>
      <w:r>
        <w:t>Uchovávejte předplněnou injekční stříkačku v</w:t>
      </w:r>
      <w:r w:rsidR="00F007A5">
        <w:t xml:space="preserve"> krabičce</w:t>
      </w:r>
      <w:r>
        <w:t>, aby byl přípravek chráněn před světlem.</w:t>
      </w:r>
    </w:p>
    <w:p w14:paraId="13D91894" w14:textId="77777777" w:rsidR="00951F81" w:rsidRPr="00FF28F7" w:rsidRDefault="00951F81" w:rsidP="00B91B5A">
      <w:pPr>
        <w:tabs>
          <w:tab w:val="clear" w:pos="567"/>
        </w:tabs>
      </w:pPr>
    </w:p>
    <w:p w14:paraId="0A90AB4D" w14:textId="77777777" w:rsidR="00951F81" w:rsidRPr="00FF28F7" w:rsidRDefault="00951F81" w:rsidP="00B91B5A">
      <w:pPr>
        <w:tabs>
          <w:tab w:val="clear" w:pos="567"/>
        </w:tabs>
      </w:pPr>
    </w:p>
    <w:p w14:paraId="6B087207" w14:textId="6EC799F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ZVLÁŠTNÍ OPATŘENÍ PRO LIKVIDACI NEPOUŽITÝCH LÉČIVÝCH PŘÍPRAVKŮ NEBO ODPADU Z NICH, POKUD JE TO VHODNÉ</w:t>
      </w:r>
    </w:p>
    <w:p w14:paraId="3E0B5434" w14:textId="77777777" w:rsidR="00951F81" w:rsidRPr="00FF28F7" w:rsidRDefault="00951F81" w:rsidP="00B91B5A">
      <w:pPr>
        <w:keepNext/>
      </w:pPr>
    </w:p>
    <w:p w14:paraId="53AA2AD4" w14:textId="77777777" w:rsidR="00951F81" w:rsidRPr="00FF28F7" w:rsidRDefault="00951F81" w:rsidP="00B91B5A">
      <w:pPr>
        <w:tabs>
          <w:tab w:val="clear" w:pos="567"/>
        </w:tabs>
      </w:pPr>
    </w:p>
    <w:p w14:paraId="4239DBFC" w14:textId="7A6AB5B4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11.</w:t>
      </w:r>
      <w:r>
        <w:rPr>
          <w:b/>
        </w:rPr>
        <w:tab/>
        <w:t>NÁZEV A ADRESA DRŽITELE ROZHODNUTÍ O REGISTRACI</w:t>
      </w:r>
    </w:p>
    <w:p w14:paraId="40B92BA3" w14:textId="77777777" w:rsidR="00951F81" w:rsidRPr="00FF28F7" w:rsidRDefault="00951F81" w:rsidP="00B91B5A">
      <w:pPr>
        <w:keepNext/>
      </w:pPr>
    </w:p>
    <w:p w14:paraId="72F8A712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STADA Arzneimittel AG</w:t>
      </w:r>
    </w:p>
    <w:p w14:paraId="482E4431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Stadastrasse 2–18</w:t>
      </w:r>
    </w:p>
    <w:p w14:paraId="31FADFF2" w14:textId="77777777" w:rsidR="00AC2AFA" w:rsidRPr="00AE5D1D" w:rsidRDefault="00AC2AFA" w:rsidP="00B91B5A">
      <w:pPr>
        <w:rPr>
          <w:lang w:val="pt-PT"/>
        </w:rPr>
      </w:pPr>
      <w:r w:rsidRPr="00AE5D1D">
        <w:rPr>
          <w:lang w:val="pt-PT"/>
        </w:rPr>
        <w:t>61118 Bad Vilbel</w:t>
      </w:r>
    </w:p>
    <w:p w14:paraId="006E2015" w14:textId="44B1E0FD" w:rsidR="00AC2AFA" w:rsidRPr="00442125" w:rsidRDefault="00AC2AFA" w:rsidP="00B91B5A">
      <w:r>
        <w:t>Německo</w:t>
      </w:r>
    </w:p>
    <w:p w14:paraId="3FAE2398" w14:textId="77777777" w:rsidR="00951F81" w:rsidRPr="00FF28F7" w:rsidRDefault="00951F81" w:rsidP="00B91B5A">
      <w:pPr>
        <w:tabs>
          <w:tab w:val="clear" w:pos="567"/>
        </w:tabs>
      </w:pPr>
    </w:p>
    <w:p w14:paraId="16984C5F" w14:textId="77777777" w:rsidR="00951F81" w:rsidRPr="00FF28F7" w:rsidRDefault="00951F81" w:rsidP="00B91B5A">
      <w:pPr>
        <w:tabs>
          <w:tab w:val="clear" w:pos="567"/>
        </w:tabs>
      </w:pPr>
    </w:p>
    <w:p w14:paraId="6BB69D4B" w14:textId="6AC9A8E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12.</w:t>
      </w:r>
      <w:r>
        <w:rPr>
          <w:b/>
        </w:rPr>
        <w:tab/>
        <w:t>REGISTRAČNÍ ČÍSLO/ČÍSLA</w:t>
      </w:r>
    </w:p>
    <w:p w14:paraId="57BD3CB5" w14:textId="77777777" w:rsidR="00951F81" w:rsidRPr="00FF28F7" w:rsidRDefault="00951F81" w:rsidP="00B91B5A">
      <w:pPr>
        <w:keepNext/>
      </w:pPr>
    </w:p>
    <w:p w14:paraId="637D6E3B" w14:textId="1E542EC0" w:rsidR="00AC2AFA" w:rsidRDefault="001F7D18" w:rsidP="00B91B5A">
      <w:pPr>
        <w:tabs>
          <w:tab w:val="clear" w:pos="567"/>
        </w:tabs>
        <w:rPr>
          <w:rFonts w:cs="Verdana"/>
          <w:color w:val="000000"/>
        </w:rPr>
      </w:pPr>
      <w:r w:rsidRPr="00146300">
        <w:rPr>
          <w:rFonts w:cs="Verdana"/>
          <w:color w:val="000000"/>
        </w:rPr>
        <w:t>EU/1/25/1980/001</w:t>
      </w:r>
    </w:p>
    <w:p w14:paraId="1FD8D1BF" w14:textId="77777777" w:rsidR="001F7D18" w:rsidRDefault="001F7D18" w:rsidP="00B91B5A">
      <w:pPr>
        <w:tabs>
          <w:tab w:val="clear" w:pos="567"/>
        </w:tabs>
      </w:pPr>
    </w:p>
    <w:p w14:paraId="795F3B81" w14:textId="77777777" w:rsidR="00AC2AFA" w:rsidRPr="00FF28F7" w:rsidRDefault="00AC2AFA" w:rsidP="00B91B5A">
      <w:pPr>
        <w:tabs>
          <w:tab w:val="clear" w:pos="567"/>
        </w:tabs>
      </w:pPr>
    </w:p>
    <w:p w14:paraId="0C28084E" w14:textId="5561C97C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13.</w:t>
      </w:r>
      <w:r>
        <w:rPr>
          <w:b/>
        </w:rPr>
        <w:tab/>
        <w:t>ČÍSLO ŠARŽE</w:t>
      </w:r>
    </w:p>
    <w:p w14:paraId="76D361FD" w14:textId="77777777" w:rsidR="00951F81" w:rsidRPr="00FF28F7" w:rsidRDefault="00951F81" w:rsidP="00B91B5A">
      <w:pPr>
        <w:keepNext/>
      </w:pPr>
    </w:p>
    <w:p w14:paraId="266315F5" w14:textId="77777777" w:rsidR="00951F81" w:rsidRPr="00FF28F7" w:rsidRDefault="00951F81" w:rsidP="00B91B5A">
      <w:pPr>
        <w:tabs>
          <w:tab w:val="clear" w:pos="567"/>
        </w:tabs>
      </w:pPr>
      <w:r>
        <w:t>Lot</w:t>
      </w:r>
    </w:p>
    <w:p w14:paraId="424E12F9" w14:textId="77777777" w:rsidR="00951F81" w:rsidRPr="00FF28F7" w:rsidRDefault="00951F81" w:rsidP="00B91B5A">
      <w:pPr>
        <w:tabs>
          <w:tab w:val="clear" w:pos="567"/>
        </w:tabs>
      </w:pPr>
    </w:p>
    <w:p w14:paraId="483AB26C" w14:textId="77777777" w:rsidR="00951F81" w:rsidRPr="00FF28F7" w:rsidRDefault="00951F81" w:rsidP="00B91B5A">
      <w:pPr>
        <w:tabs>
          <w:tab w:val="clear" w:pos="567"/>
        </w:tabs>
      </w:pPr>
    </w:p>
    <w:p w14:paraId="0EDBBC85" w14:textId="237B87F8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14.</w:t>
      </w:r>
      <w:r>
        <w:rPr>
          <w:b/>
        </w:rPr>
        <w:tab/>
        <w:t>KLASIFIKACE PRO VÝDEJ</w:t>
      </w:r>
    </w:p>
    <w:p w14:paraId="1EDBE148" w14:textId="77777777" w:rsidR="00951F81" w:rsidRPr="00FF28F7" w:rsidRDefault="00951F81" w:rsidP="00B91B5A">
      <w:pPr>
        <w:keepNext/>
      </w:pPr>
    </w:p>
    <w:p w14:paraId="745E4C03" w14:textId="77777777" w:rsidR="00951F81" w:rsidRPr="00FF28F7" w:rsidRDefault="00951F81" w:rsidP="00B91B5A">
      <w:pPr>
        <w:tabs>
          <w:tab w:val="clear" w:pos="567"/>
        </w:tabs>
      </w:pPr>
    </w:p>
    <w:p w14:paraId="60970C85" w14:textId="551BFA7A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15.</w:t>
      </w:r>
      <w:r>
        <w:rPr>
          <w:b/>
        </w:rPr>
        <w:tab/>
        <w:t>NÁVOD K POUŽITÍ</w:t>
      </w:r>
    </w:p>
    <w:p w14:paraId="1DC826DB" w14:textId="77777777" w:rsidR="00951F81" w:rsidRPr="00FF28F7" w:rsidRDefault="00951F81" w:rsidP="00B91B5A">
      <w:pPr>
        <w:keepNext/>
      </w:pPr>
    </w:p>
    <w:p w14:paraId="22875F8D" w14:textId="77777777" w:rsidR="00951F81" w:rsidRPr="00FF28F7" w:rsidRDefault="00951F81" w:rsidP="00B91B5A">
      <w:pPr>
        <w:tabs>
          <w:tab w:val="clear" w:pos="567"/>
        </w:tabs>
      </w:pPr>
    </w:p>
    <w:p w14:paraId="3E695C58" w14:textId="2D64FBCE" w:rsidR="00951F81" w:rsidRPr="00FE29AF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>
        <w:rPr>
          <w:b/>
        </w:rPr>
        <w:t>16.</w:t>
      </w:r>
      <w:r>
        <w:rPr>
          <w:b/>
        </w:rPr>
        <w:tab/>
        <w:t>INFORMACE V BRAILLOVĚ PÍSMU</w:t>
      </w:r>
    </w:p>
    <w:p w14:paraId="6B0877AE" w14:textId="77777777" w:rsidR="00951F81" w:rsidRPr="00FE29AF" w:rsidRDefault="00951F81" w:rsidP="00B91B5A">
      <w:pPr>
        <w:keepNext/>
      </w:pPr>
    </w:p>
    <w:p w14:paraId="3EE434A3" w14:textId="7CD6FD6C" w:rsidR="00951F81" w:rsidRPr="00FE29AF" w:rsidRDefault="008D4A9A" w:rsidP="00B91B5A">
      <w:pPr>
        <w:tabs>
          <w:tab w:val="clear" w:pos="567"/>
        </w:tabs>
      </w:pPr>
      <w:r>
        <w:t>Kefdensis</w:t>
      </w:r>
    </w:p>
    <w:p w14:paraId="53C436BE" w14:textId="77777777" w:rsidR="00951F81" w:rsidRPr="00FE29AF" w:rsidRDefault="00951F81" w:rsidP="00B91B5A">
      <w:pPr>
        <w:tabs>
          <w:tab w:val="clear" w:pos="567"/>
        </w:tabs>
      </w:pPr>
    </w:p>
    <w:p w14:paraId="2974F596" w14:textId="77777777" w:rsidR="00951F81" w:rsidRPr="00FE29AF" w:rsidRDefault="00951F81" w:rsidP="00B91B5A">
      <w:pPr>
        <w:tabs>
          <w:tab w:val="clear" w:pos="567"/>
        </w:tabs>
      </w:pPr>
    </w:p>
    <w:p w14:paraId="06FE37D0" w14:textId="77777777" w:rsidR="00951F81" w:rsidRPr="00FE29AF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17.</w:t>
      </w:r>
      <w:r>
        <w:rPr>
          <w:b/>
        </w:rPr>
        <w:tab/>
        <w:t>JEDINEČNÝ IDENTIFIKÁTOR – 2D ČÁROVÝ KÓD</w:t>
      </w:r>
    </w:p>
    <w:p w14:paraId="61AFE281" w14:textId="77777777" w:rsidR="00951F81" w:rsidRPr="00FE29AF" w:rsidRDefault="00951F81" w:rsidP="00B91B5A">
      <w:pPr>
        <w:keepNext/>
      </w:pPr>
    </w:p>
    <w:p w14:paraId="339154B1" w14:textId="77777777" w:rsidR="00951F81" w:rsidRDefault="00951F81" w:rsidP="00B91B5A">
      <w:pPr>
        <w:rPr>
          <w:highlight w:val="lightGray"/>
        </w:rPr>
      </w:pPr>
      <w:r>
        <w:rPr>
          <w:highlight w:val="lightGray"/>
        </w:rPr>
        <w:t>2D čárový kód s jedinečným identifikátorem.</w:t>
      </w:r>
    </w:p>
    <w:p w14:paraId="696ADE5E" w14:textId="77777777" w:rsidR="00951F81" w:rsidRPr="00FF28F7" w:rsidRDefault="00951F81" w:rsidP="00B91B5A">
      <w:pPr>
        <w:tabs>
          <w:tab w:val="clear" w:pos="567"/>
        </w:tabs>
      </w:pPr>
    </w:p>
    <w:p w14:paraId="43E1B4B5" w14:textId="77777777" w:rsidR="00951F81" w:rsidRPr="00FF28F7" w:rsidRDefault="00951F81" w:rsidP="00B91B5A">
      <w:pPr>
        <w:tabs>
          <w:tab w:val="clear" w:pos="567"/>
        </w:tabs>
      </w:pPr>
    </w:p>
    <w:p w14:paraId="44DE678F" w14:textId="7777777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18.</w:t>
      </w:r>
      <w:r>
        <w:rPr>
          <w:b/>
        </w:rPr>
        <w:tab/>
        <w:t>JEDINEČNÝ IDENTIFIKÁTOR – DATA ČITELNÁ OKEM</w:t>
      </w:r>
    </w:p>
    <w:p w14:paraId="2337B0B1" w14:textId="77777777" w:rsidR="00951F81" w:rsidRPr="00FF28F7" w:rsidRDefault="00951F81" w:rsidP="00B91B5A">
      <w:pPr>
        <w:keepNext/>
      </w:pPr>
    </w:p>
    <w:p w14:paraId="2A8244AD" w14:textId="77777777" w:rsidR="00951F81" w:rsidRPr="00FF28F7" w:rsidRDefault="00951F81" w:rsidP="00B91B5A">
      <w:pPr>
        <w:keepNext/>
        <w:tabs>
          <w:tab w:val="clear" w:pos="567"/>
        </w:tabs>
      </w:pPr>
      <w:r>
        <w:t>PC</w:t>
      </w:r>
    </w:p>
    <w:p w14:paraId="62917A89" w14:textId="77777777" w:rsidR="00951F81" w:rsidRPr="00FF28F7" w:rsidRDefault="00951F81" w:rsidP="00B91B5A">
      <w:pPr>
        <w:keepNext/>
        <w:tabs>
          <w:tab w:val="clear" w:pos="567"/>
        </w:tabs>
      </w:pPr>
      <w:r>
        <w:t>SN</w:t>
      </w:r>
    </w:p>
    <w:p w14:paraId="0216C3DF" w14:textId="77777777" w:rsidR="00951F81" w:rsidRDefault="00951F81" w:rsidP="00B91B5A">
      <w:pPr>
        <w:keepNext/>
        <w:rPr>
          <w:highlight w:val="lightGray"/>
        </w:rPr>
      </w:pPr>
      <w:r>
        <w:rPr>
          <w:highlight w:val="lightGray"/>
        </w:rPr>
        <w:t>NN</w:t>
      </w:r>
    </w:p>
    <w:p w14:paraId="0EF8CD5D" w14:textId="1E9C1723" w:rsidR="00AC2AFA" w:rsidRDefault="00884E6E" w:rsidP="00B91B5A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lear" w:pos="567"/>
        </w:tabs>
        <w:rPr>
          <w:b/>
        </w:rPr>
      </w:pPr>
      <w:r>
        <w:br w:type="page"/>
      </w:r>
    </w:p>
    <w:p w14:paraId="767A7D25" w14:textId="14228E62" w:rsidR="00951F81" w:rsidRPr="00884E6E" w:rsidRDefault="00884E6E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MINIMÁLNÍ ÚDAJE UVÁDĚNÉ NA MALÉM VNITŘNÍM OBALU</w:t>
      </w:r>
    </w:p>
    <w:p w14:paraId="541FFBD6" w14:textId="77777777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0D2345" w14:textId="573A310F" w:rsidR="00951F81" w:rsidRDefault="00AC2AFA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lightGray"/>
        </w:rPr>
      </w:pPr>
      <w:r>
        <w:rPr>
          <w:b/>
        </w:rPr>
        <w:t xml:space="preserve">ŠTÍTEK </w:t>
      </w:r>
      <w:r w:rsidR="00951F81">
        <w:rPr>
          <w:b/>
        </w:rPr>
        <w:t>PŘEDPLNĚN</w:t>
      </w:r>
      <w:r>
        <w:rPr>
          <w:b/>
        </w:rPr>
        <w:t>É</w:t>
      </w:r>
      <w:r w:rsidR="00951F81">
        <w:rPr>
          <w:b/>
        </w:rPr>
        <w:t xml:space="preserve"> INJEKČNÍ STŘÍKAČK</w:t>
      </w:r>
      <w:r>
        <w:rPr>
          <w:b/>
        </w:rPr>
        <w:t>Y</w:t>
      </w:r>
    </w:p>
    <w:p w14:paraId="150F08CD" w14:textId="77777777" w:rsidR="00951F81" w:rsidRPr="000022FE" w:rsidRDefault="00951F81" w:rsidP="00B91B5A">
      <w:pPr>
        <w:keepNext/>
      </w:pPr>
    </w:p>
    <w:p w14:paraId="7CD1682D" w14:textId="77777777" w:rsidR="00951F81" w:rsidRPr="000022FE" w:rsidRDefault="00951F81" w:rsidP="00B91B5A">
      <w:pPr>
        <w:tabs>
          <w:tab w:val="clear" w:pos="567"/>
        </w:tabs>
      </w:pPr>
    </w:p>
    <w:p w14:paraId="08968009" w14:textId="161CCD61" w:rsidR="00951F81" w:rsidRPr="00FF28F7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>NÁZEV LÉČIVÉHO PŘÍPRAVKU A CESTA/CESTY PODÁNÍ</w:t>
      </w:r>
    </w:p>
    <w:p w14:paraId="10BA8C26" w14:textId="77777777" w:rsidR="00951F81" w:rsidRPr="00FF28F7" w:rsidRDefault="00951F81" w:rsidP="00B91B5A">
      <w:pPr>
        <w:keepNext/>
      </w:pPr>
    </w:p>
    <w:p w14:paraId="5F9F4E17" w14:textId="4C5B1A6F" w:rsidR="00951F81" w:rsidRPr="00FF28F7" w:rsidRDefault="008D4A9A" w:rsidP="00B91B5A">
      <w:pPr>
        <w:keepNext/>
        <w:tabs>
          <w:tab w:val="clear" w:pos="567"/>
        </w:tabs>
      </w:pPr>
      <w:r>
        <w:t>Kefdensis</w:t>
      </w:r>
      <w:r w:rsidR="00951F81">
        <w:t xml:space="preserve"> 60 mg injekce</w:t>
      </w:r>
    </w:p>
    <w:p w14:paraId="7D83C2B6" w14:textId="77777777" w:rsidR="00951F81" w:rsidRPr="00FF28F7" w:rsidRDefault="00951F81" w:rsidP="00B91B5A">
      <w:pPr>
        <w:keepNext/>
        <w:tabs>
          <w:tab w:val="clear" w:pos="567"/>
        </w:tabs>
      </w:pPr>
      <w:r>
        <w:t>denosumab</w:t>
      </w:r>
    </w:p>
    <w:p w14:paraId="42D1B1B5" w14:textId="77777777" w:rsidR="00951F81" w:rsidRPr="00FF28F7" w:rsidRDefault="00951F81" w:rsidP="00B91B5A">
      <w:pPr>
        <w:tabs>
          <w:tab w:val="clear" w:pos="567"/>
        </w:tabs>
      </w:pPr>
      <w:r>
        <w:t>s.c.</w:t>
      </w:r>
    </w:p>
    <w:p w14:paraId="019B54AF" w14:textId="77777777" w:rsidR="00951F81" w:rsidRPr="00FF28F7" w:rsidRDefault="00951F81" w:rsidP="00B91B5A">
      <w:pPr>
        <w:tabs>
          <w:tab w:val="clear" w:pos="567"/>
        </w:tabs>
      </w:pPr>
    </w:p>
    <w:p w14:paraId="3F0C6E94" w14:textId="77777777" w:rsidR="00951F81" w:rsidRPr="00FF28F7" w:rsidRDefault="00951F81" w:rsidP="00B91B5A">
      <w:pPr>
        <w:tabs>
          <w:tab w:val="clear" w:pos="567"/>
        </w:tabs>
      </w:pPr>
    </w:p>
    <w:p w14:paraId="5AFAF5A9" w14:textId="69FFB6E9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2.</w:t>
      </w:r>
      <w:r>
        <w:rPr>
          <w:b/>
        </w:rPr>
        <w:tab/>
        <w:t>ZPŮSOB PODÁNÍ</w:t>
      </w:r>
    </w:p>
    <w:p w14:paraId="68AF4E27" w14:textId="77777777" w:rsidR="00951F81" w:rsidRPr="00FF28F7" w:rsidRDefault="00951F81" w:rsidP="00B91B5A">
      <w:pPr>
        <w:keepNext/>
      </w:pPr>
    </w:p>
    <w:p w14:paraId="28560E61" w14:textId="77777777" w:rsidR="00951F81" w:rsidRPr="00FF28F7" w:rsidRDefault="00951F81" w:rsidP="00B91B5A">
      <w:pPr>
        <w:tabs>
          <w:tab w:val="clear" w:pos="567"/>
        </w:tabs>
      </w:pPr>
    </w:p>
    <w:p w14:paraId="08725B69" w14:textId="77777777" w:rsidR="00951F81" w:rsidRDefault="00951F81" w:rsidP="00B91B5A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3.</w:t>
      </w:r>
      <w:r>
        <w:rPr>
          <w:caps w:val="0"/>
        </w:rPr>
        <w:tab/>
        <w:t>POUŽITELNOST</w:t>
      </w:r>
    </w:p>
    <w:p w14:paraId="26297927" w14:textId="77777777" w:rsidR="00951F81" w:rsidRPr="00FF28F7" w:rsidRDefault="00951F81" w:rsidP="00B91B5A">
      <w:pPr>
        <w:keepNext/>
      </w:pPr>
    </w:p>
    <w:p w14:paraId="201994E0" w14:textId="77777777" w:rsidR="00951F81" w:rsidRPr="00FF28F7" w:rsidRDefault="00951F81" w:rsidP="00B91B5A">
      <w:pPr>
        <w:tabs>
          <w:tab w:val="clear" w:pos="567"/>
        </w:tabs>
      </w:pPr>
      <w:r>
        <w:t>EXP</w:t>
      </w:r>
    </w:p>
    <w:p w14:paraId="107128B3" w14:textId="77777777" w:rsidR="00951F81" w:rsidRPr="00FF28F7" w:rsidRDefault="00951F81" w:rsidP="00B91B5A">
      <w:pPr>
        <w:tabs>
          <w:tab w:val="clear" w:pos="567"/>
        </w:tabs>
      </w:pPr>
    </w:p>
    <w:p w14:paraId="60330DE7" w14:textId="77777777" w:rsidR="00951F81" w:rsidRPr="00FF28F7" w:rsidRDefault="00951F81" w:rsidP="00B91B5A">
      <w:pPr>
        <w:tabs>
          <w:tab w:val="clear" w:pos="567"/>
        </w:tabs>
      </w:pPr>
    </w:p>
    <w:p w14:paraId="21A93D92" w14:textId="77777777" w:rsidR="00951F81" w:rsidRDefault="00951F81" w:rsidP="00B91B5A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4.</w:t>
      </w:r>
      <w:r>
        <w:rPr>
          <w:caps w:val="0"/>
        </w:rPr>
        <w:tab/>
        <w:t>ČÍSLO ŠARŽE</w:t>
      </w:r>
    </w:p>
    <w:p w14:paraId="74ABDE08" w14:textId="77777777" w:rsidR="00951F81" w:rsidRPr="00FF28F7" w:rsidRDefault="00951F81" w:rsidP="00B91B5A">
      <w:pPr>
        <w:keepNext/>
      </w:pPr>
    </w:p>
    <w:p w14:paraId="0071CA80" w14:textId="77777777" w:rsidR="00951F81" w:rsidRPr="00FF28F7" w:rsidRDefault="00951F81" w:rsidP="00B91B5A">
      <w:pPr>
        <w:tabs>
          <w:tab w:val="clear" w:pos="567"/>
        </w:tabs>
      </w:pPr>
      <w:r>
        <w:t>Lot</w:t>
      </w:r>
    </w:p>
    <w:p w14:paraId="28725210" w14:textId="77777777" w:rsidR="00951F81" w:rsidRPr="00FF28F7" w:rsidRDefault="00951F81" w:rsidP="00B91B5A">
      <w:pPr>
        <w:tabs>
          <w:tab w:val="clear" w:pos="567"/>
        </w:tabs>
      </w:pPr>
    </w:p>
    <w:p w14:paraId="44C3072E" w14:textId="77777777" w:rsidR="00951F81" w:rsidRPr="00FF28F7" w:rsidRDefault="00951F81" w:rsidP="00B91B5A">
      <w:pPr>
        <w:tabs>
          <w:tab w:val="clear" w:pos="567"/>
        </w:tabs>
      </w:pPr>
    </w:p>
    <w:p w14:paraId="08F74D1D" w14:textId="1218FD16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5.</w:t>
      </w:r>
      <w:r>
        <w:rPr>
          <w:b/>
        </w:rPr>
        <w:tab/>
        <w:t>OBSAH UDANÝ JAKO HMOTNOST, OBJEM NEBO POČET</w:t>
      </w:r>
    </w:p>
    <w:p w14:paraId="125601CB" w14:textId="77777777" w:rsidR="00951F81" w:rsidRPr="00FF28F7" w:rsidRDefault="00951F81" w:rsidP="00B91B5A">
      <w:pPr>
        <w:keepNext/>
      </w:pPr>
    </w:p>
    <w:p w14:paraId="037AE9EF" w14:textId="0F32E3F1" w:rsidR="00951F81" w:rsidRPr="00FF28F7" w:rsidRDefault="00537C2B" w:rsidP="00B91B5A">
      <w:pPr>
        <w:tabs>
          <w:tab w:val="clear" w:pos="567"/>
        </w:tabs>
      </w:pPr>
      <w:r>
        <w:t>1 </w:t>
      </w:r>
      <w:r w:rsidR="00AC2AFA">
        <w:t>ml</w:t>
      </w:r>
    </w:p>
    <w:p w14:paraId="1D6D33F1" w14:textId="77777777" w:rsidR="00951F81" w:rsidRPr="00FF28F7" w:rsidRDefault="00951F81" w:rsidP="00B91B5A">
      <w:pPr>
        <w:tabs>
          <w:tab w:val="clear" w:pos="567"/>
        </w:tabs>
      </w:pPr>
    </w:p>
    <w:p w14:paraId="016E6E49" w14:textId="63B1F2CE" w:rsidR="00951F81" w:rsidRDefault="00951F81" w:rsidP="00B91B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highlight w:val="lightGray"/>
        </w:rPr>
      </w:pPr>
      <w:r>
        <w:rPr>
          <w:b/>
        </w:rPr>
        <w:t>6.</w:t>
      </w:r>
      <w:r>
        <w:rPr>
          <w:b/>
        </w:rPr>
        <w:tab/>
        <w:t>JINÉ</w:t>
      </w:r>
    </w:p>
    <w:p w14:paraId="04898FCF" w14:textId="77777777" w:rsidR="00951F81" w:rsidRPr="00FF28F7" w:rsidRDefault="00951F81" w:rsidP="00B91B5A">
      <w:pPr>
        <w:keepNext/>
      </w:pPr>
    </w:p>
    <w:p w14:paraId="2C5EAEE6" w14:textId="77777777" w:rsidR="00951F81" w:rsidRDefault="00951F81" w:rsidP="00B91B5A">
      <w:pPr>
        <w:tabs>
          <w:tab w:val="clear" w:pos="567"/>
        </w:tabs>
      </w:pPr>
    </w:p>
    <w:p w14:paraId="2607F329" w14:textId="2199701D" w:rsidR="00951F81" w:rsidRPr="00FE29AF" w:rsidRDefault="00884E6E" w:rsidP="00B91B5A">
      <w:pPr>
        <w:jc w:val="center"/>
      </w:pPr>
      <w:r>
        <w:br w:type="page"/>
      </w:r>
      <w:r w:rsidR="00AC2AFA" w:rsidRPr="00D64EA6">
        <w:t xml:space="preserve"> </w:t>
      </w:r>
    </w:p>
    <w:p w14:paraId="1A082179" w14:textId="77777777" w:rsidR="00951F81" w:rsidRPr="00FE29AF" w:rsidRDefault="00951F81" w:rsidP="00B91B5A">
      <w:pPr>
        <w:jc w:val="center"/>
      </w:pPr>
    </w:p>
    <w:p w14:paraId="44F8CD90" w14:textId="77777777" w:rsidR="00951F81" w:rsidRPr="00FE29AF" w:rsidRDefault="00951F81" w:rsidP="00B91B5A">
      <w:pPr>
        <w:jc w:val="center"/>
      </w:pPr>
    </w:p>
    <w:p w14:paraId="17F2E668" w14:textId="77777777" w:rsidR="00951F81" w:rsidRPr="00FE29AF" w:rsidRDefault="00951F81" w:rsidP="00B91B5A">
      <w:pPr>
        <w:jc w:val="center"/>
      </w:pPr>
    </w:p>
    <w:p w14:paraId="5C7DD622" w14:textId="77777777" w:rsidR="00951F81" w:rsidRPr="00FE29AF" w:rsidRDefault="00951F81" w:rsidP="00B91B5A">
      <w:pPr>
        <w:jc w:val="center"/>
      </w:pPr>
    </w:p>
    <w:p w14:paraId="628CB296" w14:textId="77777777" w:rsidR="00951F81" w:rsidRPr="00FE29AF" w:rsidRDefault="00951F81" w:rsidP="00B91B5A">
      <w:pPr>
        <w:jc w:val="center"/>
      </w:pPr>
    </w:p>
    <w:p w14:paraId="4AAC1555" w14:textId="77777777" w:rsidR="00951F81" w:rsidRPr="00FE29AF" w:rsidRDefault="00951F81" w:rsidP="00B91B5A">
      <w:pPr>
        <w:jc w:val="center"/>
      </w:pPr>
    </w:p>
    <w:p w14:paraId="46BB4CD9" w14:textId="77777777" w:rsidR="00951F81" w:rsidRPr="00FE29AF" w:rsidRDefault="00951F81" w:rsidP="00B91B5A">
      <w:pPr>
        <w:jc w:val="center"/>
      </w:pPr>
    </w:p>
    <w:p w14:paraId="1A7FFB0C" w14:textId="77777777" w:rsidR="00951F81" w:rsidRPr="00FE29AF" w:rsidRDefault="00951F81" w:rsidP="00B91B5A">
      <w:pPr>
        <w:jc w:val="center"/>
      </w:pPr>
    </w:p>
    <w:p w14:paraId="3ACEC983" w14:textId="77777777" w:rsidR="00951F81" w:rsidRPr="00FE29AF" w:rsidRDefault="00951F81" w:rsidP="00B91B5A">
      <w:pPr>
        <w:jc w:val="center"/>
      </w:pPr>
    </w:p>
    <w:p w14:paraId="2A156B60" w14:textId="77777777" w:rsidR="00951F81" w:rsidRPr="00FE29AF" w:rsidRDefault="00951F81" w:rsidP="00B91B5A">
      <w:pPr>
        <w:jc w:val="center"/>
      </w:pPr>
    </w:p>
    <w:p w14:paraId="12C511FA" w14:textId="77777777" w:rsidR="00951F81" w:rsidRPr="00FE29AF" w:rsidRDefault="00951F81" w:rsidP="00B91B5A">
      <w:pPr>
        <w:jc w:val="center"/>
      </w:pPr>
    </w:p>
    <w:p w14:paraId="2D4F5DF7" w14:textId="77777777" w:rsidR="00951F81" w:rsidRPr="00FE29AF" w:rsidRDefault="00951F81" w:rsidP="00B91B5A">
      <w:pPr>
        <w:jc w:val="center"/>
      </w:pPr>
    </w:p>
    <w:p w14:paraId="58D4A4C5" w14:textId="77777777" w:rsidR="00951F81" w:rsidRDefault="00951F81" w:rsidP="00B91B5A">
      <w:pPr>
        <w:jc w:val="center"/>
      </w:pPr>
    </w:p>
    <w:p w14:paraId="4BD25BED" w14:textId="77777777" w:rsidR="00D64EA6" w:rsidRDefault="00D64EA6" w:rsidP="00B91B5A">
      <w:pPr>
        <w:jc w:val="center"/>
      </w:pPr>
    </w:p>
    <w:p w14:paraId="65111789" w14:textId="77777777" w:rsidR="00D64EA6" w:rsidRPr="00FE29AF" w:rsidRDefault="00D64EA6" w:rsidP="00B91B5A">
      <w:pPr>
        <w:jc w:val="center"/>
      </w:pPr>
    </w:p>
    <w:p w14:paraId="70C203D0" w14:textId="77777777" w:rsidR="00951F81" w:rsidRPr="00FE29AF" w:rsidRDefault="00951F81" w:rsidP="00B91B5A">
      <w:pPr>
        <w:jc w:val="center"/>
      </w:pPr>
    </w:p>
    <w:p w14:paraId="5E193221" w14:textId="77777777" w:rsidR="00951F81" w:rsidRPr="00FE29AF" w:rsidRDefault="00951F81" w:rsidP="00B91B5A">
      <w:pPr>
        <w:jc w:val="center"/>
      </w:pPr>
    </w:p>
    <w:p w14:paraId="07A507AA" w14:textId="77777777" w:rsidR="00951F81" w:rsidRPr="00FE29AF" w:rsidRDefault="00951F81" w:rsidP="00B91B5A">
      <w:pPr>
        <w:jc w:val="center"/>
      </w:pPr>
    </w:p>
    <w:p w14:paraId="6123B8E8" w14:textId="77777777" w:rsidR="00951F81" w:rsidRPr="00FE29AF" w:rsidRDefault="00951F81" w:rsidP="00B91B5A">
      <w:pPr>
        <w:jc w:val="center"/>
      </w:pPr>
    </w:p>
    <w:p w14:paraId="3279864E" w14:textId="77777777" w:rsidR="00951F81" w:rsidRPr="00FE29AF" w:rsidRDefault="00951F81" w:rsidP="00B91B5A">
      <w:pPr>
        <w:jc w:val="center"/>
      </w:pPr>
    </w:p>
    <w:p w14:paraId="7B2238FF" w14:textId="77777777" w:rsidR="00951F81" w:rsidRPr="00FE29AF" w:rsidRDefault="00951F81" w:rsidP="00B91B5A">
      <w:pPr>
        <w:jc w:val="center"/>
      </w:pPr>
    </w:p>
    <w:p w14:paraId="6AF18698" w14:textId="77777777" w:rsidR="00951F81" w:rsidRPr="00FE29AF" w:rsidRDefault="00951F81" w:rsidP="00B91B5A">
      <w:pPr>
        <w:jc w:val="center"/>
      </w:pPr>
    </w:p>
    <w:p w14:paraId="4EC56E14" w14:textId="77777777" w:rsidR="00951F81" w:rsidRPr="00FE29AF" w:rsidRDefault="00951F81" w:rsidP="00B91B5A">
      <w:pPr>
        <w:pStyle w:val="TitleA"/>
        <w:outlineLvl w:val="0"/>
      </w:pPr>
      <w:r>
        <w:t>B. PŘÍBALOVÁ INFORMACE</w:t>
      </w:r>
    </w:p>
    <w:p w14:paraId="071CCEA9" w14:textId="77777777" w:rsidR="00951F81" w:rsidRPr="00FF28F7" w:rsidRDefault="00951F81" w:rsidP="00B91B5A">
      <w:pPr>
        <w:tabs>
          <w:tab w:val="clear" w:pos="567"/>
        </w:tabs>
        <w:jc w:val="center"/>
        <w:rPr>
          <w:b/>
          <w:bCs/>
        </w:rPr>
      </w:pPr>
      <w:r>
        <w:br w:type="page"/>
      </w:r>
      <w:r>
        <w:rPr>
          <w:b/>
        </w:rPr>
        <w:t>Příbalová informace: informace pro uživatele</w:t>
      </w:r>
    </w:p>
    <w:p w14:paraId="7730D141" w14:textId="77777777" w:rsidR="00951F81" w:rsidRPr="00FF28F7" w:rsidRDefault="00951F81" w:rsidP="00B91B5A">
      <w:pPr>
        <w:jc w:val="center"/>
      </w:pPr>
    </w:p>
    <w:p w14:paraId="26D89CBB" w14:textId="35CC2E62" w:rsidR="00951F81" w:rsidRPr="00FF28F7" w:rsidRDefault="008D4A9A" w:rsidP="00B91B5A">
      <w:pPr>
        <w:tabs>
          <w:tab w:val="clear" w:pos="567"/>
        </w:tabs>
        <w:jc w:val="center"/>
        <w:rPr>
          <w:b/>
          <w:bCs/>
        </w:rPr>
      </w:pPr>
      <w:r>
        <w:rPr>
          <w:b/>
        </w:rPr>
        <w:t>Kefdensis</w:t>
      </w:r>
      <w:r w:rsidR="00951F81">
        <w:rPr>
          <w:b/>
        </w:rPr>
        <w:t xml:space="preserve"> 60 mg injekční roztok v předplněné injekční stříkačce</w:t>
      </w:r>
    </w:p>
    <w:p w14:paraId="5F017DFC" w14:textId="77777777" w:rsidR="00951F81" w:rsidRPr="00FF28F7" w:rsidRDefault="00951F81" w:rsidP="00B91B5A">
      <w:pPr>
        <w:jc w:val="center"/>
      </w:pPr>
      <w:r>
        <w:t>denosumab</w:t>
      </w:r>
    </w:p>
    <w:p w14:paraId="574B1465" w14:textId="77777777" w:rsidR="00951F81" w:rsidRDefault="00951F81" w:rsidP="00B91B5A">
      <w:pPr>
        <w:jc w:val="center"/>
      </w:pPr>
    </w:p>
    <w:p w14:paraId="3B4B58B9" w14:textId="77777777" w:rsidR="00D64EA6" w:rsidRPr="006B4557" w:rsidRDefault="00D64EA6" w:rsidP="00B91B5A">
      <w:pPr>
        <w:pStyle w:val="Normln1"/>
        <w:tabs>
          <w:tab w:val="clear" w:pos="567"/>
        </w:tabs>
        <w:spacing w:line="240" w:lineRule="auto"/>
        <w:rPr>
          <w:noProof/>
        </w:rPr>
      </w:pPr>
    </w:p>
    <w:p w14:paraId="54978D5E" w14:textId="0F47C636" w:rsidR="00D64EA6" w:rsidRPr="00B3208E" w:rsidRDefault="00D64EA6" w:rsidP="00B91B5A">
      <w:pPr>
        <w:pStyle w:val="Normln1"/>
        <w:spacing w:line="240" w:lineRule="auto"/>
        <w:rPr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5173905" wp14:editId="76F367E7">
            <wp:extent cx="200025" cy="171450"/>
            <wp:effectExtent l="0" t="0" r="0" b="0"/>
            <wp:docPr id="2063258601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02614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Tento přípravek podléhá dalšímu sledování. To umožní rychlé získání nových informací o bezpečnosti. Můžete přispět tím, že nahlásíte jakékoli nežádoucí účinky, které se u Vás vyskytnou. Jak hlásit nežádoucí účinky je popsáno v závěru bodu 4.</w:t>
      </w:r>
    </w:p>
    <w:p w14:paraId="6C46C02C" w14:textId="77777777" w:rsidR="00D64EA6" w:rsidRDefault="00D64EA6" w:rsidP="00B91B5A"/>
    <w:p w14:paraId="765A5D73" w14:textId="77777777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>Přečtěte si pozorně celou příbalovou informaci dříve, než začnete tento přípravek používat, protože pro Vás obsahuje důležité údaje.</w:t>
      </w:r>
    </w:p>
    <w:p w14:paraId="03C0012A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Ponechte si příbalovou informaci pro případ, že si ji budete potřebovat přečíst znovu. </w:t>
      </w:r>
    </w:p>
    <w:p w14:paraId="77F94973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Máte-li jakékoli další otázky, zeptejte se svého lékaře nebo lékárníka.</w:t>
      </w:r>
    </w:p>
    <w:p w14:paraId="3183AC87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Tento přípravek byl předepsán výhradně Vám. Nedávejte jej žádné další osobě. Mohl by jí ublížit, a to i tehdy, má-li stejné známky onemocnění jako Vy.</w:t>
      </w:r>
    </w:p>
    <w:p w14:paraId="237E7250" w14:textId="57589D4F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Pokud se u Vás vyskytne kterýkoli z nežádoucích účinků, sdělte to svému lékaři nebo lékárníkovi. Stejně postupujte v případě jakýchkoli nežádoucích účinků, které nejsou uvedeny v této </w:t>
      </w:r>
      <w:r w:rsidR="007057FE">
        <w:t xml:space="preserve">příbalové </w:t>
      </w:r>
      <w:r>
        <w:t>informaci. Viz bod 4.</w:t>
      </w:r>
    </w:p>
    <w:p w14:paraId="44F4348A" w14:textId="2B37932E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Lékař Vám dá kartu pacienta, která obsahuje důležité bezpečnostní informace, které potřebujete vědět před léčbou a během léčby přípravkem </w:t>
      </w:r>
      <w:r w:rsidR="008D4A9A">
        <w:t>Kefdensis</w:t>
      </w:r>
      <w:r>
        <w:t>.</w:t>
      </w:r>
    </w:p>
    <w:p w14:paraId="679064ED" w14:textId="77777777" w:rsidR="00951F81" w:rsidRPr="00FF28F7" w:rsidRDefault="00951F81" w:rsidP="00B91B5A"/>
    <w:p w14:paraId="297CCD4A" w14:textId="77777777" w:rsidR="00951F81" w:rsidRDefault="00951F81" w:rsidP="00B91B5A">
      <w:pPr>
        <w:keepNext/>
        <w:rPr>
          <w:b/>
        </w:rPr>
      </w:pPr>
      <w:r>
        <w:rPr>
          <w:b/>
        </w:rPr>
        <w:t>Co naleznete v této příbalové informaci</w:t>
      </w:r>
    </w:p>
    <w:p w14:paraId="241B9266" w14:textId="77777777" w:rsidR="00D64EA6" w:rsidRPr="00FF28F7" w:rsidRDefault="00D64EA6" w:rsidP="00B91B5A">
      <w:pPr>
        <w:keepNext/>
        <w:rPr>
          <w:b/>
          <w:bCs/>
        </w:rPr>
      </w:pPr>
    </w:p>
    <w:p w14:paraId="33DC46A8" w14:textId="58F9B55E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Co je přípravek </w:t>
      </w:r>
      <w:r w:rsidR="008D4A9A">
        <w:t>Kefdensis</w:t>
      </w:r>
      <w:r>
        <w:t xml:space="preserve"> a k čemu se používá</w:t>
      </w:r>
    </w:p>
    <w:p w14:paraId="248F6C68" w14:textId="7EAFB388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Čemu musíte věnovat pozornost, než začnete přípravek </w:t>
      </w:r>
      <w:r w:rsidR="008D4A9A">
        <w:t>Kefdensis</w:t>
      </w:r>
      <w:r>
        <w:t xml:space="preserve"> používat</w:t>
      </w:r>
    </w:p>
    <w:p w14:paraId="2D3E8F4D" w14:textId="35876730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Jak se přípravek </w:t>
      </w:r>
      <w:r w:rsidR="008D4A9A">
        <w:t>Kefdensis</w:t>
      </w:r>
      <w:r>
        <w:t xml:space="preserve"> používá</w:t>
      </w:r>
    </w:p>
    <w:p w14:paraId="540C3551" w14:textId="77777777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>Možné nežádoucí účinky</w:t>
      </w:r>
    </w:p>
    <w:p w14:paraId="7366550A" w14:textId="268E5CCE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 xml:space="preserve">Jak přípravek </w:t>
      </w:r>
      <w:r w:rsidR="008D4A9A">
        <w:t>Kefdensis</w:t>
      </w:r>
      <w:r>
        <w:t xml:space="preserve"> uchovávat</w:t>
      </w:r>
    </w:p>
    <w:p w14:paraId="37D96110" w14:textId="77777777" w:rsidR="00951F81" w:rsidRPr="00FF28F7" w:rsidRDefault="00951F81" w:rsidP="00B91B5A">
      <w:pPr>
        <w:numPr>
          <w:ilvl w:val="0"/>
          <w:numId w:val="42"/>
        </w:numPr>
        <w:ind w:left="567" w:hanging="567"/>
      </w:pPr>
      <w:r>
        <w:t>Obsah balení a další informace</w:t>
      </w:r>
    </w:p>
    <w:p w14:paraId="296D632D" w14:textId="77777777" w:rsidR="00951F81" w:rsidRPr="00FF28F7" w:rsidRDefault="00951F81" w:rsidP="00B91B5A">
      <w:pPr>
        <w:numPr>
          <w:ilvl w:val="12"/>
          <w:numId w:val="0"/>
        </w:numPr>
      </w:pPr>
    </w:p>
    <w:p w14:paraId="6482904F" w14:textId="77777777" w:rsidR="00951F81" w:rsidRPr="00FF28F7" w:rsidRDefault="00951F81" w:rsidP="00B91B5A">
      <w:pPr>
        <w:numPr>
          <w:ilvl w:val="12"/>
          <w:numId w:val="0"/>
        </w:numPr>
      </w:pPr>
    </w:p>
    <w:p w14:paraId="7FE7142A" w14:textId="3E8AFF70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 xml:space="preserve">Co je přípravek </w:t>
      </w:r>
      <w:r w:rsidR="008D4A9A">
        <w:rPr>
          <w:b/>
        </w:rPr>
        <w:t>Kefdensis</w:t>
      </w:r>
      <w:r>
        <w:rPr>
          <w:b/>
        </w:rPr>
        <w:t xml:space="preserve"> a k čemu se používá</w:t>
      </w:r>
    </w:p>
    <w:p w14:paraId="5EFD9DEB" w14:textId="77777777" w:rsidR="00951F81" w:rsidRPr="00FF28F7" w:rsidRDefault="00951F81" w:rsidP="00B91B5A">
      <w:pPr>
        <w:keepNext/>
      </w:pPr>
    </w:p>
    <w:p w14:paraId="42A03A94" w14:textId="757632CB" w:rsidR="00951F81" w:rsidRPr="00FF28F7" w:rsidRDefault="00951F81" w:rsidP="00B91B5A">
      <w:pPr>
        <w:keepNext/>
        <w:rPr>
          <w:b/>
          <w:bCs/>
        </w:rPr>
      </w:pPr>
      <w:r>
        <w:rPr>
          <w:b/>
        </w:rPr>
        <w:t xml:space="preserve">Co je přípravek </w:t>
      </w:r>
      <w:r w:rsidR="008D4A9A">
        <w:rPr>
          <w:b/>
        </w:rPr>
        <w:t>Kefdensis</w:t>
      </w:r>
      <w:r>
        <w:rPr>
          <w:b/>
        </w:rPr>
        <w:t xml:space="preserve"> a jak účinkuje</w:t>
      </w:r>
    </w:p>
    <w:p w14:paraId="17F4236C" w14:textId="77777777" w:rsidR="00951F81" w:rsidRPr="00FF28F7" w:rsidRDefault="00951F81" w:rsidP="00B91B5A">
      <w:pPr>
        <w:keepNext/>
      </w:pPr>
    </w:p>
    <w:p w14:paraId="0BFFB00B" w14:textId="32FB6635" w:rsidR="00951F81" w:rsidRPr="00FF28F7" w:rsidRDefault="00951F81" w:rsidP="00B91B5A">
      <w:pPr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obsahuje denosumab, bílkovinu (monoklonální protilátku), která zasahuje do účinku jiné bílkoviny s cílem léčit úbytek kostní hmoty a osteoporózu. Léčba přípravkem </w:t>
      </w:r>
      <w:r w:rsidR="008D4A9A">
        <w:t>Kefdensis</w:t>
      </w:r>
      <w:r>
        <w:t xml:space="preserve"> zpevňuje kosti a zabraňuje jejich snadné lomivosti.</w:t>
      </w:r>
    </w:p>
    <w:p w14:paraId="6B11463F" w14:textId="77777777" w:rsidR="00951F81" w:rsidRPr="00FF28F7" w:rsidRDefault="00951F81" w:rsidP="00B91B5A">
      <w:pPr>
        <w:tabs>
          <w:tab w:val="clear" w:pos="567"/>
        </w:tabs>
      </w:pPr>
    </w:p>
    <w:p w14:paraId="10C0DE31" w14:textId="2DC86E6C" w:rsidR="00951F81" w:rsidRPr="00FF28F7" w:rsidRDefault="00951F81" w:rsidP="00B91B5A">
      <w:pPr>
        <w:tabs>
          <w:tab w:val="clear" w:pos="567"/>
        </w:tabs>
      </w:pPr>
      <w:r>
        <w:t xml:space="preserve">Kost je živá a stále se obnovující tkáň. Estrogen </w:t>
      </w:r>
      <w:r w:rsidR="007057FE">
        <w:t xml:space="preserve">(pohlavní hormon) </w:t>
      </w:r>
      <w:r>
        <w:t xml:space="preserve">napomáhá udržovat kosti zdravé. Po menopauze (u žen v přechodu po ukončení pravidelného menstruačního krvácení) hladiny estrogenu klesají, což může vést k zeslabení a zvýšené křehkosti kostí. Může tak vzniknout onemocnění zvané osteoporóza. Osteoporóza se může vyskytnout také u mužů z mnoha důvodů včetně stárnutí a/nebo nízké hladiny mužského hormonu testosteronu. Může se také vyskytnout u pacientů užívajících glukokortikoidy. Mnoho pacientů s osteoporózou nemá žádné příznaky, přesto jsou však ohroženy zlomeninami, zejména </w:t>
      </w:r>
      <w:r w:rsidR="007057FE">
        <w:t xml:space="preserve">zlomeninami </w:t>
      </w:r>
      <w:r w:rsidR="00DB2090">
        <w:t>obratlů</w:t>
      </w:r>
      <w:r>
        <w:t xml:space="preserve">, </w:t>
      </w:r>
      <w:r w:rsidR="007057FE">
        <w:t>zlomeninami v oblasti kyčelního kloubu</w:t>
      </w:r>
      <w:r>
        <w:t xml:space="preserve"> a </w:t>
      </w:r>
      <w:r w:rsidR="007057FE">
        <w:t>zlomeninami dolní části předloktí</w:t>
      </w:r>
      <w:r>
        <w:t>.</w:t>
      </w:r>
    </w:p>
    <w:p w14:paraId="5218C8A7" w14:textId="77777777" w:rsidR="00951F81" w:rsidRPr="00FF28F7" w:rsidRDefault="00951F81" w:rsidP="00B91B5A">
      <w:pPr>
        <w:tabs>
          <w:tab w:val="clear" w:pos="567"/>
        </w:tabs>
      </w:pPr>
    </w:p>
    <w:p w14:paraId="1BD69A1E" w14:textId="77777777" w:rsidR="00951F81" w:rsidRPr="00FF28F7" w:rsidRDefault="00951F81" w:rsidP="00B91B5A">
      <w:pPr>
        <w:tabs>
          <w:tab w:val="clear" w:pos="567"/>
        </w:tabs>
      </w:pPr>
      <w:r>
        <w:t>Operační zákroky nebo podávání léků, které zastavují tvorbu estrogenu nebo testosteronu a jsou určeny k léčbě pacientů s rakovinou prostaty nebo prsu, způsobují také úbytek kostní hmoty. Kosti slábnou a snadněji se lámou.</w:t>
      </w:r>
    </w:p>
    <w:p w14:paraId="12E33683" w14:textId="77777777" w:rsidR="00951F81" w:rsidRPr="00FF28F7" w:rsidRDefault="00951F81" w:rsidP="00B91B5A">
      <w:pPr>
        <w:tabs>
          <w:tab w:val="clear" w:pos="567"/>
        </w:tabs>
      </w:pPr>
    </w:p>
    <w:p w14:paraId="31AEE940" w14:textId="718CBC8B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K čemu se přípravek </w:t>
      </w:r>
      <w:r w:rsidR="008D4A9A">
        <w:rPr>
          <w:b/>
        </w:rPr>
        <w:t>Kefdensis</w:t>
      </w:r>
      <w:r>
        <w:rPr>
          <w:b/>
        </w:rPr>
        <w:t xml:space="preserve"> používá</w:t>
      </w:r>
    </w:p>
    <w:p w14:paraId="1E3715CB" w14:textId="77777777" w:rsidR="00951F81" w:rsidRPr="00FF28F7" w:rsidRDefault="00951F81" w:rsidP="00B91B5A">
      <w:pPr>
        <w:keepNext/>
      </w:pPr>
    </w:p>
    <w:p w14:paraId="424BC28B" w14:textId="3F2A10AA" w:rsidR="00951F81" w:rsidRPr="00FF28F7" w:rsidRDefault="00951F81" w:rsidP="00B91B5A">
      <w:pPr>
        <w:keepNext/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se používá k léčbě:</w:t>
      </w:r>
    </w:p>
    <w:p w14:paraId="6F73385E" w14:textId="3CE32E7D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osteoporózy u žen po menopauze a u mužů se zvýšeným rizikem zlomenin, pro snížení rizika zlomenin </w:t>
      </w:r>
      <w:r w:rsidR="00DB2090">
        <w:t>obratlů</w:t>
      </w:r>
      <w:r>
        <w:t xml:space="preserve">, zlomenin v oblasti </w:t>
      </w:r>
      <w:r w:rsidR="007057FE">
        <w:t>kyčelního kloubu</w:t>
      </w:r>
      <w:r>
        <w:t xml:space="preserve"> a zlomenin jiných kostí než obratlů.</w:t>
      </w:r>
    </w:p>
    <w:p w14:paraId="3246613D" w14:textId="727B4135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úbytku kostní hmoty, který nastává při snížení hladiny hormon</w:t>
      </w:r>
      <w:r w:rsidR="00DB2090">
        <w:t>u</w:t>
      </w:r>
      <w:r>
        <w:t xml:space="preserve"> (testosteronu) v důsledku operace nebo podávání léků pacientům s rakovinou prostaty.</w:t>
      </w:r>
    </w:p>
    <w:p w14:paraId="510D3B00" w14:textId="7D817940" w:rsidR="00951F81" w:rsidRPr="00FF28F7" w:rsidRDefault="002733C6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úbytku</w:t>
      </w:r>
      <w:r w:rsidR="00951F81">
        <w:t xml:space="preserve"> kostní hmoty v důsledku dlouhodobé léčby glukokortikoidy u pacientů, kteří mají zvýšené riziko zlomenin.</w:t>
      </w:r>
    </w:p>
    <w:p w14:paraId="039D40AD" w14:textId="77777777" w:rsidR="00951F81" w:rsidRPr="00FF28F7" w:rsidRDefault="00951F81" w:rsidP="00B91B5A">
      <w:pPr>
        <w:numPr>
          <w:ilvl w:val="12"/>
          <w:numId w:val="0"/>
        </w:numPr>
      </w:pPr>
    </w:p>
    <w:p w14:paraId="42C6DFE0" w14:textId="77777777" w:rsidR="00951F81" w:rsidRPr="00FF28F7" w:rsidRDefault="00951F81" w:rsidP="00B91B5A">
      <w:pPr>
        <w:numPr>
          <w:ilvl w:val="12"/>
          <w:numId w:val="0"/>
        </w:numPr>
      </w:pPr>
    </w:p>
    <w:p w14:paraId="62876299" w14:textId="4BCE2073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  <w:t xml:space="preserve">Čemu musíte věnovat pozornost, než začnete přípravek </w:t>
      </w:r>
      <w:r w:rsidR="008D4A9A">
        <w:rPr>
          <w:b/>
        </w:rPr>
        <w:t>Kefdensis</w:t>
      </w:r>
      <w:r>
        <w:rPr>
          <w:b/>
        </w:rPr>
        <w:t xml:space="preserve"> používat</w:t>
      </w:r>
    </w:p>
    <w:p w14:paraId="7EDE79B2" w14:textId="77777777" w:rsidR="00951F81" w:rsidRPr="00FF28F7" w:rsidRDefault="00951F81" w:rsidP="00B91B5A">
      <w:pPr>
        <w:keepNext/>
      </w:pPr>
    </w:p>
    <w:p w14:paraId="37EF9401" w14:textId="3DBFBBB0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Nepoužívejte přípravek </w:t>
      </w:r>
      <w:r w:rsidR="008D4A9A">
        <w:rPr>
          <w:b/>
        </w:rPr>
        <w:t>Kefdensis</w:t>
      </w:r>
    </w:p>
    <w:p w14:paraId="7D0DCB64" w14:textId="77777777" w:rsidR="00951F81" w:rsidRPr="00FF28F7" w:rsidRDefault="00951F81" w:rsidP="00B91B5A">
      <w:pPr>
        <w:keepNext/>
      </w:pPr>
    </w:p>
    <w:p w14:paraId="1540C426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pokud máte nízkou hladinu vápníku v krvi (hypokalcemie).</w:t>
      </w:r>
    </w:p>
    <w:p w14:paraId="70B1B35A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jestliže jste alergický(á) na denosumab nebo na kteroukoli další složku tohoto přípravku (uvedenou v bodě 6).</w:t>
      </w:r>
    </w:p>
    <w:p w14:paraId="6C3A83D2" w14:textId="77777777" w:rsidR="00951F81" w:rsidRPr="00FF28F7" w:rsidRDefault="00951F81" w:rsidP="00B91B5A">
      <w:pPr>
        <w:numPr>
          <w:ilvl w:val="12"/>
          <w:numId w:val="0"/>
        </w:numPr>
        <w:ind w:right="-2"/>
      </w:pPr>
    </w:p>
    <w:p w14:paraId="1BE00082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Upozornění a opatření</w:t>
      </w:r>
    </w:p>
    <w:p w14:paraId="7B804062" w14:textId="77777777" w:rsidR="00951F81" w:rsidRPr="00FF28F7" w:rsidRDefault="00951F81" w:rsidP="00B91B5A">
      <w:pPr>
        <w:keepNext/>
      </w:pPr>
    </w:p>
    <w:p w14:paraId="0232E28C" w14:textId="7F901597" w:rsidR="00951F81" w:rsidRPr="00FF28F7" w:rsidRDefault="00951F81" w:rsidP="00B91B5A">
      <w:pPr>
        <w:tabs>
          <w:tab w:val="clear" w:pos="567"/>
        </w:tabs>
      </w:pPr>
      <w:r>
        <w:t xml:space="preserve">Před použitím přípravku </w:t>
      </w:r>
      <w:r w:rsidR="008D4A9A">
        <w:t>Kefdensis</w:t>
      </w:r>
      <w:r>
        <w:t xml:space="preserve"> se poraďte se svým lékařem nebo lékárníkem.</w:t>
      </w:r>
    </w:p>
    <w:p w14:paraId="7529BA8C" w14:textId="77777777" w:rsidR="00951F81" w:rsidRPr="00FF28F7" w:rsidRDefault="00951F81" w:rsidP="00B91B5A">
      <w:pPr>
        <w:tabs>
          <w:tab w:val="clear" w:pos="567"/>
        </w:tabs>
      </w:pPr>
    </w:p>
    <w:p w14:paraId="5CE674B6" w14:textId="5305E38D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přípravkem </w:t>
      </w:r>
      <w:r w:rsidR="008D4A9A">
        <w:t>Kefdensis</w:t>
      </w:r>
      <w:r w:rsidR="00951F81">
        <w:t xml:space="preserve"> se může objevit infekce kůže s příznaky jako je otok a zarudnutí kůže, nejčastěji na </w:t>
      </w:r>
      <w:r>
        <w:t>bércích</w:t>
      </w:r>
      <w:r w:rsidR="00951F81">
        <w:t>, přičemž postižená oblast je horká a citlivá na dotek (tzv. flegmóna</w:t>
      </w:r>
      <w:r w:rsidR="00D64EA6">
        <w:t xml:space="preserve">, což je </w:t>
      </w:r>
      <w:r w:rsidR="00951F81">
        <w:t xml:space="preserve">zánět kůže a podkožní tkáně) a stav může být doprovázen horečkou. Informujte, prosím, neodkladně svého lékaře, pokud se u Vás vyskytne </w:t>
      </w:r>
      <w:r>
        <w:t>kterýkoli</w:t>
      </w:r>
      <w:r w:rsidR="00951F81">
        <w:t xml:space="preserve"> z těchto příznaků.</w:t>
      </w:r>
    </w:p>
    <w:p w14:paraId="10185199" w14:textId="77777777" w:rsidR="00951F81" w:rsidRPr="00FF28F7" w:rsidRDefault="00951F81" w:rsidP="00B91B5A">
      <w:pPr>
        <w:tabs>
          <w:tab w:val="clear" w:pos="567"/>
        </w:tabs>
      </w:pPr>
    </w:p>
    <w:p w14:paraId="0FFF0824" w14:textId="69FEBD88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přípravkem </w:t>
      </w:r>
      <w:r w:rsidR="008D4A9A">
        <w:t>Kefdensis</w:t>
      </w:r>
      <w:r w:rsidR="00951F81">
        <w:t xml:space="preserve"> byste měl(a) užívat také doplněk vápníku a vitaminu D. Lékař se s Vámi domluví na jejich užívání. </w:t>
      </w:r>
    </w:p>
    <w:p w14:paraId="45E81156" w14:textId="77777777" w:rsidR="00951F81" w:rsidRPr="00FF28F7" w:rsidRDefault="00951F81" w:rsidP="00B91B5A">
      <w:pPr>
        <w:tabs>
          <w:tab w:val="clear" w:pos="567"/>
        </w:tabs>
      </w:pPr>
    </w:p>
    <w:p w14:paraId="72EDFC49" w14:textId="1726B58D" w:rsidR="00951F81" w:rsidRPr="00FF28F7" w:rsidRDefault="00951F81" w:rsidP="00B91B5A">
      <w:pPr>
        <w:tabs>
          <w:tab w:val="clear" w:pos="567"/>
        </w:tabs>
      </w:pPr>
      <w:r>
        <w:t xml:space="preserve">Pokud užíváte přípravek </w:t>
      </w:r>
      <w:r w:rsidR="008D4A9A">
        <w:t>Kefdensis</w:t>
      </w:r>
      <w:r>
        <w:t xml:space="preserve">, můžete mít nízkou hladinu vápníku v krvi. Informujte ihned svého lékaře, pokud zaznamenáte </w:t>
      </w:r>
      <w:r w:rsidR="00DB2090">
        <w:t>kterýkoli</w:t>
      </w:r>
      <w:r>
        <w:t xml:space="preserve"> z následujících příznaků: křeče</w:t>
      </w:r>
      <w:r w:rsidR="009151C8">
        <w:t xml:space="preserve"> nebo</w:t>
      </w:r>
      <w:r>
        <w:t xml:space="preserve"> záškuby sval</w:t>
      </w:r>
      <w:r w:rsidR="009151C8">
        <w:t>ů</w:t>
      </w:r>
      <w:r>
        <w:t>, a/nebo znecitlivění nebo mravenčení prstů na rukou, nohou nebo v okolí úst, a/nebo záchvaty</w:t>
      </w:r>
      <w:r w:rsidR="00DB2090">
        <w:t xml:space="preserve"> křečí</w:t>
      </w:r>
      <w:r>
        <w:t>, zmatenost nebo ztrátu vědomí.</w:t>
      </w:r>
    </w:p>
    <w:p w14:paraId="2EF479E0" w14:textId="77777777" w:rsidR="00951F81" w:rsidRPr="00FF28F7" w:rsidRDefault="00951F81" w:rsidP="00B91B5A">
      <w:pPr>
        <w:tabs>
          <w:tab w:val="clear" w:pos="567"/>
        </w:tabs>
      </w:pPr>
    </w:p>
    <w:p w14:paraId="73F45BDE" w14:textId="430FAA87" w:rsidR="00951F81" w:rsidRDefault="00951F81" w:rsidP="00B91B5A">
      <w:pPr>
        <w:tabs>
          <w:tab w:val="clear" w:pos="567"/>
        </w:tabs>
      </w:pPr>
      <w:r>
        <w:t xml:space="preserve">Ve vzácných případech byly hlášeny velmi nízké hladiny vápníku v krvi, které vedly k hospitalizaci, a dokonce k život ohrožujícím reakcím. Z tohoto důvodu Vám budou hladiny vápníku v krvi kontrolovány (pomocí krevních testů) před každou dávkou a u pacientů se sklonem k hypokalcemii </w:t>
      </w:r>
      <w:r w:rsidR="00DB2090">
        <w:t>během</w:t>
      </w:r>
      <w:r>
        <w:t xml:space="preserve"> dvou týdnů po úvodní dávce.</w:t>
      </w:r>
    </w:p>
    <w:p w14:paraId="2E5F4796" w14:textId="77777777" w:rsidR="005727E1" w:rsidRDefault="005727E1" w:rsidP="00B91B5A">
      <w:pPr>
        <w:tabs>
          <w:tab w:val="clear" w:pos="567"/>
        </w:tabs>
      </w:pPr>
    </w:p>
    <w:p w14:paraId="00753728" w14:textId="5EA656DD" w:rsidR="00951F81" w:rsidRPr="00FF28F7" w:rsidRDefault="00951F81" w:rsidP="00B91B5A">
      <w:pPr>
        <w:tabs>
          <w:tab w:val="clear" w:pos="567"/>
        </w:tabs>
      </w:pPr>
      <w:r>
        <w:t>Informujte svého lékaře, pokud máte nebo jste někdy měl(a) závažné potíže s ledvinami, selhání ledvin nebo jste potřeboval(a) dialýzu či užíváte léky nazývané glukokortikoidy (jako je prednisolon nebo dexamethason), které mohou zvýšit riziko výskytu nízké hladiny vápníku v krvi, pokud neužíváte vápník.</w:t>
      </w:r>
    </w:p>
    <w:p w14:paraId="2BD1B567" w14:textId="77777777" w:rsidR="00951F81" w:rsidRPr="00FF28F7" w:rsidRDefault="00951F81" w:rsidP="00B91B5A">
      <w:pPr>
        <w:tabs>
          <w:tab w:val="clear" w:pos="567"/>
        </w:tabs>
      </w:pPr>
    </w:p>
    <w:p w14:paraId="2728E8EB" w14:textId="77777777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Potíže s ústy, zuby nebo čelistmi</w:t>
      </w:r>
    </w:p>
    <w:p w14:paraId="677C3CB3" w14:textId="2DD71877" w:rsidR="00951F81" w:rsidRPr="00FF28F7" w:rsidRDefault="00951F81" w:rsidP="00B91B5A">
      <w:pPr>
        <w:tabs>
          <w:tab w:val="clear" w:pos="567"/>
        </w:tabs>
      </w:pPr>
      <w:r>
        <w:t xml:space="preserve">U pacientů léčených </w:t>
      </w:r>
      <w:r w:rsidR="00D64EA6">
        <w:t>denosumabem</w:t>
      </w:r>
      <w:r>
        <w:t xml:space="preserve"> </w:t>
      </w:r>
      <w:r w:rsidR="00DB2090">
        <w:t>pro</w:t>
      </w:r>
      <w:r>
        <w:t xml:space="preserve"> osteoporózu byl vzácně (může postihnout až 1 z</w:t>
      </w:r>
      <w:r w:rsidR="00DB2090">
        <w:t> </w:t>
      </w:r>
      <w:r>
        <w:t>1</w:t>
      </w:r>
      <w:r w:rsidR="00DB2090">
        <w:t> </w:t>
      </w:r>
      <w:r>
        <w:t xml:space="preserve">000 pacientů) </w:t>
      </w:r>
      <w:r w:rsidR="00DB2090">
        <w:t xml:space="preserve">hlášen </w:t>
      </w:r>
      <w:r>
        <w:t>nežádoucí účinek nazývaný osteonekróza čelisti (ONJ) (poškození kosti v čelisti). Riziko výskytu ONJ se zvyšuje u pacientů léčených dlouhou dobu (může postihnout až 1 z 200 pacientů, pokud je léčen 10 let). ONJ se může rovněž vyskytnout po ukončení léčby. Je důležité pokusit se vzniku ONJ zabránit, protože může být bolestivá a její léčba může být složitá. Aby se snížilo riziko vzniku ONJ, proveďte tato opatření.</w:t>
      </w:r>
    </w:p>
    <w:p w14:paraId="24317F80" w14:textId="77777777" w:rsidR="00951F81" w:rsidRPr="00FF28F7" w:rsidRDefault="00951F81" w:rsidP="00B91B5A">
      <w:pPr>
        <w:tabs>
          <w:tab w:val="clear" w:pos="567"/>
        </w:tabs>
      </w:pPr>
    </w:p>
    <w:p w14:paraId="19F512D7" w14:textId="77777777" w:rsidR="00951F81" w:rsidRPr="00FF28F7" w:rsidRDefault="00951F81" w:rsidP="00B91B5A">
      <w:pPr>
        <w:keepNext/>
        <w:tabs>
          <w:tab w:val="clear" w:pos="567"/>
        </w:tabs>
      </w:pPr>
      <w:r>
        <w:t>Před zahájením léčby řekněte svému lékaři nebo zdravotní sestře (zdravotnickému pracovníkovi) pokud:</w:t>
      </w:r>
    </w:p>
    <w:p w14:paraId="69E08491" w14:textId="77777777" w:rsidR="00951F81" w:rsidRPr="00FF28F7" w:rsidRDefault="00951F81" w:rsidP="00B91B5A">
      <w:pPr>
        <w:keepNext/>
        <w:tabs>
          <w:tab w:val="clear" w:pos="567"/>
        </w:tabs>
      </w:pPr>
    </w:p>
    <w:p w14:paraId="654A8CEF" w14:textId="2FD26B91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máte problémy v ústech nebo se zuby jako je špatný stav zubů, </w:t>
      </w:r>
      <w:r w:rsidR="00DB2090">
        <w:t>onemocnění dásní</w:t>
      </w:r>
      <w:r>
        <w:t xml:space="preserve"> nebo plánované trhání zubu.</w:t>
      </w:r>
    </w:p>
    <w:p w14:paraId="780D99FE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nechodíte pravidelně k zubaři nebo jste dlouho nebyl(a) na prohlídce u zubaře.</w:t>
      </w:r>
    </w:p>
    <w:p w14:paraId="3CD9981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kuřák (jelikož to může zvyšovat riziko vzniku problémů se zuby).</w:t>
      </w:r>
    </w:p>
    <w:p w14:paraId="02AB8225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dříve byl(a) léčen(a) bisfosfonáty (používanými k léčbě nebo prevenci onemocnění kostí).</w:t>
      </w:r>
    </w:p>
    <w:p w14:paraId="08AC813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užíváte léky nazývané kortikosteroidy (jako prednisolon nebo dexamethason).</w:t>
      </w:r>
    </w:p>
    <w:p w14:paraId="5CE6B2B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máte nádorové onemocnění.</w:t>
      </w:r>
    </w:p>
    <w:p w14:paraId="1961FD3F" w14:textId="77777777" w:rsidR="00951F81" w:rsidRPr="00FF28F7" w:rsidRDefault="00951F81" w:rsidP="00B91B5A">
      <w:pPr>
        <w:tabs>
          <w:tab w:val="clear" w:pos="567"/>
        </w:tabs>
      </w:pPr>
    </w:p>
    <w:p w14:paraId="5F3D12FB" w14:textId="32615156" w:rsidR="00951F81" w:rsidRPr="00FF28F7" w:rsidRDefault="00951F81" w:rsidP="00B91B5A">
      <w:pPr>
        <w:tabs>
          <w:tab w:val="clear" w:pos="567"/>
        </w:tabs>
      </w:pPr>
      <w:r>
        <w:t xml:space="preserve">Lékař Vás může požádat, abyste před zahájením léčby přípravkem </w:t>
      </w:r>
      <w:r w:rsidR="008D4A9A">
        <w:t>Kefdensis</w:t>
      </w:r>
      <w:r>
        <w:t xml:space="preserve"> podstoupil(a) zubní prohlídku.</w:t>
      </w:r>
    </w:p>
    <w:p w14:paraId="450E10C2" w14:textId="77777777" w:rsidR="00951F81" w:rsidRPr="00FF28F7" w:rsidRDefault="00951F81" w:rsidP="00B91B5A">
      <w:pPr>
        <w:tabs>
          <w:tab w:val="clear" w:pos="567"/>
        </w:tabs>
      </w:pPr>
    </w:p>
    <w:p w14:paraId="47A5B9B1" w14:textId="37881B1E" w:rsidR="00951F81" w:rsidRPr="00FF28F7" w:rsidRDefault="00DB2090" w:rsidP="00B91B5A">
      <w:pPr>
        <w:tabs>
          <w:tab w:val="clear" w:pos="567"/>
        </w:tabs>
      </w:pPr>
      <w:r>
        <w:t>Během</w:t>
      </w:r>
      <w:r w:rsidR="00951F81">
        <w:t xml:space="preserve"> léčb</w:t>
      </w:r>
      <w:r>
        <w:t>y</w:t>
      </w:r>
      <w:r w:rsidR="00951F81">
        <w:t xml:space="preserve"> musíte pečlivě udržovat hygienu dutiny ústní a pravidelně chodit na zubní prohlídky. Pokud máte zubní protézu, ujistěte se, že Vám dobře </w:t>
      </w:r>
      <w:r w:rsidR="00150616">
        <w:t>sedí</w:t>
      </w:r>
      <w:r w:rsidR="00951F81">
        <w:t xml:space="preserve">. Jestliže jste aktuálně léčen(a) u zubaře nebo pokud se chystáte podstoupit stomatologický zákrok (např. vytržení zubu), informujte o tom svého lékaře a sdělte svému zubaři, že jste léčen(a) přípravkem </w:t>
      </w:r>
      <w:r w:rsidR="008D4A9A">
        <w:t>Kefdensis</w:t>
      </w:r>
      <w:r w:rsidR="00951F81">
        <w:t>.</w:t>
      </w:r>
    </w:p>
    <w:p w14:paraId="3BD1A5A0" w14:textId="77777777" w:rsidR="00951F81" w:rsidRPr="00FF28F7" w:rsidRDefault="00951F81" w:rsidP="00B91B5A">
      <w:pPr>
        <w:tabs>
          <w:tab w:val="clear" w:pos="567"/>
        </w:tabs>
      </w:pPr>
    </w:p>
    <w:p w14:paraId="74CBBB4C" w14:textId="7B852C88" w:rsidR="00951F81" w:rsidRPr="00FF28F7" w:rsidRDefault="00951F81" w:rsidP="00B91B5A">
      <w:pPr>
        <w:tabs>
          <w:tab w:val="clear" w:pos="567"/>
        </w:tabs>
      </w:pPr>
      <w:r>
        <w:t xml:space="preserve">Pokud se u Vás objeví jakýkoliv problém v ústech nebo se zuby, jako je </w:t>
      </w:r>
      <w:r w:rsidR="00150616">
        <w:t>kývání</w:t>
      </w:r>
      <w:r>
        <w:t xml:space="preserve"> zubů, bolest nebo otok nebo nehojící se vředy či výtok, kontaktujte ihned svého lékaře a zubaře, protože to mohou být příznaky ONJ.</w:t>
      </w:r>
    </w:p>
    <w:p w14:paraId="46DD3A16" w14:textId="77777777" w:rsidR="00951F81" w:rsidRPr="00FF28F7" w:rsidRDefault="00951F81" w:rsidP="00B91B5A">
      <w:pPr>
        <w:tabs>
          <w:tab w:val="clear" w:pos="567"/>
        </w:tabs>
      </w:pPr>
    </w:p>
    <w:p w14:paraId="300A31FD" w14:textId="75C5A1B3" w:rsidR="00951F81" w:rsidRPr="00FF28F7" w:rsidRDefault="00951F81" w:rsidP="00B91B5A">
      <w:pPr>
        <w:keepNext/>
        <w:rPr>
          <w:u w:val="single"/>
        </w:rPr>
      </w:pPr>
      <w:r>
        <w:rPr>
          <w:u w:val="single"/>
        </w:rPr>
        <w:t>Neobvyklé zlomeniny stehenní kosti</w:t>
      </w:r>
    </w:p>
    <w:p w14:paraId="122C8224" w14:textId="3F0A470E" w:rsidR="00951F81" w:rsidRPr="00FF28F7" w:rsidRDefault="00951F81" w:rsidP="00B91B5A">
      <w:pPr>
        <w:tabs>
          <w:tab w:val="clear" w:pos="567"/>
        </w:tabs>
      </w:pPr>
      <w:r>
        <w:t xml:space="preserve">Při léčbě </w:t>
      </w:r>
      <w:r w:rsidR="00D64EA6">
        <w:t>denosumabem</w:t>
      </w:r>
      <w:r>
        <w:t xml:space="preserve"> se u některých pacientů vyskytly neobvyklé zlomeniny stehenní kosti. Pokud se u Vás vyskytne nová nebo neobvyklá bolest v oblasti </w:t>
      </w:r>
      <w:r w:rsidR="00150616">
        <w:t>kyčelního kloubu</w:t>
      </w:r>
      <w:r>
        <w:t>, třísla nebo stehna, kontaktujte svého lékaře.</w:t>
      </w:r>
    </w:p>
    <w:p w14:paraId="508960A4" w14:textId="77777777" w:rsidR="00951F81" w:rsidRPr="00FF28F7" w:rsidRDefault="00951F81" w:rsidP="00B91B5A">
      <w:pPr>
        <w:tabs>
          <w:tab w:val="clear" w:pos="567"/>
        </w:tabs>
      </w:pPr>
    </w:p>
    <w:p w14:paraId="414D4AF2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Děti a dospívající</w:t>
      </w:r>
    </w:p>
    <w:p w14:paraId="4D40F7CF" w14:textId="77777777" w:rsidR="00951F81" w:rsidRPr="00FF28F7" w:rsidRDefault="00951F81" w:rsidP="00B91B5A">
      <w:pPr>
        <w:keepNext/>
      </w:pPr>
    </w:p>
    <w:p w14:paraId="506FAE7E" w14:textId="36D0B461" w:rsidR="00951F81" w:rsidRPr="00FF28F7" w:rsidRDefault="00951F81" w:rsidP="00B91B5A">
      <w:r>
        <w:t xml:space="preserve">Přípravek </w:t>
      </w:r>
      <w:r w:rsidR="008D4A9A">
        <w:t>Kefdensis</w:t>
      </w:r>
      <w:r>
        <w:t xml:space="preserve"> se nemá používat u dětí a dospívajících ve věku do 18 let. </w:t>
      </w:r>
    </w:p>
    <w:p w14:paraId="6785FFFF" w14:textId="77777777" w:rsidR="00951F81" w:rsidRPr="00FF28F7" w:rsidRDefault="00951F81" w:rsidP="00B91B5A"/>
    <w:p w14:paraId="1ABACCE1" w14:textId="2CB72085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Další léčivé př</w:t>
      </w:r>
      <w:r w:rsidR="004C2EF7">
        <w:rPr>
          <w:b/>
        </w:rPr>
        <w:t>í</w:t>
      </w:r>
      <w:r>
        <w:rPr>
          <w:b/>
        </w:rPr>
        <w:t xml:space="preserve">pravky a </w:t>
      </w:r>
      <w:r w:rsidR="008D4A9A">
        <w:rPr>
          <w:b/>
        </w:rPr>
        <w:t>Kefdensis</w:t>
      </w:r>
    </w:p>
    <w:p w14:paraId="0B529527" w14:textId="77777777" w:rsidR="00951F81" w:rsidRPr="00FF28F7" w:rsidRDefault="00951F81" w:rsidP="00B91B5A">
      <w:pPr>
        <w:keepNext/>
      </w:pPr>
    </w:p>
    <w:p w14:paraId="7A30C298" w14:textId="77777777" w:rsidR="00951F81" w:rsidRPr="00FF28F7" w:rsidRDefault="00951F81" w:rsidP="00B91B5A">
      <w:pPr>
        <w:tabs>
          <w:tab w:val="clear" w:pos="567"/>
        </w:tabs>
      </w:pPr>
      <w:r>
        <w:t>Informujte svého lékaře nebo lékárníka o všech lécích, které užíváte, které jste v nedávné době užíval(a) nebo které možná budete užívat. Je obzvlášť důležité, abyste informoval(a) lékaře, pokud užíváte jiný přípravek obsahující denosumab.</w:t>
      </w:r>
    </w:p>
    <w:p w14:paraId="3BA641B9" w14:textId="77777777" w:rsidR="00951F81" w:rsidRPr="00FF28F7" w:rsidRDefault="00951F81" w:rsidP="00B91B5A">
      <w:pPr>
        <w:tabs>
          <w:tab w:val="clear" w:pos="567"/>
        </w:tabs>
      </w:pPr>
    </w:p>
    <w:p w14:paraId="74341D76" w14:textId="702B33CA" w:rsidR="00951F81" w:rsidRPr="00FF28F7" w:rsidRDefault="00951F81" w:rsidP="00B91B5A">
      <w:pPr>
        <w:tabs>
          <w:tab w:val="clear" w:pos="567"/>
        </w:tabs>
      </w:pPr>
      <w:r>
        <w:t xml:space="preserve">Přípravek </w:t>
      </w:r>
      <w:r w:rsidR="008D4A9A">
        <w:t>Kefdensis</w:t>
      </w:r>
      <w:r>
        <w:t xml:space="preserve"> nepoužívejte zároveň s jiným přípravkem obsahujícím denosumab.</w:t>
      </w:r>
    </w:p>
    <w:p w14:paraId="0E5B2E1B" w14:textId="77777777" w:rsidR="00951F81" w:rsidRPr="00FF28F7" w:rsidRDefault="00951F81" w:rsidP="00B91B5A">
      <w:pPr>
        <w:tabs>
          <w:tab w:val="clear" w:pos="567"/>
        </w:tabs>
      </w:pPr>
    </w:p>
    <w:p w14:paraId="5B048D8F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Těhotenství a kojení</w:t>
      </w:r>
    </w:p>
    <w:p w14:paraId="58B7994A" w14:textId="77777777" w:rsidR="00951F81" w:rsidRPr="00FF28F7" w:rsidRDefault="00951F81" w:rsidP="00B91B5A">
      <w:pPr>
        <w:keepNext/>
      </w:pPr>
    </w:p>
    <w:p w14:paraId="16808CC5" w14:textId="36B37703" w:rsidR="00951F81" w:rsidRPr="00FF28F7" w:rsidRDefault="00150616" w:rsidP="00B91B5A">
      <w:pPr>
        <w:tabs>
          <w:tab w:val="clear" w:pos="567"/>
        </w:tabs>
      </w:pPr>
      <w:r>
        <w:t>Denosumab</w:t>
      </w:r>
      <w:r w:rsidR="00951F81">
        <w:t xml:space="preserve"> nebyl zkoušen u těhotných žen. Je důležité, abyste svého lékaře informovala, pokud jste těhotná, domníváte se, že můžete být těhotná nebo plánujete otěhotnět. Přípravek </w:t>
      </w:r>
      <w:r w:rsidR="008D4A9A">
        <w:t>Kefdensis</w:t>
      </w:r>
      <w:r w:rsidR="00951F81">
        <w:t xml:space="preserve"> se nedoporučuje podávat těhotným ženám. Ženy v plodném věku musí při léčbě přípravkem </w:t>
      </w:r>
      <w:r w:rsidR="008D4A9A">
        <w:t>Kefdensis</w:t>
      </w:r>
      <w:r w:rsidR="00951F81">
        <w:t xml:space="preserve"> a minimálně po dobu 5 měsíců po ukončení léčby přípravkem </w:t>
      </w:r>
      <w:r w:rsidR="008D4A9A">
        <w:t>Kefdensis</w:t>
      </w:r>
      <w:r w:rsidR="00951F81">
        <w:t xml:space="preserve"> používat účinnou metodu antikoncepce.</w:t>
      </w:r>
    </w:p>
    <w:p w14:paraId="5CA50FB9" w14:textId="77777777" w:rsidR="00951F81" w:rsidRPr="00FF28F7" w:rsidRDefault="00951F81" w:rsidP="00B91B5A">
      <w:pPr>
        <w:tabs>
          <w:tab w:val="clear" w:pos="567"/>
        </w:tabs>
      </w:pPr>
    </w:p>
    <w:p w14:paraId="435901DA" w14:textId="1DE97666" w:rsidR="00951F81" w:rsidRPr="00FF28F7" w:rsidRDefault="00951F81" w:rsidP="00B91B5A">
      <w:pPr>
        <w:tabs>
          <w:tab w:val="clear" w:pos="567"/>
        </w:tabs>
      </w:pPr>
      <w:r>
        <w:t xml:space="preserve">Pokud při léčbě přípravkem </w:t>
      </w:r>
      <w:r w:rsidR="008D4A9A">
        <w:t>Kefdensis</w:t>
      </w:r>
      <w:r>
        <w:t xml:space="preserve"> nebo v období kratším než 5 měsíců po ukončení léčby přípravkem </w:t>
      </w:r>
      <w:r w:rsidR="008D4A9A">
        <w:t>Kefdensis</w:t>
      </w:r>
      <w:r>
        <w:t xml:space="preserve"> otěhotníte, informujte svého lékaře.</w:t>
      </w:r>
    </w:p>
    <w:p w14:paraId="48A8D346" w14:textId="77777777" w:rsidR="00951F81" w:rsidRPr="00FF28F7" w:rsidRDefault="00951F81" w:rsidP="00B91B5A">
      <w:pPr>
        <w:tabs>
          <w:tab w:val="clear" w:pos="567"/>
        </w:tabs>
      </w:pPr>
    </w:p>
    <w:p w14:paraId="0FBDFE6C" w14:textId="6A401FC7" w:rsidR="00951F81" w:rsidRPr="00FF28F7" w:rsidRDefault="00951F81" w:rsidP="00B91B5A">
      <w:pPr>
        <w:tabs>
          <w:tab w:val="clear" w:pos="567"/>
        </w:tabs>
      </w:pPr>
      <w:r>
        <w:t xml:space="preserve">Není známo, zda se </w:t>
      </w:r>
      <w:r w:rsidR="00D64EA6">
        <w:t>denosumab</w:t>
      </w:r>
      <w:r>
        <w:t xml:space="preserve"> vylučuje do mateřského mléka. Je důležité, abyste svého lékaře informovala, pokud kojíte nebo se chystáte kojit. Váš lékař Vám pomůže se rozhodnout, zda přestat kojit nebo zda zastavit léčbu přípravkem </w:t>
      </w:r>
      <w:r w:rsidR="008D4A9A">
        <w:t>Kefdensis</w:t>
      </w:r>
      <w:r>
        <w:t xml:space="preserve">. Je třeba zvážit přínos kojení pro dítě a přínos léčby přípravkem </w:t>
      </w:r>
      <w:r w:rsidR="008D4A9A">
        <w:t>Kefdensis</w:t>
      </w:r>
      <w:r>
        <w:t xml:space="preserve"> pro matku.</w:t>
      </w:r>
    </w:p>
    <w:p w14:paraId="06D62E7C" w14:textId="77777777" w:rsidR="00951F81" w:rsidRPr="00FF28F7" w:rsidRDefault="00951F81" w:rsidP="00B91B5A">
      <w:pPr>
        <w:tabs>
          <w:tab w:val="clear" w:pos="567"/>
        </w:tabs>
      </w:pPr>
    </w:p>
    <w:p w14:paraId="61C1F5D4" w14:textId="206FE566" w:rsidR="00951F81" w:rsidRPr="00FF28F7" w:rsidRDefault="00951F81" w:rsidP="00B91B5A">
      <w:pPr>
        <w:tabs>
          <w:tab w:val="clear" w:pos="567"/>
        </w:tabs>
      </w:pPr>
      <w:r>
        <w:t xml:space="preserve">Pokud při léčbě přípravkem </w:t>
      </w:r>
      <w:r w:rsidR="008D4A9A">
        <w:t>Kefdensis</w:t>
      </w:r>
      <w:r>
        <w:t xml:space="preserve"> kojíte, informujte svého lékaře.</w:t>
      </w:r>
    </w:p>
    <w:p w14:paraId="6900BB5A" w14:textId="77777777" w:rsidR="00951F81" w:rsidRPr="00FF28F7" w:rsidRDefault="00951F81" w:rsidP="00B91B5A">
      <w:pPr>
        <w:tabs>
          <w:tab w:val="clear" w:pos="567"/>
        </w:tabs>
      </w:pPr>
    </w:p>
    <w:p w14:paraId="5C2056C4" w14:textId="77777777" w:rsidR="00951F81" w:rsidRPr="00FF28F7" w:rsidRDefault="00951F81" w:rsidP="00B91B5A">
      <w:pPr>
        <w:tabs>
          <w:tab w:val="clear" w:pos="567"/>
        </w:tabs>
      </w:pPr>
      <w:r>
        <w:t>Poraďte se se svým lékařem nebo lékárníkem dříve, než začnete užívat jakýkoliv lék.</w:t>
      </w:r>
    </w:p>
    <w:p w14:paraId="5FAD8CB2" w14:textId="77777777" w:rsidR="00951F81" w:rsidRPr="00FF28F7" w:rsidRDefault="00951F81" w:rsidP="00B91B5A">
      <w:pPr>
        <w:tabs>
          <w:tab w:val="clear" w:pos="567"/>
        </w:tabs>
      </w:pPr>
    </w:p>
    <w:p w14:paraId="1FFB6D4C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Řízení dopravních prostředků a obsluha strojů</w:t>
      </w:r>
    </w:p>
    <w:p w14:paraId="0B9CADEA" w14:textId="77777777" w:rsidR="00951F81" w:rsidRPr="00FF28F7" w:rsidRDefault="00951F81" w:rsidP="00B91B5A">
      <w:pPr>
        <w:keepNext/>
      </w:pPr>
    </w:p>
    <w:p w14:paraId="14C8B16B" w14:textId="4990EFA0" w:rsidR="00951F81" w:rsidRPr="00FF28F7" w:rsidRDefault="00D64EA6" w:rsidP="00B91B5A">
      <w:pPr>
        <w:tabs>
          <w:tab w:val="clear" w:pos="567"/>
        </w:tabs>
      </w:pPr>
      <w:r>
        <w:t>Denosumab</w:t>
      </w:r>
      <w:r w:rsidR="00951F81">
        <w:t xml:space="preserve"> nemá žádný nebo má zanedbatelný vliv na schopnost řídit nebo obsluhovat stroje.</w:t>
      </w:r>
    </w:p>
    <w:p w14:paraId="724B0D51" w14:textId="77777777" w:rsidR="00951F81" w:rsidRPr="00FF28F7" w:rsidRDefault="00951F81" w:rsidP="00B91B5A">
      <w:pPr>
        <w:tabs>
          <w:tab w:val="clear" w:pos="567"/>
        </w:tabs>
      </w:pPr>
    </w:p>
    <w:p w14:paraId="7C72BF40" w14:textId="77777777" w:rsidR="00951F81" w:rsidRPr="00FF28F7" w:rsidRDefault="00951F81" w:rsidP="00B91B5A">
      <w:pPr>
        <w:tabs>
          <w:tab w:val="clear" w:pos="567"/>
        </w:tabs>
      </w:pPr>
    </w:p>
    <w:p w14:paraId="591FEE76" w14:textId="7A5D24DC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Jak se přípravek </w:t>
      </w:r>
      <w:r w:rsidR="008D4A9A">
        <w:rPr>
          <w:b/>
        </w:rPr>
        <w:t>Kefdensis</w:t>
      </w:r>
      <w:r>
        <w:rPr>
          <w:b/>
        </w:rPr>
        <w:t xml:space="preserve"> používá</w:t>
      </w:r>
    </w:p>
    <w:p w14:paraId="390C1A95" w14:textId="77777777" w:rsidR="00951F81" w:rsidRPr="00FF28F7" w:rsidRDefault="00951F81" w:rsidP="00B91B5A">
      <w:pPr>
        <w:keepNext/>
      </w:pPr>
    </w:p>
    <w:p w14:paraId="5FAFA6DF" w14:textId="7FC03253" w:rsidR="00D64EA6" w:rsidRDefault="00951F81" w:rsidP="00B91B5A">
      <w:pPr>
        <w:tabs>
          <w:tab w:val="clear" w:pos="567"/>
        </w:tabs>
      </w:pPr>
      <w:r>
        <w:t xml:space="preserve">Doporučená dávka je jedna předplněná injekční stříkačka s 60 mg přípravku, podávaná jednou za 6 měsíců ve formě jednorázové podkožní (subkutánní) injekce. Nejlepším místem pro aplikaci je horní část stehen a břicho. Osoba, která o Vás pečuje, může k aplikaci použít rovněž vnější plochu horní části Vaší paže. O datu možného podání další injekce se poraďte se svým lékařem. </w:t>
      </w:r>
    </w:p>
    <w:p w14:paraId="06C42ABC" w14:textId="77777777" w:rsidR="00D64EA6" w:rsidRDefault="00D64EA6" w:rsidP="00B91B5A">
      <w:pPr>
        <w:tabs>
          <w:tab w:val="clear" w:pos="567"/>
        </w:tabs>
      </w:pPr>
    </w:p>
    <w:p w14:paraId="087A2891" w14:textId="0B5783CE" w:rsidR="00951F81" w:rsidRPr="00FF28F7" w:rsidRDefault="00951F81" w:rsidP="00B91B5A">
      <w:pPr>
        <w:tabs>
          <w:tab w:val="clear" w:pos="567"/>
        </w:tabs>
      </w:pPr>
      <w:r>
        <w:t xml:space="preserve">Při léčbě přípravkem </w:t>
      </w:r>
      <w:r w:rsidR="008D4A9A">
        <w:t>Kefdensis</w:t>
      </w:r>
      <w:r>
        <w:t xml:space="preserve"> byste měl(a) užívat také vápník a vitamin D. </w:t>
      </w:r>
      <w:r w:rsidR="00150616">
        <w:t>L</w:t>
      </w:r>
      <w:r>
        <w:t xml:space="preserve">ékař se s Vámi domluví na jejich užívání. </w:t>
      </w:r>
    </w:p>
    <w:p w14:paraId="517308BC" w14:textId="77777777" w:rsidR="00951F81" w:rsidRPr="00FF28F7" w:rsidRDefault="00951F81" w:rsidP="00B91B5A">
      <w:pPr>
        <w:tabs>
          <w:tab w:val="clear" w:pos="567"/>
        </w:tabs>
      </w:pPr>
    </w:p>
    <w:p w14:paraId="4522E7C4" w14:textId="32B22BFA" w:rsidR="00951F81" w:rsidRPr="00FF28F7" w:rsidRDefault="00150616" w:rsidP="00B91B5A">
      <w:pPr>
        <w:tabs>
          <w:tab w:val="clear" w:pos="567"/>
        </w:tabs>
      </w:pPr>
      <w:r>
        <w:t>L</w:t>
      </w:r>
      <w:r w:rsidR="00951F81">
        <w:t xml:space="preserve">ékař může rozhodnout, zda bude pro Vás lepší, když si budete injekce přípravku aplikovat sám/sama, případně osoba, která o Vás pečuje. Váš lékař nebo zdravotní sestra Vám (nebo osobě, která o Vás pečuje) ukážou, jak přípravek </w:t>
      </w:r>
      <w:r w:rsidR="008D4A9A">
        <w:t>Kefdensis</w:t>
      </w:r>
      <w:r w:rsidR="00951F81">
        <w:t xml:space="preserve"> používat. Přečtěte si pokyny, jak podávat přípravek </w:t>
      </w:r>
      <w:r w:rsidR="008D4A9A">
        <w:t>Kefdensis</w:t>
      </w:r>
      <w:r w:rsidR="00951F81">
        <w:t>, uvedené v příslušném bodě na konci této příbalové informace.</w:t>
      </w:r>
    </w:p>
    <w:p w14:paraId="67223161" w14:textId="77777777" w:rsidR="00951F81" w:rsidRPr="00FF28F7" w:rsidRDefault="00951F81" w:rsidP="00B91B5A">
      <w:pPr>
        <w:tabs>
          <w:tab w:val="clear" w:pos="567"/>
        </w:tabs>
      </w:pPr>
    </w:p>
    <w:p w14:paraId="25CD34A6" w14:textId="77777777" w:rsidR="00951F81" w:rsidRPr="00FF28F7" w:rsidRDefault="00951F81" w:rsidP="00B91B5A">
      <w:pPr>
        <w:tabs>
          <w:tab w:val="clear" w:pos="567"/>
        </w:tabs>
      </w:pPr>
      <w:r>
        <w:t>Přípravkem netřepejte.</w:t>
      </w:r>
    </w:p>
    <w:p w14:paraId="4C69990C" w14:textId="77777777" w:rsidR="00951F81" w:rsidRPr="00FF28F7" w:rsidRDefault="00951F81" w:rsidP="00B91B5A">
      <w:pPr>
        <w:tabs>
          <w:tab w:val="clear" w:pos="567"/>
        </w:tabs>
      </w:pPr>
    </w:p>
    <w:p w14:paraId="0A214BE9" w14:textId="582FDEAC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zapomněl(a) použít přípravek </w:t>
      </w:r>
      <w:r w:rsidR="008D4A9A">
        <w:rPr>
          <w:b/>
        </w:rPr>
        <w:t>Kefdensis</w:t>
      </w:r>
    </w:p>
    <w:p w14:paraId="3A69E85C" w14:textId="77777777" w:rsidR="00951F81" w:rsidRPr="00FF28F7" w:rsidRDefault="00951F81" w:rsidP="00B91B5A">
      <w:pPr>
        <w:keepNext/>
      </w:pPr>
    </w:p>
    <w:p w14:paraId="0C03EC8A" w14:textId="3F7E462D" w:rsidR="00951F81" w:rsidRPr="00FF28F7" w:rsidRDefault="00951F81" w:rsidP="00B91B5A">
      <w:pPr>
        <w:tabs>
          <w:tab w:val="clear" w:pos="567"/>
        </w:tabs>
      </w:pPr>
      <w:r>
        <w:t xml:space="preserve">Pokud zapomenete použít přípravek </w:t>
      </w:r>
      <w:r w:rsidR="008D4A9A">
        <w:t>Kefdensis</w:t>
      </w:r>
      <w:r>
        <w:t>, je třeba injekci podat co nejdříve. Poté pokračujte v pravidelném podávání injekcí každých 6 měsíců po poslední injekci.</w:t>
      </w:r>
    </w:p>
    <w:p w14:paraId="0D9618D1" w14:textId="77777777" w:rsidR="00951F81" w:rsidRPr="00FF28F7" w:rsidRDefault="00951F81" w:rsidP="00B91B5A">
      <w:pPr>
        <w:tabs>
          <w:tab w:val="clear" w:pos="567"/>
        </w:tabs>
      </w:pPr>
    </w:p>
    <w:p w14:paraId="5242C39F" w14:textId="6A56F015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přestal(a) používat přípravek </w:t>
      </w:r>
      <w:r w:rsidR="008D4A9A">
        <w:rPr>
          <w:b/>
        </w:rPr>
        <w:t>Kefdensis</w:t>
      </w:r>
    </w:p>
    <w:p w14:paraId="66577F5B" w14:textId="77777777" w:rsidR="00951F81" w:rsidRPr="00FF28F7" w:rsidRDefault="00951F81" w:rsidP="00B91B5A">
      <w:pPr>
        <w:keepNext/>
      </w:pPr>
    </w:p>
    <w:p w14:paraId="45BDA2AC" w14:textId="784DDE1F" w:rsidR="00951F81" w:rsidRPr="00FF28F7" w:rsidRDefault="00951F81" w:rsidP="00B91B5A">
      <w:pPr>
        <w:tabs>
          <w:tab w:val="clear" w:pos="567"/>
        </w:tabs>
      </w:pPr>
      <w:r>
        <w:t xml:space="preserve">Pro co největší přínos léčby ke snížení rizika zlomenin je důležité používat přípravek </w:t>
      </w:r>
      <w:r w:rsidR="008D4A9A">
        <w:t>Kefdensis</w:t>
      </w:r>
      <w:r>
        <w:t xml:space="preserve"> tak dlouho, jak Vám lékař předepsal. Nepřestávejte s léčbou bez předchozí porady s lékařem.</w:t>
      </w:r>
    </w:p>
    <w:p w14:paraId="17166772" w14:textId="77777777" w:rsidR="00951F81" w:rsidRPr="00FF28F7" w:rsidRDefault="00951F81" w:rsidP="00B91B5A">
      <w:pPr>
        <w:tabs>
          <w:tab w:val="clear" w:pos="567"/>
        </w:tabs>
      </w:pPr>
    </w:p>
    <w:p w14:paraId="518B346A" w14:textId="77777777" w:rsidR="00951F81" w:rsidRPr="00FF28F7" w:rsidRDefault="00951F81" w:rsidP="00B91B5A">
      <w:pPr>
        <w:tabs>
          <w:tab w:val="clear" w:pos="567"/>
        </w:tabs>
      </w:pPr>
    </w:p>
    <w:p w14:paraId="6466A298" w14:textId="77777777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Možné nežádoucí účinky</w:t>
      </w:r>
    </w:p>
    <w:p w14:paraId="50788420" w14:textId="77777777" w:rsidR="00951F81" w:rsidRPr="00FF28F7" w:rsidRDefault="00951F81" w:rsidP="00B91B5A">
      <w:pPr>
        <w:keepNext/>
      </w:pPr>
    </w:p>
    <w:p w14:paraId="3A719079" w14:textId="77777777" w:rsidR="00951F81" w:rsidRPr="00FF28F7" w:rsidRDefault="00951F81" w:rsidP="00B91B5A">
      <w:pPr>
        <w:tabs>
          <w:tab w:val="clear" w:pos="567"/>
        </w:tabs>
      </w:pPr>
      <w:r>
        <w:t>Podobně jako všechny léky může mít i tento přípravek nežádoucí účinky, které se ale nemusí vyskytnout u každého.</w:t>
      </w:r>
    </w:p>
    <w:p w14:paraId="31C04B6C" w14:textId="77777777" w:rsidR="00951F81" w:rsidRPr="00FF28F7" w:rsidRDefault="00951F81" w:rsidP="00B91B5A">
      <w:pPr>
        <w:tabs>
          <w:tab w:val="clear" w:pos="567"/>
        </w:tabs>
      </w:pPr>
    </w:p>
    <w:p w14:paraId="391A436E" w14:textId="24AFB327" w:rsidR="00951F81" w:rsidRPr="00FF28F7" w:rsidRDefault="00951F81" w:rsidP="00B91B5A">
      <w:pPr>
        <w:tabs>
          <w:tab w:val="clear" w:pos="567"/>
        </w:tabs>
      </w:pPr>
      <w:r>
        <w:t xml:space="preserve">Méně často se mohou u pacientů léčených </w:t>
      </w:r>
      <w:r w:rsidR="00D64EA6">
        <w:t>denosumabem</w:t>
      </w:r>
      <w:r>
        <w:t xml:space="preserve"> vyskytnout kožní infekce (hlavně tzv. flegmóna – zánět kůže a podkožní tkáně). </w:t>
      </w:r>
      <w:r>
        <w:rPr>
          <w:b/>
        </w:rPr>
        <w:t>Informujte, prosím, neodkladně svého lékaře</w:t>
      </w:r>
      <w:r>
        <w:t xml:space="preserve">, vyskytne-li se u Vás během léčby přípravkem </w:t>
      </w:r>
      <w:r w:rsidR="008D4A9A">
        <w:t>Kefdensis</w:t>
      </w:r>
      <w:r>
        <w:t xml:space="preserve"> </w:t>
      </w:r>
      <w:r w:rsidR="00150616">
        <w:t>kterýkoli</w:t>
      </w:r>
      <w:r>
        <w:t xml:space="preserve"> z těchto příznaků: oteklá a zarudlá oblast kůže, nejčastěji na </w:t>
      </w:r>
      <w:r w:rsidR="00150616">
        <w:t>bércích</w:t>
      </w:r>
      <w:r>
        <w:t>, která je horká a citlivá a může být doprovázena příznaky horečky.</w:t>
      </w:r>
    </w:p>
    <w:p w14:paraId="3F999A98" w14:textId="77777777" w:rsidR="00951F81" w:rsidRPr="00FF28F7" w:rsidRDefault="00951F81" w:rsidP="00B91B5A">
      <w:pPr>
        <w:tabs>
          <w:tab w:val="clear" w:pos="567"/>
        </w:tabs>
      </w:pPr>
    </w:p>
    <w:p w14:paraId="02CC8593" w14:textId="0378A275" w:rsidR="00951F81" w:rsidRPr="00FF28F7" w:rsidRDefault="00951F81" w:rsidP="00B91B5A">
      <w:pPr>
        <w:tabs>
          <w:tab w:val="clear" w:pos="567"/>
        </w:tabs>
      </w:pPr>
      <w:r>
        <w:t xml:space="preserve">Vzácně se může u pacientů léčených </w:t>
      </w:r>
      <w:r w:rsidR="00D64EA6">
        <w:t xml:space="preserve">denosumabem </w:t>
      </w:r>
      <w:r>
        <w:t xml:space="preserve">vyskytnout bolest v ústech a/nebo čelisti, otok nebo nehojící se rány v ústech nebo na čelisti, výtok, ztuhlost nebo pocit tíže v čelisti nebo </w:t>
      </w:r>
      <w:r w:rsidR="00150616">
        <w:t>kývání</w:t>
      </w:r>
      <w:r>
        <w:t xml:space="preserve"> zubu. Může se jednat o příznaky poškození kosti v čelisti (osteonekróza). Pokud se u Vás objeví takové příznaky během léčby přípravkem </w:t>
      </w:r>
      <w:r w:rsidR="008D4A9A">
        <w:t>Kefdensis</w:t>
      </w:r>
      <w:r>
        <w:t xml:space="preserve"> nebo po jejím ukončení, </w:t>
      </w:r>
      <w:r>
        <w:rPr>
          <w:b/>
        </w:rPr>
        <w:t>řekněte to ihned svému lékaři a zubaři.</w:t>
      </w:r>
    </w:p>
    <w:p w14:paraId="7B2D0F65" w14:textId="77777777" w:rsidR="00951F81" w:rsidRPr="00FF28F7" w:rsidRDefault="00951F81" w:rsidP="00B91B5A">
      <w:pPr>
        <w:tabs>
          <w:tab w:val="clear" w:pos="567"/>
        </w:tabs>
      </w:pPr>
    </w:p>
    <w:p w14:paraId="0AB4A256" w14:textId="19E7C85B" w:rsidR="00951F81" w:rsidRPr="00FF28F7" w:rsidRDefault="00951F81" w:rsidP="00B91B5A">
      <w:pPr>
        <w:tabs>
          <w:tab w:val="clear" w:pos="567"/>
        </w:tabs>
      </w:pPr>
      <w:r>
        <w:t xml:space="preserve">Vzácně mohou mít pacienti léčení </w:t>
      </w:r>
      <w:r w:rsidR="00D64EA6">
        <w:t xml:space="preserve">denosumabem </w:t>
      </w:r>
      <w:r>
        <w:t>nízké hladiny vápníku v krvi (hypokalcemie); velmi nízké hladiny vápníku v krvi mohou vést k hospitalizaci a mohou být i život ohrožující. Příznaky zahrnují křeče nebo záškuby svalů a/nebo znecitlivění nebo brnění prstů na rukou, nohou nebo okolo úst, a/nebo záchvaty</w:t>
      </w:r>
      <w:r w:rsidR="009151C8">
        <w:t xml:space="preserve"> křečí</w:t>
      </w:r>
      <w:r>
        <w:t xml:space="preserve">, zmatenost nebo ztrátu vědomí. Pokud se u Vás objeví </w:t>
      </w:r>
      <w:r w:rsidR="009151C8">
        <w:t>kterýkoli</w:t>
      </w:r>
      <w:r>
        <w:t xml:space="preserve"> z těchto příznaků, </w:t>
      </w:r>
      <w:r>
        <w:rPr>
          <w:b/>
        </w:rPr>
        <w:t>oznamte to ihned svému lékaři.</w:t>
      </w:r>
      <w:r>
        <w:t xml:space="preserve"> Nízká hladina vápníku v krvi může vést ke změně srdečního rytmu, nazývané prodloužení intervalu</w:t>
      </w:r>
      <w:r w:rsidR="009151C8">
        <w:t xml:space="preserve"> QT</w:t>
      </w:r>
      <w:r>
        <w:t>, které lze pozorovat na elektrokardiogramu (EKG).</w:t>
      </w:r>
    </w:p>
    <w:p w14:paraId="4EC48566" w14:textId="77777777" w:rsidR="00951F81" w:rsidRPr="00FF28F7" w:rsidRDefault="00951F81" w:rsidP="00B91B5A">
      <w:pPr>
        <w:tabs>
          <w:tab w:val="clear" w:pos="567"/>
        </w:tabs>
      </w:pPr>
    </w:p>
    <w:p w14:paraId="643E70D2" w14:textId="6BFE1B9B" w:rsidR="00951F81" w:rsidRPr="00FF28F7" w:rsidRDefault="00951F81" w:rsidP="00B91B5A">
      <w:pPr>
        <w:tabs>
          <w:tab w:val="clear" w:pos="567"/>
        </w:tabs>
      </w:pPr>
      <w:r>
        <w:t xml:space="preserve">Vzácně se mohou u pacientů léčených </w:t>
      </w:r>
      <w:r w:rsidR="00D64EA6">
        <w:t xml:space="preserve">denosumabem </w:t>
      </w:r>
      <w:r>
        <w:t xml:space="preserve">vyskytnout neobvyklé zlomeniny stehenní kosti. Pokud zaznamenáte novou nebo neobvyklou bolest v oblasti </w:t>
      </w:r>
      <w:r w:rsidR="009151C8">
        <w:t>kyčelního kloubu</w:t>
      </w:r>
      <w:r>
        <w:t xml:space="preserve">, třísla nebo stehna, </w:t>
      </w:r>
      <w:r>
        <w:rPr>
          <w:b/>
        </w:rPr>
        <w:t>kontaktujte svého lékaře</w:t>
      </w:r>
      <w:r>
        <w:t>, protože se může jednat o časný příznak možné zlomeniny stehenní kosti.</w:t>
      </w:r>
    </w:p>
    <w:p w14:paraId="4A7B0F2A" w14:textId="77777777" w:rsidR="00951F81" w:rsidRPr="00FF28F7" w:rsidRDefault="00951F81" w:rsidP="00B91B5A">
      <w:pPr>
        <w:tabs>
          <w:tab w:val="clear" w:pos="567"/>
        </w:tabs>
      </w:pPr>
    </w:p>
    <w:p w14:paraId="6E01A728" w14:textId="17988AB2" w:rsidR="00951F81" w:rsidRPr="00FF28F7" w:rsidRDefault="00951F81" w:rsidP="00B91B5A">
      <w:pPr>
        <w:tabs>
          <w:tab w:val="clear" w:pos="567"/>
        </w:tabs>
      </w:pPr>
      <w:r>
        <w:t xml:space="preserve">Vzácně se mohou u pacientů léčených </w:t>
      </w:r>
      <w:r w:rsidR="00D64EA6">
        <w:t xml:space="preserve">denosumabem </w:t>
      </w:r>
      <w:r>
        <w:t xml:space="preserve">vyskytnout alergické reakce. Příznaky zahrnují otok obličeje, rtů, jazyka, </w:t>
      </w:r>
      <w:r w:rsidR="009151C8">
        <w:t>hrdla</w:t>
      </w:r>
      <w:r>
        <w:t xml:space="preserve"> nebo jiných částí těla; vyrážku, svědění </w:t>
      </w:r>
      <w:r w:rsidR="009151C8">
        <w:t xml:space="preserve">kůže </w:t>
      </w:r>
      <w:r>
        <w:t xml:space="preserve">nebo kopřivku, sípání nebo dechové obtíže. Pokud se u Vás během léčby přípravkem </w:t>
      </w:r>
      <w:r w:rsidR="008D4A9A">
        <w:t>Kefdensis</w:t>
      </w:r>
      <w:r>
        <w:t xml:space="preserve"> objeví </w:t>
      </w:r>
      <w:r w:rsidR="009151C8">
        <w:t>kterýkoli</w:t>
      </w:r>
      <w:r>
        <w:t xml:space="preserve"> z těchto příznaků, </w:t>
      </w:r>
      <w:r>
        <w:rPr>
          <w:b/>
        </w:rPr>
        <w:t>řekněte to svému lékaři</w:t>
      </w:r>
      <w:r>
        <w:t>.</w:t>
      </w:r>
    </w:p>
    <w:p w14:paraId="50768EC2" w14:textId="77777777" w:rsidR="00951F81" w:rsidRPr="00FF28F7" w:rsidRDefault="00951F81" w:rsidP="00B91B5A">
      <w:pPr>
        <w:tabs>
          <w:tab w:val="clear" w:pos="567"/>
        </w:tabs>
      </w:pPr>
    </w:p>
    <w:p w14:paraId="6F4F9199" w14:textId="77777777" w:rsidR="00951F81" w:rsidRPr="00FF28F7" w:rsidRDefault="00951F81" w:rsidP="00B91B5A">
      <w:pPr>
        <w:keepNext/>
      </w:pPr>
      <w:r>
        <w:rPr>
          <w:b/>
        </w:rPr>
        <w:t>Velmi časté nežádoucí účinky</w:t>
      </w:r>
      <w:r>
        <w:t xml:space="preserve"> (mohou postihnout více než 1 z 10 pacientů):</w:t>
      </w:r>
    </w:p>
    <w:p w14:paraId="1E030D52" w14:textId="2160F1A0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 kostí, kloubů a/nebo svalů, kter</w:t>
      </w:r>
      <w:r w:rsidR="009151C8">
        <w:t>á</w:t>
      </w:r>
      <w:r>
        <w:t xml:space="preserve"> jsou někdy </w:t>
      </w:r>
      <w:r w:rsidR="009151C8">
        <w:t>silná</w:t>
      </w:r>
      <w:r>
        <w:t>,</w:t>
      </w:r>
    </w:p>
    <w:p w14:paraId="7622B849" w14:textId="6B516E01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bolest </w:t>
      </w:r>
      <w:r w:rsidR="009151C8">
        <w:t>horních</w:t>
      </w:r>
      <w:r>
        <w:t xml:space="preserve"> nebo </w:t>
      </w:r>
      <w:r w:rsidR="009151C8">
        <w:t>dolních končetin</w:t>
      </w:r>
      <w:r>
        <w:t>.</w:t>
      </w:r>
    </w:p>
    <w:p w14:paraId="2D04BCE2" w14:textId="77777777" w:rsidR="00951F81" w:rsidRPr="00FF28F7" w:rsidRDefault="00951F81" w:rsidP="00B91B5A">
      <w:pPr>
        <w:numPr>
          <w:ilvl w:val="12"/>
          <w:numId w:val="0"/>
        </w:numPr>
        <w:ind w:right="-2"/>
      </w:pPr>
    </w:p>
    <w:p w14:paraId="29CF0764" w14:textId="77777777" w:rsidR="00951F81" w:rsidRPr="00FF28F7" w:rsidRDefault="00951F81" w:rsidP="00B91B5A">
      <w:pPr>
        <w:keepNext/>
      </w:pPr>
      <w:r>
        <w:rPr>
          <w:b/>
        </w:rPr>
        <w:t>Časté nežádoucí účinky</w:t>
      </w:r>
      <w:r>
        <w:t xml:space="preserve"> (mohou postihnout až 1 z 10 pacientů):</w:t>
      </w:r>
    </w:p>
    <w:p w14:paraId="75BD9910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bolestivé močení, časté močení, krev v moči, neschopnost udržet moč,</w:t>
      </w:r>
    </w:p>
    <w:p w14:paraId="05A600A3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horních cest dýchacích,</w:t>
      </w:r>
    </w:p>
    <w:p w14:paraId="4C733093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bolest, snížená citlivost nebo brnění vystřelující do nohy (ischias),</w:t>
      </w:r>
    </w:p>
    <w:p w14:paraId="7A1B5C8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zácpa,</w:t>
      </w:r>
    </w:p>
    <w:p w14:paraId="06BA95AC" w14:textId="2DF61047" w:rsidR="00951F81" w:rsidRPr="00FF28F7" w:rsidRDefault="009151C8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nepříjemný pocit v oblasti břicha</w:t>
      </w:r>
      <w:r w:rsidR="00951F81">
        <w:t>,</w:t>
      </w:r>
    </w:p>
    <w:p w14:paraId="3F0C921E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vyrážka,</w:t>
      </w:r>
    </w:p>
    <w:p w14:paraId="604E704C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svědění, zarudnutí a/nebo suchost kůže (ekzém),</w:t>
      </w:r>
    </w:p>
    <w:p w14:paraId="3C3706ED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vypadávání vlasů (alopecie).</w:t>
      </w:r>
    </w:p>
    <w:p w14:paraId="26117A7B" w14:textId="77777777" w:rsidR="00951F81" w:rsidRPr="00FF28F7" w:rsidRDefault="00951F81" w:rsidP="00B91B5A">
      <w:pPr>
        <w:pStyle w:val="lbltxt"/>
        <w:rPr>
          <w:b/>
          <w:noProof w:val="0"/>
          <w:szCs w:val="22"/>
        </w:rPr>
      </w:pPr>
    </w:p>
    <w:p w14:paraId="079485FF" w14:textId="77777777" w:rsidR="00951F81" w:rsidRPr="00FF28F7" w:rsidRDefault="00951F81" w:rsidP="00B91B5A">
      <w:pPr>
        <w:keepNext/>
      </w:pPr>
      <w:r>
        <w:rPr>
          <w:b/>
        </w:rPr>
        <w:t>Méně časté nežádoucí účinky</w:t>
      </w:r>
      <w:r>
        <w:t xml:space="preserve"> (mohou postihnout až 1 ze 100 pacientů):</w:t>
      </w:r>
    </w:p>
    <w:p w14:paraId="6033780B" w14:textId="1F3E118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horečka, zvracení, bolest břicha nebo nepříjemn</w:t>
      </w:r>
      <w:r w:rsidR="009151C8">
        <w:t>ý</w:t>
      </w:r>
      <w:r>
        <w:t xml:space="preserve"> pocit v břiše (divertikulitida),</w:t>
      </w:r>
    </w:p>
    <w:p w14:paraId="319118A9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ucha,</w:t>
      </w:r>
    </w:p>
    <w:p w14:paraId="266BDCFE" w14:textId="2B331B12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vyrážka, která se může objevit na kůži, nebo </w:t>
      </w:r>
      <w:r w:rsidR="009151C8">
        <w:t>vřídky</w:t>
      </w:r>
      <w:r>
        <w:t xml:space="preserve"> v ústech (lichenoidní erupce způsobené léky).</w:t>
      </w:r>
    </w:p>
    <w:p w14:paraId="1309CEB3" w14:textId="77777777" w:rsidR="00951F81" w:rsidRPr="00FF28F7" w:rsidRDefault="00951F81" w:rsidP="00B91B5A"/>
    <w:p w14:paraId="7A4B5502" w14:textId="77777777" w:rsidR="00951F81" w:rsidRDefault="00951F81" w:rsidP="00B91B5A">
      <w:pPr>
        <w:keepNext/>
      </w:pPr>
      <w:r>
        <w:rPr>
          <w:b/>
        </w:rPr>
        <w:t>Velmi vzácné nežádoucí účinky</w:t>
      </w:r>
      <w:r>
        <w:t xml:space="preserve"> (mohou postihnout až 1 z 10 000 pacientů):</w:t>
      </w:r>
    </w:p>
    <w:p w14:paraId="74090E3D" w14:textId="62A24FC3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alergická reakce, která může poškodit krevní cévy hlavně v kůži (např. fialové nebo hnědočervené skvrny, kopřivka nebo </w:t>
      </w:r>
      <w:r w:rsidR="009151C8">
        <w:t>vřídky</w:t>
      </w:r>
      <w:r>
        <w:t xml:space="preserve"> na kůži) (hypersenzitivní vaskulitida).</w:t>
      </w:r>
    </w:p>
    <w:p w14:paraId="1A743D96" w14:textId="77777777" w:rsidR="00951F81" w:rsidRPr="00FF28F7" w:rsidRDefault="00951F81" w:rsidP="00B91B5A"/>
    <w:p w14:paraId="786B6E0B" w14:textId="07DADDF6" w:rsidR="00951F81" w:rsidRPr="00FF28F7" w:rsidRDefault="00951F81" w:rsidP="00B91B5A">
      <w:pPr>
        <w:keepNext/>
      </w:pPr>
      <w:r>
        <w:rPr>
          <w:b/>
        </w:rPr>
        <w:t>Není známo</w:t>
      </w:r>
      <w:r>
        <w:t xml:space="preserve"> (</w:t>
      </w:r>
      <w:r w:rsidR="009151C8">
        <w:t xml:space="preserve">četnost </w:t>
      </w:r>
      <w:r>
        <w:t>z dostupných údajů nelze určit):</w:t>
      </w:r>
    </w:p>
    <w:p w14:paraId="09105412" w14:textId="77777777" w:rsidR="00951F81" w:rsidRPr="00FF28F7" w:rsidRDefault="00951F81" w:rsidP="00B91B5A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poraďte se se svým lékařem, pokud máte bolest ucha, výtok z ucha a/nebo infekci ucha. Mohlo by se jednat o známky poškození kosti v uchu.</w:t>
      </w:r>
    </w:p>
    <w:p w14:paraId="5275ECA3" w14:textId="77777777" w:rsidR="00951F81" w:rsidRPr="00FF28F7" w:rsidRDefault="00951F81" w:rsidP="00B91B5A"/>
    <w:p w14:paraId="1104089A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Hlášení nežádoucích účinků</w:t>
      </w:r>
    </w:p>
    <w:p w14:paraId="62CAB830" w14:textId="77777777" w:rsidR="00951F81" w:rsidRPr="00FF28F7" w:rsidRDefault="00951F81" w:rsidP="00B91B5A">
      <w:pPr>
        <w:keepNext/>
      </w:pPr>
    </w:p>
    <w:p w14:paraId="1608E4C7" w14:textId="693D6CC1" w:rsidR="00951F81" w:rsidRPr="00FF28F7" w:rsidRDefault="00951F81" w:rsidP="00B91B5A">
      <w:pPr>
        <w:tabs>
          <w:tab w:val="clear" w:pos="567"/>
        </w:tabs>
      </w:pPr>
      <w:r>
        <w:t xml:space="preserve">Pokud se u Vás vyskytne kterýkoli z nežádoucích účinků, sdělte to svému lékaři, lékárníkovi nebo zdravotní sestře. Stejně postupujte v případě jakýchkoli nežádoucích účinků, které nejsou uvedeny v této příbalové informaci. Nežádoucí účinky můžete hlásit také přímo prostřednictvím </w:t>
      </w:r>
      <w:r>
        <w:rPr>
          <w:highlight w:val="lightGray"/>
        </w:rPr>
        <w:t>národního systému hlášení nežádoucích účinků uvedeného v </w:t>
      </w:r>
      <w:hyperlink r:id="rId17" w:history="1">
        <w:r>
          <w:rPr>
            <w:rStyle w:val="Hyperlink"/>
            <w:highlight w:val="lightGray"/>
          </w:rPr>
          <w:t>Dodatku V</w:t>
        </w:r>
      </w:hyperlink>
      <w:r>
        <w:t>. Nahlášením nežádoucích účinků můžete přispět k získání více informací o bezpečnosti tohoto přípravku.</w:t>
      </w:r>
    </w:p>
    <w:p w14:paraId="6E3D69E0" w14:textId="77777777" w:rsidR="00951F81" w:rsidRPr="00FF28F7" w:rsidRDefault="00951F81" w:rsidP="00B91B5A">
      <w:pPr>
        <w:tabs>
          <w:tab w:val="clear" w:pos="567"/>
        </w:tabs>
      </w:pPr>
    </w:p>
    <w:p w14:paraId="4513B06F" w14:textId="77777777" w:rsidR="00951F81" w:rsidRPr="00FF28F7" w:rsidRDefault="00951F81" w:rsidP="00B91B5A">
      <w:pPr>
        <w:tabs>
          <w:tab w:val="clear" w:pos="567"/>
        </w:tabs>
      </w:pPr>
    </w:p>
    <w:p w14:paraId="1F64681F" w14:textId="6588D3B6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 xml:space="preserve">Jak přípravek </w:t>
      </w:r>
      <w:r w:rsidR="008D4A9A">
        <w:rPr>
          <w:b/>
        </w:rPr>
        <w:t>Kefdensis</w:t>
      </w:r>
      <w:r>
        <w:rPr>
          <w:b/>
        </w:rPr>
        <w:t xml:space="preserve"> uchovávat</w:t>
      </w:r>
    </w:p>
    <w:p w14:paraId="69FB1FE9" w14:textId="77777777" w:rsidR="00951F81" w:rsidRPr="00FF28F7" w:rsidRDefault="00951F81" w:rsidP="00B91B5A">
      <w:pPr>
        <w:keepNext/>
      </w:pPr>
    </w:p>
    <w:p w14:paraId="620425C1" w14:textId="77777777" w:rsidR="00951F81" w:rsidRPr="00FF28F7" w:rsidRDefault="00951F81" w:rsidP="00B91B5A">
      <w:pPr>
        <w:tabs>
          <w:tab w:val="clear" w:pos="567"/>
        </w:tabs>
      </w:pPr>
      <w:r>
        <w:t>Uchovávejte tento přípravek mimo dohled a dosah dětí.</w:t>
      </w:r>
    </w:p>
    <w:p w14:paraId="54293D78" w14:textId="77777777" w:rsidR="00951F81" w:rsidRPr="00FF28F7" w:rsidRDefault="00951F81" w:rsidP="00B91B5A">
      <w:pPr>
        <w:tabs>
          <w:tab w:val="clear" w:pos="567"/>
        </w:tabs>
      </w:pPr>
    </w:p>
    <w:p w14:paraId="4D281510" w14:textId="77777777" w:rsidR="00951F81" w:rsidRPr="00FF28F7" w:rsidRDefault="00951F81" w:rsidP="00B91B5A">
      <w:pPr>
        <w:tabs>
          <w:tab w:val="clear" w:pos="567"/>
        </w:tabs>
      </w:pPr>
      <w:r>
        <w:t>Nepoužívejte tento přípravek po uplynutí doby použitelnosti uvedené na štítku a krabičce za EXP. Doba použitelnosti se vztahuje k poslednímu dni uvedeného měsíce.</w:t>
      </w:r>
    </w:p>
    <w:p w14:paraId="15BCD2F1" w14:textId="77777777" w:rsidR="00951F81" w:rsidRPr="00FF28F7" w:rsidRDefault="00951F81" w:rsidP="00B91B5A">
      <w:pPr>
        <w:tabs>
          <w:tab w:val="clear" w:pos="567"/>
        </w:tabs>
      </w:pPr>
    </w:p>
    <w:p w14:paraId="07F53003" w14:textId="259A60E5" w:rsidR="00951F81" w:rsidRPr="00FF28F7" w:rsidRDefault="00951F81" w:rsidP="00B91B5A">
      <w:pPr>
        <w:tabs>
          <w:tab w:val="clear" w:pos="567"/>
        </w:tabs>
      </w:pPr>
      <w:r>
        <w:t>Uchovávejte v chladničce (2 °C – 8 °C).</w:t>
      </w:r>
    </w:p>
    <w:p w14:paraId="643F8900" w14:textId="77777777" w:rsidR="00951F81" w:rsidRPr="00FF28F7" w:rsidRDefault="00951F81" w:rsidP="00B91B5A">
      <w:pPr>
        <w:tabs>
          <w:tab w:val="clear" w:pos="567"/>
        </w:tabs>
      </w:pPr>
      <w:r>
        <w:t>Chraňte před mrazem.</w:t>
      </w:r>
    </w:p>
    <w:p w14:paraId="7477C1C1" w14:textId="7281CBFA" w:rsidR="00951F81" w:rsidRPr="00FF28F7" w:rsidRDefault="00951F81" w:rsidP="00B91B5A">
      <w:pPr>
        <w:tabs>
          <w:tab w:val="clear" w:pos="567"/>
        </w:tabs>
      </w:pPr>
      <w:r>
        <w:t>Předplněnou injekční stříkačku uchovávejte v</w:t>
      </w:r>
      <w:r w:rsidR="009151C8">
        <w:t xml:space="preserve"> krabičce</w:t>
      </w:r>
      <w:r>
        <w:t>, aby byl přípravek chráněn před světlem.</w:t>
      </w:r>
    </w:p>
    <w:p w14:paraId="3150F383" w14:textId="77777777" w:rsidR="00951F81" w:rsidRPr="00FF28F7" w:rsidRDefault="00951F81" w:rsidP="00B91B5A">
      <w:pPr>
        <w:tabs>
          <w:tab w:val="clear" w:pos="567"/>
        </w:tabs>
      </w:pPr>
    </w:p>
    <w:p w14:paraId="099ABFBC" w14:textId="034D4EFA" w:rsidR="00951F81" w:rsidRPr="00FF28F7" w:rsidRDefault="00951F81" w:rsidP="00B91B5A">
      <w:pPr>
        <w:tabs>
          <w:tab w:val="clear" w:pos="567"/>
        </w:tabs>
      </w:pPr>
      <w:r>
        <w:t xml:space="preserve">Předplněnou injekční stříkačku můžete po vyjmutí z chladničky nechat před podáním přípravku ohřát na pokojovou teplotu (do 25 °C). Předejdete tím nepříjemným pocitům v místě vpichu. Jakmile </w:t>
      </w:r>
      <w:r w:rsidR="003B69FF">
        <w:t xml:space="preserve">byla </w:t>
      </w:r>
      <w:r>
        <w:t>předplněn</w:t>
      </w:r>
      <w:r w:rsidR="003B69FF">
        <w:t>á</w:t>
      </w:r>
      <w:r>
        <w:t xml:space="preserve"> injekční stříkač</w:t>
      </w:r>
      <w:r w:rsidR="003B69FF">
        <w:t>ka</w:t>
      </w:r>
      <w:r>
        <w:t xml:space="preserve"> ponechá</w:t>
      </w:r>
      <w:r w:rsidR="003B69FF">
        <w:t>na</w:t>
      </w:r>
      <w:r>
        <w:t xml:space="preserve"> při pokojové teplotě (do 25 °C), musíte </w:t>
      </w:r>
      <w:r w:rsidR="003B69FF">
        <w:t>ji</w:t>
      </w:r>
      <w:r>
        <w:t xml:space="preserve"> použít během 30 dní.</w:t>
      </w:r>
    </w:p>
    <w:p w14:paraId="10BA4C4B" w14:textId="77777777" w:rsidR="00951F81" w:rsidRPr="00FF28F7" w:rsidRDefault="00951F81" w:rsidP="00B91B5A">
      <w:pPr>
        <w:tabs>
          <w:tab w:val="clear" w:pos="567"/>
        </w:tabs>
      </w:pPr>
    </w:p>
    <w:p w14:paraId="560D872D" w14:textId="77777777" w:rsidR="00951F81" w:rsidRPr="00FF28F7" w:rsidRDefault="00951F81" w:rsidP="00B91B5A">
      <w:pPr>
        <w:tabs>
          <w:tab w:val="clear" w:pos="567"/>
        </w:tabs>
      </w:pPr>
      <w:r>
        <w:t>Nevyhazujte žádné léčivé přípravky do odpadních vod nebo domácího odpadu. Zeptejte se svého lékárníka, jak naložit s přípravky, které již nepoužíváte. Tato opatření pomáhají chránit životní prostředí.</w:t>
      </w:r>
    </w:p>
    <w:p w14:paraId="6007B073" w14:textId="77777777" w:rsidR="00951F81" w:rsidRPr="00FF28F7" w:rsidRDefault="00951F81" w:rsidP="00B91B5A">
      <w:pPr>
        <w:tabs>
          <w:tab w:val="clear" w:pos="567"/>
        </w:tabs>
      </w:pPr>
    </w:p>
    <w:p w14:paraId="22090339" w14:textId="77777777" w:rsidR="00951F81" w:rsidRPr="00FF28F7" w:rsidRDefault="00951F81" w:rsidP="00B91B5A">
      <w:pPr>
        <w:tabs>
          <w:tab w:val="clear" w:pos="567"/>
        </w:tabs>
      </w:pPr>
    </w:p>
    <w:p w14:paraId="4ECD5435" w14:textId="77777777" w:rsidR="00951F81" w:rsidRPr="00FF28F7" w:rsidRDefault="00951F81" w:rsidP="00B91B5A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Obsah balení a další informace</w:t>
      </w:r>
    </w:p>
    <w:p w14:paraId="36245F6E" w14:textId="77777777" w:rsidR="00951F81" w:rsidRPr="00FF28F7" w:rsidRDefault="00951F81" w:rsidP="00B91B5A">
      <w:pPr>
        <w:keepNext/>
      </w:pPr>
    </w:p>
    <w:p w14:paraId="2C6DC133" w14:textId="187C20B1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Co přípravek </w:t>
      </w:r>
      <w:r w:rsidR="008D4A9A">
        <w:rPr>
          <w:b/>
        </w:rPr>
        <w:t>Kefdensis</w:t>
      </w:r>
      <w:r>
        <w:rPr>
          <w:b/>
        </w:rPr>
        <w:t xml:space="preserve"> obsahuje</w:t>
      </w:r>
    </w:p>
    <w:p w14:paraId="09998AE3" w14:textId="77777777" w:rsidR="00951F81" w:rsidRPr="00FF28F7" w:rsidRDefault="00951F81" w:rsidP="00B91B5A">
      <w:pPr>
        <w:keepNext/>
      </w:pPr>
    </w:p>
    <w:p w14:paraId="6271D345" w14:textId="77777777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>Léčivou látkou je denosumab. Jedna předplněná injekční stříkačka o objemu 1 ml obsahuje 60 mg denosumabu (60 mg/ml).</w:t>
      </w:r>
    </w:p>
    <w:p w14:paraId="43C2EFBC" w14:textId="4FCC2741" w:rsidR="00951F81" w:rsidRPr="00FF28F7" w:rsidRDefault="00951F81" w:rsidP="00B91B5A">
      <w:pPr>
        <w:numPr>
          <w:ilvl w:val="0"/>
          <w:numId w:val="56"/>
        </w:numPr>
        <w:ind w:left="567" w:hanging="567"/>
      </w:pPr>
      <w:r>
        <w:t xml:space="preserve">Pomocnými látkami jsou </w:t>
      </w:r>
      <w:r w:rsidR="003B69FF">
        <w:t>histidin, monohydrát histidin</w:t>
      </w:r>
      <w:r w:rsidR="002A6277">
        <w:t>-</w:t>
      </w:r>
      <w:r w:rsidR="003B69FF">
        <w:t xml:space="preserve">hydrochloridu, sacharóza, poloxamer 188 </w:t>
      </w:r>
      <w:r>
        <w:t>a voda pro injekci.</w:t>
      </w:r>
    </w:p>
    <w:p w14:paraId="2873C7D4" w14:textId="77777777" w:rsidR="00951F81" w:rsidRPr="00FF28F7" w:rsidRDefault="00951F81" w:rsidP="00B91B5A">
      <w:pPr>
        <w:ind w:right="-2"/>
      </w:pPr>
    </w:p>
    <w:p w14:paraId="7CC5E342" w14:textId="6CFEF5A6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Jak přípravek </w:t>
      </w:r>
      <w:r w:rsidR="008D4A9A">
        <w:rPr>
          <w:b/>
        </w:rPr>
        <w:t>Kefdensis</w:t>
      </w:r>
      <w:r>
        <w:rPr>
          <w:b/>
        </w:rPr>
        <w:t xml:space="preserve"> vypadá a co obsahuje toto balení</w:t>
      </w:r>
    </w:p>
    <w:p w14:paraId="4EAC539C" w14:textId="77777777" w:rsidR="00951F81" w:rsidRPr="00FF28F7" w:rsidRDefault="00951F81" w:rsidP="00B91B5A">
      <w:pPr>
        <w:keepNext/>
      </w:pPr>
    </w:p>
    <w:p w14:paraId="44107298" w14:textId="106E582A" w:rsidR="00951F81" w:rsidRPr="00FF28F7" w:rsidRDefault="008D4A9A" w:rsidP="00B91B5A">
      <w:pPr>
        <w:tabs>
          <w:tab w:val="clear" w:pos="567"/>
        </w:tabs>
      </w:pPr>
      <w:r>
        <w:t>Kefdensis</w:t>
      </w:r>
      <w:r w:rsidR="00951F81">
        <w:t xml:space="preserve"> je čirý, bezbarvý až slabě nažloutlý injekční roztok, dodávaný v předplněné injekční stříkačce, připravené k použití.</w:t>
      </w:r>
    </w:p>
    <w:p w14:paraId="460912C6" w14:textId="77777777" w:rsidR="00951F81" w:rsidRPr="00FF28F7" w:rsidRDefault="00951F81" w:rsidP="00B91B5A">
      <w:pPr>
        <w:tabs>
          <w:tab w:val="clear" w:pos="567"/>
        </w:tabs>
      </w:pPr>
    </w:p>
    <w:p w14:paraId="652222CC" w14:textId="77777777" w:rsidR="00951F81" w:rsidRPr="00FF28F7" w:rsidRDefault="00951F81" w:rsidP="00B91B5A">
      <w:pPr>
        <w:keepNext/>
        <w:tabs>
          <w:tab w:val="clear" w:pos="567"/>
        </w:tabs>
      </w:pPr>
      <w:r>
        <w:t>Balení obsahuje jednu předplněnou injekční stříkačku s chráničem jehly.</w:t>
      </w:r>
    </w:p>
    <w:p w14:paraId="6A0F6FC7" w14:textId="77777777" w:rsidR="00951F81" w:rsidRPr="00FF28F7" w:rsidRDefault="00951F81" w:rsidP="00B91B5A">
      <w:pPr>
        <w:tabs>
          <w:tab w:val="clear" w:pos="567"/>
        </w:tabs>
      </w:pPr>
    </w:p>
    <w:p w14:paraId="13D59CB3" w14:textId="5243FE90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Držitel rozhodnutí o registraci </w:t>
      </w:r>
    </w:p>
    <w:p w14:paraId="01FED23C" w14:textId="77777777" w:rsidR="003B69FF" w:rsidRDefault="003B69FF" w:rsidP="00B91B5A">
      <w:pPr>
        <w:tabs>
          <w:tab w:val="clear" w:pos="567"/>
        </w:tabs>
      </w:pPr>
      <w:r>
        <w:t>STADA Arzneimittel AG</w:t>
      </w:r>
    </w:p>
    <w:p w14:paraId="27D3FD86" w14:textId="77777777" w:rsidR="003B69FF" w:rsidRDefault="003B69FF" w:rsidP="00B91B5A">
      <w:pPr>
        <w:tabs>
          <w:tab w:val="clear" w:pos="567"/>
        </w:tabs>
      </w:pPr>
      <w:r>
        <w:t>Stadastrasse 2–18</w:t>
      </w:r>
    </w:p>
    <w:p w14:paraId="0AB1BA3A" w14:textId="77777777" w:rsidR="003B69FF" w:rsidRDefault="003B69FF" w:rsidP="00B91B5A">
      <w:pPr>
        <w:tabs>
          <w:tab w:val="clear" w:pos="567"/>
        </w:tabs>
      </w:pPr>
      <w:r>
        <w:t>61118 Bad Vilbel</w:t>
      </w:r>
    </w:p>
    <w:p w14:paraId="09EA13D9" w14:textId="4A8FCE83" w:rsidR="00951F81" w:rsidRDefault="003B69FF" w:rsidP="00B91B5A">
      <w:pPr>
        <w:tabs>
          <w:tab w:val="clear" w:pos="567"/>
        </w:tabs>
      </w:pPr>
      <w:r>
        <w:t>Německo</w:t>
      </w:r>
    </w:p>
    <w:p w14:paraId="2EF72879" w14:textId="77777777" w:rsidR="003B69FF" w:rsidRPr="00FF28F7" w:rsidRDefault="003B69FF" w:rsidP="00B91B5A">
      <w:pPr>
        <w:tabs>
          <w:tab w:val="clear" w:pos="567"/>
        </w:tabs>
      </w:pPr>
    </w:p>
    <w:p w14:paraId="7D803209" w14:textId="77777777" w:rsidR="00951F81" w:rsidRPr="003B69FF" w:rsidRDefault="00951F81" w:rsidP="00B91B5A">
      <w:pPr>
        <w:keepNext/>
        <w:autoSpaceDE w:val="0"/>
        <w:autoSpaceDN w:val="0"/>
        <w:adjustRightInd w:val="0"/>
        <w:rPr>
          <w:b/>
          <w:bCs/>
        </w:rPr>
      </w:pPr>
      <w:r w:rsidRPr="003B69FF">
        <w:rPr>
          <w:b/>
        </w:rPr>
        <w:t>Výrobce</w:t>
      </w:r>
    </w:p>
    <w:p w14:paraId="43B30927" w14:textId="77777777" w:rsidR="003B69FF" w:rsidRDefault="003B69FF" w:rsidP="00B91B5A">
      <w:pPr>
        <w:tabs>
          <w:tab w:val="clear" w:pos="567"/>
        </w:tabs>
      </w:pPr>
      <w:r>
        <w:t>Alvotech hf</w:t>
      </w:r>
    </w:p>
    <w:p w14:paraId="4672E579" w14:textId="77777777" w:rsidR="003B69FF" w:rsidRDefault="003B69FF" w:rsidP="00B91B5A">
      <w:pPr>
        <w:tabs>
          <w:tab w:val="clear" w:pos="567"/>
        </w:tabs>
      </w:pPr>
      <w:r>
        <w:t>Sæmundargata 15-19</w:t>
      </w:r>
    </w:p>
    <w:p w14:paraId="40DA37A9" w14:textId="77777777" w:rsidR="003B69FF" w:rsidRDefault="003B69FF" w:rsidP="00B91B5A">
      <w:pPr>
        <w:tabs>
          <w:tab w:val="clear" w:pos="567"/>
        </w:tabs>
      </w:pPr>
      <w:r>
        <w:t>102 Reykjavik</w:t>
      </w:r>
    </w:p>
    <w:p w14:paraId="5433B3C1" w14:textId="5BF36074" w:rsidR="00951F81" w:rsidRDefault="003B69FF" w:rsidP="00B91B5A">
      <w:pPr>
        <w:tabs>
          <w:tab w:val="clear" w:pos="567"/>
        </w:tabs>
      </w:pPr>
      <w:r>
        <w:t>Island</w:t>
      </w:r>
    </w:p>
    <w:p w14:paraId="67CCE8FC" w14:textId="77777777" w:rsidR="003B69FF" w:rsidRDefault="003B69FF" w:rsidP="00B91B5A">
      <w:pPr>
        <w:tabs>
          <w:tab w:val="clear" w:pos="567"/>
        </w:tabs>
      </w:pPr>
    </w:p>
    <w:p w14:paraId="2C96AC6D" w14:textId="77777777" w:rsidR="00566C48" w:rsidRPr="00992E95" w:rsidRDefault="00566C48" w:rsidP="00566C48">
      <w:pPr>
        <w:widowControl w:val="0"/>
        <w:rPr>
          <w:highlight w:val="lightGray"/>
        </w:rPr>
      </w:pPr>
      <w:r w:rsidRPr="00992E95">
        <w:rPr>
          <w:highlight w:val="lightGray"/>
        </w:rPr>
        <w:t>STADA Arzneimittel AG</w:t>
      </w:r>
    </w:p>
    <w:p w14:paraId="2B61921D" w14:textId="77777777" w:rsidR="00566C48" w:rsidRPr="00992E95" w:rsidRDefault="00566C48" w:rsidP="00566C48">
      <w:pPr>
        <w:widowControl w:val="0"/>
        <w:rPr>
          <w:highlight w:val="lightGray"/>
        </w:rPr>
      </w:pPr>
      <w:r w:rsidRPr="00992E95">
        <w:rPr>
          <w:highlight w:val="lightGray"/>
        </w:rPr>
        <w:t>Stadastrasse 2–18</w:t>
      </w:r>
    </w:p>
    <w:p w14:paraId="592F2512" w14:textId="77777777" w:rsidR="00566C48" w:rsidRPr="00992E95" w:rsidRDefault="00566C48" w:rsidP="00566C48">
      <w:pPr>
        <w:widowControl w:val="0"/>
        <w:rPr>
          <w:highlight w:val="lightGray"/>
        </w:rPr>
      </w:pPr>
      <w:r w:rsidRPr="00992E95">
        <w:rPr>
          <w:highlight w:val="lightGray"/>
        </w:rPr>
        <w:t>61118 Bad Vilbel</w:t>
      </w:r>
    </w:p>
    <w:p w14:paraId="00AE08C5" w14:textId="77777777" w:rsidR="00566C48" w:rsidRPr="005973AB" w:rsidRDefault="00566C48" w:rsidP="00566C48">
      <w:r w:rsidRPr="007063A5">
        <w:rPr>
          <w:highlight w:val="lightGray"/>
        </w:rPr>
        <w:t>Německo</w:t>
      </w:r>
    </w:p>
    <w:p w14:paraId="2E3A8697" w14:textId="77777777" w:rsidR="00566C48" w:rsidRPr="00FF28F7" w:rsidRDefault="00566C48" w:rsidP="00B91B5A">
      <w:pPr>
        <w:tabs>
          <w:tab w:val="clear" w:pos="567"/>
        </w:tabs>
      </w:pPr>
    </w:p>
    <w:p w14:paraId="3A8857F4" w14:textId="77777777" w:rsidR="00951F81" w:rsidRPr="00FF28F7" w:rsidRDefault="00951F81" w:rsidP="00B91B5A">
      <w:pPr>
        <w:keepNext/>
        <w:tabs>
          <w:tab w:val="clear" w:pos="567"/>
        </w:tabs>
      </w:pPr>
      <w:r>
        <w:t>Další informace o tomto přípravku získáte u místního zástupce držitele rozhodnutí o registraci:</w:t>
      </w:r>
    </w:p>
    <w:tbl>
      <w:tblPr>
        <w:tblW w:w="940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47"/>
      </w:tblGrid>
      <w:tr w:rsidR="003B69FF" w14:paraId="5EB2FEC8" w14:textId="77777777" w:rsidTr="00F21E85">
        <w:trPr>
          <w:cantSplit/>
        </w:trPr>
        <w:tc>
          <w:tcPr>
            <w:tcW w:w="4659" w:type="dxa"/>
            <w:hideMark/>
          </w:tcPr>
          <w:p w14:paraId="62D200B3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de-DE"/>
              </w:rPr>
              <w:t>België/Belgique/Belgien</w:t>
            </w:r>
          </w:p>
          <w:p w14:paraId="2D71BE8D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color w:val="000000"/>
                <w:szCs w:val="20"/>
                <w:lang w:val="de-DE"/>
              </w:rPr>
              <w:t xml:space="preserve">EG </w:t>
            </w:r>
            <w:r w:rsidRPr="000D565D">
              <w:rPr>
                <w:rFonts w:eastAsia="Times New Roman"/>
                <w:szCs w:val="20"/>
                <w:lang w:val="de-DE" w:eastAsia="hu-HU"/>
              </w:rPr>
              <w:t>(Eurogenerics) NV</w:t>
            </w:r>
          </w:p>
          <w:p w14:paraId="7FA7F3CC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Tél/Tel: +32 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>4797878</w:t>
            </w:r>
          </w:p>
          <w:p w14:paraId="6940CB5F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75C6FBDC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Lietuva</w:t>
            </w:r>
          </w:p>
          <w:p w14:paraId="6DB92CE4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73FC1E56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+370 52603926</w:t>
            </w:r>
          </w:p>
          <w:p w14:paraId="2A24BEA8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419ADC30" w14:textId="77777777" w:rsidTr="00F21E85">
        <w:trPr>
          <w:cantSplit/>
        </w:trPr>
        <w:tc>
          <w:tcPr>
            <w:tcW w:w="4659" w:type="dxa"/>
            <w:hideMark/>
          </w:tcPr>
          <w:p w14:paraId="13E53100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Cs w:val="20"/>
                <w:lang w:val="es-ES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България</w:t>
            </w:r>
          </w:p>
          <w:p w14:paraId="5A958785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STADA Bulgaria EOOD</w:t>
            </w:r>
          </w:p>
          <w:p w14:paraId="357CCDD6" w14:textId="77777777" w:rsidR="003B69FF" w:rsidRPr="002524CB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Te</w:t>
            </w:r>
            <w:r w:rsidRPr="0032218E">
              <w:rPr>
                <w:rFonts w:eastAsia="Times New Roman"/>
                <w:color w:val="000000"/>
                <w:szCs w:val="20"/>
              </w:rPr>
              <w:t>л</w:t>
            </w: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.: +359 29624626</w:t>
            </w:r>
          </w:p>
          <w:p w14:paraId="0FF16063" w14:textId="77777777" w:rsidR="003B69FF" w:rsidRPr="002524CB" w:rsidRDefault="003B69FF" w:rsidP="00B91B5A">
            <w:pPr>
              <w:rPr>
                <w:rFonts w:eastAsia="Times New Roman"/>
                <w:lang w:val="es-ES"/>
              </w:rPr>
            </w:pPr>
          </w:p>
        </w:tc>
        <w:tc>
          <w:tcPr>
            <w:tcW w:w="4747" w:type="dxa"/>
            <w:hideMark/>
          </w:tcPr>
          <w:p w14:paraId="3A0B810B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Luxembourg/Luxemburg</w:t>
            </w:r>
          </w:p>
          <w:p w14:paraId="66625CFC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EG (Eurogenerics) NV</w:t>
            </w:r>
          </w:p>
          <w:p w14:paraId="66960F27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Tél/Tel: +32 24797878</w:t>
            </w:r>
          </w:p>
          <w:p w14:paraId="25D042AE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7CC10D16" w14:textId="77777777" w:rsidTr="00F21E85">
        <w:trPr>
          <w:cantSplit/>
        </w:trPr>
        <w:tc>
          <w:tcPr>
            <w:tcW w:w="4659" w:type="dxa"/>
            <w:hideMark/>
          </w:tcPr>
          <w:p w14:paraId="6CFDE225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Česká republika</w:t>
            </w:r>
          </w:p>
          <w:p w14:paraId="62D994EF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/>
              </w:rPr>
              <w:t>STADA PHARMA CZ s.r.o.</w:t>
            </w:r>
          </w:p>
          <w:p w14:paraId="50337974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  <w:lang w:eastAsia="cs-CZ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Tel: </w:t>
            </w:r>
            <w:r w:rsidRPr="0032218E">
              <w:rPr>
                <w:rFonts w:eastAsia="Times New Roman"/>
                <w:color w:val="000000"/>
                <w:szCs w:val="20"/>
                <w:lang w:eastAsia="cs-CZ"/>
              </w:rPr>
              <w:t>+420 257888111</w:t>
            </w:r>
          </w:p>
          <w:p w14:paraId="61C72EC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315B829B" w14:textId="77777777" w:rsidR="003B69FF" w:rsidRPr="0032218E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Magyarország</w:t>
            </w:r>
          </w:p>
          <w:p w14:paraId="1EAE521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Hungary Kft</w:t>
            </w:r>
          </w:p>
          <w:p w14:paraId="209132A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Tel.: +36 18009747</w:t>
            </w:r>
          </w:p>
          <w:p w14:paraId="7D4FE2E9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282FF9A7" w14:textId="77777777" w:rsidTr="00F21E85">
        <w:trPr>
          <w:cantSplit/>
        </w:trPr>
        <w:tc>
          <w:tcPr>
            <w:tcW w:w="4659" w:type="dxa"/>
            <w:hideMark/>
          </w:tcPr>
          <w:p w14:paraId="151FFC5B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Danmark</w:t>
            </w:r>
          </w:p>
          <w:p w14:paraId="0720F02D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Nordic ApS</w:t>
            </w:r>
          </w:p>
          <w:p w14:paraId="15AA9BE8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Tlf: +45 44859999</w:t>
            </w:r>
          </w:p>
          <w:p w14:paraId="4D2BD78A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25F8B52E" w14:textId="77777777" w:rsidR="003B69FF" w:rsidRPr="002524CB" w:rsidRDefault="003B69FF" w:rsidP="00B91B5A">
            <w:pPr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Malta</w:t>
            </w:r>
          </w:p>
          <w:p w14:paraId="2B8BB874" w14:textId="77777777" w:rsidR="00323C32" w:rsidRPr="00C621AA" w:rsidRDefault="00323C32" w:rsidP="00323C32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C621AA">
              <w:rPr>
                <w:rFonts w:eastAsia="Times New Roman"/>
                <w:color w:val="000000"/>
                <w:szCs w:val="20"/>
                <w:lang w:val="de-DE"/>
              </w:rPr>
              <w:t>Pharma.MT Ltd.</w:t>
            </w:r>
          </w:p>
          <w:p w14:paraId="57FBDACF" w14:textId="2A300D50" w:rsidR="003B69FF" w:rsidRPr="002524CB" w:rsidRDefault="00323C32" w:rsidP="00323C32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C621AA">
              <w:rPr>
                <w:rFonts w:eastAsia="Times New Roman"/>
                <w:color w:val="000000"/>
                <w:szCs w:val="20"/>
                <w:lang w:val="de-DE"/>
              </w:rPr>
              <w:t>Tel: + 356 21337008</w:t>
            </w:r>
          </w:p>
          <w:p w14:paraId="740613BC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2D31F5A1" w14:textId="77777777" w:rsidTr="00F21E85">
        <w:trPr>
          <w:cantSplit/>
        </w:trPr>
        <w:tc>
          <w:tcPr>
            <w:tcW w:w="4659" w:type="dxa"/>
            <w:hideMark/>
          </w:tcPr>
          <w:p w14:paraId="538933F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Deutschland</w:t>
            </w:r>
          </w:p>
          <w:p w14:paraId="519A67D6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STADAPHARM GmbH</w:t>
            </w:r>
          </w:p>
          <w:p w14:paraId="2B8E5AEE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+49 61016030</w:t>
            </w:r>
          </w:p>
          <w:p w14:paraId="0F431C4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1CA18686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Nederland</w:t>
            </w:r>
          </w:p>
          <w:p w14:paraId="7BB28044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Centrafarm B.V.</w:t>
            </w:r>
          </w:p>
          <w:p w14:paraId="09EFBCBF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Tel.: +31 765081000</w:t>
            </w:r>
          </w:p>
          <w:p w14:paraId="4D28B198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2E2CA558" w14:textId="77777777" w:rsidTr="00F21E85">
        <w:trPr>
          <w:cantSplit/>
        </w:trPr>
        <w:tc>
          <w:tcPr>
            <w:tcW w:w="4659" w:type="dxa"/>
            <w:hideMark/>
          </w:tcPr>
          <w:p w14:paraId="70A8DA0E" w14:textId="77777777" w:rsidR="003B69FF" w:rsidRPr="0032218E" w:rsidRDefault="003B69FF" w:rsidP="00B91B5A">
            <w:pPr>
              <w:suppressAutoHyphens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Eesti</w:t>
            </w:r>
          </w:p>
          <w:p w14:paraId="18C2509C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719B3E85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B562B4">
              <w:rPr>
                <w:rFonts w:eastAsia="Times New Roman"/>
                <w:color w:val="000000"/>
                <w:szCs w:val="20"/>
              </w:rPr>
              <w:t>53072153</w:t>
            </w:r>
          </w:p>
          <w:p w14:paraId="6BBA69F4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97F965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Norge</w:t>
            </w:r>
          </w:p>
          <w:p w14:paraId="5EB8A788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 Nordic ApS</w:t>
            </w:r>
          </w:p>
          <w:p w14:paraId="6CFFF142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Tlf: +45 44859999</w:t>
            </w:r>
          </w:p>
          <w:p w14:paraId="31D75D8D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744AA7" w14:paraId="3BB051D9" w14:textId="77777777" w:rsidTr="00F21E85">
        <w:trPr>
          <w:cantSplit/>
        </w:trPr>
        <w:tc>
          <w:tcPr>
            <w:tcW w:w="4659" w:type="dxa"/>
            <w:hideMark/>
          </w:tcPr>
          <w:p w14:paraId="01CFE083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Ελλάδα</w:t>
            </w:r>
          </w:p>
          <w:p w14:paraId="7B0A0988" w14:textId="77777777" w:rsidR="00AB2981" w:rsidRPr="00AB2981" w:rsidRDefault="00AB2981" w:rsidP="00B91B5A">
            <w:pPr>
              <w:rPr>
                <w:ins w:id="1" w:author="YZ" w:date="2026-07-12T16:51:00Z" w16du:dateUtc="2026-07-12T14:51:00Z"/>
                <w:rFonts w:eastAsia="Times New Roman"/>
                <w:color w:val="000000"/>
                <w:szCs w:val="20"/>
                <w:lang w:val="de-DE"/>
                <w:rPrChange w:id="2" w:author="YZ" w:date="2026-07-12T16:51:00Z" w16du:dateUtc="2026-07-12T14:51:00Z">
                  <w:rPr>
                    <w:ins w:id="3" w:author="YZ" w:date="2026-07-12T16:51:00Z" w16du:dateUtc="2026-07-12T14:51:00Z"/>
                    <w:rFonts w:eastAsia="Times New Roman"/>
                    <w:color w:val="000000"/>
                    <w:szCs w:val="20"/>
                    <w:lang w:val="de-DE"/>
                  </w:rPr>
                </w:rPrChange>
              </w:rPr>
            </w:pPr>
            <w:ins w:id="4" w:author="YZ" w:date="2026-07-12T16:51:00Z" w16du:dateUtc="2026-07-12T14:51:00Z">
              <w:r w:rsidRPr="00AB2981">
                <w:rPr>
                  <w:rFonts w:eastAsia="Times New Roman"/>
                  <w:color w:val="000000"/>
                  <w:szCs w:val="20"/>
                  <w:lang w:val="de-DE"/>
                  <w:rPrChange w:id="5" w:author="YZ" w:date="2026-07-12T16:51:00Z" w16du:dateUtc="2026-07-12T14:51:00Z">
                    <w:rPr>
                      <w:rFonts w:eastAsia="Times New Roman"/>
                      <w:color w:val="000000"/>
                      <w:szCs w:val="20"/>
                      <w:lang w:val="de-DE"/>
                    </w:rPr>
                  </w:rPrChange>
                </w:rPr>
                <w:t>Faran S.A.</w:t>
              </w:r>
            </w:ins>
          </w:p>
          <w:p w14:paraId="1EE4B644" w14:textId="4B1CB059" w:rsidR="003B69FF" w:rsidRPr="002524CB" w:rsidDel="00AB2981" w:rsidRDefault="00AB2981" w:rsidP="00B91B5A">
            <w:pPr>
              <w:rPr>
                <w:del w:id="6" w:author="YZ" w:date="2026-07-12T16:51:00Z" w16du:dateUtc="2026-07-12T14:51:00Z"/>
                <w:rFonts w:eastAsia="Times New Roman"/>
                <w:color w:val="000000"/>
                <w:szCs w:val="20"/>
                <w:lang w:val="de-DE"/>
              </w:rPr>
            </w:pPr>
            <w:ins w:id="7" w:author="YZ" w:date="2026-07-12T16:51:00Z" w16du:dateUtc="2026-07-12T14:51:00Z">
              <w:r w:rsidRPr="00AB2981">
                <w:rPr>
                  <w:rFonts w:eastAsia="Times New Roman"/>
                  <w:color w:val="000000"/>
                  <w:szCs w:val="20"/>
                  <w:lang w:val="de-DE"/>
                  <w:rPrChange w:id="8" w:author="YZ" w:date="2026-07-12T16:51:00Z" w16du:dateUtc="2026-07-12T14:51:00Z">
                    <w:rPr>
                      <w:rFonts w:eastAsia="Times New Roman"/>
                      <w:color w:val="000000"/>
                      <w:szCs w:val="20"/>
                      <w:lang w:val="de-DE"/>
                    </w:rPr>
                  </w:rPrChange>
                </w:rPr>
                <w:t>Tel: +30 2106254175</w:t>
              </w:r>
            </w:ins>
            <w:del w:id="9" w:author="YZ" w:date="2026-07-12T16:51:00Z" w16du:dateUtc="2026-07-12T14:51:00Z">
              <w:r w:rsidR="003B69FF" w:rsidRPr="002524CB" w:rsidDel="00AB2981">
                <w:rPr>
                  <w:rFonts w:eastAsia="Times New Roman"/>
                  <w:color w:val="000000"/>
                  <w:szCs w:val="20"/>
                  <w:lang w:val="de-DE"/>
                </w:rPr>
                <w:delText>STADA Arzneimittel AG</w:delText>
              </w:r>
            </w:del>
          </w:p>
          <w:p w14:paraId="4229F97A" w14:textId="00B2A8D9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  <w:del w:id="10" w:author="YZ" w:date="2026-07-12T16:51:00Z" w16du:dateUtc="2026-07-12T14:51:00Z">
              <w:r w:rsidRPr="002524CB" w:rsidDel="00AB2981">
                <w:rPr>
                  <w:rFonts w:eastAsia="Times New Roman"/>
                  <w:color w:val="000000"/>
                  <w:szCs w:val="20"/>
                  <w:lang w:val="de-DE"/>
                </w:rPr>
                <w:delText>Tel: +30 2106664667</w:delText>
              </w:r>
            </w:del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747" w:type="dxa"/>
            <w:hideMark/>
          </w:tcPr>
          <w:p w14:paraId="5F548879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Österreich</w:t>
            </w:r>
          </w:p>
          <w:p w14:paraId="49046AEA" w14:textId="77777777" w:rsidR="003B69FF" w:rsidRPr="002524CB" w:rsidRDefault="003B69FF" w:rsidP="00B91B5A">
            <w:pPr>
              <w:suppressAutoHyphens/>
              <w:rPr>
                <w:rFonts w:eastAsia="Times New Roman"/>
                <w:i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GmbH</w:t>
            </w:r>
          </w:p>
          <w:p w14:paraId="4549CFA9" w14:textId="7C6CC113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+43 136785850</w:t>
            </w:r>
          </w:p>
        </w:tc>
      </w:tr>
      <w:tr w:rsidR="003B69FF" w14:paraId="2ABD2AA2" w14:textId="77777777" w:rsidTr="00F21E85">
        <w:trPr>
          <w:cantSplit/>
        </w:trPr>
        <w:tc>
          <w:tcPr>
            <w:tcW w:w="4659" w:type="dxa"/>
            <w:hideMark/>
          </w:tcPr>
          <w:p w14:paraId="7640C84C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es-ES"/>
              </w:rPr>
              <w:t>España</w:t>
            </w:r>
          </w:p>
          <w:p w14:paraId="2E50FCFA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Laboratorio STADA, S.L.</w:t>
            </w:r>
          </w:p>
          <w:p w14:paraId="7405D5EA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+34 934738889</w:t>
            </w:r>
          </w:p>
          <w:p w14:paraId="1EEC5CB5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CAD5867" w14:textId="77777777" w:rsidR="003B69FF" w:rsidRPr="00FF4020" w:rsidRDefault="003B69FF" w:rsidP="00B91B5A">
            <w:pPr>
              <w:suppressAutoHyphens/>
              <w:rPr>
                <w:rFonts w:eastAsia="Times New Roman"/>
                <w:b/>
                <w:bCs/>
                <w:i/>
                <w:iCs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Polska</w:t>
            </w:r>
          </w:p>
          <w:p w14:paraId="512560A7" w14:textId="436AECD5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l-PL" w:eastAsia="en-CA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STADA Poland Sp. z</w:t>
            </w:r>
            <w:r w:rsidR="00566C48">
              <w:rPr>
                <w:rFonts w:eastAsia="Times New Roman"/>
                <w:color w:val="000000"/>
                <w:szCs w:val="20"/>
                <w:lang w:val="pl-PL" w:eastAsia="en-CA"/>
              </w:rPr>
              <w:t xml:space="preserve"> </w:t>
            </w:r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</w:t>
            </w:r>
            <w:r w:rsidR="00566C48">
              <w:rPr>
                <w:rFonts w:eastAsia="Times New Roman"/>
                <w:color w:val="000000"/>
                <w:szCs w:val="20"/>
                <w:lang w:val="pl-PL" w:eastAsia="en-CA"/>
              </w:rPr>
              <w:t>.</w:t>
            </w:r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o.</w:t>
            </w:r>
          </w:p>
          <w:p w14:paraId="21F9BC9D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  <w:lang w:eastAsia="en-CA"/>
              </w:rPr>
              <w:t>Tel: +48 227377920</w:t>
            </w:r>
          </w:p>
          <w:p w14:paraId="04C593A1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1219EDED" w14:textId="77777777" w:rsidTr="00F21E85">
        <w:trPr>
          <w:cantSplit/>
        </w:trPr>
        <w:tc>
          <w:tcPr>
            <w:tcW w:w="4659" w:type="dxa"/>
            <w:hideMark/>
          </w:tcPr>
          <w:p w14:paraId="36194399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fr-FR"/>
              </w:rPr>
              <w:t>France</w:t>
            </w:r>
          </w:p>
          <w:p w14:paraId="024307A6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EG LABO - Laboratoires EuroGenerics</w:t>
            </w:r>
          </w:p>
          <w:p w14:paraId="60890E38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Tél: +33 146948686</w:t>
            </w:r>
          </w:p>
          <w:p w14:paraId="04F36CEA" w14:textId="77777777" w:rsidR="003B69FF" w:rsidRPr="002524CB" w:rsidRDefault="003B69FF" w:rsidP="00B91B5A">
            <w:pPr>
              <w:rPr>
                <w:rFonts w:eastAsia="Times New Roman"/>
                <w:lang w:val="fr-FR"/>
              </w:rPr>
            </w:pPr>
          </w:p>
        </w:tc>
        <w:tc>
          <w:tcPr>
            <w:tcW w:w="4747" w:type="dxa"/>
            <w:hideMark/>
          </w:tcPr>
          <w:p w14:paraId="09A60D13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Portugal</w:t>
            </w:r>
          </w:p>
          <w:p w14:paraId="425050FE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Stada, Lda.</w:t>
            </w:r>
          </w:p>
          <w:p w14:paraId="1E3FF7DE" w14:textId="77777777" w:rsidR="003B69FF" w:rsidRPr="0032218E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+351 211209870</w:t>
            </w:r>
          </w:p>
          <w:p w14:paraId="1714C017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:rsidRPr="003D31F6" w14:paraId="2121B2EB" w14:textId="77777777" w:rsidTr="00F21E85">
        <w:trPr>
          <w:cantSplit/>
        </w:trPr>
        <w:tc>
          <w:tcPr>
            <w:tcW w:w="4659" w:type="dxa"/>
            <w:hideMark/>
          </w:tcPr>
          <w:p w14:paraId="07C96016" w14:textId="77777777" w:rsidR="003B69FF" w:rsidRPr="00AE5D1D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AE5D1D">
              <w:rPr>
                <w:rFonts w:eastAsia="Times New Roman"/>
                <w:b/>
                <w:color w:val="000000"/>
                <w:szCs w:val="20"/>
              </w:rPr>
              <w:t>Hrvatska</w:t>
            </w:r>
          </w:p>
          <w:p w14:paraId="5377EE4E" w14:textId="77777777" w:rsidR="003B69FF" w:rsidRPr="00AE5D1D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AE5D1D">
              <w:rPr>
                <w:rFonts w:eastAsia="Times New Roman"/>
                <w:color w:val="000000"/>
                <w:szCs w:val="20"/>
              </w:rPr>
              <w:t>STADA d.o.o.</w:t>
            </w:r>
          </w:p>
          <w:p w14:paraId="3AFDF6A9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+385 13764111</w:t>
            </w:r>
          </w:p>
          <w:p w14:paraId="3BEC8072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7B086117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pt-PT"/>
              </w:rPr>
              <w:t>România</w:t>
            </w:r>
          </w:p>
          <w:p w14:paraId="0B819ABB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color w:val="000000"/>
                <w:szCs w:val="20"/>
                <w:lang w:val="pt-PT"/>
              </w:rPr>
              <w:t>STADA M&amp;D SRL</w:t>
            </w:r>
          </w:p>
          <w:p w14:paraId="0619B6A7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pt-PT"/>
              </w:rPr>
            </w:pPr>
            <w:r w:rsidRPr="002524CB">
              <w:rPr>
                <w:rFonts w:eastAsia="Times New Roman"/>
                <w:color w:val="000000"/>
                <w:szCs w:val="20"/>
                <w:lang w:val="pt-PT"/>
              </w:rPr>
              <w:t>Tel: +40 213160640</w:t>
            </w:r>
          </w:p>
          <w:p w14:paraId="2380D96B" w14:textId="77777777" w:rsidR="003B69FF" w:rsidRPr="002524CB" w:rsidRDefault="003B69FF" w:rsidP="00B91B5A">
            <w:pPr>
              <w:rPr>
                <w:rFonts w:eastAsia="Times New Roman"/>
                <w:lang w:val="pt-PT"/>
              </w:rPr>
            </w:pPr>
          </w:p>
        </w:tc>
      </w:tr>
      <w:tr w:rsidR="003B69FF" w14:paraId="26F538B1" w14:textId="77777777" w:rsidTr="00F21E85">
        <w:trPr>
          <w:cantSplit/>
        </w:trPr>
        <w:tc>
          <w:tcPr>
            <w:tcW w:w="4659" w:type="dxa"/>
            <w:hideMark/>
          </w:tcPr>
          <w:p w14:paraId="24D99B11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9D2628">
              <w:rPr>
                <w:rFonts w:eastAsia="Times New Roman"/>
                <w:color w:val="000000"/>
                <w:szCs w:val="20"/>
                <w:lang w:val="en-US"/>
              </w:rPr>
              <w:br w:type="page"/>
            </w:r>
            <w:r w:rsidRPr="0032218E">
              <w:rPr>
                <w:rFonts w:eastAsia="Times New Roman"/>
                <w:b/>
                <w:color w:val="000000"/>
                <w:szCs w:val="20"/>
              </w:rPr>
              <w:t>Ireland</w:t>
            </w:r>
          </w:p>
          <w:p w14:paraId="4B1EAFC5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Clonmel Healthcare Ltd.</w:t>
            </w:r>
          </w:p>
          <w:p w14:paraId="7349F52D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+353 526177777</w:t>
            </w:r>
          </w:p>
          <w:p w14:paraId="774FACAA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469FF68F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it-IT"/>
              </w:rPr>
              <w:t>Slovenija</w:t>
            </w:r>
          </w:p>
          <w:p w14:paraId="01C2AF15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color w:val="000000"/>
                <w:szCs w:val="20"/>
                <w:lang w:val="it-IT"/>
              </w:rPr>
              <w:t>Stada d.o.o.</w:t>
            </w:r>
          </w:p>
          <w:p w14:paraId="24C37805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+386 15896710</w:t>
            </w:r>
          </w:p>
          <w:p w14:paraId="79E024EB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4D542172" w14:textId="77777777" w:rsidTr="00F21E85">
        <w:trPr>
          <w:cantSplit/>
        </w:trPr>
        <w:tc>
          <w:tcPr>
            <w:tcW w:w="4659" w:type="dxa"/>
            <w:hideMark/>
          </w:tcPr>
          <w:p w14:paraId="288CB8BE" w14:textId="77777777" w:rsidR="003B69FF" w:rsidRPr="002524CB" w:rsidRDefault="003B69FF" w:rsidP="00B91B5A">
            <w:pPr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Ísland</w:t>
            </w:r>
          </w:p>
          <w:p w14:paraId="39980DB7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AG</w:t>
            </w:r>
          </w:p>
          <w:p w14:paraId="19530444" w14:textId="77777777" w:rsidR="003B69FF" w:rsidRPr="002524CB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Sími: +49 61016030</w:t>
            </w:r>
          </w:p>
          <w:p w14:paraId="20D775ED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  <w:tc>
          <w:tcPr>
            <w:tcW w:w="4747" w:type="dxa"/>
            <w:hideMark/>
          </w:tcPr>
          <w:p w14:paraId="04D3DB0B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Slovenská republika</w:t>
            </w:r>
          </w:p>
          <w:p w14:paraId="4E86F595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PHARMA Slovakia, s.r.o.</w:t>
            </w:r>
          </w:p>
          <w:p w14:paraId="2A884500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+421 252621933</w:t>
            </w:r>
          </w:p>
          <w:p w14:paraId="48CBCBBE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</w:tr>
      <w:tr w:rsidR="003B69FF" w14:paraId="5C9B688B" w14:textId="77777777" w:rsidTr="00F21E85">
        <w:trPr>
          <w:cantSplit/>
        </w:trPr>
        <w:tc>
          <w:tcPr>
            <w:tcW w:w="4659" w:type="dxa"/>
            <w:hideMark/>
          </w:tcPr>
          <w:p w14:paraId="2F94020F" w14:textId="77777777" w:rsidR="003B69FF" w:rsidRPr="0032218E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Italia</w:t>
            </w:r>
          </w:p>
          <w:p w14:paraId="5C1FC5A6" w14:textId="77777777" w:rsidR="003B69FF" w:rsidRPr="0032218E" w:rsidRDefault="003B69FF" w:rsidP="00B91B5A">
            <w:pPr>
              <w:autoSpaceDE w:val="0"/>
              <w:autoSpaceDN w:val="0"/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EG SpA</w:t>
            </w:r>
          </w:p>
          <w:p w14:paraId="49EE6717" w14:textId="77777777" w:rsidR="003B69FF" w:rsidRPr="0032218E" w:rsidRDefault="003B69FF" w:rsidP="00B91B5A">
            <w:pPr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Tel: +39 028310371</w:t>
            </w:r>
          </w:p>
          <w:p w14:paraId="59F5CBE0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459B2724" w14:textId="77777777" w:rsidR="003B69FF" w:rsidRPr="000D565D" w:rsidRDefault="003B69FF" w:rsidP="00B91B5A">
            <w:pPr>
              <w:suppressAutoHyphens/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fi-FI"/>
              </w:rPr>
              <w:t>Suomi/Finland</w:t>
            </w:r>
          </w:p>
          <w:p w14:paraId="6C3976F4" w14:textId="77777777" w:rsidR="003B69FF" w:rsidRPr="000D565D" w:rsidRDefault="003B69FF" w:rsidP="00B91B5A">
            <w:pPr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color w:val="000000"/>
                <w:szCs w:val="20"/>
                <w:lang w:val="fi-FI" w:eastAsia="da-DK"/>
              </w:rPr>
              <w:t>STADA Nordic ApS, Suomen sivuliike</w:t>
            </w:r>
          </w:p>
          <w:p w14:paraId="7395578A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Puh/Tel: +358 207416888</w:t>
            </w:r>
          </w:p>
          <w:p w14:paraId="434C2E5C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:rsidRPr="00744AA7" w14:paraId="6940A35F" w14:textId="77777777" w:rsidTr="00F21E85">
        <w:trPr>
          <w:cantSplit/>
        </w:trPr>
        <w:tc>
          <w:tcPr>
            <w:tcW w:w="4659" w:type="dxa"/>
            <w:hideMark/>
          </w:tcPr>
          <w:p w14:paraId="510696A1" w14:textId="77777777" w:rsidR="003B69FF" w:rsidRPr="00FF4020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Κύπρος</w:t>
            </w:r>
          </w:p>
          <w:p w14:paraId="04CD7B2E" w14:textId="77777777" w:rsidR="003B69FF" w:rsidRPr="00FF4020" w:rsidRDefault="003B69FF" w:rsidP="00B91B5A">
            <w:pPr>
              <w:rPr>
                <w:rFonts w:eastAsia="Times New Roman"/>
                <w:color w:val="000000"/>
                <w:szCs w:val="20"/>
              </w:rPr>
            </w:pPr>
            <w:r w:rsidRPr="00FF4020">
              <w:rPr>
                <w:rFonts w:eastAsia="Times New Roman"/>
                <w:color w:val="000000"/>
                <w:szCs w:val="20"/>
              </w:rPr>
              <w:t>STADA Arzneimittel AG</w:t>
            </w:r>
          </w:p>
          <w:p w14:paraId="59FB3B46" w14:textId="77777777" w:rsidR="003B69FF" w:rsidRPr="00FF4020" w:rsidRDefault="003B69FF" w:rsidP="00B91B5A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Τηλ</w:t>
            </w:r>
            <w:r w:rsidRPr="00FF4020">
              <w:rPr>
                <w:rFonts w:eastAsia="Times New Roman"/>
                <w:color w:val="000000"/>
                <w:szCs w:val="20"/>
              </w:rPr>
              <w:t>: +30 2106664667</w:t>
            </w:r>
          </w:p>
          <w:p w14:paraId="161DC2AD" w14:textId="77777777" w:rsidR="003B69FF" w:rsidRPr="00FF4020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0EC21CF3" w14:textId="77777777" w:rsidR="003B69FF" w:rsidRPr="002524CB" w:rsidRDefault="003B69FF" w:rsidP="00B91B5A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Sverige</w:t>
            </w:r>
          </w:p>
          <w:p w14:paraId="47DD4F4C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Nordic ApS</w:t>
            </w:r>
          </w:p>
          <w:p w14:paraId="1037F938" w14:textId="77777777" w:rsidR="003B69FF" w:rsidRPr="002524CB" w:rsidRDefault="003B69FF" w:rsidP="00B91B5A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+45 44859999</w:t>
            </w:r>
          </w:p>
          <w:p w14:paraId="4E608E51" w14:textId="77777777" w:rsidR="003B69FF" w:rsidRPr="002524CB" w:rsidRDefault="003B69FF" w:rsidP="00B91B5A">
            <w:pPr>
              <w:rPr>
                <w:rFonts w:eastAsia="Times New Roman"/>
                <w:lang w:val="de-DE"/>
              </w:rPr>
            </w:pPr>
          </w:p>
        </w:tc>
      </w:tr>
      <w:tr w:rsidR="003B69FF" w14:paraId="69D074FC" w14:textId="77777777" w:rsidTr="00F21E85">
        <w:trPr>
          <w:cantSplit/>
        </w:trPr>
        <w:tc>
          <w:tcPr>
            <w:tcW w:w="4659" w:type="dxa"/>
            <w:hideMark/>
          </w:tcPr>
          <w:p w14:paraId="6FC86D91" w14:textId="77777777" w:rsidR="003B69FF" w:rsidRPr="0032218E" w:rsidRDefault="003B69FF" w:rsidP="00B91B5A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Latvija</w:t>
            </w:r>
          </w:p>
          <w:p w14:paraId="77204FC1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2DA09786" w14:textId="77777777" w:rsidR="003B69FF" w:rsidRPr="0032218E" w:rsidRDefault="003B69FF" w:rsidP="00B91B5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</w:t>
            </w:r>
            <w:r>
              <w:rPr>
                <w:rFonts w:eastAsia="Times New Roman"/>
                <w:color w:val="000000"/>
                <w:szCs w:val="20"/>
              </w:rPr>
              <w:t>1</w:t>
            </w:r>
            <w:r w:rsidRPr="0032218E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123E52">
              <w:rPr>
                <w:rFonts w:eastAsia="Times New Roman"/>
                <w:color w:val="000000"/>
                <w:szCs w:val="20"/>
              </w:rPr>
              <w:t>28016404</w:t>
            </w:r>
          </w:p>
          <w:p w14:paraId="04E1C5A0" w14:textId="77777777" w:rsidR="003B69FF" w:rsidRPr="0032218E" w:rsidRDefault="003B69FF" w:rsidP="00B91B5A">
            <w:pPr>
              <w:rPr>
                <w:rFonts w:eastAsia="Times New Roman"/>
              </w:rPr>
            </w:pPr>
          </w:p>
        </w:tc>
        <w:tc>
          <w:tcPr>
            <w:tcW w:w="4747" w:type="dxa"/>
            <w:hideMark/>
          </w:tcPr>
          <w:p w14:paraId="64674BB6" w14:textId="77777777" w:rsidR="003B69FF" w:rsidRPr="0032218E" w:rsidRDefault="003B69FF" w:rsidP="00B91B5A">
            <w:pPr>
              <w:suppressAutoHyphens/>
              <w:rPr>
                <w:rFonts w:eastAsia="Times New Roman"/>
              </w:rPr>
            </w:pPr>
          </w:p>
        </w:tc>
      </w:tr>
    </w:tbl>
    <w:p w14:paraId="43993541" w14:textId="77777777" w:rsidR="003B69FF" w:rsidRPr="00FF28F7" w:rsidRDefault="003B69FF" w:rsidP="00B91B5A">
      <w:pPr>
        <w:numPr>
          <w:ilvl w:val="12"/>
          <w:numId w:val="0"/>
        </w:numPr>
        <w:ind w:right="-1"/>
        <w:rPr>
          <w:b/>
        </w:rPr>
      </w:pPr>
    </w:p>
    <w:p w14:paraId="22E4E840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Tato příbalová informace byla naposledy revidována</w:t>
      </w:r>
    </w:p>
    <w:p w14:paraId="42AEAEE6" w14:textId="77777777" w:rsidR="00951F81" w:rsidRPr="00FF28F7" w:rsidRDefault="00951F81" w:rsidP="00B91B5A">
      <w:pPr>
        <w:keepNext/>
      </w:pPr>
    </w:p>
    <w:p w14:paraId="42788A9E" w14:textId="77777777" w:rsidR="00951F81" w:rsidRPr="00FF28F7" w:rsidRDefault="00951F81" w:rsidP="00B91B5A">
      <w:pPr>
        <w:keepNext/>
        <w:tabs>
          <w:tab w:val="clear" w:pos="567"/>
        </w:tabs>
        <w:rPr>
          <w:b/>
          <w:bCs/>
        </w:rPr>
      </w:pPr>
      <w:r>
        <w:rPr>
          <w:b/>
        </w:rPr>
        <w:t>Další zdroje informací</w:t>
      </w:r>
    </w:p>
    <w:p w14:paraId="256A99CE" w14:textId="77777777" w:rsidR="00951F81" w:rsidRPr="00FF28F7" w:rsidRDefault="00951F81" w:rsidP="00B91B5A">
      <w:pPr>
        <w:keepNext/>
        <w:tabs>
          <w:tab w:val="clear" w:pos="567"/>
        </w:tabs>
      </w:pPr>
    </w:p>
    <w:p w14:paraId="059B357A" w14:textId="4ECE0046" w:rsidR="00951F81" w:rsidRPr="00FF28F7" w:rsidRDefault="00951F81" w:rsidP="00B91B5A">
      <w:pPr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adrese: </w:t>
      </w:r>
      <w:hyperlink r:id="rId18" w:history="1">
        <w:r>
          <w:rPr>
            <w:rStyle w:val="Hyperlink"/>
          </w:rPr>
          <w:t>http://www.ema.europa.eu/</w:t>
        </w:r>
      </w:hyperlink>
    </w:p>
    <w:p w14:paraId="2E5F414B" w14:textId="77777777" w:rsidR="00951F81" w:rsidRDefault="00951F81" w:rsidP="00B91B5A">
      <w:pPr>
        <w:tabs>
          <w:tab w:val="clear" w:pos="567"/>
        </w:tabs>
      </w:pPr>
    </w:p>
    <w:p w14:paraId="2FEE591D" w14:textId="660AB689" w:rsidR="003B69FF" w:rsidRDefault="003B69FF" w:rsidP="00B91B5A">
      <w:pPr>
        <w:tabs>
          <w:tab w:val="clear" w:pos="567"/>
        </w:tabs>
      </w:pPr>
      <w:r w:rsidRPr="003B69FF">
        <w:t xml:space="preserve">„Podrobné informace o tomto léčivém přípravku, včetně instruktážního videa k použití předplněné injekční stříkačky, jsou dostupné po naskenování níže uvedeného QR kódu nebo QR kódu na </w:t>
      </w:r>
      <w:r w:rsidR="002A6277">
        <w:t>krabičce</w:t>
      </w:r>
      <w:r w:rsidRPr="003B69FF">
        <w:t xml:space="preserve"> pomocí chytrého telefonu. Tyto informace jsou rovněž dostupné na následující webové adrese:</w:t>
      </w:r>
      <w:r>
        <w:t xml:space="preserve"> </w:t>
      </w:r>
      <w:r w:rsidRPr="003B69FF">
        <w:t>kefdensispatients.com</w:t>
      </w:r>
    </w:p>
    <w:p w14:paraId="7CE77355" w14:textId="77777777" w:rsidR="003B69FF" w:rsidRDefault="003B69FF" w:rsidP="00B91B5A">
      <w:pPr>
        <w:tabs>
          <w:tab w:val="clear" w:pos="567"/>
        </w:tabs>
      </w:pPr>
    </w:p>
    <w:p w14:paraId="00C7F175" w14:textId="352555F5" w:rsidR="003B69FF" w:rsidRDefault="003B69FF" w:rsidP="00B91B5A">
      <w:pPr>
        <w:tabs>
          <w:tab w:val="clear" w:pos="567"/>
        </w:tabs>
      </w:pPr>
      <w:r w:rsidRPr="003B69FF">
        <w:rPr>
          <w:highlight w:val="lightGray"/>
        </w:rPr>
        <w:t>Bude připojen QR kód</w:t>
      </w:r>
    </w:p>
    <w:p w14:paraId="78FECC31" w14:textId="77777777" w:rsidR="003B69FF" w:rsidRDefault="003B69FF" w:rsidP="00B91B5A">
      <w:pPr>
        <w:tabs>
          <w:tab w:val="clear" w:pos="567"/>
        </w:tabs>
      </w:pPr>
    </w:p>
    <w:p w14:paraId="3F32B67C" w14:textId="77777777" w:rsidR="00951F81" w:rsidRDefault="00951F81" w:rsidP="00B91B5A">
      <w:pPr>
        <w:keepNext/>
        <w:numPr>
          <w:ilvl w:val="12"/>
          <w:numId w:val="0"/>
        </w:numPr>
        <w:ind w:left="567" w:hanging="567"/>
      </w:pPr>
      <w:r>
        <w:br w:type="page"/>
      </w:r>
    </w:p>
    <w:p w14:paraId="16E76A19" w14:textId="77777777" w:rsidR="005470FD" w:rsidRPr="005470FD" w:rsidRDefault="005470FD" w:rsidP="00B91B5A">
      <w:pPr>
        <w:keepNext/>
        <w:numPr>
          <w:ilvl w:val="12"/>
          <w:numId w:val="0"/>
        </w:numPr>
        <w:ind w:left="567" w:hanging="567"/>
      </w:pPr>
    </w:p>
    <w:tbl>
      <w:tblPr>
        <w:tblStyle w:val="TableGrid0"/>
        <w:tblW w:w="5000" w:type="pct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63"/>
        <w:gridCol w:w="4498"/>
      </w:tblGrid>
      <w:tr w:rsidR="005470FD" w:rsidRPr="005470FD" w14:paraId="180AEF9F" w14:textId="77777777" w:rsidTr="00F21E85">
        <w:trPr>
          <w:trHeight w:val="2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183F" w14:textId="77777777" w:rsidR="005470FD" w:rsidRPr="005470FD" w:rsidRDefault="005470FD" w:rsidP="00B91B5A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Návod k použití:</w:t>
            </w:r>
          </w:p>
        </w:tc>
      </w:tr>
      <w:tr w:rsidR="005470FD" w:rsidRPr="005470FD" w14:paraId="2A1F88CC" w14:textId="77777777" w:rsidTr="00F21E85">
        <w:trPr>
          <w:trHeight w:val="2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6C38" w14:textId="77777777" w:rsidR="005470FD" w:rsidRPr="005470FD" w:rsidRDefault="005470FD" w:rsidP="00B91B5A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Popis jednotlivých částí</w:t>
            </w:r>
          </w:p>
        </w:tc>
      </w:tr>
      <w:tr w:rsidR="005470FD" w:rsidRPr="005470FD" w14:paraId="08AA41D8" w14:textId="77777777" w:rsidTr="00F21E85">
        <w:trPr>
          <w:trHeight w:val="2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B5AE" w14:textId="77777777" w:rsidR="005470FD" w:rsidRPr="005470FD" w:rsidRDefault="005470FD" w:rsidP="00B91B5A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Před použitím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9733" w14:textId="77777777" w:rsidR="005470FD" w:rsidRPr="005470FD" w:rsidRDefault="005470FD" w:rsidP="00B91B5A">
            <w:pPr>
              <w:ind w:right="108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 použití</w:t>
            </w:r>
          </w:p>
        </w:tc>
      </w:tr>
      <w:tr w:rsidR="005470FD" w:rsidRPr="005470FD" w14:paraId="1C320AC5" w14:textId="77777777" w:rsidTr="00F21E85">
        <w:trPr>
          <w:trHeight w:val="2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A56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F24AEDC" wp14:editId="4D5507AF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2441575</wp:posOffset>
                      </wp:positionV>
                      <wp:extent cx="1227455" cy="241300"/>
                      <wp:effectExtent l="0" t="0" r="10795" b="4445"/>
                      <wp:wrapSquare wrapText="bothSides"/>
                      <wp:docPr id="74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5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06D3C" w14:textId="77777777" w:rsidR="005470FD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použitelnosti</w:t>
                                  </w:r>
                                </w:p>
                                <w:p w14:paraId="12FB841F" w14:textId="77777777" w:rsidR="005470FD" w:rsidRPr="004B4F59" w:rsidRDefault="005470FD" w:rsidP="005470FD">
                                  <w:r>
                                    <w:t>na štítku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4AE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55pt;margin-top:192.25pt;width:96.65pt;height:1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" filled="f" stroked="f">
                      <v:textbox style="mso-fit-shape-to-text:t" inset="0,0,0,0">
                        <w:txbxContent>
                          <w:p w14:paraId="6CD06D3C" w14:textId="77777777" w:rsidR="005470FD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 použitelnosti</w:t>
                            </w:r>
                          </w:p>
                          <w:p w14:paraId="12FB841F" w14:textId="77777777" w:rsidR="005470FD" w:rsidRPr="004B4F59" w:rsidRDefault="005470FD" w:rsidP="005470FD">
                            <w:r>
                              <w:t>na štítku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214B5A4" wp14:editId="7F893216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1010920</wp:posOffset>
                      </wp:positionV>
                      <wp:extent cx="1261110" cy="241300"/>
                      <wp:effectExtent l="0" t="0" r="0" b="1905"/>
                      <wp:wrapSquare wrapText="bothSides"/>
                      <wp:docPr id="74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BBF4D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Opěrka pro prsty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B5A4" id="_x0000_s1027" type="#_x0000_t202" style="position:absolute;margin-left:103.25pt;margin-top:79.6pt;width:99.3pt;height:1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" filled="f" stroked="f">
                      <v:textbox style="mso-fit-shape-to-text:t" inset="0,0,0,0">
                        <w:txbxContent>
                          <w:p w14:paraId="178BBF4D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Opěrka pro prsty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60288" behindDoc="1" locked="0" layoutInCell="1" allowOverlap="1" wp14:anchorId="4D536A35" wp14:editId="141E429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4445</wp:posOffset>
                  </wp:positionV>
                  <wp:extent cx="1701800" cy="4166235"/>
                  <wp:effectExtent l="0" t="0" r="0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85445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416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7EDF57E" wp14:editId="2EEFE40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3001010</wp:posOffset>
                      </wp:positionV>
                      <wp:extent cx="1123950" cy="241300"/>
                      <wp:effectExtent l="0" t="0" r="0" b="1905"/>
                      <wp:wrapSquare wrapText="bothSides"/>
                      <wp:docPr id="74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3E4EA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Válec injekční stříkačky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F57E" id="_x0000_s1028" type="#_x0000_t202" style="position:absolute;margin-left:102.95pt;margin-top:236.3pt;width:88.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" filled="f" stroked="f">
                      <v:textbox style="mso-fit-shape-to-text:t" inset="0,0,0,0">
                        <w:txbxContent>
                          <w:p w14:paraId="3673E4EA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Válec injekční stříkačky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40BA0AF" wp14:editId="0D201FA3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3515360</wp:posOffset>
                      </wp:positionV>
                      <wp:extent cx="1428750" cy="241300"/>
                      <wp:effectExtent l="0" t="0" r="0" b="0"/>
                      <wp:wrapSquare wrapText="bothSides"/>
                      <wp:docPr id="7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DE33C" w14:textId="77777777" w:rsidR="005470FD" w:rsidRPr="004B4F59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Šedý kryt jehly</w:t>
                                  </w:r>
                                </w:p>
                                <w:p w14:paraId="23D317F1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Důležité</w:t>
                                  </w:r>
                                  <w:r w:rsidRPr="004B4F59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 w:rsidRPr="00A37F30">
                                    <w:t>Šedý kryt jehly nechte nasazený, dokud nejste připraven(a) podat injekci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BA0AF" id="_x0000_s1029" type="#_x0000_t202" style="position:absolute;margin-left:102.95pt;margin-top:276.8pt;width:112.5pt;height:1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" filled="f" stroked="f">
                      <v:textbox style="mso-fit-shape-to-text:t" inset="0,0,0,0">
                        <w:txbxContent>
                          <w:p w14:paraId="040DE33C" w14:textId="77777777" w:rsidR="005470FD" w:rsidRPr="004B4F59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Šedý kryt jehly</w:t>
                            </w:r>
                          </w:p>
                          <w:p w14:paraId="23D317F1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Důležité</w:t>
                            </w:r>
                            <w:r w:rsidRPr="004B4F5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A37F30">
                              <w:t>Šedý kryt jehly nechte nasazený, dokud nejste připraven(a) podat injekci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46A5D53" wp14:editId="1F8AF9F8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1884045</wp:posOffset>
                      </wp:positionV>
                      <wp:extent cx="831850" cy="241300"/>
                      <wp:effectExtent l="0" t="0" r="6350" b="12700"/>
                      <wp:wrapSquare wrapText="bothSides"/>
                      <wp:docPr id="7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EADAB" w14:textId="77777777" w:rsidR="005470FD" w:rsidRPr="00A37F30" w:rsidRDefault="005470FD" w:rsidP="005470FD">
                                  <w:r>
                                    <w:rPr>
                                      <w:b/>
                                      <w:bCs/>
                                    </w:rPr>
                                    <w:t>Průhledný bezpečnostní chránič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A5D53" id="_x0000_s1030" type="#_x0000_t202" style="position:absolute;margin-left:102.9pt;margin-top:148.35pt;width:65.5pt;height: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" filled="f" stroked="f">
                      <v:textbox style="mso-fit-shape-to-text:t" inset="0,0,0,0">
                        <w:txbxContent>
                          <w:p w14:paraId="5D9EADAB" w14:textId="77777777" w:rsidR="005470FD" w:rsidRPr="00A37F30" w:rsidRDefault="005470FD" w:rsidP="005470FD">
                            <w:r>
                              <w:rPr>
                                <w:b/>
                                <w:bCs/>
                              </w:rPr>
                              <w:t>Průhledný bezpečnostní chránič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1A45724" wp14:editId="08AFD4D3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35560</wp:posOffset>
                      </wp:positionV>
                      <wp:extent cx="1384300" cy="577850"/>
                      <wp:effectExtent l="0" t="0" r="635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7D346" w14:textId="77777777" w:rsidR="005470FD" w:rsidRPr="00A37F30" w:rsidRDefault="005470FD" w:rsidP="005470FD">
                                  <w:pP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</w:pP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Píst</w:t>
                                  </w:r>
                                </w:p>
                                <w:p w14:paraId="0631161A" w14:textId="59994229" w:rsidR="005470FD" w:rsidRPr="00A37F30" w:rsidRDefault="005470FD" w:rsidP="005470FD">
                                  <w:pPr>
                                    <w:rPr>
                                      <w:lang w:val="pl-PL"/>
                                    </w:rPr>
                                  </w:pP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i</w:t>
                                  </w:r>
                                  <w:r w:rsidRPr="00A37F30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kdy </w:t>
                                  </w:r>
                                  <w:r w:rsidRPr="00A37F30">
                                    <w:rPr>
                                      <w:lang w:val="pl-PL"/>
                                    </w:rPr>
                                    <w:t>nedržte ani netahejte za píst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45724" id="_x0000_s1031" type="#_x0000_t202" style="position:absolute;margin-left:102.95pt;margin-top:2.8pt;width:109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" stroked="f">
                      <v:textbox style="mso-fit-shape-to-text:t" inset="0,0,0,0">
                        <w:txbxContent>
                          <w:p w14:paraId="6BB7D346" w14:textId="77777777" w:rsidR="005470FD" w:rsidRPr="00A37F30" w:rsidRDefault="005470FD" w:rsidP="005470FD">
                            <w:pPr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>Píst</w:t>
                            </w:r>
                          </w:p>
                          <w:p w14:paraId="0631161A" w14:textId="59994229" w:rsidR="005470FD" w:rsidRPr="00A37F30" w:rsidRDefault="005470FD" w:rsidP="005470FD">
                            <w:pPr>
                              <w:rPr>
                                <w:lang w:val="pl-PL"/>
                              </w:rPr>
                            </w:pPr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i</w:t>
                            </w:r>
                            <w:r w:rsidRPr="00A37F30">
                              <w:rPr>
                                <w:b/>
                                <w:bCs/>
                                <w:lang w:val="pl-PL"/>
                              </w:rPr>
                              <w:t xml:space="preserve">kdy </w:t>
                            </w:r>
                            <w:r w:rsidRPr="00A37F30">
                              <w:rPr>
                                <w:lang w:val="pl-PL"/>
                              </w:rPr>
                              <w:t>nedržte ani netahejte za píst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C03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C8466D6" wp14:editId="5E6A04D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3542030</wp:posOffset>
                      </wp:positionV>
                      <wp:extent cx="1337310" cy="241300"/>
                      <wp:effectExtent l="0" t="0" r="0" b="4445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31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A8B26" w14:textId="3D14FCC9" w:rsidR="005470FD" w:rsidRPr="0092436E" w:rsidRDefault="005470FD" w:rsidP="005470FD">
                                  <w:pPr>
                                    <w:rPr>
                                      <w:lang w:val="pl-PL"/>
                                    </w:rPr>
                                  </w:pPr>
                                  <w:r w:rsidRPr="0092436E">
                                    <w:rPr>
                                      <w:lang w:val="pl-PL"/>
                                    </w:rPr>
                                    <w:t xml:space="preserve">Jehla se automaticky stáhne do průhledného </w:t>
                                  </w:r>
                                  <w:r w:rsidR="00C82ACE">
                                    <w:rPr>
                                      <w:lang w:val="pl-PL"/>
                                    </w:rPr>
                                    <w:t xml:space="preserve">bezpečnostního </w:t>
                                  </w:r>
                                  <w:r>
                                    <w:rPr>
                                      <w:lang w:val="pl-PL"/>
                                    </w:rPr>
                                    <w:t>chrániče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66D6" id="Text Box 5" o:spid="_x0000_s1032" type="#_x0000_t202" style="position:absolute;margin-left:49.8pt;margin-top:278.9pt;width:105.3pt;height:1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" filled="f" stroked="f">
                      <v:textbox style="mso-fit-shape-to-text:t" inset="0,0,0,0">
                        <w:txbxContent>
                          <w:p w14:paraId="67FA8B26" w14:textId="3D14FCC9" w:rsidR="005470FD" w:rsidRPr="0092436E" w:rsidRDefault="005470FD" w:rsidP="005470FD">
                            <w:pPr>
                              <w:rPr>
                                <w:lang w:val="pl-PL"/>
                              </w:rPr>
                            </w:pPr>
                            <w:r w:rsidRPr="0092436E">
                              <w:rPr>
                                <w:lang w:val="pl-PL"/>
                              </w:rPr>
                              <w:t xml:space="preserve">Jehla se automaticky stáhne do průhledného </w:t>
                            </w:r>
                            <w:r w:rsidR="00C82ACE">
                              <w:rPr>
                                <w:lang w:val="pl-PL"/>
                              </w:rPr>
                              <w:t xml:space="preserve">bezpečnostního </w:t>
                            </w:r>
                            <w:r>
                              <w:rPr>
                                <w:lang w:val="pl-PL"/>
                              </w:rPr>
                              <w:t>chrániče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447C767" wp14:editId="70B98F75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680085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97F94" w14:textId="77777777" w:rsidR="005470FD" w:rsidRPr="00A37F30" w:rsidRDefault="005470FD" w:rsidP="005470FD">
                                  <w:r>
                                    <w:t>Bezpečnostní pružina se aktivuje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C767" id="Text Box 3" o:spid="_x0000_s1033" type="#_x0000_t202" style="position:absolute;margin-left:109.25pt;margin-top:53.55pt;width:72.75pt;height:1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" filled="f" stroked="f">
                      <v:textbox style="mso-fit-shape-to-text:t" inset="0,0,0,0">
                        <w:txbxContent>
                          <w:p w14:paraId="06D97F94" w14:textId="77777777" w:rsidR="005470FD" w:rsidRPr="00A37F30" w:rsidRDefault="005470FD" w:rsidP="005470FD">
                            <w:r>
                              <w:t>Bezpečnostní pružina se aktivuje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9C181EE" wp14:editId="2FA235D8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116205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9E102" w14:textId="77777777" w:rsidR="005470FD" w:rsidRPr="00A37F30" w:rsidRDefault="005470FD" w:rsidP="005470FD">
                                  <w:r>
                                    <w:t>Zámek pístu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181EE" id="_x0000_s1034" type="#_x0000_t202" style="position:absolute;margin-left:102.6pt;margin-top:9.15pt;width:72.75pt;height: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" filled="f" stroked="f">
                      <v:textbox style="mso-fit-shape-to-text:t" inset="0,0,0,0">
                        <w:txbxContent>
                          <w:p w14:paraId="5739E102" w14:textId="77777777" w:rsidR="005470FD" w:rsidRPr="00A37F30" w:rsidRDefault="005470FD" w:rsidP="005470FD">
                            <w:r>
                              <w:t>Zámek pístu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62336" behindDoc="1" locked="0" layoutInCell="1" allowOverlap="1" wp14:anchorId="7CF863A6" wp14:editId="6013E2B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714500" cy="3517900"/>
                  <wp:effectExtent l="0" t="0" r="0" b="6350"/>
                  <wp:wrapTight wrapText="bothSides">
                    <wp:wrapPolygon edited="0">
                      <wp:start x="0" y="0"/>
                      <wp:lineTo x="0" y="21522"/>
                      <wp:lineTo x="21360" y="21522"/>
                      <wp:lineTo x="21360" y="0"/>
                      <wp:lineTo x="0" y="0"/>
                    </wp:wrapPolygon>
                  </wp:wrapTight>
                  <wp:docPr id="7465" name="Picture 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03692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51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D3EC93" w14:textId="77777777" w:rsidR="005470FD" w:rsidRPr="005470FD" w:rsidRDefault="005470FD" w:rsidP="00B91B5A"/>
    <w:p w14:paraId="4B27A868" w14:textId="77777777" w:rsidR="005470FD" w:rsidRPr="005470FD" w:rsidRDefault="005470FD" w:rsidP="00B91B5A"/>
    <w:tbl>
      <w:tblPr>
        <w:tblStyle w:val="TableGrid0"/>
        <w:tblW w:w="9085" w:type="dxa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85"/>
      </w:tblGrid>
      <w:tr w:rsidR="005470FD" w:rsidRPr="005470FD" w14:paraId="4D436A43" w14:textId="77777777" w:rsidTr="00F21E85">
        <w:trPr>
          <w:trHeight w:val="20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1ED" w14:textId="77777777" w:rsidR="005470FD" w:rsidRPr="005470FD" w:rsidRDefault="005470FD" w:rsidP="00B91B5A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  <w:b/>
              </w:rPr>
              <w:t>Důležité</w:t>
            </w:r>
          </w:p>
        </w:tc>
      </w:tr>
      <w:tr w:rsidR="005470FD" w:rsidRPr="005470FD" w14:paraId="5AB3758C" w14:textId="77777777" w:rsidTr="00F21E85">
        <w:trPr>
          <w:trHeight w:val="20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6C06" w14:textId="40A71956" w:rsidR="005470FD" w:rsidRPr="005470FD" w:rsidRDefault="005470FD" w:rsidP="00B91B5A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hAnsi="Times New Roman" w:cs="Times New Roman"/>
                <w:b/>
              </w:rPr>
              <w:t xml:space="preserve">Před použitím </w:t>
            </w:r>
            <w:r w:rsidR="00830875">
              <w:rPr>
                <w:rFonts w:ascii="Times New Roman" w:hAnsi="Times New Roman" w:cs="Times New Roman"/>
                <w:b/>
              </w:rPr>
              <w:t xml:space="preserve">přípravku </w:t>
            </w:r>
            <w:r w:rsidRPr="005470FD">
              <w:rPr>
                <w:rFonts w:ascii="Times New Roman" w:hAnsi="Times New Roman" w:cs="Times New Roman"/>
                <w:b/>
              </w:rPr>
              <w:t xml:space="preserve">Kefdensis </w:t>
            </w:r>
            <w:r w:rsidR="00830875">
              <w:rPr>
                <w:rFonts w:ascii="Times New Roman" w:hAnsi="Times New Roman" w:cs="Times New Roman"/>
                <w:b/>
              </w:rPr>
              <w:t xml:space="preserve">v </w:t>
            </w:r>
            <w:r w:rsidRPr="005470FD">
              <w:rPr>
                <w:rFonts w:ascii="Times New Roman" w:hAnsi="Times New Roman" w:cs="Times New Roman"/>
                <w:b/>
              </w:rPr>
              <w:t>předplněné injekční stříkač</w:t>
            </w:r>
            <w:r w:rsidR="00830875">
              <w:rPr>
                <w:rFonts w:ascii="Times New Roman" w:hAnsi="Times New Roman" w:cs="Times New Roman"/>
                <w:b/>
              </w:rPr>
              <w:t>ce</w:t>
            </w:r>
            <w:r w:rsidRPr="005470FD">
              <w:rPr>
                <w:rFonts w:ascii="Times New Roman" w:hAnsi="Times New Roman" w:cs="Times New Roman"/>
                <w:b/>
              </w:rPr>
              <w:t xml:space="preserve"> s automatickým chráničem jehly si přečtěte tyto důležité informace:</w:t>
            </w:r>
          </w:p>
          <w:p w14:paraId="5E4CFA4B" w14:textId="6583D7A0" w:rsidR="005470FD" w:rsidRPr="005470FD" w:rsidRDefault="005470FD" w:rsidP="00B91B5A">
            <w:pPr>
              <w:pStyle w:val="ListParagraph"/>
              <w:keepNext/>
              <w:numPr>
                <w:ilvl w:val="0"/>
                <w:numId w:val="59"/>
              </w:numPr>
              <w:tabs>
                <w:tab w:val="left" w:pos="567"/>
              </w:tabs>
              <w:ind w:left="474" w:hanging="425"/>
              <w:rPr>
                <w:rFonts w:ascii="Times New Roman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>Je důležité, abyste se nepokoušel(a) podat si sám(sama) injekci, dokud Vás neproškolí lékař nebo zdravotnický pracovník.</w:t>
            </w:r>
          </w:p>
          <w:p w14:paraId="4A2B0076" w14:textId="77777777" w:rsidR="005470FD" w:rsidRPr="005470FD" w:rsidRDefault="005470FD" w:rsidP="00B91B5A">
            <w:pPr>
              <w:pStyle w:val="ListParagraph"/>
              <w:keepNext/>
              <w:numPr>
                <w:ilvl w:val="0"/>
                <w:numId w:val="59"/>
              </w:numPr>
              <w:tabs>
                <w:tab w:val="left" w:pos="567"/>
              </w:tabs>
              <w:ind w:left="474" w:hanging="425"/>
              <w:rPr>
                <w:rFonts w:ascii="Times New Roman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>Kefdensis je podáván jako injekce do tkáně těsně pod kůží (podkožní injekce).</w:t>
            </w:r>
          </w:p>
          <w:p w14:paraId="6EBD9A50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Nesnímejte z předplněné injekční stříkačky šedý kryt jehly, dokud nejste připraven(a) na podání injekce.</w:t>
            </w:r>
          </w:p>
          <w:p w14:paraId="7AD5DB08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Nepoužívejte předplněnou injekční stříkačku, pokud Vám upadla na tvrdý povrch. Použijte novou předplněnou injekční stříkačku a informujte svého lékaře nebo zdravotnického pracovníka.</w:t>
            </w:r>
          </w:p>
          <w:p w14:paraId="7940B85D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Nepokoušejte se aktivovat předplněnou injekční stříkačku před podáním injekce.</w:t>
            </w:r>
          </w:p>
          <w:p w14:paraId="42EDCEBB" w14:textId="77777777" w:rsidR="005470FD" w:rsidRPr="005470FD" w:rsidRDefault="005470FD" w:rsidP="00B91B5A">
            <w:pPr>
              <w:pStyle w:val="ListParagraph"/>
              <w:numPr>
                <w:ilvl w:val="0"/>
                <w:numId w:val="60"/>
              </w:numPr>
              <w:ind w:left="474" w:hanging="474"/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Nepokoušejte se z předplněné injekční stříkačky odstranit průhledný bezpečnostní chránič.</w:t>
            </w:r>
          </w:p>
          <w:p w14:paraId="3820BB05" w14:textId="561A5ED2" w:rsidR="005470FD" w:rsidRPr="005470FD" w:rsidRDefault="005470FD" w:rsidP="00B91B5A">
            <w:pPr>
              <w:ind w:left="29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  <w:bCs/>
              </w:rPr>
              <w:t xml:space="preserve">V případě </w:t>
            </w:r>
            <w:r w:rsidR="00575227">
              <w:rPr>
                <w:rFonts w:ascii="Times New Roman" w:hAnsi="Times New Roman" w:cs="Times New Roman"/>
                <w:bCs/>
              </w:rPr>
              <w:t xml:space="preserve">jakýchkoli </w:t>
            </w:r>
            <w:r w:rsidRPr="005470FD">
              <w:rPr>
                <w:rFonts w:ascii="Times New Roman" w:hAnsi="Times New Roman" w:cs="Times New Roman"/>
                <w:bCs/>
              </w:rPr>
              <w:t>otázek zavolejte svému lékaři nebo zdravotnickému pracovníkovi.</w:t>
            </w:r>
          </w:p>
        </w:tc>
      </w:tr>
    </w:tbl>
    <w:p w14:paraId="31B167AF" w14:textId="77777777" w:rsidR="005470FD" w:rsidRPr="005470FD" w:rsidRDefault="005470FD" w:rsidP="00B91B5A"/>
    <w:p w14:paraId="7DE366A8" w14:textId="77777777" w:rsidR="005470FD" w:rsidRPr="005470FD" w:rsidRDefault="005470FD" w:rsidP="00B91B5A"/>
    <w:tbl>
      <w:tblPr>
        <w:tblStyle w:val="TableGrid0"/>
        <w:tblW w:w="5000" w:type="pct"/>
        <w:tblInd w:w="1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0"/>
        <w:gridCol w:w="8"/>
        <w:gridCol w:w="22"/>
        <w:gridCol w:w="8471"/>
      </w:tblGrid>
      <w:tr w:rsidR="005470FD" w:rsidRPr="005470FD" w14:paraId="77ABF0D5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32E" w14:textId="77777777" w:rsidR="005470FD" w:rsidRPr="005470FD" w:rsidRDefault="005470FD" w:rsidP="00B91B5A">
            <w:pPr>
              <w:keepNext/>
              <w:ind w:left="57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1: </w:t>
            </w:r>
            <w:r w:rsidRPr="005470FD">
              <w:rPr>
                <w:rFonts w:ascii="Times New Roman" w:hAnsi="Times New Roman" w:cs="Times New Roman"/>
                <w:b/>
              </w:rPr>
              <w:t>Příprava</w:t>
            </w:r>
          </w:p>
        </w:tc>
      </w:tr>
      <w:tr w:rsidR="005470FD" w:rsidRPr="005470FD" w14:paraId="2C854C00" w14:textId="77777777" w:rsidTr="00F21E85">
        <w:trPr>
          <w:cantSplit/>
          <w:trHeight w:val="2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1344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329" w14:textId="653EED03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Vyjměte z obalu </w:t>
            </w:r>
            <w:r w:rsidR="00575227">
              <w:rPr>
                <w:rFonts w:ascii="Times New Roman" w:hAnsi="Times New Roman" w:cs="Times New Roman"/>
              </w:rPr>
              <w:t>vložku</w:t>
            </w:r>
            <w:r w:rsidRPr="005470FD">
              <w:rPr>
                <w:rFonts w:ascii="Times New Roman" w:hAnsi="Times New Roman" w:cs="Times New Roman"/>
              </w:rPr>
              <w:t xml:space="preserve"> s předplněnou injekční stříkačkou a připravte si všechny pomůcky pro podání injekce: tampóny</w:t>
            </w:r>
            <w:r w:rsidR="00EC6E2B">
              <w:rPr>
                <w:rFonts w:ascii="Times New Roman" w:hAnsi="Times New Roman" w:cs="Times New Roman"/>
              </w:rPr>
              <w:t xml:space="preserve"> s alkoholem</w:t>
            </w:r>
            <w:r w:rsidRPr="005470FD">
              <w:rPr>
                <w:rFonts w:ascii="Times New Roman" w:hAnsi="Times New Roman" w:cs="Times New Roman"/>
              </w:rPr>
              <w:t xml:space="preserve">, </w:t>
            </w:r>
            <w:r w:rsidR="006563A4">
              <w:rPr>
                <w:rFonts w:ascii="Times New Roman" w:hAnsi="Times New Roman" w:cs="Times New Roman"/>
              </w:rPr>
              <w:t>vatový</w:t>
            </w:r>
            <w:r w:rsidRPr="005470FD">
              <w:rPr>
                <w:rFonts w:ascii="Times New Roman" w:hAnsi="Times New Roman" w:cs="Times New Roman"/>
              </w:rPr>
              <w:t xml:space="preserve"> nebo gázový polštářek, náplast a nádobu na ostrý odpad (nejsou součástí balení).</w:t>
            </w:r>
          </w:p>
        </w:tc>
      </w:tr>
      <w:tr w:rsidR="005470FD" w:rsidRPr="005470FD" w14:paraId="5F54DCD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702" w14:textId="78D0A7B1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Aby byla injekce příjemnější, ponechte předplněnou injekční stříkačku při pokojové teplotě po dobu asi 30 minut</w:t>
            </w:r>
            <w:r w:rsidR="006563A4">
              <w:rPr>
                <w:rFonts w:ascii="Times New Roman" w:hAnsi="Times New Roman" w:cs="Times New Roman"/>
              </w:rPr>
              <w:t xml:space="preserve"> před injekcí</w:t>
            </w:r>
            <w:r w:rsidRPr="005470FD">
              <w:rPr>
                <w:rFonts w:ascii="Times New Roman" w:hAnsi="Times New Roman" w:cs="Times New Roman"/>
              </w:rPr>
              <w:t>. Pečlivě si umyjte ruce vodou a mýdlem.</w:t>
            </w:r>
          </w:p>
          <w:p w14:paraId="66996462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25ACE755" w14:textId="02337A8E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Novou předplněnou injekční stříkačku a ostatní pomůcky dejte na čistou, dobře osvětlenou plochu.</w:t>
            </w:r>
          </w:p>
          <w:p w14:paraId="753378A6" w14:textId="77777777" w:rsidR="005470FD" w:rsidRPr="005470FD" w:rsidRDefault="005470FD" w:rsidP="00B91B5A">
            <w:pPr>
              <w:tabs>
                <w:tab w:val="clear" w:pos="567"/>
                <w:tab w:val="left" w:pos="574"/>
              </w:tabs>
              <w:ind w:left="603" w:hanging="603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75EE9492" wp14:editId="5CC6A76A">
                  <wp:extent cx="119380" cy="119380"/>
                  <wp:effectExtent l="0" t="0" r="0" b="0"/>
                  <wp:docPr id="7064" name="Picture 7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14564" name="Picture 706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Neohřívejte</w:t>
            </w:r>
            <w:r w:rsidRPr="005470FD">
              <w:rPr>
                <w:rFonts w:ascii="Times New Roman" w:hAnsi="Times New Roman" w:cs="Times New Roman"/>
                <w:bCs/>
              </w:rPr>
              <w:t xml:space="preserve"> předplněnou injekční stříkačku pomocí zdrojů tepla, např. v horké vodě nebo v mikrovlnné t</w:t>
            </w:r>
            <w:r w:rsidRPr="006563A4">
              <w:rPr>
                <w:rFonts w:ascii="Times New Roman" w:hAnsi="Times New Roman" w:cs="Times New Roman"/>
                <w:bCs/>
              </w:rPr>
              <w:t>r</w:t>
            </w:r>
            <w:r w:rsidRPr="00D32EE7">
              <w:rPr>
                <w:bCs/>
              </w:rPr>
              <w:t>oubě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2A8712A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4C116972" wp14:editId="53070F62">
                  <wp:extent cx="119380" cy="119379"/>
                  <wp:effectExtent l="0" t="0" r="0" b="0"/>
                  <wp:docPr id="7066" name="Picture 7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5405" name="Picture 706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Nenechávejte</w:t>
            </w:r>
            <w:r w:rsidRPr="005470FD">
              <w:rPr>
                <w:rFonts w:ascii="Times New Roman" w:hAnsi="Times New Roman" w:cs="Times New Roman"/>
                <w:bCs/>
              </w:rPr>
              <w:t xml:space="preserve"> předplněnou injekční stříkačku na přímém slunečním světle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230A31A6" w14:textId="2CFD2B96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50E5FBB1" wp14:editId="21F58E05">
                  <wp:extent cx="119380" cy="119380"/>
                  <wp:effectExtent l="0" t="0" r="0" b="0"/>
                  <wp:docPr id="7068" name="Picture 7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30758" name="Picture 70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Netřep</w:t>
            </w:r>
            <w:r w:rsidR="006563A4">
              <w:rPr>
                <w:rFonts w:ascii="Times New Roman" w:hAnsi="Times New Roman" w:cs="Times New Roman"/>
                <w:b/>
              </w:rPr>
              <w:t>ej</w:t>
            </w:r>
            <w:r w:rsidRPr="005470FD">
              <w:rPr>
                <w:rFonts w:ascii="Times New Roman" w:hAnsi="Times New Roman" w:cs="Times New Roman"/>
                <w:b/>
              </w:rPr>
              <w:t xml:space="preserve">te </w:t>
            </w:r>
            <w:r w:rsidRPr="005470FD">
              <w:rPr>
                <w:rFonts w:ascii="Times New Roman" w:hAnsi="Times New Roman" w:cs="Times New Roman"/>
                <w:bCs/>
              </w:rPr>
              <w:t>předplněnou injekční stříkačkou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91F7B87" w14:textId="77777777" w:rsidR="005470FD" w:rsidRPr="005470FD" w:rsidRDefault="005470FD" w:rsidP="00B91B5A">
            <w:pPr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eastAsia="Segoe UI Symbol" w:hAnsi="Times New Roman" w:cs="Times New Roman"/>
              </w:rPr>
              <w:t>•</w:t>
            </w:r>
            <w:r w:rsidRPr="005470FD">
              <w:rPr>
                <w:rFonts w:ascii="Times New Roman" w:eastAsia="Arial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>Uchovávejte předplněnou injekční stříkačku mimo dohled a dosah dětí.</w:t>
            </w:r>
          </w:p>
          <w:p w14:paraId="27D2DC29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7106BBC2" w14:textId="77777777" w:rsidTr="00F21E85">
        <w:trPr>
          <w:cantSplit/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37E5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20B5" w14:textId="254C27BA" w:rsidR="005470FD" w:rsidRPr="005470FD" w:rsidRDefault="005470FD" w:rsidP="00B91B5A">
            <w:pPr>
              <w:ind w:left="1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Otevřete </w:t>
            </w:r>
            <w:r w:rsidR="006563A4">
              <w:rPr>
                <w:rFonts w:ascii="Times New Roman" w:hAnsi="Times New Roman" w:cs="Times New Roman"/>
              </w:rPr>
              <w:t>vložku</w:t>
            </w:r>
            <w:r w:rsidRPr="005470FD">
              <w:rPr>
                <w:rFonts w:ascii="Times New Roman" w:hAnsi="Times New Roman" w:cs="Times New Roman"/>
              </w:rPr>
              <w:t xml:space="preserve"> odtržením fólie. Uchopte bezpečnostní </w:t>
            </w:r>
            <w:r w:rsidR="006563A4">
              <w:rPr>
                <w:rFonts w:ascii="Times New Roman" w:hAnsi="Times New Roman" w:cs="Times New Roman"/>
              </w:rPr>
              <w:t>chránič</w:t>
            </w:r>
            <w:r w:rsidRPr="005470FD">
              <w:rPr>
                <w:rFonts w:ascii="Times New Roman" w:hAnsi="Times New Roman" w:cs="Times New Roman"/>
              </w:rPr>
              <w:t xml:space="preserve"> a předplněnou injekční stříkačku vyjměte z </w:t>
            </w:r>
            <w:r w:rsidR="006563A4">
              <w:rPr>
                <w:rFonts w:ascii="Times New Roman" w:hAnsi="Times New Roman" w:cs="Times New Roman"/>
              </w:rPr>
              <w:t>vložky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56ADDB5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2F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4560BB0" wp14:editId="540B4FC7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2505075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70673" w14:textId="77777777" w:rsidR="005470FD" w:rsidRPr="0092436E" w:rsidRDefault="005470FD" w:rsidP="005470FD">
                                  <w:r>
                                    <w:t>Zde uchopte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60BB0" id="Text Box 8" o:spid="_x0000_s1035" type="#_x0000_t202" style="position:absolute;margin-left:197.55pt;margin-top:197.25pt;width:72.75pt;height:1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" filled="f" stroked="f">
                      <v:textbox style="mso-fit-shape-to-text:t" inset="0,0,0,0">
                        <w:txbxContent>
                          <w:p w14:paraId="78D70673" w14:textId="77777777" w:rsidR="005470FD" w:rsidRPr="0092436E" w:rsidRDefault="005470FD" w:rsidP="005470FD">
                            <w:r>
                              <w:t>Zde uchopte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51007443" wp14:editId="1979088E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3060000" cy="2907646"/>
                  <wp:effectExtent l="0" t="0" r="7620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81946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rFonts w:ascii="Times New Roman" w:hAnsi="Times New Roman" w:cs="Times New Roman"/>
              </w:rPr>
              <w:t>Z důvodu bezpečnosti:</w:t>
            </w:r>
          </w:p>
          <w:p w14:paraId="713FDB4E" w14:textId="759CE06F" w:rsidR="005470FD" w:rsidRPr="005470FD" w:rsidRDefault="005470FD" w:rsidP="00B91B5A">
            <w:pPr>
              <w:pStyle w:val="ListParagraph"/>
              <w:numPr>
                <w:ilvl w:val="0"/>
                <w:numId w:val="61"/>
              </w:numPr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</w:pPr>
            <w:r w:rsidRPr="005470FD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>Ne</w:t>
            </w:r>
            <w:r w:rsidR="006563A4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>uchopujte</w:t>
            </w:r>
            <w:r w:rsidRPr="005470FD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de-DE"/>
              </w:rPr>
              <w:t xml:space="preserve"> </w:t>
            </w:r>
            <w:r w:rsidRPr="005470FD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de-DE"/>
              </w:rPr>
              <w:t>stříkačku za píst.</w:t>
            </w:r>
          </w:p>
          <w:p w14:paraId="39CD21CB" w14:textId="1E5B08AC" w:rsidR="005470FD" w:rsidRPr="005470FD" w:rsidRDefault="005470FD" w:rsidP="00B91B5A">
            <w:pPr>
              <w:pStyle w:val="ListParagraph"/>
              <w:numPr>
                <w:ilvl w:val="0"/>
                <w:numId w:val="61"/>
              </w:numPr>
              <w:rPr>
                <w:rFonts w:ascii="Times New Roman" w:eastAsiaTheme="minorEastAsia" w:hAnsi="Times New Roman" w:cs="Times New Roman"/>
                <w:sz w:val="22"/>
                <w:szCs w:val="22"/>
                <w:lang w:eastAsia="de-DE"/>
              </w:rPr>
            </w:pPr>
            <w:r w:rsidRPr="00547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</w:t>
            </w:r>
            <w:r w:rsidR="006563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uchopujte</w:t>
            </w:r>
            <w:r w:rsidRPr="005470FD">
              <w:rPr>
                <w:rFonts w:ascii="Times New Roman" w:hAnsi="Times New Roman" w:cs="Times New Roman"/>
                <w:sz w:val="22"/>
                <w:szCs w:val="22"/>
              </w:rPr>
              <w:t xml:space="preserve"> stříkačku za šedý kryt jehly. </w:t>
            </w:r>
          </w:p>
          <w:p w14:paraId="0D96364D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1B810CA5" w14:textId="77777777" w:rsidTr="00F21E85">
        <w:trPr>
          <w:cantSplit/>
          <w:trHeight w:val="20"/>
        </w:trPr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C94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747" w14:textId="039CB5D6" w:rsidR="005470FD" w:rsidRPr="005470FD" w:rsidRDefault="006563A4" w:rsidP="00B91B5A">
            <w:pPr>
              <w:keepNext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</w:t>
            </w:r>
            <w:r w:rsidR="005470FD" w:rsidRPr="005470FD">
              <w:rPr>
                <w:rFonts w:ascii="Times New Roman" w:hAnsi="Times New Roman" w:cs="Times New Roman"/>
              </w:rPr>
              <w:t>ontrol</w:t>
            </w:r>
            <w:r>
              <w:rPr>
                <w:rFonts w:ascii="Times New Roman" w:hAnsi="Times New Roman" w:cs="Times New Roman"/>
              </w:rPr>
              <w:t>ujte</w:t>
            </w:r>
            <w:r w:rsidR="005470FD" w:rsidRPr="005470FD">
              <w:rPr>
                <w:rFonts w:ascii="Times New Roman" w:hAnsi="Times New Roman" w:cs="Times New Roman"/>
              </w:rPr>
              <w:t xml:space="preserve"> příprav</w:t>
            </w:r>
            <w:r>
              <w:rPr>
                <w:rFonts w:ascii="Times New Roman" w:hAnsi="Times New Roman" w:cs="Times New Roman"/>
              </w:rPr>
              <w:t>ek</w:t>
            </w:r>
            <w:r w:rsidR="005470FD" w:rsidRPr="005470FD">
              <w:rPr>
                <w:rFonts w:ascii="Times New Roman" w:hAnsi="Times New Roman" w:cs="Times New Roman"/>
              </w:rPr>
              <w:t xml:space="preserve"> a předplněn</w:t>
            </w:r>
            <w:r>
              <w:rPr>
                <w:rFonts w:ascii="Times New Roman" w:hAnsi="Times New Roman" w:cs="Times New Roman"/>
              </w:rPr>
              <w:t>ou</w:t>
            </w:r>
            <w:r w:rsidR="005470FD" w:rsidRPr="005470FD">
              <w:rPr>
                <w:rFonts w:ascii="Times New Roman" w:hAnsi="Times New Roman" w:cs="Times New Roman"/>
              </w:rPr>
              <w:t xml:space="preserve"> injekční stříkačk</w:t>
            </w:r>
            <w:r>
              <w:rPr>
                <w:rFonts w:ascii="Times New Roman" w:hAnsi="Times New Roman" w:cs="Times New Roman"/>
              </w:rPr>
              <w:t>u</w:t>
            </w:r>
            <w:r w:rsidR="005470FD"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77D3266F" w14:textId="77777777" w:rsidTr="00F21E85">
        <w:trPr>
          <w:cantSplit/>
          <w:trHeight w:val="2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537" w14:textId="77777777" w:rsidR="005470FD" w:rsidRPr="005470FD" w:rsidRDefault="005470FD" w:rsidP="00B91B5A">
            <w:pPr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349FDBC" wp14:editId="5898007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1269365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370A5" w14:textId="77777777" w:rsidR="005470FD" w:rsidRPr="00A02990" w:rsidRDefault="005470FD" w:rsidP="005470FD">
                                  <w:r>
                                    <w:t>Šedý kryt jehly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9FDBC" id="Text Box 10" o:spid="_x0000_s1036" type="#_x0000_t202" style="position:absolute;left:0;text-align:left;margin-left:98.55pt;margin-top:99.95pt;width:72.75pt;height:1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" filled="f" stroked="f">
                      <v:textbox style="mso-fit-shape-to-text:t" inset="0,0,0,0">
                        <w:txbxContent>
                          <w:p w14:paraId="09B370A5" w14:textId="77777777" w:rsidR="005470FD" w:rsidRPr="00A02990" w:rsidRDefault="005470FD" w:rsidP="005470FD">
                            <w:r>
                              <w:t>Šedý kryt jehly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A55E583" wp14:editId="2C52B319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3060000" cy="2734396"/>
                  <wp:effectExtent l="0" t="0" r="7620" b="889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2611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734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BAD9E1F" wp14:editId="4E97F582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2229485</wp:posOffset>
                      </wp:positionV>
                      <wp:extent cx="1619250" cy="241300"/>
                      <wp:effectExtent l="0" t="0" r="0" b="1905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32240" w14:textId="77777777" w:rsidR="005470FD" w:rsidRPr="00A02990" w:rsidRDefault="005470FD" w:rsidP="005470FD">
                                  <w:r>
                                    <w:t>Štítek a doba použitelnosti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D9E1F" id="Text Box 12" o:spid="_x0000_s1037" type="#_x0000_t202" style="position:absolute;left:0;text-align:left;margin-left:202.9pt;margin-top:175.55pt;width:127.5pt;height:1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" filled="f" stroked="f">
                      <v:textbox style="mso-fit-shape-to-text:t" inset="0,0,0,0">
                        <w:txbxContent>
                          <w:p w14:paraId="2D932240" w14:textId="77777777" w:rsidR="005470FD" w:rsidRPr="00A02990" w:rsidRDefault="005470FD" w:rsidP="005470FD">
                            <w:r>
                              <w:t>Štítek a doba použitelnosti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470FD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6B26BF2" wp14:editId="75E3F61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448310</wp:posOffset>
                      </wp:positionV>
                      <wp:extent cx="600075" cy="241300"/>
                      <wp:effectExtent l="0" t="0" r="9525" b="1905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E88B9" w14:textId="77777777" w:rsidR="005470FD" w:rsidRPr="00A02990" w:rsidRDefault="005470FD" w:rsidP="005470FD">
                                  <w:r>
                                    <w:t>Lék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26BF2" id="Text Box 11" o:spid="_x0000_s1038" type="#_x0000_t202" style="position:absolute;left:0;text-align:left;margin-left:171.4pt;margin-top:35.3pt;width:47.25pt;height:1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" filled="f" stroked="f">
                      <v:textbox style="mso-fit-shape-to-text:t" inset="0,0,0,0">
                        <w:txbxContent>
                          <w:p w14:paraId="0D1E88B9" w14:textId="77777777" w:rsidR="005470FD" w:rsidRPr="00A02990" w:rsidRDefault="005470FD" w:rsidP="005470FD">
                            <w:r>
                              <w:t>Lék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3C4F9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eastAsia="pl-PL"/>
              </w:rPr>
              <w:drawing>
                <wp:inline distT="0" distB="0" distL="0" distR="0" wp14:anchorId="4564754C" wp14:editId="39F4AD37">
                  <wp:extent cx="119380" cy="119380"/>
                  <wp:effectExtent l="0" t="0" r="0" b="0"/>
                  <wp:docPr id="7283" name="Picture 7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05407" name="Picture 728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Nepoužívejte </w:t>
            </w:r>
            <w:r w:rsidRPr="005470FD">
              <w:rPr>
                <w:rFonts w:ascii="Times New Roman" w:hAnsi="Times New Roman" w:cs="Times New Roman"/>
              </w:rPr>
              <w:t>předplněnou injekční stříkačku, pokud:</w:t>
            </w:r>
          </w:p>
          <w:p w14:paraId="10C52653" w14:textId="3C21CC1D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Je lék zakalen nebo obsahuje pevné částice. Musí to být čir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>, bezbarv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 xml:space="preserve"> až mírně nažloutl</w:t>
            </w:r>
            <w:r w:rsidR="006133B7">
              <w:rPr>
                <w:rFonts w:ascii="Times New Roman" w:hAnsi="Times New Roman" w:cs="Times New Roman"/>
              </w:rPr>
              <w:t>ý</w:t>
            </w:r>
            <w:r w:rsidRPr="00AE5D1D">
              <w:rPr>
                <w:rFonts w:ascii="Times New Roman" w:hAnsi="Times New Roman" w:cs="Times New Roman"/>
              </w:rPr>
              <w:t xml:space="preserve"> </w:t>
            </w:r>
            <w:r w:rsidR="006133B7">
              <w:rPr>
                <w:rFonts w:ascii="Times New Roman" w:hAnsi="Times New Roman" w:cs="Times New Roman"/>
              </w:rPr>
              <w:t>roztok</w:t>
            </w:r>
            <w:r w:rsidRPr="00AE5D1D">
              <w:rPr>
                <w:rFonts w:ascii="Times New Roman" w:hAnsi="Times New Roman" w:cs="Times New Roman"/>
              </w:rPr>
              <w:t>.</w:t>
            </w:r>
          </w:p>
          <w:p w14:paraId="765BFDEA" w14:textId="77777777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Se některá část zdá být prasklá nebo rozbitá.</w:t>
            </w:r>
          </w:p>
          <w:p w14:paraId="4228E9F3" w14:textId="77777777" w:rsidR="005470FD" w:rsidRPr="00AE5D1D" w:rsidRDefault="005470FD" w:rsidP="00B91B5A">
            <w:pPr>
              <w:keepNext/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Chybí šedý kryt jehly nebo není bezpečně nasazen.</w:t>
            </w:r>
          </w:p>
          <w:p w14:paraId="36A3F781" w14:textId="77777777" w:rsidR="005470FD" w:rsidRPr="005470FD" w:rsidRDefault="005470FD" w:rsidP="00B91B5A">
            <w:pPr>
              <w:numPr>
                <w:ilvl w:val="0"/>
                <w:numId w:val="57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 xml:space="preserve">Uplynul poslední den měsíce uvedeného u doby použitelnosti na štítku. </w:t>
            </w:r>
          </w:p>
          <w:p w14:paraId="4B5ADCBD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Ve všech těchto případech volejte svému lékaři nebo zdravotnickému pracovníkovi.</w:t>
            </w:r>
          </w:p>
        </w:tc>
      </w:tr>
    </w:tbl>
    <w:p w14:paraId="7A76601D" w14:textId="77777777" w:rsidR="005470FD" w:rsidRPr="005470FD" w:rsidRDefault="005470FD" w:rsidP="00B91B5A"/>
    <w:p w14:paraId="2A52390A" w14:textId="77777777" w:rsidR="005470FD" w:rsidRPr="005470FD" w:rsidRDefault="005470FD" w:rsidP="00B91B5A"/>
    <w:tbl>
      <w:tblPr>
        <w:tblStyle w:val="TableGrid0"/>
        <w:tblW w:w="4998" w:type="pct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7"/>
        <w:gridCol w:w="41"/>
        <w:gridCol w:w="8389"/>
      </w:tblGrid>
      <w:tr w:rsidR="005470FD" w:rsidRPr="005470FD" w14:paraId="036629B5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BE4" w14:textId="77777777" w:rsidR="005470FD" w:rsidRPr="005470FD" w:rsidRDefault="005470FD" w:rsidP="00B91B5A">
            <w:pPr>
              <w:keepNext/>
              <w:ind w:left="57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rFonts w:ascii="Times New Roman" w:hAnsi="Times New Roman" w:cs="Times New Roman"/>
                <w:lang w:val="pl-PL"/>
              </w:rPr>
              <w:t xml:space="preserve">Krok 2: </w:t>
            </w:r>
            <w:r w:rsidRPr="005470FD">
              <w:rPr>
                <w:rFonts w:ascii="Times New Roman" w:hAnsi="Times New Roman" w:cs="Times New Roman"/>
                <w:b/>
                <w:lang w:val="pl-PL"/>
              </w:rPr>
              <w:t>Příprava na podání injekce</w:t>
            </w:r>
          </w:p>
        </w:tc>
      </w:tr>
      <w:tr w:rsidR="005470FD" w:rsidRPr="005470FD" w14:paraId="22D52AFA" w14:textId="77777777" w:rsidTr="00F21E8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9FF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59AE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Pečlivě si umyjte ruce. Připravte si a očistěte místo pro aplikaci injekce.</w:t>
            </w:r>
          </w:p>
        </w:tc>
      </w:tr>
      <w:tr w:rsidR="005470FD" w:rsidRPr="005470FD" w14:paraId="322B4C28" w14:textId="77777777" w:rsidTr="00F21E85">
        <w:trPr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E71BA" w14:textId="77777777" w:rsidR="005470FD" w:rsidRPr="005470FD" w:rsidRDefault="005470FD" w:rsidP="00B91B5A">
            <w:pPr>
              <w:ind w:right="2677"/>
              <w:rPr>
                <w:rFonts w:ascii="Times New Roman" w:hAnsi="Times New Roman" w:cs="Times New Roman"/>
                <w:b/>
              </w:rPr>
            </w:pP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A5F131" wp14:editId="4B22D950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2014855</wp:posOffset>
                      </wp:positionV>
                      <wp:extent cx="1413510" cy="168910"/>
                      <wp:effectExtent l="0" t="0" r="0" b="1905"/>
                      <wp:wrapSquare wrapText="bothSides"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B6DA1" w14:textId="77777777" w:rsidR="005470FD" w:rsidRPr="00A02990" w:rsidRDefault="005470FD" w:rsidP="005470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Horní strana stehna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5F131" id="Text Box 19" o:spid="_x0000_s1039" type="#_x0000_t202" style="position:absolute;margin-left:34.4pt;margin-top:158.65pt;width:111.3pt;height:13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" filled="f" stroked="f">
                      <v:textbox style="mso-fit-shape-to-text:t" inset="0,0,0,0">
                        <w:txbxContent>
                          <w:p w14:paraId="469B6DA1" w14:textId="77777777" w:rsidR="005470FD" w:rsidRPr="00A02990" w:rsidRDefault="005470FD" w:rsidP="00547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Horní strana stehna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2F7BD4A" wp14:editId="45257096">
                      <wp:simplePos x="0" y="0"/>
                      <wp:positionH relativeFrom="column">
                        <wp:posOffset>1029970</wp:posOffset>
                      </wp:positionH>
                      <wp:positionV relativeFrom="page">
                        <wp:posOffset>406400</wp:posOffset>
                      </wp:positionV>
                      <wp:extent cx="1032510" cy="168910"/>
                      <wp:effectExtent l="0" t="0" r="0" b="1905"/>
                      <wp:wrapSquare wrapText="bothSides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36BB1" w14:textId="77777777" w:rsidR="005470FD" w:rsidRPr="00175354" w:rsidRDefault="005470FD" w:rsidP="005470FD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Horní část paže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7BD4A" id="Text Box 17" o:spid="_x0000_s1040" type="#_x0000_t202" style="position:absolute;margin-left:81.1pt;margin-top:32pt;width:81.3pt;height:13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" filled="f" stroked="f">
                      <v:textbox style="mso-fit-shape-to-text:t" inset="0,0,0,0">
                        <w:txbxContent>
                          <w:p w14:paraId="77736BB1" w14:textId="77777777" w:rsidR="005470FD" w:rsidRPr="00175354" w:rsidRDefault="005470FD" w:rsidP="005470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Horní část paže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85D06E1" wp14:editId="33DDBE28">
                      <wp:simplePos x="0" y="0"/>
                      <wp:positionH relativeFrom="column">
                        <wp:posOffset>1206500</wp:posOffset>
                      </wp:positionH>
                      <wp:positionV relativeFrom="page">
                        <wp:posOffset>1195705</wp:posOffset>
                      </wp:positionV>
                      <wp:extent cx="914400" cy="168910"/>
                      <wp:effectExtent l="0" t="0" r="0" b="1905"/>
                      <wp:wrapSquare wrapText="bothSides"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F31B8" w14:textId="77777777" w:rsidR="005470FD" w:rsidRPr="00175354" w:rsidRDefault="005470FD" w:rsidP="005470FD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Břicho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D06E1" id="Text Box 18" o:spid="_x0000_s1041" type="#_x0000_t202" style="position:absolute;margin-left:95pt;margin-top:94.15pt;width:1in;height:13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" filled="f" stroked="f">
                      <v:textbox style="mso-fit-shape-to-text:t" inset="0,0,0,0">
                        <w:txbxContent>
                          <w:p w14:paraId="2B7F31B8" w14:textId="77777777" w:rsidR="005470FD" w:rsidRPr="00175354" w:rsidRDefault="005470FD" w:rsidP="005470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Břicho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5470FD">
              <w:rPr>
                <w:b/>
                <w:noProof/>
                <w:lang w:val="pl-PL" w:eastAsia="pl-PL"/>
              </w:rPr>
              <w:drawing>
                <wp:anchor distT="0" distB="0" distL="114300" distR="114300" simplePos="0" relativeHeight="251659264" behindDoc="0" locked="0" layoutInCell="1" allowOverlap="1" wp14:anchorId="5CD4C4E5" wp14:editId="69926027">
                  <wp:simplePos x="0" y="0"/>
                  <wp:positionH relativeFrom="margin">
                    <wp:align>center</wp:align>
                  </wp:positionH>
                  <wp:positionV relativeFrom="paragraph">
                    <wp:posOffset>5080</wp:posOffset>
                  </wp:positionV>
                  <wp:extent cx="3059430" cy="2919095"/>
                  <wp:effectExtent l="0" t="0" r="762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55223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BDD7E7" w14:textId="77777777" w:rsidR="005470FD" w:rsidRPr="005470FD" w:rsidRDefault="005470FD" w:rsidP="00B91B5A">
            <w:pPr>
              <w:ind w:right="2677"/>
              <w:rPr>
                <w:rFonts w:ascii="Times New Roman" w:hAnsi="Times New Roman" w:cs="Times New Roman"/>
                <w:b/>
              </w:rPr>
            </w:pPr>
            <w:r w:rsidRPr="005470FD">
              <w:rPr>
                <w:rFonts w:ascii="Times New Roman" w:hAnsi="Times New Roman" w:cs="Times New Roman"/>
                <w:b/>
              </w:rPr>
              <w:t>Můžete použít:</w:t>
            </w:r>
          </w:p>
          <w:p w14:paraId="5410ADA8" w14:textId="77777777" w:rsidR="005470FD" w:rsidRPr="005470FD" w:rsidRDefault="005470FD" w:rsidP="00B91B5A">
            <w:pPr>
              <w:keepNext/>
              <w:numPr>
                <w:ilvl w:val="0"/>
                <w:numId w:val="58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Horní část stehna.</w:t>
            </w:r>
          </w:p>
          <w:p w14:paraId="1EE2DFDF" w14:textId="77777777" w:rsidR="005470FD" w:rsidRPr="00AE5D1D" w:rsidRDefault="005470FD" w:rsidP="00B91B5A">
            <w:pPr>
              <w:keepNext/>
              <w:numPr>
                <w:ilvl w:val="0"/>
                <w:numId w:val="58"/>
              </w:numPr>
              <w:tabs>
                <w:tab w:val="clear" w:pos="567"/>
              </w:tabs>
              <w:ind w:hanging="567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Břicho kromě oblasti 5 cm okolo pupku.</w:t>
            </w:r>
          </w:p>
          <w:p w14:paraId="00B33FB0" w14:textId="77A04DFF" w:rsidR="005470FD" w:rsidRPr="00AE5D1D" w:rsidRDefault="005470FD" w:rsidP="00B91B5A">
            <w:pPr>
              <w:numPr>
                <w:ilvl w:val="0"/>
                <w:numId w:val="58"/>
              </w:numPr>
              <w:tabs>
                <w:tab w:val="clear" w:pos="567"/>
              </w:tabs>
              <w:ind w:hanging="568"/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Vnější stranu horní části paže (pouze pokud Vám injekci podává někdo jiný</w:t>
            </w:r>
            <w:r w:rsidR="006133B7">
              <w:rPr>
                <w:rFonts w:ascii="Times New Roman" w:hAnsi="Times New Roman" w:cs="Times New Roman"/>
              </w:rPr>
              <w:t>)</w:t>
            </w:r>
            <w:r w:rsidRPr="00AE5D1D">
              <w:rPr>
                <w:rFonts w:ascii="Times New Roman" w:hAnsi="Times New Roman" w:cs="Times New Roman"/>
              </w:rPr>
              <w:t>.</w:t>
            </w:r>
          </w:p>
          <w:p w14:paraId="779EF5F6" w14:textId="77777777" w:rsidR="005470FD" w:rsidRPr="00AE5D1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284ED2F5" w14:textId="4ECEE4DF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AE5D1D">
              <w:rPr>
                <w:rFonts w:ascii="Times New Roman" w:hAnsi="Times New Roman" w:cs="Times New Roman"/>
              </w:rPr>
              <w:t>Místo aplikace očistěte tamponem</w:t>
            </w:r>
            <w:r w:rsidR="006133B7">
              <w:rPr>
                <w:rFonts w:ascii="Times New Roman" w:hAnsi="Times New Roman" w:cs="Times New Roman"/>
              </w:rPr>
              <w:t xml:space="preserve"> s alkoholem</w:t>
            </w:r>
            <w:r w:rsidRPr="00AE5D1D">
              <w:rPr>
                <w:rFonts w:ascii="Times New Roman" w:hAnsi="Times New Roman" w:cs="Times New Roman"/>
              </w:rPr>
              <w:t xml:space="preserve">. </w:t>
            </w:r>
            <w:r w:rsidR="006133B7">
              <w:rPr>
                <w:rFonts w:ascii="Times New Roman" w:hAnsi="Times New Roman" w:cs="Times New Roman"/>
              </w:rPr>
              <w:t>Kůži</w:t>
            </w:r>
            <w:r w:rsidRPr="005470FD">
              <w:rPr>
                <w:rFonts w:ascii="Times New Roman" w:hAnsi="Times New Roman" w:cs="Times New Roman"/>
              </w:rPr>
              <w:t xml:space="preserve"> nechte uschnout.</w:t>
            </w:r>
          </w:p>
          <w:p w14:paraId="72FFD84B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5C19A689" w14:textId="74F229DA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458A52ED" wp14:editId="7AFA71F1">
                  <wp:extent cx="124460" cy="124460"/>
                  <wp:effectExtent l="0" t="0" r="8890" b="8890"/>
                  <wp:docPr id="2016148316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  <w:bCs/>
              </w:rPr>
              <w:t>Ne</w:t>
            </w:r>
            <w:r w:rsidRPr="005470FD">
              <w:rPr>
                <w:rFonts w:ascii="Times New Roman" w:hAnsi="Times New Roman" w:cs="Times New Roman"/>
                <w:b/>
              </w:rPr>
              <w:t xml:space="preserve">dotýkejte </w:t>
            </w:r>
            <w:r w:rsidRPr="005470FD">
              <w:rPr>
                <w:rFonts w:ascii="Times New Roman" w:hAnsi="Times New Roman" w:cs="Times New Roman"/>
                <w:bCs/>
              </w:rPr>
              <w:t>se místa injekce před aplikací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5F16C82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080A9AEE" w14:textId="14E005A1" w:rsidR="005470FD" w:rsidRPr="005470FD" w:rsidRDefault="005470FD" w:rsidP="00B91B5A">
            <w:pPr>
              <w:ind w:left="567" w:hanging="567"/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669C2E27" wp14:editId="27A70983">
                  <wp:extent cx="145415" cy="145415"/>
                  <wp:effectExtent l="0" t="0" r="6985" b="6985"/>
                  <wp:docPr id="104779423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Injekci </w:t>
            </w:r>
            <w:r w:rsidRPr="005470FD">
              <w:rPr>
                <w:rFonts w:ascii="Times New Roman" w:hAnsi="Times New Roman" w:cs="Times New Roman"/>
                <w:bCs/>
              </w:rPr>
              <w:t xml:space="preserve">nepodávejte do míst, kde je kůže </w:t>
            </w:r>
            <w:r w:rsidR="006133B7">
              <w:rPr>
                <w:rFonts w:ascii="Times New Roman" w:hAnsi="Times New Roman" w:cs="Times New Roman"/>
                <w:bCs/>
              </w:rPr>
              <w:t>citlivá</w:t>
            </w:r>
            <w:r w:rsidRPr="005470FD">
              <w:rPr>
                <w:rFonts w:ascii="Times New Roman" w:hAnsi="Times New Roman" w:cs="Times New Roman"/>
                <w:bCs/>
              </w:rPr>
              <w:t xml:space="preserve">, pohmožděná, červená nebo </w:t>
            </w:r>
            <w:r w:rsidR="006133B7">
              <w:rPr>
                <w:rFonts w:ascii="Times New Roman" w:hAnsi="Times New Roman" w:cs="Times New Roman"/>
                <w:bCs/>
              </w:rPr>
              <w:t>ztuhlá</w:t>
            </w:r>
            <w:r w:rsidRPr="005470FD">
              <w:rPr>
                <w:rFonts w:ascii="Times New Roman" w:hAnsi="Times New Roman" w:cs="Times New Roman"/>
                <w:bCs/>
              </w:rPr>
              <w:t>. Nepodávejte injekci do oblastí s jizvami nebo striemi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  <w:p w14:paraId="19E64680" w14:textId="77777777" w:rsidR="005470FD" w:rsidRPr="005470FD" w:rsidRDefault="005470FD" w:rsidP="00B91B5A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225B2125" w14:textId="77777777" w:rsidTr="00F21E8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6217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1BD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Opatrně odstraňte šedý kryt jehly rovným tahem směrem od těla.</w:t>
            </w:r>
          </w:p>
        </w:tc>
      </w:tr>
      <w:tr w:rsidR="005470FD" w:rsidRPr="005470FD" w14:paraId="07BD433A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47FC" w14:textId="77777777" w:rsidR="005470FD" w:rsidRPr="005470FD" w:rsidRDefault="005470FD" w:rsidP="00B91B5A">
            <w:pPr>
              <w:ind w:right="2663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0768" behindDoc="0" locked="0" layoutInCell="1" allowOverlap="1" wp14:anchorId="2F7FA5A4" wp14:editId="4F024684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3060000" cy="2905370"/>
                  <wp:effectExtent l="0" t="0" r="7620" b="0"/>
                  <wp:wrapTopAndBottom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2378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70FD" w:rsidRPr="005470FD" w14:paraId="402B38F7" w14:textId="77777777" w:rsidTr="00F21E85">
        <w:trPr>
          <w:cantSplit/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AFC9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FD5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Vytvořte kožní řasu v místě pro podání injekce, aby vznikl pevný povrch.</w:t>
            </w:r>
          </w:p>
        </w:tc>
      </w:tr>
      <w:tr w:rsidR="005470FD" w:rsidRPr="005470FD" w14:paraId="37CE59BD" w14:textId="77777777" w:rsidTr="00F21E85">
        <w:trPr>
          <w:cantSplit/>
          <w:trHeight w:val="2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52C81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73F9235B" w14:textId="4ED5A348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eastAsiaTheme="minorHAnsi"/>
                <w:noProof/>
              </w:rPr>
              <w:drawing>
                <wp:inline distT="0" distB="0" distL="0" distR="0" wp14:anchorId="10A38921" wp14:editId="452F9E38">
                  <wp:extent cx="145415" cy="145415"/>
                  <wp:effectExtent l="0" t="0" r="6985" b="6985"/>
                  <wp:docPr id="113956611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noProof/>
                <w:lang w:eastAsia="pl-PL"/>
              </w:rPr>
              <w:t>Při aplikaci injekce je důležité držet kožní řasu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</w:tbl>
    <w:p w14:paraId="02556EEC" w14:textId="77777777" w:rsidR="005470FD" w:rsidRPr="005470FD" w:rsidRDefault="005470FD" w:rsidP="00B91B5A"/>
    <w:p w14:paraId="228CFD3F" w14:textId="77777777" w:rsidR="005470FD" w:rsidRPr="005470FD" w:rsidRDefault="005470FD" w:rsidP="00B91B5A"/>
    <w:tbl>
      <w:tblPr>
        <w:tblStyle w:val="TableGrid0"/>
        <w:tblW w:w="5000" w:type="pct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19"/>
        <w:gridCol w:w="8342"/>
      </w:tblGrid>
      <w:tr w:rsidR="005470FD" w:rsidRPr="005470FD" w14:paraId="399727D1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57F" w14:textId="77777777" w:rsidR="005470FD" w:rsidRPr="005470FD" w:rsidRDefault="005470FD" w:rsidP="00B91B5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3: </w:t>
            </w:r>
            <w:r w:rsidRPr="005470FD">
              <w:rPr>
                <w:rFonts w:ascii="Times New Roman" w:hAnsi="Times New Roman" w:cs="Times New Roman"/>
                <w:b/>
              </w:rPr>
              <w:t>Podání injekce</w:t>
            </w:r>
          </w:p>
        </w:tc>
      </w:tr>
      <w:tr w:rsidR="005470FD" w:rsidRPr="005470FD" w14:paraId="5F4EB5C3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CFB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0423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Udržujte kožní řasu. VPÍCHNĚTE jehlu do kůže.</w:t>
            </w:r>
          </w:p>
        </w:tc>
      </w:tr>
      <w:tr w:rsidR="005470FD" w:rsidRPr="005470FD" w14:paraId="739D35C6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FEE34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15C9A3CA" w14:textId="1599F5E1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1792" behindDoc="0" locked="0" layoutInCell="1" allowOverlap="1" wp14:anchorId="255809CD" wp14:editId="3D7CBAC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-2878455</wp:posOffset>
                  </wp:positionV>
                  <wp:extent cx="3059430" cy="2867660"/>
                  <wp:effectExtent l="0" t="0" r="7620" b="8890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924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86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7515BB01" wp14:editId="5DB41258">
                  <wp:extent cx="119380" cy="119380"/>
                  <wp:effectExtent l="0" t="0" r="0" b="0"/>
                  <wp:docPr id="7419" name="Picture 7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780595" name="Picture 74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Nedotýkejte </w:t>
            </w:r>
            <w:r w:rsidRPr="005470FD">
              <w:rPr>
                <w:rFonts w:ascii="Times New Roman" w:hAnsi="Times New Roman" w:cs="Times New Roman"/>
                <w:bCs/>
              </w:rPr>
              <w:t>se oblasti s očištěnou kůží</w:t>
            </w:r>
            <w:r w:rsidRPr="005470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0FD" w:rsidRPr="005470FD" w14:paraId="2C86AADD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F260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A0C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rFonts w:ascii="Times New Roman" w:hAnsi="Times New Roman" w:cs="Times New Roman"/>
                <w:lang w:val="pl-PL"/>
              </w:rPr>
              <w:t>ZATLAČTE pomalu a rovnoměrně na píst. Tlačte na píst, dokud nedosáhne dna stříkačky.</w:t>
            </w:r>
          </w:p>
        </w:tc>
      </w:tr>
      <w:tr w:rsidR="005470FD" w:rsidRPr="005470FD" w14:paraId="5FAFE881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A538" w14:textId="77777777" w:rsidR="005470FD" w:rsidRPr="005470FD" w:rsidRDefault="005470FD" w:rsidP="00B91B5A">
            <w:pPr>
              <w:rPr>
                <w:rFonts w:ascii="Times New Roman" w:hAnsi="Times New Roman" w:cs="Times New Roman"/>
                <w:lang w:val="pl-PL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2816" behindDoc="0" locked="0" layoutInCell="1" allowOverlap="1" wp14:anchorId="603092E8" wp14:editId="4280BF6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-3032760</wp:posOffset>
                  </wp:positionV>
                  <wp:extent cx="3059430" cy="2914015"/>
                  <wp:effectExtent l="0" t="0" r="7620" b="635"/>
                  <wp:wrapTopAndBottom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51482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B03362" w14:textId="77777777" w:rsidR="005470FD" w:rsidRPr="005470FD" w:rsidRDefault="005470FD" w:rsidP="00B91B5A">
            <w:pPr>
              <w:tabs>
                <w:tab w:val="center" w:pos="4136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470FD" w:rsidRPr="005470FD" w14:paraId="4028521B" w14:textId="77777777" w:rsidTr="00F21E8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5A7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1E0" w14:textId="7144A616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UVOLNĚTE palec. Pak VYTÁHNĚTE stříkačku z </w:t>
            </w:r>
            <w:r w:rsidR="002315AA">
              <w:rPr>
                <w:rFonts w:ascii="Times New Roman" w:hAnsi="Times New Roman" w:cs="Times New Roman"/>
              </w:rPr>
              <w:t>kůže</w:t>
            </w:r>
            <w:r w:rsidRPr="005470FD">
              <w:rPr>
                <w:rFonts w:ascii="Times New Roman" w:hAnsi="Times New Roman" w:cs="Times New Roman"/>
              </w:rPr>
              <w:t>.</w:t>
            </w:r>
          </w:p>
        </w:tc>
      </w:tr>
      <w:tr w:rsidR="005470FD" w:rsidRPr="005470FD" w14:paraId="38CBB393" w14:textId="77777777" w:rsidTr="00F21E85">
        <w:trPr>
          <w:cantSplit/>
          <w:trHeight w:val="2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2A694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3840" behindDoc="0" locked="0" layoutInCell="1" allowOverlap="1" wp14:anchorId="603C76B6" wp14:editId="0AA3143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-2920365</wp:posOffset>
                  </wp:positionV>
                  <wp:extent cx="3059430" cy="2923540"/>
                  <wp:effectExtent l="0" t="0" r="7620" b="0"/>
                  <wp:wrapTopAndBottom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2767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1D74A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Po uvolnění pístu bezpečnostní chránič předplněné injekční stříkačky bezpečně zakryje jehlu.</w:t>
            </w:r>
          </w:p>
          <w:p w14:paraId="5C0FF770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</w:p>
          <w:p w14:paraId="6B94714E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2D4B2B44" wp14:editId="37C7ACC4">
                  <wp:extent cx="119380" cy="119379"/>
                  <wp:effectExtent l="0" t="0" r="0" b="0"/>
                  <wp:docPr id="7552" name="Picture 7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53758" name="Picture 75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</w:r>
            <w:r w:rsidRPr="005470FD">
              <w:rPr>
                <w:rFonts w:ascii="Times New Roman" w:hAnsi="Times New Roman" w:cs="Times New Roman"/>
                <w:b/>
              </w:rPr>
              <w:t xml:space="preserve">Nenasazujte </w:t>
            </w:r>
            <w:r w:rsidRPr="005470FD">
              <w:rPr>
                <w:rFonts w:ascii="Times New Roman" w:hAnsi="Times New Roman" w:cs="Times New Roman"/>
                <w:bCs/>
              </w:rPr>
              <w:t xml:space="preserve">šedý kryt jehly zpět na použitou předplněnou injekční stříkačku. </w:t>
            </w:r>
          </w:p>
        </w:tc>
      </w:tr>
    </w:tbl>
    <w:p w14:paraId="79B4DA27" w14:textId="77777777" w:rsidR="005470FD" w:rsidRPr="005470FD" w:rsidRDefault="005470FD" w:rsidP="00B91B5A"/>
    <w:tbl>
      <w:tblPr>
        <w:tblStyle w:val="TableGrid0"/>
        <w:tblW w:w="4991" w:type="pct"/>
        <w:tblInd w:w="17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16"/>
        <w:gridCol w:w="17"/>
        <w:gridCol w:w="8512"/>
      </w:tblGrid>
      <w:tr w:rsidR="005470FD" w:rsidRPr="005470FD" w14:paraId="733B0E6E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E841" w14:textId="77777777" w:rsidR="005470FD" w:rsidRPr="005470FD" w:rsidRDefault="005470FD" w:rsidP="00B91B5A">
            <w:pPr>
              <w:keepNext/>
              <w:ind w:left="16"/>
              <w:jc w:val="center"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Krok 4: </w:t>
            </w:r>
            <w:r w:rsidRPr="005470FD">
              <w:rPr>
                <w:rFonts w:ascii="Times New Roman" w:hAnsi="Times New Roman" w:cs="Times New Roman"/>
                <w:b/>
              </w:rPr>
              <w:t>Dokončení</w:t>
            </w:r>
          </w:p>
        </w:tc>
      </w:tr>
      <w:tr w:rsidR="005470FD" w:rsidRPr="005470FD" w14:paraId="21FA5BA8" w14:textId="77777777" w:rsidTr="005470FD">
        <w:trPr>
          <w:cantSplit/>
          <w:trHeight w:val="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85E0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C36" w14:textId="4FEDA23E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Předplněnou injekční stříkačku a další </w:t>
            </w:r>
            <w:r w:rsidR="006133B7">
              <w:rPr>
                <w:rFonts w:ascii="Times New Roman" w:hAnsi="Times New Roman" w:cs="Times New Roman"/>
              </w:rPr>
              <w:t>pomůcky</w:t>
            </w:r>
            <w:r w:rsidRPr="005470FD">
              <w:rPr>
                <w:rFonts w:ascii="Times New Roman" w:hAnsi="Times New Roman" w:cs="Times New Roman"/>
              </w:rPr>
              <w:t xml:space="preserve"> vyhoďte do nádoby na ostrý odpad.</w:t>
            </w:r>
          </w:p>
        </w:tc>
      </w:tr>
      <w:tr w:rsidR="005470FD" w:rsidRPr="005470FD" w14:paraId="59D1BAE6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AEF0F" w14:textId="77777777" w:rsidR="005470FD" w:rsidRPr="005470FD" w:rsidRDefault="005470FD" w:rsidP="00B91B5A">
            <w:pPr>
              <w:ind w:left="71"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anchor distT="0" distB="0" distL="114300" distR="114300" simplePos="0" relativeHeight="251684864" behindDoc="0" locked="0" layoutInCell="1" allowOverlap="1" wp14:anchorId="023BA59C" wp14:editId="454D134F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3175</wp:posOffset>
                  </wp:positionV>
                  <wp:extent cx="3060000" cy="2906494"/>
                  <wp:effectExtent l="0" t="0" r="7620" b="8255"/>
                  <wp:wrapTopAndBottom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52089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D1E0AC" w14:textId="6A75FF69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Léčivé přípravky musí být zlikvidovány v souladu s místními požadavky. Zeptejte se svého lékárníka, jak zlikvidovat léky, které už nepotřebujete. Tato opatření pom</w:t>
            </w:r>
            <w:r w:rsidR="006133B7">
              <w:rPr>
                <w:rFonts w:ascii="Times New Roman" w:hAnsi="Times New Roman" w:cs="Times New Roman"/>
              </w:rPr>
              <w:t>áhají</w:t>
            </w:r>
            <w:r w:rsidRPr="005470FD">
              <w:rPr>
                <w:rFonts w:ascii="Times New Roman" w:hAnsi="Times New Roman" w:cs="Times New Roman"/>
              </w:rPr>
              <w:t xml:space="preserve"> chránit životní prostředí.</w:t>
            </w:r>
          </w:p>
          <w:p w14:paraId="54A51899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</w:p>
          <w:p w14:paraId="5CAD97FF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Injekční stříkačku a nádobu na ostrý odpad uchovávejte mimo dohled a dosah dětí.</w:t>
            </w:r>
          </w:p>
          <w:p w14:paraId="0AACF97E" w14:textId="77777777" w:rsidR="005470FD" w:rsidRPr="005470FD" w:rsidRDefault="005470FD" w:rsidP="00B91B5A">
            <w:pPr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38EA9C09" wp14:editId="1B70EA0D">
                  <wp:extent cx="119380" cy="119380"/>
                  <wp:effectExtent l="0" t="0" r="0" b="0"/>
                  <wp:docPr id="7671" name="Picture 7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38021" name="Picture 767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  <w:t>Předplněnou injekční stříkačku</w:t>
            </w:r>
            <w:r w:rsidRPr="005470FD">
              <w:rPr>
                <w:rFonts w:ascii="Times New Roman" w:hAnsi="Times New Roman" w:cs="Times New Roman"/>
                <w:b/>
              </w:rPr>
              <w:t xml:space="preserve"> nepoužívejte </w:t>
            </w:r>
            <w:r w:rsidRPr="005470FD">
              <w:rPr>
                <w:rFonts w:ascii="Times New Roman" w:hAnsi="Times New Roman" w:cs="Times New Roman"/>
              </w:rPr>
              <w:t>znovu.</w:t>
            </w:r>
          </w:p>
          <w:p w14:paraId="28EC00CF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noProof/>
                <w:lang w:val="pl-PL" w:eastAsia="pl-PL"/>
              </w:rPr>
              <w:drawing>
                <wp:inline distT="0" distB="0" distL="0" distR="0" wp14:anchorId="55CFB3F6" wp14:editId="1C37C9E6">
                  <wp:extent cx="119380" cy="119380"/>
                  <wp:effectExtent l="0" t="0" r="0" b="0"/>
                  <wp:docPr id="7673" name="Picture 7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21037" name="Picture 767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FD">
              <w:rPr>
                <w:rFonts w:ascii="Times New Roman" w:hAnsi="Times New Roman" w:cs="Times New Roman"/>
              </w:rPr>
              <w:tab/>
              <w:t>Předplněné injekční stříkačky</w:t>
            </w:r>
            <w:r w:rsidRPr="005470FD">
              <w:rPr>
                <w:rFonts w:ascii="Times New Roman" w:hAnsi="Times New Roman" w:cs="Times New Roman"/>
                <w:b/>
              </w:rPr>
              <w:t xml:space="preserve"> nerecyklujte, </w:t>
            </w:r>
            <w:r w:rsidRPr="005470FD">
              <w:rPr>
                <w:rFonts w:ascii="Times New Roman" w:hAnsi="Times New Roman" w:cs="Times New Roman"/>
              </w:rPr>
              <w:t xml:space="preserve">ani je </w:t>
            </w:r>
            <w:r w:rsidRPr="00D32EE7">
              <w:rPr>
                <w:rFonts w:ascii="Times New Roman" w:hAnsi="Times New Roman" w:cs="Times New Roman"/>
                <w:b/>
                <w:bCs/>
              </w:rPr>
              <w:t>nevyhazujte</w:t>
            </w:r>
            <w:r w:rsidRPr="005470FD">
              <w:rPr>
                <w:rFonts w:ascii="Times New Roman" w:hAnsi="Times New Roman" w:cs="Times New Roman"/>
              </w:rPr>
              <w:t xml:space="preserve"> do domácího odpadu.</w:t>
            </w:r>
          </w:p>
          <w:p w14:paraId="00E7DB39" w14:textId="77777777" w:rsidR="005470FD" w:rsidRPr="005470FD" w:rsidRDefault="005470FD" w:rsidP="00B91B5A">
            <w:pPr>
              <w:tabs>
                <w:tab w:val="center" w:pos="3600"/>
              </w:tabs>
              <w:rPr>
                <w:rFonts w:ascii="Times New Roman" w:hAnsi="Times New Roman" w:cs="Times New Roman"/>
              </w:rPr>
            </w:pPr>
          </w:p>
        </w:tc>
      </w:tr>
      <w:tr w:rsidR="005470FD" w:rsidRPr="005470FD" w14:paraId="2E4B5042" w14:textId="77777777" w:rsidTr="005470FD">
        <w:trPr>
          <w:cantSplit/>
          <w:trHeight w:val="2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F54D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7EC" w14:textId="77777777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>Zkontrolujte místo vpichu.</w:t>
            </w:r>
          </w:p>
        </w:tc>
      </w:tr>
      <w:tr w:rsidR="005470FD" w:rsidRPr="005470FD" w14:paraId="735B975E" w14:textId="77777777" w:rsidTr="005470FD">
        <w:trPr>
          <w:cantSplit/>
          <w:trHeight w:val="20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BE4F" w14:textId="2980B75D" w:rsidR="005470FD" w:rsidRPr="005470FD" w:rsidRDefault="005470FD" w:rsidP="00B91B5A">
            <w:pPr>
              <w:keepNext/>
              <w:rPr>
                <w:rFonts w:ascii="Times New Roman" w:hAnsi="Times New Roman" w:cs="Times New Roman"/>
              </w:rPr>
            </w:pPr>
            <w:r w:rsidRPr="005470FD">
              <w:rPr>
                <w:rFonts w:ascii="Times New Roman" w:hAnsi="Times New Roman" w:cs="Times New Roman"/>
              </w:rPr>
              <w:t xml:space="preserve">Pokud se objeví krev, přiložte na místo vpichu </w:t>
            </w:r>
            <w:r w:rsidR="006133B7">
              <w:rPr>
                <w:rFonts w:ascii="Times New Roman" w:hAnsi="Times New Roman" w:cs="Times New Roman"/>
              </w:rPr>
              <w:t>vatový</w:t>
            </w:r>
            <w:r w:rsidRPr="005470FD">
              <w:rPr>
                <w:rFonts w:ascii="Times New Roman" w:hAnsi="Times New Roman" w:cs="Times New Roman"/>
              </w:rPr>
              <w:t xml:space="preserve"> nebo gázový polštářek. Místo vpichu</w:t>
            </w:r>
            <w:r w:rsidRPr="005470FD">
              <w:rPr>
                <w:rFonts w:ascii="Times New Roman" w:hAnsi="Times New Roman" w:cs="Times New Roman"/>
                <w:b/>
              </w:rPr>
              <w:t xml:space="preserve"> netřete</w:t>
            </w:r>
            <w:r w:rsidRPr="005470FD">
              <w:rPr>
                <w:rFonts w:ascii="Times New Roman" w:hAnsi="Times New Roman" w:cs="Times New Roman"/>
              </w:rPr>
              <w:t>. Pokud je třeba, přelepte místo vpichu náplastí.</w:t>
            </w:r>
          </w:p>
        </w:tc>
      </w:tr>
    </w:tbl>
    <w:p w14:paraId="1BCAD39B" w14:textId="77777777" w:rsidR="005470FD" w:rsidRPr="005470FD" w:rsidRDefault="005470FD" w:rsidP="00B91B5A"/>
    <w:p w14:paraId="4DFE5774" w14:textId="51784D39" w:rsidR="005470FD" w:rsidRPr="005470FD" w:rsidRDefault="005470FD" w:rsidP="00B91B5A">
      <w:pPr>
        <w:keepNext/>
        <w:numPr>
          <w:ilvl w:val="12"/>
          <w:numId w:val="0"/>
        </w:numPr>
        <w:ind w:left="567" w:hanging="567"/>
        <w:rPr>
          <w:rFonts w:eastAsia="MS Mincho"/>
          <w:b/>
          <w:bCs/>
        </w:rPr>
      </w:pPr>
    </w:p>
    <w:sectPr w:rsidR="005470FD" w:rsidRPr="005470FD" w:rsidSect="00D879D4">
      <w:footerReference w:type="default" r:id="rId31"/>
      <w:footerReference w:type="first" r:id="rId3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32AD" w14:textId="77777777" w:rsidR="0002533B" w:rsidRDefault="0002533B">
      <w:r>
        <w:separator/>
      </w:r>
    </w:p>
  </w:endnote>
  <w:endnote w:type="continuationSeparator" w:id="0">
    <w:p w14:paraId="17A7C200" w14:textId="77777777" w:rsidR="0002533B" w:rsidRDefault="0002533B">
      <w:r>
        <w:continuationSeparator/>
      </w:r>
    </w:p>
  </w:endnote>
  <w:endnote w:type="continuationNotice" w:id="1">
    <w:p w14:paraId="7E087E6D" w14:textId="77777777" w:rsidR="0002533B" w:rsidRDefault="00025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DA2" w14:textId="6D339545" w:rsidR="002D1296" w:rsidRPr="00463A1B" w:rsidRDefault="002D1296" w:rsidP="00D364A0">
    <w:pPr>
      <w:jc w:val="center"/>
      <w:rPr>
        <w:rFonts w:ascii="Arial" w:hAnsi="Arial" w:cs="Arial"/>
        <w:sz w:val="16"/>
        <w:szCs w:val="16"/>
      </w:rPr>
    </w:pP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 EQ </w:instrText>
    </w:r>
    <w:r w:rsidRPr="00463A1B">
      <w:rPr>
        <w:rFonts w:ascii="Arial" w:hAnsi="Arial" w:cs="Arial"/>
        <w:sz w:val="16"/>
      </w:rPr>
      <w:fldChar w:fldCharType="end"/>
    </w: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PAGE  </w:instrText>
    </w:r>
    <w:r w:rsidRPr="00463A1B">
      <w:rPr>
        <w:rFonts w:ascii="Arial" w:hAnsi="Arial" w:cs="Arial"/>
        <w:sz w:val="16"/>
      </w:rPr>
      <w:fldChar w:fldCharType="separate"/>
    </w:r>
    <w:r w:rsidRPr="006F6ACA">
      <w:rPr>
        <w:rFonts w:ascii="Arial" w:hAnsi="Arial" w:cs="Arial"/>
        <w:sz w:val="16"/>
      </w:rPr>
      <w:t>5</w:t>
    </w:r>
    <w:r w:rsidRPr="00463A1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428" w14:textId="77777777" w:rsidR="002D1296" w:rsidRPr="00D364A0" w:rsidRDefault="002D129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D364A0">
      <w:fldChar w:fldCharType="begin"/>
    </w:r>
    <w:r w:rsidRPr="00D364A0">
      <w:instrText xml:space="preserve">PAGE  </w:instrText>
    </w:r>
    <w:r w:rsidRPr="00D364A0">
      <w:fldChar w:fldCharType="separate"/>
    </w:r>
    <w:r w:rsidRPr="00D364A0">
      <w:t>1</w:t>
    </w:r>
    <w:r w:rsidRPr="00D364A0">
      <w:fldChar w:fldCharType="end"/>
    </w:r>
  </w:p>
  <w:p w14:paraId="303D73E5" w14:textId="77777777" w:rsidR="002D1296" w:rsidRDefault="002D1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4E3B" w14:textId="77777777" w:rsidR="0002533B" w:rsidRDefault="0002533B">
      <w:r>
        <w:separator/>
      </w:r>
    </w:p>
  </w:footnote>
  <w:footnote w:type="continuationSeparator" w:id="0">
    <w:p w14:paraId="0700EAB7" w14:textId="77777777" w:rsidR="0002533B" w:rsidRDefault="0002533B">
      <w:r>
        <w:continuationSeparator/>
      </w:r>
    </w:p>
  </w:footnote>
  <w:footnote w:type="continuationNotice" w:id="1">
    <w:p w14:paraId="31065819" w14:textId="77777777" w:rsidR="0002533B" w:rsidRDefault="000253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3.4pt;visibility:visible;mso-wrap-style:square" o:bullet="t">
        <v:imagedata r:id="rId1" o:title=""/>
      </v:shape>
    </w:pict>
  </w:numPicBullet>
  <w:numPicBullet w:numPicBulletId="1">
    <w:pict>
      <v:shape id="_x0000_i1026" type="#_x0000_t75" style="width:10.1pt;height:10.1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813D5"/>
    <w:multiLevelType w:val="multilevel"/>
    <w:tmpl w:val="191246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A6773D"/>
    <w:multiLevelType w:val="hybridMultilevel"/>
    <w:tmpl w:val="4A80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DDD"/>
    <w:multiLevelType w:val="multilevel"/>
    <w:tmpl w:val="964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330C"/>
    <w:multiLevelType w:val="hybridMultilevel"/>
    <w:tmpl w:val="0CBE5796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2751F"/>
    <w:multiLevelType w:val="hybridMultilevel"/>
    <w:tmpl w:val="01486464"/>
    <w:lvl w:ilvl="0" w:tplc="5C745E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A338F"/>
    <w:multiLevelType w:val="hybridMultilevel"/>
    <w:tmpl w:val="F96C5A32"/>
    <w:lvl w:ilvl="0" w:tplc="1C8474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752FB1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F5F67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E57"/>
    <w:multiLevelType w:val="hybridMultilevel"/>
    <w:tmpl w:val="ADC88608"/>
    <w:lvl w:ilvl="0" w:tplc="F408600E">
      <w:start w:val="1"/>
      <w:numFmt w:val="bullet"/>
      <w:pStyle w:val="BULLETED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10" w15:restartNumberingAfterBreak="0">
    <w:nsid w:val="0D342350"/>
    <w:multiLevelType w:val="hybridMultilevel"/>
    <w:tmpl w:val="598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1552F"/>
    <w:multiLevelType w:val="hybridMultilevel"/>
    <w:tmpl w:val="8B6C59DE"/>
    <w:lvl w:ilvl="0" w:tplc="4B86CA72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95B30"/>
    <w:multiLevelType w:val="hybridMultilevel"/>
    <w:tmpl w:val="217AB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2384D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43EA"/>
    <w:multiLevelType w:val="multilevel"/>
    <w:tmpl w:val="71FA00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9124FC"/>
    <w:multiLevelType w:val="hybridMultilevel"/>
    <w:tmpl w:val="36CA3318"/>
    <w:lvl w:ilvl="0" w:tplc="976C8E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20DB0"/>
    <w:multiLevelType w:val="hybridMultilevel"/>
    <w:tmpl w:val="75B2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D04BE"/>
    <w:multiLevelType w:val="singleLevel"/>
    <w:tmpl w:val="422AA7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1E2B16E3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F5E15C4"/>
    <w:multiLevelType w:val="hybridMultilevel"/>
    <w:tmpl w:val="7CD67E44"/>
    <w:lvl w:ilvl="0" w:tplc="2252F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7B46F8"/>
    <w:multiLevelType w:val="hybridMultilevel"/>
    <w:tmpl w:val="BA386FA2"/>
    <w:lvl w:ilvl="0" w:tplc="6096C72A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F7395E"/>
    <w:multiLevelType w:val="hybridMultilevel"/>
    <w:tmpl w:val="11CC4104"/>
    <w:lvl w:ilvl="0" w:tplc="01F6B012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EFE9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6817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C419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E05F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E360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0334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69E9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C273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3A054C"/>
    <w:multiLevelType w:val="hybridMultilevel"/>
    <w:tmpl w:val="C41E6E4C"/>
    <w:lvl w:ilvl="0" w:tplc="56742BD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0F2362"/>
    <w:multiLevelType w:val="hybridMultilevel"/>
    <w:tmpl w:val="D7D835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F2CC0"/>
    <w:multiLevelType w:val="hybridMultilevel"/>
    <w:tmpl w:val="0E3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521463"/>
    <w:multiLevelType w:val="singleLevel"/>
    <w:tmpl w:val="2C7009F4"/>
    <w:lvl w:ilvl="0">
      <w:start w:val="1"/>
      <w:numFmt w:val="bullet"/>
      <w:pStyle w:val="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91C5128"/>
    <w:multiLevelType w:val="hybridMultilevel"/>
    <w:tmpl w:val="49DE5CFC"/>
    <w:lvl w:ilvl="0" w:tplc="A1A002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04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E2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A1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00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00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52C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66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EAB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2BC43FC8"/>
    <w:multiLevelType w:val="hybridMultilevel"/>
    <w:tmpl w:val="D5664704"/>
    <w:lvl w:ilvl="0" w:tplc="99444C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0D31CB"/>
    <w:multiLevelType w:val="singleLevel"/>
    <w:tmpl w:val="726AC42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2C4F210F"/>
    <w:multiLevelType w:val="hybridMultilevel"/>
    <w:tmpl w:val="0F185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E5E0729"/>
    <w:multiLevelType w:val="hybridMultilevel"/>
    <w:tmpl w:val="C40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3F4851"/>
    <w:multiLevelType w:val="hybridMultilevel"/>
    <w:tmpl w:val="196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38F848AA"/>
    <w:multiLevelType w:val="hybridMultilevel"/>
    <w:tmpl w:val="CD9A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500FF"/>
    <w:multiLevelType w:val="hybridMultilevel"/>
    <w:tmpl w:val="17DC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E32B8E"/>
    <w:multiLevelType w:val="hybridMultilevel"/>
    <w:tmpl w:val="AF8C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EFFA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EB733F"/>
    <w:multiLevelType w:val="hybridMultilevel"/>
    <w:tmpl w:val="E7229F22"/>
    <w:lvl w:ilvl="0" w:tplc="E4FE82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6159E"/>
    <w:multiLevelType w:val="hybridMultilevel"/>
    <w:tmpl w:val="2F22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2D60F5"/>
    <w:multiLevelType w:val="hybridMultilevel"/>
    <w:tmpl w:val="A8FE9288"/>
    <w:lvl w:ilvl="0" w:tplc="78DC25C8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4E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4D8E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81FF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ADD5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8EC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67FB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27BE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C523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1C34AA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F94084"/>
    <w:multiLevelType w:val="hybridMultilevel"/>
    <w:tmpl w:val="71265D62"/>
    <w:lvl w:ilvl="0" w:tplc="813AF102">
      <w:start w:val="1"/>
      <w:numFmt w:val="bullet"/>
      <w:lvlText w:val=""/>
      <w:lvlPicBulletId w:val="1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5C283ACA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3305B0"/>
    <w:multiLevelType w:val="hybridMultilevel"/>
    <w:tmpl w:val="58BCB07C"/>
    <w:lvl w:ilvl="0" w:tplc="FBA48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95350"/>
    <w:multiLevelType w:val="hybridMultilevel"/>
    <w:tmpl w:val="ACC0B8C4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47730"/>
    <w:multiLevelType w:val="singleLevel"/>
    <w:tmpl w:val="15F0F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8" w15:restartNumberingAfterBreak="0">
    <w:nsid w:val="6863746B"/>
    <w:multiLevelType w:val="hybridMultilevel"/>
    <w:tmpl w:val="D6261E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FA1801"/>
    <w:multiLevelType w:val="multilevel"/>
    <w:tmpl w:val="13BC7E6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6A712CC1"/>
    <w:multiLevelType w:val="hybridMultilevel"/>
    <w:tmpl w:val="4B3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DF4775E"/>
    <w:multiLevelType w:val="hybridMultilevel"/>
    <w:tmpl w:val="29E6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42FA"/>
    <w:multiLevelType w:val="hybridMultilevel"/>
    <w:tmpl w:val="ACF01E30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9337D0"/>
    <w:multiLevelType w:val="hybridMultilevel"/>
    <w:tmpl w:val="B42C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70F1E"/>
    <w:multiLevelType w:val="hybridMultilevel"/>
    <w:tmpl w:val="F99A3FF8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397293"/>
    <w:multiLevelType w:val="hybridMultilevel"/>
    <w:tmpl w:val="9B187E6E"/>
    <w:lvl w:ilvl="0" w:tplc="1C9CF4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5942F9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CF77A7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D6052E"/>
    <w:multiLevelType w:val="multilevel"/>
    <w:tmpl w:val="B93CE6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30532133">
    <w:abstractNumId w:val="51"/>
  </w:num>
  <w:num w:numId="2" w16cid:durableId="921333077">
    <w:abstractNumId w:val="35"/>
  </w:num>
  <w:num w:numId="3" w16cid:durableId="68887210">
    <w:abstractNumId w:val="21"/>
  </w:num>
  <w:num w:numId="4" w16cid:durableId="496849323">
    <w:abstractNumId w:val="20"/>
  </w:num>
  <w:num w:numId="5" w16cid:durableId="864248086">
    <w:abstractNumId w:val="14"/>
  </w:num>
  <w:num w:numId="6" w16cid:durableId="811673859">
    <w:abstractNumId w:val="59"/>
  </w:num>
  <w:num w:numId="7" w16cid:durableId="338237799">
    <w:abstractNumId w:val="18"/>
  </w:num>
  <w:num w:numId="8" w16cid:durableId="1713576977">
    <w:abstractNumId w:val="49"/>
  </w:num>
  <w:num w:numId="9" w16cid:durableId="1502354924">
    <w:abstractNumId w:val="27"/>
  </w:num>
  <w:num w:numId="10" w16cid:durableId="808473423">
    <w:abstractNumId w:val="1"/>
  </w:num>
  <w:num w:numId="11" w16cid:durableId="168678517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497375666">
    <w:abstractNumId w:val="47"/>
  </w:num>
  <w:num w:numId="13" w16cid:durableId="1654067556">
    <w:abstractNumId w:val="32"/>
  </w:num>
  <w:num w:numId="14" w16cid:durableId="2135784883">
    <w:abstractNumId w:val="55"/>
  </w:num>
  <w:num w:numId="15" w16cid:durableId="663246906">
    <w:abstractNumId w:val="15"/>
  </w:num>
  <w:num w:numId="16" w16cid:durableId="1081487886">
    <w:abstractNumId w:val="53"/>
  </w:num>
  <w:num w:numId="17" w16cid:durableId="1450198500">
    <w:abstractNumId w:val="39"/>
  </w:num>
  <w:num w:numId="18" w16cid:durableId="1541360744">
    <w:abstractNumId w:val="17"/>
  </w:num>
  <w:num w:numId="19" w16cid:durableId="1393696662">
    <w:abstractNumId w:val="30"/>
  </w:num>
  <w:num w:numId="20" w16cid:durableId="1827432290">
    <w:abstractNumId w:val="3"/>
  </w:num>
  <w:num w:numId="21" w16cid:durableId="546917420">
    <w:abstractNumId w:val="48"/>
  </w:num>
  <w:num w:numId="22" w16cid:durableId="596063425">
    <w:abstractNumId w:val="24"/>
  </w:num>
  <w:num w:numId="23" w16cid:durableId="2099863900">
    <w:abstractNumId w:val="25"/>
  </w:num>
  <w:num w:numId="24" w16cid:durableId="299967142">
    <w:abstractNumId w:val="52"/>
  </w:num>
  <w:num w:numId="25" w16cid:durableId="159390521">
    <w:abstractNumId w:val="7"/>
  </w:num>
  <w:num w:numId="26" w16cid:durableId="2133549475">
    <w:abstractNumId w:val="8"/>
  </w:num>
  <w:num w:numId="27" w16cid:durableId="16524382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2104913828">
    <w:abstractNumId w:val="40"/>
  </w:num>
  <w:num w:numId="29" w16cid:durableId="1727025477">
    <w:abstractNumId w:val="11"/>
  </w:num>
  <w:num w:numId="30" w16cid:durableId="1592735535">
    <w:abstractNumId w:val="54"/>
  </w:num>
  <w:num w:numId="31" w16cid:durableId="1869678063">
    <w:abstractNumId w:val="9"/>
  </w:num>
  <w:num w:numId="32" w16cid:durableId="1599022517">
    <w:abstractNumId w:val="29"/>
  </w:num>
  <w:num w:numId="33" w16cid:durableId="827667544">
    <w:abstractNumId w:val="46"/>
  </w:num>
  <w:num w:numId="34" w16cid:durableId="825241201">
    <w:abstractNumId w:val="4"/>
  </w:num>
  <w:num w:numId="35" w16cid:durableId="1565026687">
    <w:abstractNumId w:val="10"/>
  </w:num>
  <w:num w:numId="36" w16cid:durableId="1572155949">
    <w:abstractNumId w:val="36"/>
  </w:num>
  <w:num w:numId="37" w16cid:durableId="1305770230">
    <w:abstractNumId w:val="38"/>
  </w:num>
  <w:num w:numId="38" w16cid:durableId="1968854344">
    <w:abstractNumId w:val="50"/>
  </w:num>
  <w:num w:numId="39" w16cid:durableId="2019044628">
    <w:abstractNumId w:val="16"/>
  </w:num>
  <w:num w:numId="40" w16cid:durableId="1294605049">
    <w:abstractNumId w:val="34"/>
  </w:num>
  <w:num w:numId="41" w16cid:durableId="2101750568">
    <w:abstractNumId w:val="22"/>
  </w:num>
  <w:num w:numId="42" w16cid:durableId="1883396771">
    <w:abstractNumId w:val="6"/>
  </w:num>
  <w:num w:numId="43" w16cid:durableId="614868358">
    <w:abstractNumId w:val="58"/>
  </w:num>
  <w:num w:numId="44" w16cid:durableId="68120740">
    <w:abstractNumId w:val="2"/>
  </w:num>
  <w:num w:numId="45" w16cid:durableId="1669016719">
    <w:abstractNumId w:val="37"/>
  </w:num>
  <w:num w:numId="46" w16cid:durableId="1317877584">
    <w:abstractNumId w:val="5"/>
  </w:num>
  <w:num w:numId="47" w16cid:durableId="130903491">
    <w:abstractNumId w:val="42"/>
  </w:num>
  <w:num w:numId="48" w16cid:durableId="1950357357">
    <w:abstractNumId w:val="19"/>
  </w:num>
  <w:num w:numId="49" w16cid:durableId="513998994">
    <w:abstractNumId w:val="57"/>
  </w:num>
  <w:num w:numId="50" w16cid:durableId="71511180">
    <w:abstractNumId w:val="56"/>
  </w:num>
  <w:num w:numId="51" w16cid:durableId="396393528">
    <w:abstractNumId w:val="44"/>
  </w:num>
  <w:num w:numId="52" w16cid:durableId="1215044790">
    <w:abstractNumId w:val="13"/>
  </w:num>
  <w:num w:numId="53" w16cid:durableId="1918243750">
    <w:abstractNumId w:val="33"/>
  </w:num>
  <w:num w:numId="54" w16cid:durableId="1193613249">
    <w:abstractNumId w:val="31"/>
  </w:num>
  <w:num w:numId="55" w16cid:durableId="1636645198">
    <w:abstractNumId w:val="26"/>
  </w:num>
  <w:num w:numId="56" w16cid:durableId="1903369485">
    <w:abstractNumId w:val="45"/>
  </w:num>
  <w:num w:numId="57" w16cid:durableId="763574997">
    <w:abstractNumId w:val="41"/>
  </w:num>
  <w:num w:numId="58" w16cid:durableId="320930107">
    <w:abstractNumId w:val="23"/>
  </w:num>
  <w:num w:numId="59" w16cid:durableId="1806850851">
    <w:abstractNumId w:val="12"/>
  </w:num>
  <w:num w:numId="60" w16cid:durableId="982004854">
    <w:abstractNumId w:val="43"/>
  </w:num>
  <w:num w:numId="61" w16cid:durableId="1509517557">
    <w:abstractNumId w:val="28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Z">
    <w15:presenceInfo w15:providerId="None" w15:userId="Y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ce48d83-23db-4dd9-b096-425ab840e264" w:val=" "/>
    <w:docVar w:name="VAULT_ND_1a5d6ccd-82b9-40aa-8dea-efb45bbcffea" w:val=" "/>
    <w:docVar w:name="VAULT_ND_1c32264f-b6b9-46a3-a09d-fb14e572cfd5" w:val=" "/>
    <w:docVar w:name="VAULT_ND_20f15ac6-cd64-4ada-ba62-acaaa1a1d08a" w:val=" "/>
    <w:docVar w:name="vault_nd_27db3267-5aa5-4632-80a1-ebfddbc3fdcf" w:val=" "/>
    <w:docVar w:name="vault_nd_2d75f809-7094-4d42-a70c-ca95cf95b034" w:val=" "/>
    <w:docVar w:name="VAULT_ND_323e96f4-5079-40bc-810c-d3640d065004" w:val=" "/>
    <w:docVar w:name="VAULT_ND_3cab9593-d0aa-4205-8eb1-50ac3a147101" w:val=" "/>
    <w:docVar w:name="VAULT_ND_5a4f3f5a-cfd7-47cc-88d1-0d7c65bf7444" w:val=" "/>
    <w:docVar w:name="VAULT_ND_6b046d92-28a5-459c-b939-bb6d4cf4bb36" w:val=" "/>
    <w:docVar w:name="VAULT_ND_6ec6787b-189b-4e12-86fe-18b89050c05f" w:val=" "/>
    <w:docVar w:name="VAULT_ND_750f2f4a-39ec-473c-a300-e3d9f5c9bcf9" w:val=" "/>
    <w:docVar w:name="VAULT_ND_8aec6dee-f987-48ea-950f-0c50694ba263" w:val=" "/>
    <w:docVar w:name="VAULT_ND_8f52b7d5-bfad-4fc0-855d-cecb717a2b84" w:val=" "/>
    <w:docVar w:name="VAULT_ND_926e3972-628b-45c9-a039-4ee7e6cf11ca" w:val=" "/>
    <w:docVar w:name="VAULT_ND_a81ad1a7-1c37-49ef-94c3-364732ea59b9" w:val=" "/>
    <w:docVar w:name="VAULT_ND_b0a9df86-95a9-420e-aa7d-b9d72b07f04f" w:val=" "/>
    <w:docVar w:name="VAULT_ND_b12081c9-5a8d-4609-ae59-2ee7ad060144" w:val=" "/>
    <w:docVar w:name="VAULT_ND_d87941fc-fa74-48a1-a38b-6d56bee959b9" w:val=" "/>
    <w:docVar w:name="VAULT_ND_d9e65556-8ff7-4f20-b0ab-456e215e031d" w:val=" "/>
    <w:docVar w:name="VAULT_ND_df1df404-ea89-40da-b841-a3cbb23db814" w:val=" "/>
    <w:docVar w:name="VAULT_ND_e4d4798b-30a8-456b-b249-c12578a766b6" w:val=" "/>
    <w:docVar w:name="VAULT_ND_e674add7-5fa5-42bd-84cf-e0cd6fb2dd3f" w:val=" "/>
    <w:docVar w:name="VAULT_ND_ebc12259-64de-44ef-bc8f-a5c0b8a379c0" w:val=" "/>
    <w:docVar w:name="VAULT_ND_fb5bdebb-57d9-4eb8-af61-918bb8685207" w:val=" "/>
    <w:docVar w:name="VAULT_ND_ffb75cd1-6896-4d27-8a11-85359ba353ac" w:val=" "/>
    <w:docVar w:name="Version" w:val="0"/>
  </w:docVars>
  <w:rsids>
    <w:rsidRoot w:val="00920C0C"/>
    <w:rsid w:val="00000139"/>
    <w:rsid w:val="00000B8B"/>
    <w:rsid w:val="00000E8C"/>
    <w:rsid w:val="000014D0"/>
    <w:rsid w:val="000022FE"/>
    <w:rsid w:val="00002311"/>
    <w:rsid w:val="000034E1"/>
    <w:rsid w:val="00005938"/>
    <w:rsid w:val="00005A1A"/>
    <w:rsid w:val="00010746"/>
    <w:rsid w:val="000139CB"/>
    <w:rsid w:val="00014F4A"/>
    <w:rsid w:val="00016C89"/>
    <w:rsid w:val="0001794F"/>
    <w:rsid w:val="00017D88"/>
    <w:rsid w:val="00020257"/>
    <w:rsid w:val="0002185E"/>
    <w:rsid w:val="00022A78"/>
    <w:rsid w:val="00022F7A"/>
    <w:rsid w:val="000239F8"/>
    <w:rsid w:val="00023BE0"/>
    <w:rsid w:val="00024B36"/>
    <w:rsid w:val="0002533B"/>
    <w:rsid w:val="000267A0"/>
    <w:rsid w:val="00027E6B"/>
    <w:rsid w:val="000304BA"/>
    <w:rsid w:val="00030536"/>
    <w:rsid w:val="000308F1"/>
    <w:rsid w:val="00030FC6"/>
    <w:rsid w:val="0003165E"/>
    <w:rsid w:val="000331D8"/>
    <w:rsid w:val="00033CBD"/>
    <w:rsid w:val="00033F55"/>
    <w:rsid w:val="00042245"/>
    <w:rsid w:val="00042C47"/>
    <w:rsid w:val="0004321A"/>
    <w:rsid w:val="00043BA2"/>
    <w:rsid w:val="000451A6"/>
    <w:rsid w:val="00046171"/>
    <w:rsid w:val="000471F1"/>
    <w:rsid w:val="00047748"/>
    <w:rsid w:val="00053150"/>
    <w:rsid w:val="00053CE5"/>
    <w:rsid w:val="0005683F"/>
    <w:rsid w:val="000636A8"/>
    <w:rsid w:val="00065CFF"/>
    <w:rsid w:val="0006658D"/>
    <w:rsid w:val="000675CA"/>
    <w:rsid w:val="000702E8"/>
    <w:rsid w:val="00070483"/>
    <w:rsid w:val="00071108"/>
    <w:rsid w:val="00073A3B"/>
    <w:rsid w:val="000743B6"/>
    <w:rsid w:val="00074A66"/>
    <w:rsid w:val="00074AA9"/>
    <w:rsid w:val="00074BAC"/>
    <w:rsid w:val="0007656E"/>
    <w:rsid w:val="00076B25"/>
    <w:rsid w:val="0008020A"/>
    <w:rsid w:val="000806DD"/>
    <w:rsid w:val="00080C15"/>
    <w:rsid w:val="00081A47"/>
    <w:rsid w:val="000828BF"/>
    <w:rsid w:val="0008478A"/>
    <w:rsid w:val="00084EAB"/>
    <w:rsid w:val="00084ED6"/>
    <w:rsid w:val="00085792"/>
    <w:rsid w:val="00086B9E"/>
    <w:rsid w:val="00086F4D"/>
    <w:rsid w:val="00087883"/>
    <w:rsid w:val="00091513"/>
    <w:rsid w:val="0009329A"/>
    <w:rsid w:val="00096097"/>
    <w:rsid w:val="000A1C5A"/>
    <w:rsid w:val="000A6641"/>
    <w:rsid w:val="000A7A9A"/>
    <w:rsid w:val="000A7D42"/>
    <w:rsid w:val="000B1429"/>
    <w:rsid w:val="000B2B37"/>
    <w:rsid w:val="000B7C9E"/>
    <w:rsid w:val="000C2EBD"/>
    <w:rsid w:val="000C454F"/>
    <w:rsid w:val="000C6AB1"/>
    <w:rsid w:val="000D121E"/>
    <w:rsid w:val="000D29E9"/>
    <w:rsid w:val="000D3F93"/>
    <w:rsid w:val="000D5B3E"/>
    <w:rsid w:val="000D5C39"/>
    <w:rsid w:val="000D6C0B"/>
    <w:rsid w:val="000E0610"/>
    <w:rsid w:val="000E129B"/>
    <w:rsid w:val="000E1563"/>
    <w:rsid w:val="000E2D09"/>
    <w:rsid w:val="000E3DC2"/>
    <w:rsid w:val="000E4004"/>
    <w:rsid w:val="000E4C92"/>
    <w:rsid w:val="000E53BA"/>
    <w:rsid w:val="000E57A6"/>
    <w:rsid w:val="000F0F39"/>
    <w:rsid w:val="000F2042"/>
    <w:rsid w:val="000F3A5B"/>
    <w:rsid w:val="000F3E57"/>
    <w:rsid w:val="001019D8"/>
    <w:rsid w:val="00101E2E"/>
    <w:rsid w:val="00104562"/>
    <w:rsid w:val="00105FE9"/>
    <w:rsid w:val="00106C0F"/>
    <w:rsid w:val="00110044"/>
    <w:rsid w:val="0011117C"/>
    <w:rsid w:val="0011220E"/>
    <w:rsid w:val="001139E7"/>
    <w:rsid w:val="001176A6"/>
    <w:rsid w:val="00120834"/>
    <w:rsid w:val="001218D8"/>
    <w:rsid w:val="00121DEE"/>
    <w:rsid w:val="00123F5B"/>
    <w:rsid w:val="0012465F"/>
    <w:rsid w:val="00130DA4"/>
    <w:rsid w:val="00130E73"/>
    <w:rsid w:val="00131255"/>
    <w:rsid w:val="0013214E"/>
    <w:rsid w:val="00132CCE"/>
    <w:rsid w:val="00140BD1"/>
    <w:rsid w:val="00140EEB"/>
    <w:rsid w:val="00142605"/>
    <w:rsid w:val="001434DB"/>
    <w:rsid w:val="001444F9"/>
    <w:rsid w:val="00145F0F"/>
    <w:rsid w:val="00145F24"/>
    <w:rsid w:val="00146B38"/>
    <w:rsid w:val="00150616"/>
    <w:rsid w:val="00151538"/>
    <w:rsid w:val="00151B64"/>
    <w:rsid w:val="00153917"/>
    <w:rsid w:val="001541F7"/>
    <w:rsid w:val="00154ABB"/>
    <w:rsid w:val="001550AA"/>
    <w:rsid w:val="00155A9E"/>
    <w:rsid w:val="001571D5"/>
    <w:rsid w:val="00157DA9"/>
    <w:rsid w:val="00161EEB"/>
    <w:rsid w:val="001633C4"/>
    <w:rsid w:val="00164B93"/>
    <w:rsid w:val="001704E7"/>
    <w:rsid w:val="00170558"/>
    <w:rsid w:val="001712A0"/>
    <w:rsid w:val="0017147C"/>
    <w:rsid w:val="00171B00"/>
    <w:rsid w:val="001735EA"/>
    <w:rsid w:val="001746CE"/>
    <w:rsid w:val="00174ABF"/>
    <w:rsid w:val="00176FD0"/>
    <w:rsid w:val="001773B9"/>
    <w:rsid w:val="001778E4"/>
    <w:rsid w:val="00177EBD"/>
    <w:rsid w:val="0018177D"/>
    <w:rsid w:val="00181C4E"/>
    <w:rsid w:val="001828BA"/>
    <w:rsid w:val="00183F7E"/>
    <w:rsid w:val="0018450B"/>
    <w:rsid w:val="0018530D"/>
    <w:rsid w:val="0018683C"/>
    <w:rsid w:val="00190E15"/>
    <w:rsid w:val="0019129C"/>
    <w:rsid w:val="00192094"/>
    <w:rsid w:val="00192516"/>
    <w:rsid w:val="0019272C"/>
    <w:rsid w:val="001A06C8"/>
    <w:rsid w:val="001A0B55"/>
    <w:rsid w:val="001A2A51"/>
    <w:rsid w:val="001A371B"/>
    <w:rsid w:val="001A52A5"/>
    <w:rsid w:val="001A5931"/>
    <w:rsid w:val="001A5A88"/>
    <w:rsid w:val="001A6F24"/>
    <w:rsid w:val="001B2529"/>
    <w:rsid w:val="001B2B97"/>
    <w:rsid w:val="001B3E6F"/>
    <w:rsid w:val="001B5989"/>
    <w:rsid w:val="001B6C45"/>
    <w:rsid w:val="001B7AB7"/>
    <w:rsid w:val="001B7BA5"/>
    <w:rsid w:val="001C2651"/>
    <w:rsid w:val="001C27D0"/>
    <w:rsid w:val="001C3614"/>
    <w:rsid w:val="001C6D37"/>
    <w:rsid w:val="001C704C"/>
    <w:rsid w:val="001D03FE"/>
    <w:rsid w:val="001D053D"/>
    <w:rsid w:val="001D13A5"/>
    <w:rsid w:val="001D16D5"/>
    <w:rsid w:val="001D1E25"/>
    <w:rsid w:val="001D2430"/>
    <w:rsid w:val="001D26E4"/>
    <w:rsid w:val="001D272E"/>
    <w:rsid w:val="001D47FC"/>
    <w:rsid w:val="001D5DBA"/>
    <w:rsid w:val="001D7336"/>
    <w:rsid w:val="001D7EBF"/>
    <w:rsid w:val="001D7EF0"/>
    <w:rsid w:val="001E1124"/>
    <w:rsid w:val="001E1D64"/>
    <w:rsid w:val="001E3B65"/>
    <w:rsid w:val="001E56B0"/>
    <w:rsid w:val="001E5F45"/>
    <w:rsid w:val="001F01DB"/>
    <w:rsid w:val="001F0D53"/>
    <w:rsid w:val="001F24BD"/>
    <w:rsid w:val="001F27C0"/>
    <w:rsid w:val="001F7D18"/>
    <w:rsid w:val="00200E31"/>
    <w:rsid w:val="00202DF8"/>
    <w:rsid w:val="00203018"/>
    <w:rsid w:val="0021038D"/>
    <w:rsid w:val="00210844"/>
    <w:rsid w:val="00216211"/>
    <w:rsid w:val="00216A2F"/>
    <w:rsid w:val="002176A4"/>
    <w:rsid w:val="00220C70"/>
    <w:rsid w:val="00222B2B"/>
    <w:rsid w:val="00223986"/>
    <w:rsid w:val="00224831"/>
    <w:rsid w:val="00225894"/>
    <w:rsid w:val="00226058"/>
    <w:rsid w:val="00227A8E"/>
    <w:rsid w:val="002315AA"/>
    <w:rsid w:val="00233FFD"/>
    <w:rsid w:val="00237B97"/>
    <w:rsid w:val="002409B1"/>
    <w:rsid w:val="00240EDC"/>
    <w:rsid w:val="00241EEB"/>
    <w:rsid w:val="0024391D"/>
    <w:rsid w:val="00243D11"/>
    <w:rsid w:val="002476C3"/>
    <w:rsid w:val="002479B4"/>
    <w:rsid w:val="00250AC1"/>
    <w:rsid w:val="002516D5"/>
    <w:rsid w:val="00252372"/>
    <w:rsid w:val="0025247B"/>
    <w:rsid w:val="002534FB"/>
    <w:rsid w:val="00253972"/>
    <w:rsid w:val="00254B43"/>
    <w:rsid w:val="00254CFD"/>
    <w:rsid w:val="0025669A"/>
    <w:rsid w:val="00256D12"/>
    <w:rsid w:val="002578B0"/>
    <w:rsid w:val="00260CC3"/>
    <w:rsid w:val="0026164B"/>
    <w:rsid w:val="00261835"/>
    <w:rsid w:val="00262479"/>
    <w:rsid w:val="00262FEC"/>
    <w:rsid w:val="00263E8A"/>
    <w:rsid w:val="0026400B"/>
    <w:rsid w:val="002650BD"/>
    <w:rsid w:val="00265856"/>
    <w:rsid w:val="0026611A"/>
    <w:rsid w:val="00267FAC"/>
    <w:rsid w:val="0027072E"/>
    <w:rsid w:val="00271BA8"/>
    <w:rsid w:val="00271ECF"/>
    <w:rsid w:val="002723A8"/>
    <w:rsid w:val="00272E90"/>
    <w:rsid w:val="002730D9"/>
    <w:rsid w:val="002733C6"/>
    <w:rsid w:val="002742D4"/>
    <w:rsid w:val="00276DB5"/>
    <w:rsid w:val="00280FD2"/>
    <w:rsid w:val="00282101"/>
    <w:rsid w:val="00283403"/>
    <w:rsid w:val="002839B3"/>
    <w:rsid w:val="00283B8E"/>
    <w:rsid w:val="00284602"/>
    <w:rsid w:val="00284A41"/>
    <w:rsid w:val="00284FBB"/>
    <w:rsid w:val="002851D7"/>
    <w:rsid w:val="00285ECC"/>
    <w:rsid w:val="00286D15"/>
    <w:rsid w:val="00286F93"/>
    <w:rsid w:val="002872B0"/>
    <w:rsid w:val="002908C3"/>
    <w:rsid w:val="00290A80"/>
    <w:rsid w:val="002926C0"/>
    <w:rsid w:val="0029617F"/>
    <w:rsid w:val="002966DF"/>
    <w:rsid w:val="002A385F"/>
    <w:rsid w:val="002A40AD"/>
    <w:rsid w:val="002A5F7F"/>
    <w:rsid w:val="002A6277"/>
    <w:rsid w:val="002B0C81"/>
    <w:rsid w:val="002B1704"/>
    <w:rsid w:val="002B1D4E"/>
    <w:rsid w:val="002B4B55"/>
    <w:rsid w:val="002B525F"/>
    <w:rsid w:val="002B7455"/>
    <w:rsid w:val="002C07EC"/>
    <w:rsid w:val="002C1D27"/>
    <w:rsid w:val="002C23AB"/>
    <w:rsid w:val="002C2616"/>
    <w:rsid w:val="002C455F"/>
    <w:rsid w:val="002C7BCD"/>
    <w:rsid w:val="002D003E"/>
    <w:rsid w:val="002D0394"/>
    <w:rsid w:val="002D1296"/>
    <w:rsid w:val="002D1FE1"/>
    <w:rsid w:val="002D27AA"/>
    <w:rsid w:val="002D45C7"/>
    <w:rsid w:val="002D506A"/>
    <w:rsid w:val="002D5916"/>
    <w:rsid w:val="002D5A9A"/>
    <w:rsid w:val="002D682E"/>
    <w:rsid w:val="002D7CA9"/>
    <w:rsid w:val="002E1AF1"/>
    <w:rsid w:val="002E1C81"/>
    <w:rsid w:val="002E2281"/>
    <w:rsid w:val="002E3196"/>
    <w:rsid w:val="002E540C"/>
    <w:rsid w:val="002E5861"/>
    <w:rsid w:val="002E5C1E"/>
    <w:rsid w:val="002E5DBA"/>
    <w:rsid w:val="002E630F"/>
    <w:rsid w:val="002E7CDB"/>
    <w:rsid w:val="002F1576"/>
    <w:rsid w:val="002F357A"/>
    <w:rsid w:val="002F463A"/>
    <w:rsid w:val="002F5859"/>
    <w:rsid w:val="002F61D8"/>
    <w:rsid w:val="002F6B21"/>
    <w:rsid w:val="00300F45"/>
    <w:rsid w:val="00301C6B"/>
    <w:rsid w:val="00303011"/>
    <w:rsid w:val="003050CD"/>
    <w:rsid w:val="00306FD3"/>
    <w:rsid w:val="00307BCD"/>
    <w:rsid w:val="00307E99"/>
    <w:rsid w:val="00310946"/>
    <w:rsid w:val="00310A21"/>
    <w:rsid w:val="00311824"/>
    <w:rsid w:val="00311899"/>
    <w:rsid w:val="003123D9"/>
    <w:rsid w:val="0031467B"/>
    <w:rsid w:val="00323A98"/>
    <w:rsid w:val="00323C32"/>
    <w:rsid w:val="003246FF"/>
    <w:rsid w:val="00325458"/>
    <w:rsid w:val="00330331"/>
    <w:rsid w:val="00333488"/>
    <w:rsid w:val="003343C1"/>
    <w:rsid w:val="00334F3C"/>
    <w:rsid w:val="0033590D"/>
    <w:rsid w:val="00336B20"/>
    <w:rsid w:val="00341752"/>
    <w:rsid w:val="003420D3"/>
    <w:rsid w:val="0034359F"/>
    <w:rsid w:val="003445BC"/>
    <w:rsid w:val="0034537A"/>
    <w:rsid w:val="00346342"/>
    <w:rsid w:val="0034742F"/>
    <w:rsid w:val="0034753A"/>
    <w:rsid w:val="00347980"/>
    <w:rsid w:val="00350C1C"/>
    <w:rsid w:val="00356435"/>
    <w:rsid w:val="00356AD0"/>
    <w:rsid w:val="00357068"/>
    <w:rsid w:val="00365253"/>
    <w:rsid w:val="00365A14"/>
    <w:rsid w:val="003661F1"/>
    <w:rsid w:val="0037058C"/>
    <w:rsid w:val="00370D00"/>
    <w:rsid w:val="00370F37"/>
    <w:rsid w:val="00372B6A"/>
    <w:rsid w:val="0037355A"/>
    <w:rsid w:val="003737E8"/>
    <w:rsid w:val="00373CB3"/>
    <w:rsid w:val="00375FAA"/>
    <w:rsid w:val="003769EE"/>
    <w:rsid w:val="0038171B"/>
    <w:rsid w:val="00382BC2"/>
    <w:rsid w:val="003839D5"/>
    <w:rsid w:val="00384B6F"/>
    <w:rsid w:val="00385059"/>
    <w:rsid w:val="003856CA"/>
    <w:rsid w:val="00386DFE"/>
    <w:rsid w:val="00387068"/>
    <w:rsid w:val="0038750B"/>
    <w:rsid w:val="003901DF"/>
    <w:rsid w:val="003909DE"/>
    <w:rsid w:val="00390CB7"/>
    <w:rsid w:val="00391BDF"/>
    <w:rsid w:val="00392382"/>
    <w:rsid w:val="00392653"/>
    <w:rsid w:val="003936C8"/>
    <w:rsid w:val="003946CC"/>
    <w:rsid w:val="00394CCD"/>
    <w:rsid w:val="00395165"/>
    <w:rsid w:val="00395FD8"/>
    <w:rsid w:val="0039643F"/>
    <w:rsid w:val="003974A9"/>
    <w:rsid w:val="00397619"/>
    <w:rsid w:val="003A0EB1"/>
    <w:rsid w:val="003A507E"/>
    <w:rsid w:val="003B0291"/>
    <w:rsid w:val="003B1662"/>
    <w:rsid w:val="003B271B"/>
    <w:rsid w:val="003B39F4"/>
    <w:rsid w:val="003B408B"/>
    <w:rsid w:val="003B4B70"/>
    <w:rsid w:val="003B4DE8"/>
    <w:rsid w:val="003B4ED4"/>
    <w:rsid w:val="003B5C61"/>
    <w:rsid w:val="003B69FF"/>
    <w:rsid w:val="003B7343"/>
    <w:rsid w:val="003B7A5C"/>
    <w:rsid w:val="003C0814"/>
    <w:rsid w:val="003C0DAF"/>
    <w:rsid w:val="003C410D"/>
    <w:rsid w:val="003C508C"/>
    <w:rsid w:val="003C6810"/>
    <w:rsid w:val="003C6C78"/>
    <w:rsid w:val="003C7EFB"/>
    <w:rsid w:val="003D00E6"/>
    <w:rsid w:val="003D0970"/>
    <w:rsid w:val="003D0FA7"/>
    <w:rsid w:val="003D2345"/>
    <w:rsid w:val="003D45AF"/>
    <w:rsid w:val="003D5E2C"/>
    <w:rsid w:val="003D5E4B"/>
    <w:rsid w:val="003D5F37"/>
    <w:rsid w:val="003E0906"/>
    <w:rsid w:val="003E24B7"/>
    <w:rsid w:val="003E2C78"/>
    <w:rsid w:val="003E3A13"/>
    <w:rsid w:val="003E3A3B"/>
    <w:rsid w:val="003E63DA"/>
    <w:rsid w:val="003E6568"/>
    <w:rsid w:val="003F0642"/>
    <w:rsid w:val="003F0709"/>
    <w:rsid w:val="003F0A34"/>
    <w:rsid w:val="003F26F6"/>
    <w:rsid w:val="003F2741"/>
    <w:rsid w:val="003F5BA9"/>
    <w:rsid w:val="003F62C9"/>
    <w:rsid w:val="003F6F18"/>
    <w:rsid w:val="0040061E"/>
    <w:rsid w:val="00401170"/>
    <w:rsid w:val="00402AAF"/>
    <w:rsid w:val="00403517"/>
    <w:rsid w:val="004039DB"/>
    <w:rsid w:val="0040450D"/>
    <w:rsid w:val="004050DB"/>
    <w:rsid w:val="00405385"/>
    <w:rsid w:val="004103A2"/>
    <w:rsid w:val="0041270A"/>
    <w:rsid w:val="004144B8"/>
    <w:rsid w:val="00414EF3"/>
    <w:rsid w:val="00415D15"/>
    <w:rsid w:val="00415DB2"/>
    <w:rsid w:val="004207B8"/>
    <w:rsid w:val="0042090B"/>
    <w:rsid w:val="00420B9A"/>
    <w:rsid w:val="00423D1F"/>
    <w:rsid w:val="00426451"/>
    <w:rsid w:val="00427567"/>
    <w:rsid w:val="00427F72"/>
    <w:rsid w:val="00431758"/>
    <w:rsid w:val="004318E4"/>
    <w:rsid w:val="00434AA6"/>
    <w:rsid w:val="00434B04"/>
    <w:rsid w:val="00434EFF"/>
    <w:rsid w:val="00435442"/>
    <w:rsid w:val="004374A8"/>
    <w:rsid w:val="0043765E"/>
    <w:rsid w:val="0044133D"/>
    <w:rsid w:val="004439BF"/>
    <w:rsid w:val="00443D59"/>
    <w:rsid w:val="004444D9"/>
    <w:rsid w:val="004466EA"/>
    <w:rsid w:val="004469C3"/>
    <w:rsid w:val="00447E6B"/>
    <w:rsid w:val="0045537A"/>
    <w:rsid w:val="00455EE8"/>
    <w:rsid w:val="0045645D"/>
    <w:rsid w:val="00456592"/>
    <w:rsid w:val="004609FB"/>
    <w:rsid w:val="00460A0C"/>
    <w:rsid w:val="0046107E"/>
    <w:rsid w:val="0046214E"/>
    <w:rsid w:val="00463A1B"/>
    <w:rsid w:val="004671A9"/>
    <w:rsid w:val="00467221"/>
    <w:rsid w:val="0047019C"/>
    <w:rsid w:val="00470735"/>
    <w:rsid w:val="0047673E"/>
    <w:rsid w:val="00480F37"/>
    <w:rsid w:val="00482FB2"/>
    <w:rsid w:val="00485BCB"/>
    <w:rsid w:val="00486695"/>
    <w:rsid w:val="00490D1E"/>
    <w:rsid w:val="004917C4"/>
    <w:rsid w:val="00492B8B"/>
    <w:rsid w:val="0049304B"/>
    <w:rsid w:val="0049304D"/>
    <w:rsid w:val="00494A5A"/>
    <w:rsid w:val="004955BF"/>
    <w:rsid w:val="00496A2F"/>
    <w:rsid w:val="004971CF"/>
    <w:rsid w:val="004A066C"/>
    <w:rsid w:val="004A1202"/>
    <w:rsid w:val="004A1EC5"/>
    <w:rsid w:val="004A23FC"/>
    <w:rsid w:val="004A31C2"/>
    <w:rsid w:val="004A4658"/>
    <w:rsid w:val="004A5CC6"/>
    <w:rsid w:val="004A61B9"/>
    <w:rsid w:val="004A70D0"/>
    <w:rsid w:val="004A7A04"/>
    <w:rsid w:val="004B015E"/>
    <w:rsid w:val="004B09C5"/>
    <w:rsid w:val="004B2367"/>
    <w:rsid w:val="004B39BB"/>
    <w:rsid w:val="004B5455"/>
    <w:rsid w:val="004B7A56"/>
    <w:rsid w:val="004C046F"/>
    <w:rsid w:val="004C1DEE"/>
    <w:rsid w:val="004C2642"/>
    <w:rsid w:val="004C2EF7"/>
    <w:rsid w:val="004C37A6"/>
    <w:rsid w:val="004C4930"/>
    <w:rsid w:val="004D05A3"/>
    <w:rsid w:val="004D1912"/>
    <w:rsid w:val="004D4AE0"/>
    <w:rsid w:val="004D7E06"/>
    <w:rsid w:val="004E0B94"/>
    <w:rsid w:val="004E0DE6"/>
    <w:rsid w:val="004E1530"/>
    <w:rsid w:val="004E197E"/>
    <w:rsid w:val="004E2181"/>
    <w:rsid w:val="004E300A"/>
    <w:rsid w:val="004E306B"/>
    <w:rsid w:val="004E3BD3"/>
    <w:rsid w:val="004E4D49"/>
    <w:rsid w:val="004E6103"/>
    <w:rsid w:val="004E7E55"/>
    <w:rsid w:val="004F1E02"/>
    <w:rsid w:val="004F7580"/>
    <w:rsid w:val="00502193"/>
    <w:rsid w:val="00502346"/>
    <w:rsid w:val="00502A61"/>
    <w:rsid w:val="00502CCE"/>
    <w:rsid w:val="00503EAF"/>
    <w:rsid w:val="0050412D"/>
    <w:rsid w:val="0050626B"/>
    <w:rsid w:val="0050635E"/>
    <w:rsid w:val="00506539"/>
    <w:rsid w:val="00511EFE"/>
    <w:rsid w:val="0051227B"/>
    <w:rsid w:val="00512B71"/>
    <w:rsid w:val="00513A66"/>
    <w:rsid w:val="00513AC0"/>
    <w:rsid w:val="00513D77"/>
    <w:rsid w:val="00513F9D"/>
    <w:rsid w:val="005144D1"/>
    <w:rsid w:val="00515D72"/>
    <w:rsid w:val="005163F3"/>
    <w:rsid w:val="005207CE"/>
    <w:rsid w:val="0052167B"/>
    <w:rsid w:val="00521E30"/>
    <w:rsid w:val="00523406"/>
    <w:rsid w:val="005239E8"/>
    <w:rsid w:val="005300A6"/>
    <w:rsid w:val="00531950"/>
    <w:rsid w:val="00531E6E"/>
    <w:rsid w:val="00531FCD"/>
    <w:rsid w:val="00532614"/>
    <w:rsid w:val="0053262B"/>
    <w:rsid w:val="0053394E"/>
    <w:rsid w:val="00534818"/>
    <w:rsid w:val="00537C2B"/>
    <w:rsid w:val="00537D4D"/>
    <w:rsid w:val="00540270"/>
    <w:rsid w:val="00540CC2"/>
    <w:rsid w:val="00541997"/>
    <w:rsid w:val="00542618"/>
    <w:rsid w:val="00543A49"/>
    <w:rsid w:val="0054401F"/>
    <w:rsid w:val="00545E71"/>
    <w:rsid w:val="00546236"/>
    <w:rsid w:val="0054637A"/>
    <w:rsid w:val="005465CB"/>
    <w:rsid w:val="00546B5A"/>
    <w:rsid w:val="005470FD"/>
    <w:rsid w:val="0055112C"/>
    <w:rsid w:val="0055215B"/>
    <w:rsid w:val="005527CB"/>
    <w:rsid w:val="00553ECF"/>
    <w:rsid w:val="005542A6"/>
    <w:rsid w:val="00555733"/>
    <w:rsid w:val="005564EF"/>
    <w:rsid w:val="00556CD9"/>
    <w:rsid w:val="00556EDC"/>
    <w:rsid w:val="00557EB8"/>
    <w:rsid w:val="00565075"/>
    <w:rsid w:val="005660AA"/>
    <w:rsid w:val="00566C48"/>
    <w:rsid w:val="00570BE6"/>
    <w:rsid w:val="00570F8A"/>
    <w:rsid w:val="005712B1"/>
    <w:rsid w:val="005713C3"/>
    <w:rsid w:val="00572031"/>
    <w:rsid w:val="005727E1"/>
    <w:rsid w:val="00573A7B"/>
    <w:rsid w:val="005748C1"/>
    <w:rsid w:val="0057506B"/>
    <w:rsid w:val="00575227"/>
    <w:rsid w:val="005765CB"/>
    <w:rsid w:val="00576EF9"/>
    <w:rsid w:val="005773C3"/>
    <w:rsid w:val="00577D3D"/>
    <w:rsid w:val="00580267"/>
    <w:rsid w:val="0058188A"/>
    <w:rsid w:val="0058246E"/>
    <w:rsid w:val="00583511"/>
    <w:rsid w:val="00584322"/>
    <w:rsid w:val="005844F0"/>
    <w:rsid w:val="005850A2"/>
    <w:rsid w:val="00585A9B"/>
    <w:rsid w:val="00590205"/>
    <w:rsid w:val="0059029C"/>
    <w:rsid w:val="005912A2"/>
    <w:rsid w:val="00591EA4"/>
    <w:rsid w:val="005926D3"/>
    <w:rsid w:val="005943F9"/>
    <w:rsid w:val="00595BBB"/>
    <w:rsid w:val="00596D6F"/>
    <w:rsid w:val="00597CB3"/>
    <w:rsid w:val="005A07F5"/>
    <w:rsid w:val="005A10E5"/>
    <w:rsid w:val="005A33A3"/>
    <w:rsid w:val="005A4886"/>
    <w:rsid w:val="005A4963"/>
    <w:rsid w:val="005A553F"/>
    <w:rsid w:val="005A5A92"/>
    <w:rsid w:val="005A78C9"/>
    <w:rsid w:val="005B10E6"/>
    <w:rsid w:val="005B2088"/>
    <w:rsid w:val="005B3367"/>
    <w:rsid w:val="005B3534"/>
    <w:rsid w:val="005B3BA7"/>
    <w:rsid w:val="005B5976"/>
    <w:rsid w:val="005B6E10"/>
    <w:rsid w:val="005B768D"/>
    <w:rsid w:val="005B7A51"/>
    <w:rsid w:val="005B7D63"/>
    <w:rsid w:val="005C041F"/>
    <w:rsid w:val="005C2D22"/>
    <w:rsid w:val="005C305E"/>
    <w:rsid w:val="005C3BCF"/>
    <w:rsid w:val="005C3FEA"/>
    <w:rsid w:val="005C41B7"/>
    <w:rsid w:val="005C47A5"/>
    <w:rsid w:val="005D2271"/>
    <w:rsid w:val="005D370F"/>
    <w:rsid w:val="005D62A0"/>
    <w:rsid w:val="005D7ABD"/>
    <w:rsid w:val="005E0AC4"/>
    <w:rsid w:val="005E1B1D"/>
    <w:rsid w:val="005E5A84"/>
    <w:rsid w:val="005E63F9"/>
    <w:rsid w:val="005F63CC"/>
    <w:rsid w:val="005F64ED"/>
    <w:rsid w:val="005F6B3F"/>
    <w:rsid w:val="005F719A"/>
    <w:rsid w:val="005F7D81"/>
    <w:rsid w:val="00600C45"/>
    <w:rsid w:val="00601A36"/>
    <w:rsid w:val="00602C33"/>
    <w:rsid w:val="00603171"/>
    <w:rsid w:val="0060439F"/>
    <w:rsid w:val="00605B82"/>
    <w:rsid w:val="006079AB"/>
    <w:rsid w:val="00607A0C"/>
    <w:rsid w:val="00607C10"/>
    <w:rsid w:val="00610748"/>
    <w:rsid w:val="006119B3"/>
    <w:rsid w:val="006126B7"/>
    <w:rsid w:val="006133B7"/>
    <w:rsid w:val="006138A2"/>
    <w:rsid w:val="006167DC"/>
    <w:rsid w:val="00617973"/>
    <w:rsid w:val="00617D01"/>
    <w:rsid w:val="00620328"/>
    <w:rsid w:val="00620EB8"/>
    <w:rsid w:val="00621A05"/>
    <w:rsid w:val="00630A19"/>
    <w:rsid w:val="00630E37"/>
    <w:rsid w:val="006312C3"/>
    <w:rsid w:val="00631948"/>
    <w:rsid w:val="00632169"/>
    <w:rsid w:val="00635CB3"/>
    <w:rsid w:val="00635E3F"/>
    <w:rsid w:val="006369FF"/>
    <w:rsid w:val="00637AAB"/>
    <w:rsid w:val="006401D2"/>
    <w:rsid w:val="0064292F"/>
    <w:rsid w:val="00645A91"/>
    <w:rsid w:val="00650335"/>
    <w:rsid w:val="00650F4E"/>
    <w:rsid w:val="00653099"/>
    <w:rsid w:val="00654166"/>
    <w:rsid w:val="00654719"/>
    <w:rsid w:val="006553D0"/>
    <w:rsid w:val="006563A4"/>
    <w:rsid w:val="006606E8"/>
    <w:rsid w:val="00660D79"/>
    <w:rsid w:val="0066191A"/>
    <w:rsid w:val="00662C55"/>
    <w:rsid w:val="00663B5E"/>
    <w:rsid w:val="006658CD"/>
    <w:rsid w:val="00666C7C"/>
    <w:rsid w:val="00666F4D"/>
    <w:rsid w:val="00667DFA"/>
    <w:rsid w:val="0067031D"/>
    <w:rsid w:val="00670FB0"/>
    <w:rsid w:val="00672324"/>
    <w:rsid w:val="00673029"/>
    <w:rsid w:val="0067393B"/>
    <w:rsid w:val="00673BB0"/>
    <w:rsid w:val="00675C43"/>
    <w:rsid w:val="00676E1B"/>
    <w:rsid w:val="00677126"/>
    <w:rsid w:val="00680B23"/>
    <w:rsid w:val="00681E81"/>
    <w:rsid w:val="00682756"/>
    <w:rsid w:val="00682758"/>
    <w:rsid w:val="0068312B"/>
    <w:rsid w:val="00683555"/>
    <w:rsid w:val="0068384A"/>
    <w:rsid w:val="00683D37"/>
    <w:rsid w:val="00683F11"/>
    <w:rsid w:val="006842DA"/>
    <w:rsid w:val="00685410"/>
    <w:rsid w:val="00691048"/>
    <w:rsid w:val="0069202F"/>
    <w:rsid w:val="006921FC"/>
    <w:rsid w:val="00692E63"/>
    <w:rsid w:val="0069335B"/>
    <w:rsid w:val="006942DB"/>
    <w:rsid w:val="00696486"/>
    <w:rsid w:val="0069755A"/>
    <w:rsid w:val="00697D1B"/>
    <w:rsid w:val="006A0CEE"/>
    <w:rsid w:val="006A12AB"/>
    <w:rsid w:val="006A17D4"/>
    <w:rsid w:val="006A1E6E"/>
    <w:rsid w:val="006A21CD"/>
    <w:rsid w:val="006A3142"/>
    <w:rsid w:val="006A3C2F"/>
    <w:rsid w:val="006A5C2E"/>
    <w:rsid w:val="006A6CB0"/>
    <w:rsid w:val="006B0507"/>
    <w:rsid w:val="006B4203"/>
    <w:rsid w:val="006B592F"/>
    <w:rsid w:val="006B70C1"/>
    <w:rsid w:val="006B79BF"/>
    <w:rsid w:val="006C15EE"/>
    <w:rsid w:val="006C4A6F"/>
    <w:rsid w:val="006C5D21"/>
    <w:rsid w:val="006C6ECE"/>
    <w:rsid w:val="006C6FD9"/>
    <w:rsid w:val="006D023A"/>
    <w:rsid w:val="006D19EB"/>
    <w:rsid w:val="006D3004"/>
    <w:rsid w:val="006D6245"/>
    <w:rsid w:val="006D7371"/>
    <w:rsid w:val="006E0369"/>
    <w:rsid w:val="006E2DD1"/>
    <w:rsid w:val="006E30D3"/>
    <w:rsid w:val="006E32CF"/>
    <w:rsid w:val="006E6621"/>
    <w:rsid w:val="006E69E2"/>
    <w:rsid w:val="006F14FC"/>
    <w:rsid w:val="006F5C0A"/>
    <w:rsid w:val="006F6052"/>
    <w:rsid w:val="006F60B2"/>
    <w:rsid w:val="006F6ACA"/>
    <w:rsid w:val="006F777D"/>
    <w:rsid w:val="00701B19"/>
    <w:rsid w:val="00702A4F"/>
    <w:rsid w:val="007039B1"/>
    <w:rsid w:val="00705215"/>
    <w:rsid w:val="007057FE"/>
    <w:rsid w:val="007064D1"/>
    <w:rsid w:val="007067D5"/>
    <w:rsid w:val="00707432"/>
    <w:rsid w:val="00710638"/>
    <w:rsid w:val="00715473"/>
    <w:rsid w:val="007155A2"/>
    <w:rsid w:val="00725A2D"/>
    <w:rsid w:val="007274D8"/>
    <w:rsid w:val="007340B6"/>
    <w:rsid w:val="0073453F"/>
    <w:rsid w:val="00736455"/>
    <w:rsid w:val="00741A7D"/>
    <w:rsid w:val="007429AD"/>
    <w:rsid w:val="0074341B"/>
    <w:rsid w:val="0074576A"/>
    <w:rsid w:val="0074665A"/>
    <w:rsid w:val="00750787"/>
    <w:rsid w:val="00751313"/>
    <w:rsid w:val="00753546"/>
    <w:rsid w:val="00753EA5"/>
    <w:rsid w:val="00754990"/>
    <w:rsid w:val="0076008C"/>
    <w:rsid w:val="00764AFE"/>
    <w:rsid w:val="00764FAF"/>
    <w:rsid w:val="00765B7F"/>
    <w:rsid w:val="00767E83"/>
    <w:rsid w:val="00771809"/>
    <w:rsid w:val="00772E28"/>
    <w:rsid w:val="007746E7"/>
    <w:rsid w:val="007757D0"/>
    <w:rsid w:val="00775CD9"/>
    <w:rsid w:val="00776FB8"/>
    <w:rsid w:val="00781071"/>
    <w:rsid w:val="00782678"/>
    <w:rsid w:val="00782929"/>
    <w:rsid w:val="00782D78"/>
    <w:rsid w:val="00783401"/>
    <w:rsid w:val="00783F3E"/>
    <w:rsid w:val="00786674"/>
    <w:rsid w:val="00787154"/>
    <w:rsid w:val="00787C7D"/>
    <w:rsid w:val="00787EB8"/>
    <w:rsid w:val="0079026B"/>
    <w:rsid w:val="007910B9"/>
    <w:rsid w:val="007930BD"/>
    <w:rsid w:val="00793B5C"/>
    <w:rsid w:val="00793CD9"/>
    <w:rsid w:val="007947DA"/>
    <w:rsid w:val="007967F0"/>
    <w:rsid w:val="00796DEC"/>
    <w:rsid w:val="007A07AF"/>
    <w:rsid w:val="007A09DF"/>
    <w:rsid w:val="007A0B47"/>
    <w:rsid w:val="007A0BB2"/>
    <w:rsid w:val="007A0EFD"/>
    <w:rsid w:val="007A255F"/>
    <w:rsid w:val="007A5B45"/>
    <w:rsid w:val="007A6528"/>
    <w:rsid w:val="007A7CED"/>
    <w:rsid w:val="007B2137"/>
    <w:rsid w:val="007B21F7"/>
    <w:rsid w:val="007B2A55"/>
    <w:rsid w:val="007B31F2"/>
    <w:rsid w:val="007B456B"/>
    <w:rsid w:val="007B5D4C"/>
    <w:rsid w:val="007B6756"/>
    <w:rsid w:val="007B7D22"/>
    <w:rsid w:val="007C1B45"/>
    <w:rsid w:val="007C4974"/>
    <w:rsid w:val="007C4F37"/>
    <w:rsid w:val="007D2F3D"/>
    <w:rsid w:val="007D325E"/>
    <w:rsid w:val="007D3CC0"/>
    <w:rsid w:val="007D7AF6"/>
    <w:rsid w:val="007E1C60"/>
    <w:rsid w:val="007E2131"/>
    <w:rsid w:val="007E35DB"/>
    <w:rsid w:val="007E3A1A"/>
    <w:rsid w:val="007E53D0"/>
    <w:rsid w:val="007E5A93"/>
    <w:rsid w:val="007F18D8"/>
    <w:rsid w:val="007F4444"/>
    <w:rsid w:val="007F49ED"/>
    <w:rsid w:val="007F4A78"/>
    <w:rsid w:val="007F615E"/>
    <w:rsid w:val="007F6CA6"/>
    <w:rsid w:val="007F6DFE"/>
    <w:rsid w:val="007F6FEA"/>
    <w:rsid w:val="007F7749"/>
    <w:rsid w:val="0080087F"/>
    <w:rsid w:val="008011D6"/>
    <w:rsid w:val="00801635"/>
    <w:rsid w:val="008038D4"/>
    <w:rsid w:val="0081033D"/>
    <w:rsid w:val="008111A8"/>
    <w:rsid w:val="008132C0"/>
    <w:rsid w:val="008141AE"/>
    <w:rsid w:val="00814BDE"/>
    <w:rsid w:val="00815DC9"/>
    <w:rsid w:val="0081632F"/>
    <w:rsid w:val="00816366"/>
    <w:rsid w:val="00816FE9"/>
    <w:rsid w:val="0082029B"/>
    <w:rsid w:val="008203F7"/>
    <w:rsid w:val="00821A88"/>
    <w:rsid w:val="00822173"/>
    <w:rsid w:val="0082295E"/>
    <w:rsid w:val="0082430B"/>
    <w:rsid w:val="00825B2E"/>
    <w:rsid w:val="00830875"/>
    <w:rsid w:val="008320CE"/>
    <w:rsid w:val="008332E9"/>
    <w:rsid w:val="00834859"/>
    <w:rsid w:val="00834B99"/>
    <w:rsid w:val="0083571E"/>
    <w:rsid w:val="00835F12"/>
    <w:rsid w:val="00836604"/>
    <w:rsid w:val="0084221F"/>
    <w:rsid w:val="00842C98"/>
    <w:rsid w:val="00842F0F"/>
    <w:rsid w:val="00844BC4"/>
    <w:rsid w:val="00845306"/>
    <w:rsid w:val="00845B88"/>
    <w:rsid w:val="00845C42"/>
    <w:rsid w:val="00846E74"/>
    <w:rsid w:val="00847B2B"/>
    <w:rsid w:val="008506B2"/>
    <w:rsid w:val="00850D0F"/>
    <w:rsid w:val="00854732"/>
    <w:rsid w:val="00857CFA"/>
    <w:rsid w:val="00860290"/>
    <w:rsid w:val="008603DE"/>
    <w:rsid w:val="008604A5"/>
    <w:rsid w:val="00861611"/>
    <w:rsid w:val="0086249C"/>
    <w:rsid w:val="00866169"/>
    <w:rsid w:val="00866C7D"/>
    <w:rsid w:val="00866E26"/>
    <w:rsid w:val="008701A6"/>
    <w:rsid w:val="00870635"/>
    <w:rsid w:val="0087200F"/>
    <w:rsid w:val="00872484"/>
    <w:rsid w:val="0087371C"/>
    <w:rsid w:val="00876575"/>
    <w:rsid w:val="008766C5"/>
    <w:rsid w:val="00877662"/>
    <w:rsid w:val="00880B13"/>
    <w:rsid w:val="008814A7"/>
    <w:rsid w:val="008825E1"/>
    <w:rsid w:val="008828A9"/>
    <w:rsid w:val="0088377F"/>
    <w:rsid w:val="0088390B"/>
    <w:rsid w:val="0088443E"/>
    <w:rsid w:val="00884E6E"/>
    <w:rsid w:val="00885203"/>
    <w:rsid w:val="00886ECF"/>
    <w:rsid w:val="008870FE"/>
    <w:rsid w:val="0088725D"/>
    <w:rsid w:val="00887FF9"/>
    <w:rsid w:val="0089083C"/>
    <w:rsid w:val="00892389"/>
    <w:rsid w:val="00894085"/>
    <w:rsid w:val="008965F7"/>
    <w:rsid w:val="00896B0E"/>
    <w:rsid w:val="008977E1"/>
    <w:rsid w:val="00897E79"/>
    <w:rsid w:val="008A07E6"/>
    <w:rsid w:val="008A3961"/>
    <w:rsid w:val="008A5448"/>
    <w:rsid w:val="008B4ED7"/>
    <w:rsid w:val="008B6872"/>
    <w:rsid w:val="008B68D7"/>
    <w:rsid w:val="008B6BBF"/>
    <w:rsid w:val="008C3202"/>
    <w:rsid w:val="008C399E"/>
    <w:rsid w:val="008C49B0"/>
    <w:rsid w:val="008C5ACD"/>
    <w:rsid w:val="008C61C9"/>
    <w:rsid w:val="008C6FD9"/>
    <w:rsid w:val="008D14EE"/>
    <w:rsid w:val="008D2947"/>
    <w:rsid w:val="008D2CB3"/>
    <w:rsid w:val="008D2D4C"/>
    <w:rsid w:val="008D4A9A"/>
    <w:rsid w:val="008D5181"/>
    <w:rsid w:val="008D72D9"/>
    <w:rsid w:val="008D7BC4"/>
    <w:rsid w:val="008E10F7"/>
    <w:rsid w:val="008E112C"/>
    <w:rsid w:val="008E1368"/>
    <w:rsid w:val="008E1F67"/>
    <w:rsid w:val="008E33B4"/>
    <w:rsid w:val="008E395C"/>
    <w:rsid w:val="008E53B7"/>
    <w:rsid w:val="008E5DEE"/>
    <w:rsid w:val="008E600C"/>
    <w:rsid w:val="008E601B"/>
    <w:rsid w:val="008F001D"/>
    <w:rsid w:val="008F32DF"/>
    <w:rsid w:val="008F4110"/>
    <w:rsid w:val="008F4F4F"/>
    <w:rsid w:val="008F6442"/>
    <w:rsid w:val="008F6443"/>
    <w:rsid w:val="008F7C87"/>
    <w:rsid w:val="00900E66"/>
    <w:rsid w:val="0090172F"/>
    <w:rsid w:val="00902610"/>
    <w:rsid w:val="009026C9"/>
    <w:rsid w:val="00903C99"/>
    <w:rsid w:val="009040E3"/>
    <w:rsid w:val="00906A1D"/>
    <w:rsid w:val="00907BCD"/>
    <w:rsid w:val="00907D83"/>
    <w:rsid w:val="009125CD"/>
    <w:rsid w:val="009151C8"/>
    <w:rsid w:val="00915994"/>
    <w:rsid w:val="00915A41"/>
    <w:rsid w:val="00915A56"/>
    <w:rsid w:val="00916546"/>
    <w:rsid w:val="00920C0C"/>
    <w:rsid w:val="009214A2"/>
    <w:rsid w:val="009247D4"/>
    <w:rsid w:val="00925343"/>
    <w:rsid w:val="0092690E"/>
    <w:rsid w:val="00926A1A"/>
    <w:rsid w:val="00926B2A"/>
    <w:rsid w:val="0092748E"/>
    <w:rsid w:val="00927DFC"/>
    <w:rsid w:val="0093094E"/>
    <w:rsid w:val="0093516D"/>
    <w:rsid w:val="00935D11"/>
    <w:rsid w:val="00940216"/>
    <w:rsid w:val="00941359"/>
    <w:rsid w:val="00941571"/>
    <w:rsid w:val="00941EAE"/>
    <w:rsid w:val="00942BF7"/>
    <w:rsid w:val="009436C7"/>
    <w:rsid w:val="00943A8E"/>
    <w:rsid w:val="0094604B"/>
    <w:rsid w:val="00946139"/>
    <w:rsid w:val="00946823"/>
    <w:rsid w:val="00946B73"/>
    <w:rsid w:val="00947CF3"/>
    <w:rsid w:val="00951F81"/>
    <w:rsid w:val="00952113"/>
    <w:rsid w:val="00952BCE"/>
    <w:rsid w:val="009530D5"/>
    <w:rsid w:val="0095636D"/>
    <w:rsid w:val="00960173"/>
    <w:rsid w:val="0096019B"/>
    <w:rsid w:val="009608FC"/>
    <w:rsid w:val="00962743"/>
    <w:rsid w:val="00971888"/>
    <w:rsid w:val="0097208F"/>
    <w:rsid w:val="00972A53"/>
    <w:rsid w:val="009732F7"/>
    <w:rsid w:val="00973357"/>
    <w:rsid w:val="00983B38"/>
    <w:rsid w:val="00985DD9"/>
    <w:rsid w:val="00986BE4"/>
    <w:rsid w:val="009872DC"/>
    <w:rsid w:val="00987702"/>
    <w:rsid w:val="00990528"/>
    <w:rsid w:val="009921A0"/>
    <w:rsid w:val="009921F2"/>
    <w:rsid w:val="00992811"/>
    <w:rsid w:val="00992A6A"/>
    <w:rsid w:val="00997081"/>
    <w:rsid w:val="009970B7"/>
    <w:rsid w:val="009A0174"/>
    <w:rsid w:val="009A1AD8"/>
    <w:rsid w:val="009A3971"/>
    <w:rsid w:val="009A3D9B"/>
    <w:rsid w:val="009A6895"/>
    <w:rsid w:val="009A72A7"/>
    <w:rsid w:val="009B0D43"/>
    <w:rsid w:val="009B4759"/>
    <w:rsid w:val="009B727C"/>
    <w:rsid w:val="009C1C4D"/>
    <w:rsid w:val="009C2622"/>
    <w:rsid w:val="009C46BE"/>
    <w:rsid w:val="009C6260"/>
    <w:rsid w:val="009C6C95"/>
    <w:rsid w:val="009D2628"/>
    <w:rsid w:val="009D2A31"/>
    <w:rsid w:val="009D2BE6"/>
    <w:rsid w:val="009D2C70"/>
    <w:rsid w:val="009D2E14"/>
    <w:rsid w:val="009D3B7C"/>
    <w:rsid w:val="009D4537"/>
    <w:rsid w:val="009D45F1"/>
    <w:rsid w:val="009D6983"/>
    <w:rsid w:val="009E151E"/>
    <w:rsid w:val="009E53AD"/>
    <w:rsid w:val="009F00A4"/>
    <w:rsid w:val="009F0FA6"/>
    <w:rsid w:val="009F1093"/>
    <w:rsid w:val="009F3EB0"/>
    <w:rsid w:val="009F617D"/>
    <w:rsid w:val="009F6344"/>
    <w:rsid w:val="009F71BA"/>
    <w:rsid w:val="009F7BC4"/>
    <w:rsid w:val="00A00D43"/>
    <w:rsid w:val="00A0183F"/>
    <w:rsid w:val="00A02FB5"/>
    <w:rsid w:val="00A0539D"/>
    <w:rsid w:val="00A058A4"/>
    <w:rsid w:val="00A0700F"/>
    <w:rsid w:val="00A075FC"/>
    <w:rsid w:val="00A076AD"/>
    <w:rsid w:val="00A115D1"/>
    <w:rsid w:val="00A117AB"/>
    <w:rsid w:val="00A1208F"/>
    <w:rsid w:val="00A132A3"/>
    <w:rsid w:val="00A13BD6"/>
    <w:rsid w:val="00A147EB"/>
    <w:rsid w:val="00A14BC4"/>
    <w:rsid w:val="00A17190"/>
    <w:rsid w:val="00A25636"/>
    <w:rsid w:val="00A3163F"/>
    <w:rsid w:val="00A31D4E"/>
    <w:rsid w:val="00A32FA9"/>
    <w:rsid w:val="00A36A13"/>
    <w:rsid w:val="00A36F4E"/>
    <w:rsid w:val="00A374F8"/>
    <w:rsid w:val="00A37B08"/>
    <w:rsid w:val="00A42278"/>
    <w:rsid w:val="00A42F14"/>
    <w:rsid w:val="00A463D4"/>
    <w:rsid w:val="00A47120"/>
    <w:rsid w:val="00A47BFC"/>
    <w:rsid w:val="00A500E9"/>
    <w:rsid w:val="00A517BF"/>
    <w:rsid w:val="00A51C83"/>
    <w:rsid w:val="00A523B2"/>
    <w:rsid w:val="00A54747"/>
    <w:rsid w:val="00A55898"/>
    <w:rsid w:val="00A56542"/>
    <w:rsid w:val="00A56E01"/>
    <w:rsid w:val="00A6016E"/>
    <w:rsid w:val="00A61E7D"/>
    <w:rsid w:val="00A62AA7"/>
    <w:rsid w:val="00A62B0D"/>
    <w:rsid w:val="00A63AC4"/>
    <w:rsid w:val="00A6401A"/>
    <w:rsid w:val="00A65947"/>
    <w:rsid w:val="00A65BFC"/>
    <w:rsid w:val="00A67918"/>
    <w:rsid w:val="00A7073B"/>
    <w:rsid w:val="00A741C3"/>
    <w:rsid w:val="00A7491A"/>
    <w:rsid w:val="00A765FB"/>
    <w:rsid w:val="00A77D74"/>
    <w:rsid w:val="00A8136B"/>
    <w:rsid w:val="00A8252F"/>
    <w:rsid w:val="00A833BC"/>
    <w:rsid w:val="00A83640"/>
    <w:rsid w:val="00A84AF1"/>
    <w:rsid w:val="00A85DC6"/>
    <w:rsid w:val="00A86FFE"/>
    <w:rsid w:val="00A93501"/>
    <w:rsid w:val="00A936C3"/>
    <w:rsid w:val="00A95DA0"/>
    <w:rsid w:val="00A96604"/>
    <w:rsid w:val="00A9674B"/>
    <w:rsid w:val="00A96A0B"/>
    <w:rsid w:val="00A96BB4"/>
    <w:rsid w:val="00AA6DD1"/>
    <w:rsid w:val="00AB1319"/>
    <w:rsid w:val="00AB22CF"/>
    <w:rsid w:val="00AB2981"/>
    <w:rsid w:val="00AB3641"/>
    <w:rsid w:val="00AB50C7"/>
    <w:rsid w:val="00AB5662"/>
    <w:rsid w:val="00AC0184"/>
    <w:rsid w:val="00AC24E6"/>
    <w:rsid w:val="00AC25E1"/>
    <w:rsid w:val="00AC2AFA"/>
    <w:rsid w:val="00AC40D3"/>
    <w:rsid w:val="00AD2606"/>
    <w:rsid w:val="00AE18D6"/>
    <w:rsid w:val="00AE5429"/>
    <w:rsid w:val="00AE5D1D"/>
    <w:rsid w:val="00AE6C02"/>
    <w:rsid w:val="00AF0488"/>
    <w:rsid w:val="00AF0909"/>
    <w:rsid w:val="00AF18CA"/>
    <w:rsid w:val="00AF2389"/>
    <w:rsid w:val="00AF2F8B"/>
    <w:rsid w:val="00AF3664"/>
    <w:rsid w:val="00AF46E4"/>
    <w:rsid w:val="00AF6E41"/>
    <w:rsid w:val="00B028A8"/>
    <w:rsid w:val="00B03B93"/>
    <w:rsid w:val="00B10CAE"/>
    <w:rsid w:val="00B16069"/>
    <w:rsid w:val="00B1658B"/>
    <w:rsid w:val="00B17179"/>
    <w:rsid w:val="00B20AB2"/>
    <w:rsid w:val="00B227C6"/>
    <w:rsid w:val="00B22B6B"/>
    <w:rsid w:val="00B23D47"/>
    <w:rsid w:val="00B26815"/>
    <w:rsid w:val="00B26E3A"/>
    <w:rsid w:val="00B30AD1"/>
    <w:rsid w:val="00B34C76"/>
    <w:rsid w:val="00B35DF8"/>
    <w:rsid w:val="00B4004B"/>
    <w:rsid w:val="00B401CC"/>
    <w:rsid w:val="00B40929"/>
    <w:rsid w:val="00B4276E"/>
    <w:rsid w:val="00B42DC6"/>
    <w:rsid w:val="00B44840"/>
    <w:rsid w:val="00B44A91"/>
    <w:rsid w:val="00B44DB3"/>
    <w:rsid w:val="00B45714"/>
    <w:rsid w:val="00B45A6D"/>
    <w:rsid w:val="00B45EBE"/>
    <w:rsid w:val="00B5043E"/>
    <w:rsid w:val="00B52BA7"/>
    <w:rsid w:val="00B5435E"/>
    <w:rsid w:val="00B55F81"/>
    <w:rsid w:val="00B56935"/>
    <w:rsid w:val="00B57CCC"/>
    <w:rsid w:val="00B60469"/>
    <w:rsid w:val="00B60519"/>
    <w:rsid w:val="00B60617"/>
    <w:rsid w:val="00B61A24"/>
    <w:rsid w:val="00B62158"/>
    <w:rsid w:val="00B63DB1"/>
    <w:rsid w:val="00B63F39"/>
    <w:rsid w:val="00B6514D"/>
    <w:rsid w:val="00B67848"/>
    <w:rsid w:val="00B70469"/>
    <w:rsid w:val="00B730DD"/>
    <w:rsid w:val="00B738DE"/>
    <w:rsid w:val="00B73E17"/>
    <w:rsid w:val="00B751E6"/>
    <w:rsid w:val="00B75396"/>
    <w:rsid w:val="00B81A21"/>
    <w:rsid w:val="00B81A38"/>
    <w:rsid w:val="00B82A76"/>
    <w:rsid w:val="00B82CC1"/>
    <w:rsid w:val="00B85D78"/>
    <w:rsid w:val="00B85EBE"/>
    <w:rsid w:val="00B90D5A"/>
    <w:rsid w:val="00B9145E"/>
    <w:rsid w:val="00B91B5A"/>
    <w:rsid w:val="00B922CF"/>
    <w:rsid w:val="00B93C59"/>
    <w:rsid w:val="00B947F4"/>
    <w:rsid w:val="00B9660B"/>
    <w:rsid w:val="00B97978"/>
    <w:rsid w:val="00B97BCE"/>
    <w:rsid w:val="00BA1C6C"/>
    <w:rsid w:val="00BA347A"/>
    <w:rsid w:val="00BA5733"/>
    <w:rsid w:val="00BA71B6"/>
    <w:rsid w:val="00BB2B95"/>
    <w:rsid w:val="00BB50DC"/>
    <w:rsid w:val="00BB527A"/>
    <w:rsid w:val="00BC29D2"/>
    <w:rsid w:val="00BC50AA"/>
    <w:rsid w:val="00BC617A"/>
    <w:rsid w:val="00BC6FC7"/>
    <w:rsid w:val="00BC7CF7"/>
    <w:rsid w:val="00BD493B"/>
    <w:rsid w:val="00BD5DEE"/>
    <w:rsid w:val="00BD6E48"/>
    <w:rsid w:val="00BD765D"/>
    <w:rsid w:val="00BD7EB3"/>
    <w:rsid w:val="00BE0489"/>
    <w:rsid w:val="00BE0FAD"/>
    <w:rsid w:val="00BE114A"/>
    <w:rsid w:val="00BE318D"/>
    <w:rsid w:val="00BE5A7E"/>
    <w:rsid w:val="00BE67EE"/>
    <w:rsid w:val="00BE776A"/>
    <w:rsid w:val="00BF0C34"/>
    <w:rsid w:val="00BF1C5E"/>
    <w:rsid w:val="00BF2579"/>
    <w:rsid w:val="00BF5188"/>
    <w:rsid w:val="00BF7EB6"/>
    <w:rsid w:val="00C0019C"/>
    <w:rsid w:val="00C02775"/>
    <w:rsid w:val="00C034B9"/>
    <w:rsid w:val="00C04E53"/>
    <w:rsid w:val="00C05A87"/>
    <w:rsid w:val="00C072BC"/>
    <w:rsid w:val="00C0769E"/>
    <w:rsid w:val="00C07938"/>
    <w:rsid w:val="00C07DAC"/>
    <w:rsid w:val="00C108F9"/>
    <w:rsid w:val="00C10974"/>
    <w:rsid w:val="00C1397F"/>
    <w:rsid w:val="00C14AC8"/>
    <w:rsid w:val="00C156E4"/>
    <w:rsid w:val="00C16E5E"/>
    <w:rsid w:val="00C175EC"/>
    <w:rsid w:val="00C1779E"/>
    <w:rsid w:val="00C17ED0"/>
    <w:rsid w:val="00C2015D"/>
    <w:rsid w:val="00C203D4"/>
    <w:rsid w:val="00C206C1"/>
    <w:rsid w:val="00C223B7"/>
    <w:rsid w:val="00C2296C"/>
    <w:rsid w:val="00C2322D"/>
    <w:rsid w:val="00C24067"/>
    <w:rsid w:val="00C244D9"/>
    <w:rsid w:val="00C24D93"/>
    <w:rsid w:val="00C26BF6"/>
    <w:rsid w:val="00C31260"/>
    <w:rsid w:val="00C31BD2"/>
    <w:rsid w:val="00C345B1"/>
    <w:rsid w:val="00C36B40"/>
    <w:rsid w:val="00C36C15"/>
    <w:rsid w:val="00C37052"/>
    <w:rsid w:val="00C41E1E"/>
    <w:rsid w:val="00C42CB7"/>
    <w:rsid w:val="00C442AB"/>
    <w:rsid w:val="00C44C25"/>
    <w:rsid w:val="00C44C8D"/>
    <w:rsid w:val="00C45987"/>
    <w:rsid w:val="00C45C7F"/>
    <w:rsid w:val="00C46641"/>
    <w:rsid w:val="00C467BA"/>
    <w:rsid w:val="00C51021"/>
    <w:rsid w:val="00C526DB"/>
    <w:rsid w:val="00C5397F"/>
    <w:rsid w:val="00C54D68"/>
    <w:rsid w:val="00C5731C"/>
    <w:rsid w:val="00C57400"/>
    <w:rsid w:val="00C60143"/>
    <w:rsid w:val="00C60392"/>
    <w:rsid w:val="00C609B1"/>
    <w:rsid w:val="00C60CA0"/>
    <w:rsid w:val="00C60D71"/>
    <w:rsid w:val="00C6227F"/>
    <w:rsid w:val="00C646B5"/>
    <w:rsid w:val="00C70305"/>
    <w:rsid w:val="00C7086D"/>
    <w:rsid w:val="00C7330E"/>
    <w:rsid w:val="00C749CD"/>
    <w:rsid w:val="00C756E9"/>
    <w:rsid w:val="00C75B20"/>
    <w:rsid w:val="00C825FE"/>
    <w:rsid w:val="00C82A54"/>
    <w:rsid w:val="00C82ACE"/>
    <w:rsid w:val="00C851DF"/>
    <w:rsid w:val="00C854C1"/>
    <w:rsid w:val="00C85791"/>
    <w:rsid w:val="00C87D2B"/>
    <w:rsid w:val="00C87EB2"/>
    <w:rsid w:val="00C9342A"/>
    <w:rsid w:val="00C942BE"/>
    <w:rsid w:val="00C94696"/>
    <w:rsid w:val="00C9738C"/>
    <w:rsid w:val="00C975BD"/>
    <w:rsid w:val="00CA080E"/>
    <w:rsid w:val="00CA6F89"/>
    <w:rsid w:val="00CA70B1"/>
    <w:rsid w:val="00CB04D0"/>
    <w:rsid w:val="00CB050D"/>
    <w:rsid w:val="00CB07A6"/>
    <w:rsid w:val="00CB2868"/>
    <w:rsid w:val="00CB3A6D"/>
    <w:rsid w:val="00CB627A"/>
    <w:rsid w:val="00CB6286"/>
    <w:rsid w:val="00CB6357"/>
    <w:rsid w:val="00CB648D"/>
    <w:rsid w:val="00CB6EC3"/>
    <w:rsid w:val="00CB7033"/>
    <w:rsid w:val="00CC211E"/>
    <w:rsid w:val="00CC3A37"/>
    <w:rsid w:val="00CC4376"/>
    <w:rsid w:val="00CC5509"/>
    <w:rsid w:val="00CC7B00"/>
    <w:rsid w:val="00CD0319"/>
    <w:rsid w:val="00CD0C32"/>
    <w:rsid w:val="00CD16E4"/>
    <w:rsid w:val="00CD19B2"/>
    <w:rsid w:val="00CD25F7"/>
    <w:rsid w:val="00CD4AAE"/>
    <w:rsid w:val="00CD7841"/>
    <w:rsid w:val="00CE1174"/>
    <w:rsid w:val="00CE16C7"/>
    <w:rsid w:val="00CE1A50"/>
    <w:rsid w:val="00CE2764"/>
    <w:rsid w:val="00CE3402"/>
    <w:rsid w:val="00CE3B33"/>
    <w:rsid w:val="00CE46F0"/>
    <w:rsid w:val="00CE4855"/>
    <w:rsid w:val="00CE4ADA"/>
    <w:rsid w:val="00CE5943"/>
    <w:rsid w:val="00CE5DCE"/>
    <w:rsid w:val="00CE6442"/>
    <w:rsid w:val="00CE7A52"/>
    <w:rsid w:val="00CE7C78"/>
    <w:rsid w:val="00CF047C"/>
    <w:rsid w:val="00CF052D"/>
    <w:rsid w:val="00CF203D"/>
    <w:rsid w:val="00CF26EF"/>
    <w:rsid w:val="00CF358D"/>
    <w:rsid w:val="00CF3EA9"/>
    <w:rsid w:val="00CF470B"/>
    <w:rsid w:val="00D004A8"/>
    <w:rsid w:val="00D02CFC"/>
    <w:rsid w:val="00D02E77"/>
    <w:rsid w:val="00D0743B"/>
    <w:rsid w:val="00D102A7"/>
    <w:rsid w:val="00D1549F"/>
    <w:rsid w:val="00D16E20"/>
    <w:rsid w:val="00D17A14"/>
    <w:rsid w:val="00D20D4D"/>
    <w:rsid w:val="00D22BE6"/>
    <w:rsid w:val="00D22D7D"/>
    <w:rsid w:val="00D24EB2"/>
    <w:rsid w:val="00D2663C"/>
    <w:rsid w:val="00D305B4"/>
    <w:rsid w:val="00D3188E"/>
    <w:rsid w:val="00D329A6"/>
    <w:rsid w:val="00D329DB"/>
    <w:rsid w:val="00D32EE7"/>
    <w:rsid w:val="00D337AB"/>
    <w:rsid w:val="00D33E81"/>
    <w:rsid w:val="00D364A0"/>
    <w:rsid w:val="00D36FA8"/>
    <w:rsid w:val="00D45112"/>
    <w:rsid w:val="00D45170"/>
    <w:rsid w:val="00D475CF"/>
    <w:rsid w:val="00D47B03"/>
    <w:rsid w:val="00D501D7"/>
    <w:rsid w:val="00D51225"/>
    <w:rsid w:val="00D51524"/>
    <w:rsid w:val="00D5172C"/>
    <w:rsid w:val="00D5523B"/>
    <w:rsid w:val="00D55BAB"/>
    <w:rsid w:val="00D55DAF"/>
    <w:rsid w:val="00D55E30"/>
    <w:rsid w:val="00D56452"/>
    <w:rsid w:val="00D5782B"/>
    <w:rsid w:val="00D62F9F"/>
    <w:rsid w:val="00D64EA6"/>
    <w:rsid w:val="00D65C15"/>
    <w:rsid w:val="00D65D1E"/>
    <w:rsid w:val="00D66BC5"/>
    <w:rsid w:val="00D67D34"/>
    <w:rsid w:val="00D700AF"/>
    <w:rsid w:val="00D711D8"/>
    <w:rsid w:val="00D77D63"/>
    <w:rsid w:val="00D80954"/>
    <w:rsid w:val="00D821C6"/>
    <w:rsid w:val="00D85058"/>
    <w:rsid w:val="00D87845"/>
    <w:rsid w:val="00D879D4"/>
    <w:rsid w:val="00D94A89"/>
    <w:rsid w:val="00D95E57"/>
    <w:rsid w:val="00DA0DFA"/>
    <w:rsid w:val="00DA5DEC"/>
    <w:rsid w:val="00DA6115"/>
    <w:rsid w:val="00DA6977"/>
    <w:rsid w:val="00DB05D8"/>
    <w:rsid w:val="00DB1100"/>
    <w:rsid w:val="00DB138D"/>
    <w:rsid w:val="00DB2090"/>
    <w:rsid w:val="00DB223B"/>
    <w:rsid w:val="00DB3BE5"/>
    <w:rsid w:val="00DB780B"/>
    <w:rsid w:val="00DC117E"/>
    <w:rsid w:val="00DC16E0"/>
    <w:rsid w:val="00DC2499"/>
    <w:rsid w:val="00DC31C9"/>
    <w:rsid w:val="00DC5842"/>
    <w:rsid w:val="00DC64FB"/>
    <w:rsid w:val="00DC68AC"/>
    <w:rsid w:val="00DC68CE"/>
    <w:rsid w:val="00DD1080"/>
    <w:rsid w:val="00DD1675"/>
    <w:rsid w:val="00DD1B1A"/>
    <w:rsid w:val="00DD1B9B"/>
    <w:rsid w:val="00DD4E08"/>
    <w:rsid w:val="00DD644A"/>
    <w:rsid w:val="00DE0863"/>
    <w:rsid w:val="00DE153E"/>
    <w:rsid w:val="00DE1BD6"/>
    <w:rsid w:val="00DE3232"/>
    <w:rsid w:val="00DE4278"/>
    <w:rsid w:val="00DE7858"/>
    <w:rsid w:val="00DE7911"/>
    <w:rsid w:val="00DF0760"/>
    <w:rsid w:val="00DF2089"/>
    <w:rsid w:val="00DF26AB"/>
    <w:rsid w:val="00DF3394"/>
    <w:rsid w:val="00DF6C5A"/>
    <w:rsid w:val="00DF7D6E"/>
    <w:rsid w:val="00E004AB"/>
    <w:rsid w:val="00E01BF7"/>
    <w:rsid w:val="00E03BB4"/>
    <w:rsid w:val="00E03C73"/>
    <w:rsid w:val="00E04223"/>
    <w:rsid w:val="00E066C9"/>
    <w:rsid w:val="00E070C4"/>
    <w:rsid w:val="00E07E0B"/>
    <w:rsid w:val="00E10E42"/>
    <w:rsid w:val="00E113CC"/>
    <w:rsid w:val="00E12724"/>
    <w:rsid w:val="00E127C0"/>
    <w:rsid w:val="00E12EE0"/>
    <w:rsid w:val="00E155B8"/>
    <w:rsid w:val="00E166B3"/>
    <w:rsid w:val="00E169E3"/>
    <w:rsid w:val="00E16AD0"/>
    <w:rsid w:val="00E16D41"/>
    <w:rsid w:val="00E226DF"/>
    <w:rsid w:val="00E22803"/>
    <w:rsid w:val="00E22884"/>
    <w:rsid w:val="00E23394"/>
    <w:rsid w:val="00E23C7E"/>
    <w:rsid w:val="00E24BBD"/>
    <w:rsid w:val="00E250D5"/>
    <w:rsid w:val="00E265B0"/>
    <w:rsid w:val="00E26AA3"/>
    <w:rsid w:val="00E27684"/>
    <w:rsid w:val="00E27EC3"/>
    <w:rsid w:val="00E30845"/>
    <w:rsid w:val="00E30E15"/>
    <w:rsid w:val="00E317CF"/>
    <w:rsid w:val="00E35252"/>
    <w:rsid w:val="00E35DF6"/>
    <w:rsid w:val="00E37371"/>
    <w:rsid w:val="00E4039C"/>
    <w:rsid w:val="00E40BA3"/>
    <w:rsid w:val="00E41528"/>
    <w:rsid w:val="00E41DB2"/>
    <w:rsid w:val="00E46216"/>
    <w:rsid w:val="00E46943"/>
    <w:rsid w:val="00E47B85"/>
    <w:rsid w:val="00E50EED"/>
    <w:rsid w:val="00E51971"/>
    <w:rsid w:val="00E51D93"/>
    <w:rsid w:val="00E54693"/>
    <w:rsid w:val="00E55912"/>
    <w:rsid w:val="00E603A1"/>
    <w:rsid w:val="00E702D8"/>
    <w:rsid w:val="00E703DD"/>
    <w:rsid w:val="00E72251"/>
    <w:rsid w:val="00E731DC"/>
    <w:rsid w:val="00E74FC9"/>
    <w:rsid w:val="00E752B3"/>
    <w:rsid w:val="00E75EA6"/>
    <w:rsid w:val="00E7662C"/>
    <w:rsid w:val="00E76D1C"/>
    <w:rsid w:val="00E77AC7"/>
    <w:rsid w:val="00E80DE9"/>
    <w:rsid w:val="00E81B94"/>
    <w:rsid w:val="00E85628"/>
    <w:rsid w:val="00E87B41"/>
    <w:rsid w:val="00E9030C"/>
    <w:rsid w:val="00E93E2B"/>
    <w:rsid w:val="00E969ED"/>
    <w:rsid w:val="00E97749"/>
    <w:rsid w:val="00EA1DCD"/>
    <w:rsid w:val="00EA2AB3"/>
    <w:rsid w:val="00EA44AB"/>
    <w:rsid w:val="00EA44AD"/>
    <w:rsid w:val="00EA4EF2"/>
    <w:rsid w:val="00EA58CC"/>
    <w:rsid w:val="00EA742A"/>
    <w:rsid w:val="00EB0B79"/>
    <w:rsid w:val="00EB13A5"/>
    <w:rsid w:val="00EB1F77"/>
    <w:rsid w:val="00EB3260"/>
    <w:rsid w:val="00EB4EE8"/>
    <w:rsid w:val="00EB4F13"/>
    <w:rsid w:val="00EC032B"/>
    <w:rsid w:val="00EC0578"/>
    <w:rsid w:val="00EC118F"/>
    <w:rsid w:val="00EC6E2B"/>
    <w:rsid w:val="00ED14D1"/>
    <w:rsid w:val="00ED391C"/>
    <w:rsid w:val="00ED7A0A"/>
    <w:rsid w:val="00EE1606"/>
    <w:rsid w:val="00EE2C00"/>
    <w:rsid w:val="00EE3AB1"/>
    <w:rsid w:val="00EE3E2E"/>
    <w:rsid w:val="00EE695D"/>
    <w:rsid w:val="00EF0ABE"/>
    <w:rsid w:val="00EF10F1"/>
    <w:rsid w:val="00EF16FD"/>
    <w:rsid w:val="00EF2D6C"/>
    <w:rsid w:val="00EF3DB7"/>
    <w:rsid w:val="00EF42C2"/>
    <w:rsid w:val="00EF4A9D"/>
    <w:rsid w:val="00EF5968"/>
    <w:rsid w:val="00F007A5"/>
    <w:rsid w:val="00F00B70"/>
    <w:rsid w:val="00F024F0"/>
    <w:rsid w:val="00F0590E"/>
    <w:rsid w:val="00F05BE6"/>
    <w:rsid w:val="00F05C25"/>
    <w:rsid w:val="00F10C30"/>
    <w:rsid w:val="00F1348C"/>
    <w:rsid w:val="00F16704"/>
    <w:rsid w:val="00F16736"/>
    <w:rsid w:val="00F169FF"/>
    <w:rsid w:val="00F16AEC"/>
    <w:rsid w:val="00F16BEF"/>
    <w:rsid w:val="00F17AA3"/>
    <w:rsid w:val="00F20747"/>
    <w:rsid w:val="00F21E83"/>
    <w:rsid w:val="00F23292"/>
    <w:rsid w:val="00F24300"/>
    <w:rsid w:val="00F304BD"/>
    <w:rsid w:val="00F31D40"/>
    <w:rsid w:val="00F33051"/>
    <w:rsid w:val="00F3370F"/>
    <w:rsid w:val="00F33D07"/>
    <w:rsid w:val="00F347F7"/>
    <w:rsid w:val="00F36A30"/>
    <w:rsid w:val="00F37451"/>
    <w:rsid w:val="00F41B80"/>
    <w:rsid w:val="00F41C50"/>
    <w:rsid w:val="00F41DF9"/>
    <w:rsid w:val="00F42C74"/>
    <w:rsid w:val="00F4340B"/>
    <w:rsid w:val="00F43642"/>
    <w:rsid w:val="00F4474B"/>
    <w:rsid w:val="00F51D48"/>
    <w:rsid w:val="00F51F01"/>
    <w:rsid w:val="00F51F12"/>
    <w:rsid w:val="00F526DD"/>
    <w:rsid w:val="00F548D5"/>
    <w:rsid w:val="00F54E93"/>
    <w:rsid w:val="00F54EEB"/>
    <w:rsid w:val="00F57D48"/>
    <w:rsid w:val="00F620E6"/>
    <w:rsid w:val="00F6279B"/>
    <w:rsid w:val="00F62824"/>
    <w:rsid w:val="00F6661F"/>
    <w:rsid w:val="00F67825"/>
    <w:rsid w:val="00F71582"/>
    <w:rsid w:val="00F72305"/>
    <w:rsid w:val="00F759FC"/>
    <w:rsid w:val="00F81F44"/>
    <w:rsid w:val="00F823A9"/>
    <w:rsid w:val="00F825C3"/>
    <w:rsid w:val="00F82CBC"/>
    <w:rsid w:val="00F830D0"/>
    <w:rsid w:val="00F86F7D"/>
    <w:rsid w:val="00F87D43"/>
    <w:rsid w:val="00F90D17"/>
    <w:rsid w:val="00F91032"/>
    <w:rsid w:val="00F915F4"/>
    <w:rsid w:val="00F940B8"/>
    <w:rsid w:val="00F97182"/>
    <w:rsid w:val="00F9767C"/>
    <w:rsid w:val="00F976B8"/>
    <w:rsid w:val="00FA6870"/>
    <w:rsid w:val="00FB0360"/>
    <w:rsid w:val="00FB35A1"/>
    <w:rsid w:val="00FB41FC"/>
    <w:rsid w:val="00FB4C58"/>
    <w:rsid w:val="00FB5A8D"/>
    <w:rsid w:val="00FB5DA6"/>
    <w:rsid w:val="00FC4610"/>
    <w:rsid w:val="00FC4856"/>
    <w:rsid w:val="00FC59D3"/>
    <w:rsid w:val="00FC6039"/>
    <w:rsid w:val="00FC65AA"/>
    <w:rsid w:val="00FC67BB"/>
    <w:rsid w:val="00FC6A5D"/>
    <w:rsid w:val="00FC7175"/>
    <w:rsid w:val="00FD003F"/>
    <w:rsid w:val="00FD05F2"/>
    <w:rsid w:val="00FD1172"/>
    <w:rsid w:val="00FD211D"/>
    <w:rsid w:val="00FD4614"/>
    <w:rsid w:val="00FD54C0"/>
    <w:rsid w:val="00FD5A15"/>
    <w:rsid w:val="00FE032D"/>
    <w:rsid w:val="00FE040F"/>
    <w:rsid w:val="00FE060E"/>
    <w:rsid w:val="00FE1158"/>
    <w:rsid w:val="00FE2985"/>
    <w:rsid w:val="00FE29AF"/>
    <w:rsid w:val="00FE4860"/>
    <w:rsid w:val="00FF0CBD"/>
    <w:rsid w:val="00FF0F3D"/>
    <w:rsid w:val="00FF28F7"/>
    <w:rsid w:val="00FF415C"/>
    <w:rsid w:val="00FF5B4C"/>
    <w:rsid w:val="00FF5C67"/>
    <w:rsid w:val="00FF63A5"/>
    <w:rsid w:val="00FF77AC"/>
    <w:rsid w:val="3C6085A6"/>
    <w:rsid w:val="521AEC1C"/>
    <w:rsid w:val="63EC66DC"/>
    <w:rsid w:val="7A78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51D08"/>
  <w14:defaultImageDpi w14:val="32767"/>
  <w15:chartTrackingRefBased/>
  <w15:docId w15:val="{CC4EE77B-3D93-4505-B251-454B4171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E3F"/>
    <w:pPr>
      <w:tabs>
        <w:tab w:val="left" w:pos="567"/>
      </w:tabs>
    </w:pPr>
    <w:rPr>
      <w:rFonts w:eastAsia="PMingLiU"/>
      <w:sz w:val="22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rsid w:val="00D364A0"/>
    <w:pPr>
      <w:tabs>
        <w:tab w:val="center" w:pos="4536"/>
        <w:tab w:val="center" w:pos="893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paragraph" w:styleId="BodyText3">
    <w:name w:val="Body Text 3"/>
    <w:basedOn w:val="Normal"/>
    <w:link w:val="BodyText3Char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paragraph" w:styleId="BodyTextIndent2">
    <w:name w:val="Body Text Indent 2"/>
    <w:basedOn w:val="Normal"/>
    <w:link w:val="BodyTextInden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">
    <w:name w:val="Body Text"/>
    <w:basedOn w:val="Normal"/>
    <w:link w:val="BodyTextChar"/>
    <w:pPr>
      <w:tabs>
        <w:tab w:val="clear" w:pos="567"/>
      </w:tabs>
    </w:pPr>
    <w:rPr>
      <w:i/>
      <w:color w:val="008000"/>
    </w:rPr>
  </w:style>
  <w:style w:type="paragraph" w:styleId="BodyText2">
    <w:name w:val="Body Text 2"/>
    <w:basedOn w:val="Normal"/>
    <w:link w:val="BodyTex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/>
      <w:jc w:val="both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4"/>
      </w:numPr>
      <w:tabs>
        <w:tab w:val="clear" w:pos="567"/>
      </w:tabs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ngtext">
    <w:name w:val="Ballongtext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CommentText"/>
    <w:next w:val="CommentText"/>
    <w:semiHidden/>
    <w:rPr>
      <w:b/>
      <w:bCs/>
    </w:rPr>
  </w:style>
  <w:style w:type="paragraph" w:customStyle="1" w:styleId="Text">
    <w:name w:val="Text"/>
    <w:basedOn w:val="Normal"/>
    <w:pPr>
      <w:tabs>
        <w:tab w:val="clear" w:pos="567"/>
      </w:tabs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56"/>
      <w:textAlignment w:val="baseline"/>
    </w:pPr>
    <w:rPr>
      <w:rFonts w:ascii="Arial" w:hAnsi="Arial" w:cs="Arial"/>
      <w:bCs/>
      <w:color w:val="0000FF"/>
      <w:sz w:val="20"/>
      <w:szCs w:val="14"/>
    </w:rPr>
  </w:style>
  <w:style w:type="character" w:customStyle="1" w:styleId="TextChar">
    <w:name w:val="Text Char"/>
    <w:rPr>
      <w:rFonts w:ascii="Arial" w:hAnsi="Arial" w:cs="Arial"/>
      <w:bCs/>
      <w:color w:val="0000FF"/>
      <w:szCs w:val="14"/>
      <w:lang w:val="cs-CZ" w:eastAsia="en-US" w:bidi="ar-SA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PeggyHo">
    <w:name w:val="Peggy Ho"/>
    <w:basedOn w:val="DefaultParagraphFont"/>
    <w:semiHidden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lbltxt">
    <w:name w:val="lbltxt"/>
    <w:pPr>
      <w:tabs>
        <w:tab w:val="left" w:pos="567"/>
      </w:tabs>
    </w:pPr>
    <w:rPr>
      <w:noProof/>
      <w:sz w:val="22"/>
      <w:lang w:val="cs-CZ" w:eastAsia="en-US"/>
    </w:rPr>
  </w:style>
  <w:style w:type="paragraph" w:customStyle="1" w:styleId="TextBullet">
    <w:name w:val="TextBullet"/>
    <w:basedOn w:val="Normal"/>
    <w:pPr>
      <w:numPr>
        <w:numId w:val="9"/>
      </w:numPr>
      <w:tabs>
        <w:tab w:val="clear" w:pos="567"/>
      </w:tabs>
      <w:suppressAutoHyphens/>
      <w:spacing w:after="100" w:line="340" w:lineRule="atLeast"/>
    </w:pPr>
    <w:rPr>
      <w:rFonts w:ascii="Arial" w:hAnsi="Arial"/>
    </w:rPr>
  </w:style>
  <w:style w:type="character" w:customStyle="1" w:styleId="TextBulletChar">
    <w:name w:val="TextBullet Char"/>
    <w:rPr>
      <w:rFonts w:ascii="Arial" w:hAnsi="Arial"/>
      <w:sz w:val="22"/>
      <w:lang w:val="cs-CZ" w:eastAsia="en-US"/>
    </w:rPr>
  </w:style>
  <w:style w:type="character" w:customStyle="1" w:styleId="SidhuvudChar1">
    <w:name w:val="Sidhuvud Char1"/>
    <w:rPr>
      <w:rFonts w:ascii="Helvetica" w:hAnsi="Helvetica"/>
      <w:lang w:val="cs-CZ" w:eastAsia="en-US" w:bidi="ar-SA"/>
    </w:rPr>
  </w:style>
  <w:style w:type="paragraph" w:customStyle="1" w:styleId="Para">
    <w:name w:val="Para"/>
    <w:basedOn w:val="Normal"/>
    <w:next w:val="Normal"/>
    <w:pPr>
      <w:tabs>
        <w:tab w:val="clear" w:pos="567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ynopsisText">
    <w:name w:val="SynopsisText"/>
    <w:basedOn w:val="Text"/>
    <w:pPr>
      <w:tabs>
        <w:tab w:val="left" w:pos="1794"/>
      </w:tabs>
      <w:overflowPunct/>
      <w:autoSpaceDE/>
      <w:autoSpaceDN/>
      <w:adjustRightInd/>
      <w:spacing w:before="120" w:beforeAutospacing="0" w:after="120" w:afterAutospacing="0" w:line="240" w:lineRule="auto"/>
      <w:ind w:left="0"/>
      <w:textAlignment w:val="auto"/>
    </w:pPr>
    <w:rPr>
      <w:rFonts w:cs="Times New Roman"/>
      <w:bCs w:val="0"/>
      <w:color w:val="000000"/>
      <w:szCs w:val="20"/>
    </w:rPr>
  </w:style>
  <w:style w:type="paragraph" w:customStyle="1" w:styleId="text0">
    <w:name w:val="text"/>
    <w:basedOn w:val="Normal"/>
    <w:pPr>
      <w:tabs>
        <w:tab w:val="clear" w:pos="567"/>
      </w:tabs>
      <w:overflowPunct w:val="0"/>
      <w:autoSpaceDE w:val="0"/>
      <w:autoSpaceDN w:val="0"/>
      <w:spacing w:before="100" w:beforeAutospacing="1" w:after="100" w:afterAutospacing="1" w:line="360" w:lineRule="auto"/>
      <w:ind w:left="56"/>
    </w:pPr>
    <w:rPr>
      <w:rFonts w:ascii="Arial" w:hAnsi="Arial" w:cs="Arial"/>
      <w:color w:val="0000FF"/>
      <w:sz w:val="20"/>
    </w:rPr>
  </w:style>
  <w:style w:type="character" w:customStyle="1" w:styleId="emailstyle18">
    <w:name w:val="emailstyle18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cs-CZ" w:eastAsia="ja-JP"/>
    </w:rPr>
  </w:style>
  <w:style w:type="paragraph" w:customStyle="1" w:styleId="synopsistext0">
    <w:name w:val="synopsistext"/>
    <w:basedOn w:val="Normal"/>
    <w:pPr>
      <w:tabs>
        <w:tab w:val="clear" w:pos="567"/>
      </w:tabs>
      <w:spacing w:before="120" w:after="120"/>
    </w:pPr>
    <w:rPr>
      <w:rFonts w:ascii="Arial" w:eastAsia="MS Mincho" w:hAnsi="Arial" w:cs="Arial"/>
      <w:color w:val="000000"/>
      <w:sz w:val="20"/>
      <w:lang w:eastAsia="ja-JP"/>
    </w:rPr>
  </w:style>
  <w:style w:type="paragraph" w:customStyle="1" w:styleId="lblhead1">
    <w:name w:val="lblhead1"/>
    <w:basedOn w:val="lbltxt"/>
    <w:pPr>
      <w:keepNext/>
      <w:ind w:left="567" w:hanging="567"/>
    </w:pPr>
    <w:rPr>
      <w:b/>
      <w:caps/>
    </w:rPr>
  </w:style>
  <w:style w:type="character" w:customStyle="1" w:styleId="Initial">
    <w:name w:val="Initial"/>
    <w:rPr>
      <w:rFonts w:ascii="Times New Roman" w:hAnsi="Times New Roman"/>
      <w:noProof w:val="0"/>
      <w:sz w:val="24"/>
      <w:lang w:val="cs-CZ"/>
    </w:rPr>
  </w:style>
  <w:style w:type="paragraph" w:customStyle="1" w:styleId="TableCenterBold">
    <w:name w:val="TableCenterBold"/>
    <w:basedOn w:val="Normal"/>
    <w:pPr>
      <w:tabs>
        <w:tab w:val="clear" w:pos="567"/>
      </w:tabs>
      <w:suppressAutoHyphens/>
      <w:spacing w:before="60" w:line="240" w:lineRule="exact"/>
      <w:jc w:val="center"/>
    </w:pPr>
    <w:rPr>
      <w:b/>
      <w:sz w:val="24"/>
      <w:szCs w:val="24"/>
    </w:rPr>
  </w:style>
  <w:style w:type="paragraph" w:customStyle="1" w:styleId="lblbullet">
    <w:name w:val="lblbullet"/>
    <w:basedOn w:val="Normal"/>
    <w:pPr>
      <w:ind w:left="567" w:hanging="567"/>
    </w:p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Pr>
      <w:b/>
      <w:bCs/>
    </w:rPr>
  </w:style>
  <w:style w:type="character" w:customStyle="1" w:styleId="SidhuvudChar">
    <w:name w:val="Sidhuvud Char"/>
    <w:rPr>
      <w:rFonts w:ascii="Helvetica" w:hAnsi="Helvetica"/>
      <w:lang w:val="cs-CZ" w:eastAsia="en-US" w:bidi="ar-SA"/>
    </w:rPr>
  </w:style>
  <w:style w:type="paragraph" w:customStyle="1" w:styleId="TableLeftAlign">
    <w:name w:val="TableLeftAlign"/>
    <w:basedOn w:val="Normal"/>
    <w:uiPriority w:val="99"/>
    <w:pPr>
      <w:tabs>
        <w:tab w:val="clear" w:pos="567"/>
      </w:tabs>
      <w:suppressAutoHyphens/>
      <w:spacing w:before="60" w:after="60" w:line="240" w:lineRule="exact"/>
    </w:pPr>
    <w:rPr>
      <w:rFonts w:ascii="Arial" w:hAnsi="Arial"/>
      <w:sz w:val="20"/>
    </w:rPr>
  </w:style>
  <w:style w:type="paragraph" w:customStyle="1" w:styleId="Liststycke">
    <w:name w:val="Liststycke"/>
    <w:basedOn w:val="Normal"/>
    <w:qFormat/>
    <w:pPr>
      <w:ind w:left="1304"/>
    </w:pPr>
  </w:style>
  <w:style w:type="paragraph" w:styleId="Revision">
    <w:name w:val="Revision"/>
    <w:hidden/>
    <w:semiHidden/>
    <w:rPr>
      <w:sz w:val="22"/>
      <w:lang w:val="cs-CZ" w:eastAsia="en-US"/>
    </w:rPr>
  </w:style>
  <w:style w:type="paragraph" w:customStyle="1" w:styleId="Ballongtext2">
    <w:name w:val="Ballongtext2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Text"/>
    <w:qFormat/>
    <w:pPr>
      <w:keepNext/>
      <w:tabs>
        <w:tab w:val="clear" w:pos="567"/>
      </w:tabs>
      <w:suppressAutoHyphens/>
      <w:spacing w:before="300" w:after="100" w:line="300" w:lineRule="atLeast"/>
      <w:jc w:val="center"/>
    </w:pPr>
    <w:rPr>
      <w:rFonts w:ascii="Arial" w:hAnsi="Arial"/>
      <w:b/>
    </w:rPr>
  </w:style>
  <w:style w:type="character" w:customStyle="1" w:styleId="BeskrivningChar">
    <w:name w:val="Beskrivning Char"/>
    <w:rPr>
      <w:rFonts w:ascii="Arial" w:hAnsi="Arial"/>
      <w:b/>
      <w:sz w:val="22"/>
      <w:lang w:val="cs-CZ" w:eastAsia="en-US"/>
    </w:rPr>
  </w:style>
  <w:style w:type="character" w:customStyle="1" w:styleId="z3988">
    <w:name w:val="z3988"/>
    <w:basedOn w:val="DefaultParagraphFont"/>
  </w:style>
  <w:style w:type="character" w:customStyle="1" w:styleId="SidhuvudChar2">
    <w:name w:val="Sidhuvud Char2"/>
    <w:rPr>
      <w:rFonts w:ascii="Helvetica" w:hAnsi="Helvetica"/>
      <w:lang w:val="cs-CZ"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Date">
    <w:name w:val="Date"/>
    <w:basedOn w:val="Normal"/>
    <w:next w:val="Normal"/>
    <w:link w:val="DateChar"/>
    <w:pPr>
      <w:tabs>
        <w:tab w:val="clear" w:pos="567"/>
      </w:tabs>
    </w:p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TitleA">
    <w:name w:val="Title A"/>
    <w:basedOn w:val="Normal"/>
    <w:rsid w:val="00BF5188"/>
    <w:pPr>
      <w:jc w:val="center"/>
    </w:pPr>
    <w:rPr>
      <w:b/>
      <w:bCs/>
    </w:rPr>
  </w:style>
  <w:style w:type="paragraph" w:customStyle="1" w:styleId="TitleB">
    <w:name w:val="Title B"/>
    <w:basedOn w:val="Normal"/>
    <w:qFormat/>
    <w:rsid w:val="00BF5188"/>
    <w:pPr>
      <w:keepNext/>
      <w:tabs>
        <w:tab w:val="clear" w:pos="567"/>
      </w:tabs>
      <w:ind w:left="567" w:hanging="567"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6606E8"/>
    <w:rPr>
      <w:lang w:val="cs-CZ" w:eastAsia="en-US" w:bidi="ar-SA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B60617"/>
    <w:rPr>
      <w:rFonts w:eastAsia="Times New Roman"/>
      <w:color w:val="auto"/>
      <w:lang w:eastAsia="en-US"/>
    </w:rPr>
  </w:style>
  <w:style w:type="paragraph" w:customStyle="1" w:styleId="TextItalicized">
    <w:name w:val="Text Italicized"/>
    <w:basedOn w:val="Normal"/>
    <w:link w:val="TextItalicizedChar"/>
    <w:rsid w:val="00233FFD"/>
    <w:pPr>
      <w:tabs>
        <w:tab w:val="clear" w:pos="567"/>
      </w:tabs>
    </w:pPr>
    <w:rPr>
      <w:rFonts w:eastAsia="MS Mincho"/>
      <w:i/>
      <w:iCs/>
      <w:color w:val="000000"/>
      <w:sz w:val="24"/>
      <w:szCs w:val="24"/>
      <w:lang w:eastAsia="ja-JP"/>
    </w:rPr>
  </w:style>
  <w:style w:type="character" w:customStyle="1" w:styleId="TextItalicizedChar">
    <w:name w:val="Text Italicized Char"/>
    <w:link w:val="TextItalicized"/>
    <w:rsid w:val="00233FFD"/>
    <w:rPr>
      <w:rFonts w:eastAsia="MS Mincho"/>
      <w:i/>
      <w:iCs/>
      <w:color w:val="000000"/>
      <w:sz w:val="24"/>
      <w:szCs w:val="24"/>
      <w:lang w:val="cs-CZ" w:eastAsia="ja-JP"/>
    </w:rPr>
  </w:style>
  <w:style w:type="paragraph" w:styleId="ListParagraph">
    <w:name w:val="List Paragraph"/>
    <w:basedOn w:val="Normal"/>
    <w:uiPriority w:val="34"/>
    <w:qFormat/>
    <w:rsid w:val="004B39BB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B39BB"/>
    <w:pPr>
      <w:widowControl w:val="0"/>
      <w:tabs>
        <w:tab w:val="clear" w:pos="567"/>
      </w:tabs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ja-JP"/>
    </w:rPr>
  </w:style>
  <w:style w:type="character" w:customStyle="1" w:styleId="bodybold">
    <w:name w:val="body bold"/>
    <w:uiPriority w:val="99"/>
    <w:rsid w:val="004B39BB"/>
    <w:rPr>
      <w:rFonts w:cs="Times New Roman"/>
      <w:b/>
      <w:bCs/>
    </w:rPr>
  </w:style>
  <w:style w:type="paragraph" w:customStyle="1" w:styleId="BULLETED">
    <w:name w:val="BULLETED"/>
    <w:basedOn w:val="ListParagraph"/>
    <w:rsid w:val="004B39BB"/>
    <w:pPr>
      <w:widowControl w:val="0"/>
      <w:numPr>
        <w:numId w:val="31"/>
      </w:numPr>
      <w:tabs>
        <w:tab w:val="left" w:pos="810"/>
      </w:tabs>
      <w:suppressAutoHyphens/>
      <w:autoSpaceDE w:val="0"/>
      <w:autoSpaceDN w:val="0"/>
      <w:adjustRightInd w:val="0"/>
      <w:spacing w:before="90" w:line="250" w:lineRule="atLeast"/>
      <w:textAlignment w:val="center"/>
    </w:pPr>
    <w:rPr>
      <w:color w:val="000000"/>
      <w:sz w:val="20"/>
      <w:lang w:eastAsia="ja-JP"/>
    </w:rPr>
  </w:style>
  <w:style w:type="character" w:customStyle="1" w:styleId="BodytextAgencyChar">
    <w:name w:val="Body text (Agency) Char"/>
    <w:link w:val="BodytextAgency"/>
    <w:locked/>
    <w:rsid w:val="00692E63"/>
    <w:rPr>
      <w:sz w:val="24"/>
      <w:szCs w:val="24"/>
      <w:lang w:val="cs-CZ" w:eastAsia="en-US"/>
    </w:rPr>
  </w:style>
  <w:style w:type="character" w:customStyle="1" w:styleId="st1">
    <w:name w:val="st1"/>
    <w:rsid w:val="00140BD1"/>
  </w:style>
  <w:style w:type="character" w:customStyle="1" w:styleId="No-numheading3AgencyChar">
    <w:name w:val="No-num heading 3 (Agency) Char"/>
    <w:link w:val="No-numheading3Agency"/>
    <w:locked/>
    <w:rsid w:val="00DE7911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DE7911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character" w:customStyle="1" w:styleId="NormalAgencyChar">
    <w:name w:val="Normal (Agency) Char"/>
    <w:link w:val="NormalAgency"/>
    <w:locked/>
    <w:rsid w:val="00DE7911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DE7911"/>
    <w:rPr>
      <w:rFonts w:ascii="Verdana" w:eastAsia="Verdana" w:hAnsi="Verdana" w:cs="Verdana"/>
      <w:sz w:val="18"/>
      <w:szCs w:val="18"/>
      <w:lang w:val="cs-CZ"/>
    </w:rPr>
  </w:style>
  <w:style w:type="table" w:styleId="TableGrid">
    <w:name w:val="Table Grid"/>
    <w:basedOn w:val="TableNormal"/>
    <w:rsid w:val="008D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titalic">
    <w:name w:val="_11pt italic"/>
    <w:basedOn w:val="Normal"/>
    <w:qFormat/>
    <w:rsid w:val="008132C0"/>
    <w:rPr>
      <w:i/>
      <w:iCs/>
    </w:rPr>
  </w:style>
  <w:style w:type="paragraph" w:customStyle="1" w:styleId="Style11ptunderlined">
    <w:name w:val="_Style 11pt underlined"/>
    <w:basedOn w:val="Normal"/>
    <w:qFormat/>
    <w:rsid w:val="00680B23"/>
    <w:pPr>
      <w:keepNext/>
    </w:pPr>
    <w:rPr>
      <w:u w:val="single"/>
    </w:rPr>
  </w:style>
  <w:style w:type="paragraph" w:customStyle="1" w:styleId="Style1italic">
    <w:name w:val="__Style1_italic"/>
    <w:basedOn w:val="Normal"/>
    <w:qFormat/>
    <w:rsid w:val="00B40929"/>
    <w:pPr>
      <w:keepNext/>
      <w:tabs>
        <w:tab w:val="clear" w:pos="567"/>
      </w:tabs>
    </w:pPr>
    <w:rPr>
      <w:i/>
      <w:iCs/>
    </w:rPr>
  </w:style>
  <w:style w:type="character" w:customStyle="1" w:styleId="Heading1Char">
    <w:name w:val="Heading 1 Char"/>
    <w:link w:val="Heading1"/>
    <w:rsid w:val="00951F81"/>
    <w:rPr>
      <w:rFonts w:eastAsia="PMingLiU"/>
      <w:b/>
      <w:caps/>
      <w:sz w:val="26"/>
      <w:szCs w:val="22"/>
      <w:lang w:val="cs-CZ" w:eastAsia="en-US"/>
    </w:rPr>
  </w:style>
  <w:style w:type="character" w:customStyle="1" w:styleId="Heading2Char">
    <w:name w:val="Heading 2 Char"/>
    <w:link w:val="Heading2"/>
    <w:rsid w:val="00951F81"/>
    <w:rPr>
      <w:rFonts w:ascii="Helvetica" w:eastAsia="PMingLiU" w:hAnsi="Helvetica"/>
      <w:b/>
      <w:i/>
      <w:sz w:val="24"/>
      <w:szCs w:val="22"/>
      <w:lang w:val="cs-CZ" w:eastAsia="en-US"/>
    </w:rPr>
  </w:style>
  <w:style w:type="character" w:customStyle="1" w:styleId="Heading3Char">
    <w:name w:val="Heading 3 Char"/>
    <w:link w:val="Heading3"/>
    <w:rsid w:val="00951F81"/>
    <w:rPr>
      <w:rFonts w:eastAsia="PMingLiU"/>
      <w:b/>
      <w:kern w:val="28"/>
      <w:sz w:val="24"/>
      <w:szCs w:val="22"/>
      <w:lang w:val="cs-CZ" w:eastAsia="en-US"/>
    </w:rPr>
  </w:style>
  <w:style w:type="character" w:customStyle="1" w:styleId="Heading4Char">
    <w:name w:val="Heading 4 Char"/>
    <w:link w:val="Heading4"/>
    <w:rsid w:val="00951F81"/>
    <w:rPr>
      <w:rFonts w:eastAsia="PMingLiU"/>
      <w:b/>
      <w:noProof/>
      <w:sz w:val="22"/>
      <w:szCs w:val="22"/>
      <w:lang w:val="cs-CZ" w:eastAsia="en-US"/>
    </w:rPr>
  </w:style>
  <w:style w:type="character" w:customStyle="1" w:styleId="Heading5Char">
    <w:name w:val="Heading 5 Char"/>
    <w:link w:val="Heading5"/>
    <w:rsid w:val="00951F81"/>
    <w:rPr>
      <w:rFonts w:eastAsia="PMingLiU"/>
      <w:noProof/>
      <w:sz w:val="22"/>
      <w:szCs w:val="22"/>
      <w:lang w:val="cs-CZ" w:eastAsia="en-US"/>
    </w:rPr>
  </w:style>
  <w:style w:type="character" w:customStyle="1" w:styleId="Heading6Char">
    <w:name w:val="Heading 6 Char"/>
    <w:link w:val="Heading6"/>
    <w:rsid w:val="00951F81"/>
    <w:rPr>
      <w:rFonts w:eastAsia="PMingLiU"/>
      <w:i/>
      <w:sz w:val="22"/>
      <w:szCs w:val="22"/>
      <w:lang w:val="cs-CZ" w:eastAsia="en-US"/>
    </w:rPr>
  </w:style>
  <w:style w:type="character" w:customStyle="1" w:styleId="Heading7Char">
    <w:name w:val="Heading 7 Char"/>
    <w:link w:val="Heading7"/>
    <w:rsid w:val="00951F81"/>
    <w:rPr>
      <w:rFonts w:eastAsia="PMingLiU"/>
      <w:i/>
      <w:sz w:val="22"/>
      <w:szCs w:val="22"/>
      <w:lang w:val="cs-CZ" w:eastAsia="en-US"/>
    </w:rPr>
  </w:style>
  <w:style w:type="character" w:customStyle="1" w:styleId="Heading8Char">
    <w:name w:val="Heading 8 Char"/>
    <w:link w:val="Heading8"/>
    <w:rsid w:val="00951F81"/>
    <w:rPr>
      <w:rFonts w:eastAsia="PMingLiU"/>
      <w:b/>
      <w:i/>
      <w:sz w:val="22"/>
      <w:szCs w:val="22"/>
      <w:lang w:val="cs-CZ" w:eastAsia="en-US"/>
    </w:rPr>
  </w:style>
  <w:style w:type="character" w:customStyle="1" w:styleId="Heading9Char">
    <w:name w:val="Heading 9 Char"/>
    <w:link w:val="Heading9"/>
    <w:rsid w:val="00951F81"/>
    <w:rPr>
      <w:rFonts w:eastAsia="PMingLiU"/>
      <w:b/>
      <w:i/>
      <w:sz w:val="22"/>
      <w:szCs w:val="22"/>
      <w:lang w:val="cs-CZ" w:eastAsia="en-US"/>
    </w:rPr>
  </w:style>
  <w:style w:type="character" w:customStyle="1" w:styleId="HeaderChar">
    <w:name w:val="Header Char"/>
    <w:link w:val="Header"/>
    <w:rsid w:val="00951F81"/>
    <w:rPr>
      <w:rFonts w:ascii="Helvetica" w:eastAsia="PMingLiU" w:hAnsi="Helvetica"/>
      <w:szCs w:val="22"/>
      <w:lang w:val="cs-CZ" w:eastAsia="en-US"/>
    </w:rPr>
  </w:style>
  <w:style w:type="character" w:customStyle="1" w:styleId="FooterChar">
    <w:name w:val="Footer Char"/>
    <w:link w:val="Footer"/>
    <w:rsid w:val="00951F81"/>
    <w:rPr>
      <w:rFonts w:eastAsia="PMingLiU"/>
      <w:sz w:val="22"/>
      <w:szCs w:val="22"/>
      <w:lang w:val="cs-CZ" w:eastAsia="en-US"/>
    </w:rPr>
  </w:style>
  <w:style w:type="character" w:customStyle="1" w:styleId="BodyTextIndentChar">
    <w:name w:val="Body Text Indent Char"/>
    <w:link w:val="BodyTextIndent"/>
    <w:rsid w:val="00951F81"/>
    <w:rPr>
      <w:rFonts w:eastAsia="PMingLiU"/>
      <w:sz w:val="22"/>
      <w:szCs w:val="22"/>
      <w:lang w:val="cs-CZ" w:eastAsia="en-GB"/>
    </w:rPr>
  </w:style>
  <w:style w:type="character" w:customStyle="1" w:styleId="BodyText3Char">
    <w:name w:val="Body Text 3 Char"/>
    <w:link w:val="BodyText3"/>
    <w:rsid w:val="00951F81"/>
    <w:rPr>
      <w:rFonts w:eastAsia="PMingLiU"/>
      <w:color w:val="0000FF"/>
      <w:sz w:val="22"/>
      <w:szCs w:val="22"/>
      <w:lang w:val="cs-CZ" w:eastAsia="en-GB"/>
    </w:rPr>
  </w:style>
  <w:style w:type="character" w:customStyle="1" w:styleId="BodyTextIndent2Char">
    <w:name w:val="Body Text Indent 2 Char"/>
    <w:link w:val="BodyTextIndent2"/>
    <w:rsid w:val="00951F81"/>
    <w:rPr>
      <w:rFonts w:eastAsia="PMingLiU"/>
      <w:b/>
      <w:bCs/>
      <w:color w:val="0000FF"/>
      <w:sz w:val="22"/>
      <w:szCs w:val="22"/>
      <w:lang w:val="cs-CZ" w:eastAsia="en-US"/>
    </w:rPr>
  </w:style>
  <w:style w:type="character" w:customStyle="1" w:styleId="BodyTextChar">
    <w:name w:val="Body Text Char"/>
    <w:link w:val="BodyText"/>
    <w:rsid w:val="00951F81"/>
    <w:rPr>
      <w:rFonts w:eastAsia="PMingLiU"/>
      <w:i/>
      <w:color w:val="008000"/>
      <w:sz w:val="22"/>
      <w:szCs w:val="22"/>
      <w:lang w:val="cs-CZ" w:eastAsia="en-US"/>
    </w:rPr>
  </w:style>
  <w:style w:type="character" w:customStyle="1" w:styleId="BodyText2Char">
    <w:name w:val="Body Text 2 Char"/>
    <w:link w:val="BodyText2"/>
    <w:rsid w:val="00951F81"/>
    <w:rPr>
      <w:rFonts w:eastAsia="PMingLiU"/>
      <w:b/>
      <w:bCs/>
      <w:color w:val="0000FF"/>
      <w:sz w:val="22"/>
      <w:szCs w:val="22"/>
      <w:u w:val="single"/>
      <w:lang w:val="cs-CZ" w:eastAsia="en-US"/>
    </w:rPr>
  </w:style>
  <w:style w:type="character" w:customStyle="1" w:styleId="DocumentMapChar">
    <w:name w:val="Document Map Char"/>
    <w:link w:val="DocumentMap"/>
    <w:semiHidden/>
    <w:rsid w:val="00951F81"/>
    <w:rPr>
      <w:rFonts w:ascii="Tahoma" w:eastAsia="PMingLiU" w:hAnsi="Tahoma" w:cs="Tahoma"/>
      <w:sz w:val="22"/>
      <w:szCs w:val="22"/>
      <w:shd w:val="clear" w:color="auto" w:fill="000080"/>
      <w:lang w:val="cs-CZ" w:eastAsia="en-US"/>
    </w:rPr>
  </w:style>
  <w:style w:type="character" w:customStyle="1" w:styleId="BodyTextIndent3Char">
    <w:name w:val="Body Text Indent 3 Char"/>
    <w:link w:val="BodyTextIndent3"/>
    <w:rsid w:val="00951F81"/>
    <w:rPr>
      <w:rFonts w:eastAsia="PMingLiU"/>
      <w:sz w:val="22"/>
      <w:szCs w:val="21"/>
      <w:lang w:val="cs-CZ" w:eastAsia="en-US"/>
    </w:rPr>
  </w:style>
  <w:style w:type="character" w:customStyle="1" w:styleId="BalloonTextChar">
    <w:name w:val="Balloon Text Char"/>
    <w:link w:val="BalloonText"/>
    <w:semiHidden/>
    <w:rsid w:val="00951F81"/>
    <w:rPr>
      <w:rFonts w:ascii="Tahoma" w:eastAsia="PMingLiU" w:hAnsi="Tahoma" w:cs="Tahoma"/>
      <w:sz w:val="16"/>
      <w:szCs w:val="16"/>
      <w:lang w:val="cs-CZ" w:eastAsia="en-US"/>
    </w:rPr>
  </w:style>
  <w:style w:type="paragraph" w:customStyle="1" w:styleId="Ballongtext10">
    <w:name w:val="Ballongtext1_0"/>
    <w:basedOn w:val="Normal"/>
    <w:semiHidden/>
    <w:rsid w:val="00951F81"/>
    <w:rPr>
      <w:rFonts w:ascii="Tahoma" w:hAnsi="Tahoma" w:cs="Tahoma"/>
      <w:sz w:val="16"/>
      <w:szCs w:val="16"/>
    </w:rPr>
  </w:style>
  <w:style w:type="paragraph" w:customStyle="1" w:styleId="Kommentarsmne10">
    <w:name w:val="Kommentarsämne1_0"/>
    <w:basedOn w:val="CommentText"/>
    <w:next w:val="CommentText"/>
    <w:semiHidden/>
    <w:rsid w:val="00951F81"/>
    <w:rPr>
      <w:b/>
      <w:bCs/>
    </w:rPr>
  </w:style>
  <w:style w:type="paragraph" w:customStyle="1" w:styleId="Liststycke1">
    <w:name w:val="Liststycke1"/>
    <w:basedOn w:val="Normal"/>
    <w:qFormat/>
    <w:rsid w:val="00951F81"/>
    <w:pPr>
      <w:ind w:left="1304"/>
    </w:pPr>
  </w:style>
  <w:style w:type="character" w:customStyle="1" w:styleId="DateChar">
    <w:name w:val="Date Char"/>
    <w:link w:val="Date"/>
    <w:rsid w:val="00951F81"/>
    <w:rPr>
      <w:rFonts w:eastAsia="PMingLiU"/>
      <w:sz w:val="22"/>
      <w:szCs w:val="22"/>
      <w:lang w:val="cs-CZ" w:eastAsia="en-US"/>
    </w:rPr>
  </w:style>
  <w:style w:type="character" w:customStyle="1" w:styleId="CommentSubjectChar">
    <w:name w:val="Comment Subject Char"/>
    <w:link w:val="CommentSubject"/>
    <w:semiHidden/>
    <w:rsid w:val="00951F81"/>
    <w:rPr>
      <w:rFonts w:eastAsia="PMingLiU"/>
      <w:b/>
      <w:bCs/>
      <w:szCs w:val="22"/>
      <w:lang w:val="cs-CZ" w:eastAsia="en-US"/>
    </w:rPr>
  </w:style>
  <w:style w:type="paragraph" w:styleId="Title">
    <w:name w:val="Title"/>
    <w:basedOn w:val="Normal"/>
    <w:next w:val="Normal"/>
    <w:link w:val="TitleChar"/>
    <w:qFormat/>
    <w:rsid w:val="001F27C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27C0"/>
    <w:rPr>
      <w:rFonts w:ascii="Calibri Light" w:eastAsia="PMingLiU" w:hAnsi="Calibri Light" w:cs="Times New Roman"/>
      <w:b/>
      <w:bCs/>
      <w:kern w:val="28"/>
      <w:sz w:val="32"/>
      <w:szCs w:val="32"/>
      <w:lang w:val="cs-CZ" w:eastAsia="en-US"/>
    </w:rPr>
  </w:style>
  <w:style w:type="paragraph" w:customStyle="1" w:styleId="Normln1">
    <w:name w:val="Normální1"/>
    <w:qFormat/>
    <w:rsid w:val="00D64EA6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table" w:customStyle="1" w:styleId="TableGrid0">
    <w:name w:val="TableGrid"/>
    <w:rsid w:val="005470FD"/>
    <w:rPr>
      <w:rFonts w:asciiTheme="minorHAnsi" w:eastAsiaTheme="minorEastAsia" w:hAnsiTheme="minorHAnsi" w:cstheme="minorBidi"/>
      <w:kern w:val="2"/>
      <w:sz w:val="22"/>
      <w:szCs w:val="22"/>
      <w:lang w:val="de-DE"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F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ema.europa.eu/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efdensis" TargetMode="External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a.europa.e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03e9b10b-a1f9-4a88-9630-476473f62285" value=""/>
  <element uid="7349a702-6462-4442-88eb-c64cd513835c" value=""/>
  <element uid="ba0343df-3220-4244-9388-1298e2abc028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EMADOC-1700519818-3331987</_dlc_DocId>
    <_dlc_DocIdUrl xmlns="a034c160-bfb7-45f5-8632-2eb7e0508071">
      <Url>https://euema.sharepoint.com/sites/CRM/_layouts/15/DocIdRedir.aspx?ID=EMADOC-1700519818-3331987</Url>
      <Description>EMADOC-1700519818-3331987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EDE827-405B-4875-B3FE-5D8170167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17FD8-989C-4A88-9D6C-CED8652C55D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1C350FE-55C8-42CC-9BE9-BE06651F3EE9}"/>
</file>

<file path=customXml/itemProps4.xml><?xml version="1.0" encoding="utf-8"?>
<ds:datastoreItem xmlns:ds="http://schemas.openxmlformats.org/officeDocument/2006/customXml" ds:itemID="{676EC915-2AFF-40E9-9914-C13346479230}">
  <ds:schemaRefs>
    <ds:schemaRef ds:uri="http://schemas.microsoft.com/office/2006/metadata/properties"/>
    <ds:schemaRef ds:uri="http://schemas.microsoft.com/office/infopath/2007/PartnerControls"/>
    <ds:schemaRef ds:uri="f12e5c90-c2be-4651-9c9b-ac925e6dc98b"/>
    <ds:schemaRef ds:uri="bc5ee34c-ef21-487c-987c-9e16ff17733a"/>
  </ds:schemaRefs>
</ds:datastoreItem>
</file>

<file path=customXml/itemProps5.xml><?xml version="1.0" encoding="utf-8"?>
<ds:datastoreItem xmlns:ds="http://schemas.openxmlformats.org/officeDocument/2006/customXml" ds:itemID="{AC9E9DA0-CE57-4C02-B133-017B96B23C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3B3CA3-40C2-4FA9-A03D-41D122537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10206</Words>
  <Characters>60717</Characters>
  <Application>Microsoft Office Word</Application>
  <DocSecurity>0</DocSecurity>
  <Lines>1864</Lines>
  <Paragraphs>766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Kefdensis, INN-denosumab</vt:lpstr>
      <vt:lpstr/>
    </vt:vector>
  </TitlesOfParts>
  <Manager/>
  <Company/>
  <LinksUpToDate>false</LinksUpToDate>
  <CharactersWithSpaces>70264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Kefdensis: EPAR - Product information - tracked changes</dc:title>
  <dc:subject>EPAR</dc:subject>
  <dc:creator>CHMP</dc:creator>
  <cp:keywords>Kefdensis, INN-denosumab</cp:keywords>
  <dc:description/>
  <cp:lastModifiedBy>YZ</cp:lastModifiedBy>
  <cp:revision>5</cp:revision>
  <dcterms:created xsi:type="dcterms:W3CDTF">2026-07-02T12:31:00Z</dcterms:created>
  <dcterms:modified xsi:type="dcterms:W3CDTF">2026-07-12T14:51:00Z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_dlc_DocIdItemGuid">
    <vt:lpwstr>6b9cef00-8c32-4d36-9bb2-8f08473a3d39</vt:lpwstr>
  </property>
</Properties>
</file>