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93EC1" w14:paraId="5EA457D4" w14:textId="77777777" w:rsidTr="00C93EC1">
        <w:tc>
          <w:tcPr>
            <w:tcW w:w="9061" w:type="dxa"/>
          </w:tcPr>
          <w:p w14:paraId="213FD8AC" w14:textId="77777777" w:rsidR="00C93EC1" w:rsidRPr="00220238" w:rsidRDefault="00C93EC1" w:rsidP="00C93EC1">
            <w:r w:rsidRPr="00220238">
              <w:t xml:space="preserve">Tento dokument představuje schválené informace o přípravku </w:t>
            </w:r>
            <w:proofErr w:type="spellStart"/>
            <w:r>
              <w:rPr>
                <w:rFonts w:eastAsia="맑은 고딕" w:hint="eastAsia"/>
                <w:lang w:val="en-GB" w:eastAsia="ko-KR"/>
              </w:rPr>
              <w:t>Osenvelt</w:t>
            </w:r>
            <w:proofErr w:type="spellEnd"/>
            <w:r w:rsidRPr="00220238">
              <w:t xml:space="preserve"> se změnami v textech, které byly provedeny od předchozí procedury s dopadem do informací o přípravku (</w:t>
            </w:r>
            <w:r w:rsidRPr="00E72009">
              <w:rPr>
                <w:lang w:val="en-GB"/>
              </w:rPr>
              <w:t>EMA</w:t>
            </w:r>
            <w:r w:rsidRPr="007653CC">
              <w:t>/</w:t>
            </w:r>
            <w:r w:rsidRPr="00E72009">
              <w:rPr>
                <w:lang w:val="en-GB"/>
              </w:rPr>
              <w:t>VR</w:t>
            </w:r>
            <w:r w:rsidRPr="007653CC">
              <w:t>/0000284948</w:t>
            </w:r>
            <w:r w:rsidRPr="00220238">
              <w:t>) a které jsou vyznačeny revizemi.</w:t>
            </w:r>
          </w:p>
          <w:p w14:paraId="296801C6" w14:textId="77777777" w:rsidR="00C93EC1" w:rsidRPr="00220238" w:rsidRDefault="00C93EC1" w:rsidP="00C93EC1"/>
          <w:p w14:paraId="4D5C07CE" w14:textId="1618C0C1" w:rsidR="00C93EC1" w:rsidRDefault="00C93EC1" w:rsidP="00C93EC1">
            <w:r w:rsidRPr="00220238">
              <w:t xml:space="preserve">Další informace k tomuto léčivému přípravku naleznete na webových stránkách Evropské agentury pro léčivé přípravky </w:t>
            </w:r>
            <w:r>
              <w:fldChar w:fldCharType="begin"/>
            </w:r>
            <w:r>
              <w:instrText>HYPERLINK "https://www.ema.europa.eu/en/medicines/human/EPAR/osenvelt"</w:instrText>
            </w:r>
            <w:r>
              <w:fldChar w:fldCharType="separate"/>
            </w:r>
            <w:r w:rsidRPr="00F94BBB">
              <w:rPr>
                <w:color w:val="0000FF"/>
                <w:u w:val="single"/>
              </w:rPr>
              <w:t>https://www.ema.europa.eu/en/medicines/human/EPAR/osenvelt</w:t>
            </w:r>
            <w:r>
              <w:fldChar w:fldCharType="end"/>
            </w:r>
          </w:p>
        </w:tc>
      </w:tr>
    </w:tbl>
    <w:p w14:paraId="41215F75" w14:textId="477E2B19" w:rsidR="000A22A9" w:rsidRDefault="000A22A9">
      <w:pPr>
        <w:jc w:val="center"/>
      </w:pPr>
    </w:p>
    <w:p w14:paraId="3857EA24" w14:textId="77777777" w:rsidR="000A22A9" w:rsidRDefault="000A22A9">
      <w:pPr>
        <w:jc w:val="center"/>
      </w:pPr>
    </w:p>
    <w:p w14:paraId="1FBE2A5E" w14:textId="77777777" w:rsidR="000A22A9" w:rsidRDefault="000A22A9">
      <w:pPr>
        <w:jc w:val="center"/>
      </w:pPr>
    </w:p>
    <w:p w14:paraId="5D6C0FF8" w14:textId="77777777" w:rsidR="000A22A9" w:rsidRDefault="000A22A9">
      <w:pPr>
        <w:jc w:val="center"/>
      </w:pPr>
    </w:p>
    <w:p w14:paraId="15AD834D" w14:textId="77777777" w:rsidR="000A22A9" w:rsidRDefault="000A22A9">
      <w:pPr>
        <w:jc w:val="center"/>
      </w:pPr>
    </w:p>
    <w:p w14:paraId="3C92CB28" w14:textId="77777777" w:rsidR="000A22A9" w:rsidRDefault="000A22A9">
      <w:pPr>
        <w:jc w:val="center"/>
      </w:pPr>
    </w:p>
    <w:p w14:paraId="6688A17C" w14:textId="77777777" w:rsidR="000A22A9" w:rsidRDefault="000A22A9">
      <w:pPr>
        <w:jc w:val="center"/>
      </w:pPr>
    </w:p>
    <w:p w14:paraId="22A7F7BA" w14:textId="77777777" w:rsidR="000A22A9" w:rsidRDefault="000A22A9">
      <w:pPr>
        <w:jc w:val="center"/>
      </w:pPr>
    </w:p>
    <w:p w14:paraId="20D760B5" w14:textId="77777777" w:rsidR="000A22A9" w:rsidRDefault="000A22A9">
      <w:pPr>
        <w:jc w:val="center"/>
      </w:pPr>
    </w:p>
    <w:p w14:paraId="01A5B3D5" w14:textId="77777777" w:rsidR="000A22A9" w:rsidRDefault="000A22A9">
      <w:pPr>
        <w:jc w:val="center"/>
      </w:pPr>
    </w:p>
    <w:p w14:paraId="4CF0AF12" w14:textId="77777777" w:rsidR="000A22A9" w:rsidRDefault="000A22A9">
      <w:pPr>
        <w:jc w:val="center"/>
      </w:pPr>
    </w:p>
    <w:p w14:paraId="48792453" w14:textId="77777777" w:rsidR="000A22A9" w:rsidRDefault="000A22A9">
      <w:pPr>
        <w:jc w:val="center"/>
      </w:pPr>
    </w:p>
    <w:p w14:paraId="6A7360D6" w14:textId="77777777" w:rsidR="000A22A9" w:rsidRDefault="000A22A9">
      <w:pPr>
        <w:jc w:val="center"/>
      </w:pPr>
    </w:p>
    <w:p w14:paraId="6756E607" w14:textId="77777777" w:rsidR="000A22A9" w:rsidRDefault="000A22A9">
      <w:pPr>
        <w:jc w:val="center"/>
      </w:pPr>
    </w:p>
    <w:p w14:paraId="0BC39727" w14:textId="77777777" w:rsidR="000A22A9" w:rsidRDefault="000A22A9">
      <w:pPr>
        <w:jc w:val="center"/>
      </w:pPr>
    </w:p>
    <w:p w14:paraId="698A6944" w14:textId="77777777" w:rsidR="000A22A9" w:rsidRDefault="000A22A9">
      <w:pPr>
        <w:jc w:val="center"/>
      </w:pPr>
    </w:p>
    <w:p w14:paraId="7DF53515" w14:textId="77777777" w:rsidR="000A22A9" w:rsidRDefault="000A22A9">
      <w:pPr>
        <w:jc w:val="center"/>
      </w:pPr>
    </w:p>
    <w:p w14:paraId="43026F99" w14:textId="77777777" w:rsidR="000A22A9" w:rsidRDefault="000A22A9">
      <w:pPr>
        <w:jc w:val="center"/>
      </w:pPr>
    </w:p>
    <w:p w14:paraId="4F801BEB" w14:textId="77777777" w:rsidR="000A22A9" w:rsidRDefault="000A22A9">
      <w:pPr>
        <w:jc w:val="center"/>
      </w:pPr>
    </w:p>
    <w:p w14:paraId="00BBF053" w14:textId="77777777" w:rsidR="000A22A9" w:rsidRDefault="000A22A9">
      <w:pPr>
        <w:jc w:val="center"/>
      </w:pPr>
    </w:p>
    <w:p w14:paraId="44FF4D7C" w14:textId="77777777" w:rsidR="000A22A9" w:rsidRDefault="000A22A9">
      <w:pPr>
        <w:jc w:val="center"/>
      </w:pPr>
    </w:p>
    <w:p w14:paraId="114C63C5" w14:textId="77777777" w:rsidR="000A22A9" w:rsidRDefault="000A22A9">
      <w:pPr>
        <w:jc w:val="center"/>
      </w:pPr>
    </w:p>
    <w:p w14:paraId="3A9C33B7" w14:textId="77777777" w:rsidR="000A22A9" w:rsidRDefault="000A22A9">
      <w:pPr>
        <w:jc w:val="center"/>
        <w:rPr>
          <w:b/>
        </w:rPr>
      </w:pPr>
    </w:p>
    <w:p w14:paraId="1578C155" w14:textId="5B290E55" w:rsidR="000A22A9" w:rsidRDefault="003A2761">
      <w:pPr>
        <w:jc w:val="center"/>
      </w:pPr>
      <w:r>
        <w:rPr>
          <w:b/>
        </w:rPr>
        <w:t>PŘÍLOHA I</w:t>
      </w:r>
    </w:p>
    <w:p w14:paraId="549DA927" w14:textId="77777777" w:rsidR="000A22A9" w:rsidRDefault="000A22A9">
      <w:pPr>
        <w:jc w:val="center"/>
      </w:pPr>
    </w:p>
    <w:p w14:paraId="3F6F1DC0" w14:textId="15B618D5" w:rsidR="000A22A9" w:rsidRDefault="003A2761">
      <w:pPr>
        <w:pStyle w:val="TitleA"/>
      </w:pPr>
      <w:r>
        <w:t>SOUHRN ÚDAJŮ O PŘÍPRAVKU</w:t>
      </w:r>
    </w:p>
    <w:p w14:paraId="12B8262B" w14:textId="7787C829" w:rsidR="00F96C00" w:rsidRPr="00C516E5" w:rsidRDefault="003A2761" w:rsidP="00492FCF">
      <w:pPr>
        <w:keepNext/>
        <w:tabs>
          <w:tab w:val="clear" w:pos="567"/>
        </w:tabs>
      </w:pPr>
      <w:r>
        <w:br w:type="page"/>
      </w:r>
      <w:r w:rsidR="002C3C1F">
        <w:rPr>
          <w:noProof/>
          <w:lang w:val="en-GB" w:eastAsia="en-GB"/>
        </w:rPr>
        <w:lastRenderedPageBreak/>
        <w:drawing>
          <wp:inline distT="0" distB="0" distL="0" distR="0" wp14:anchorId="54CB1152" wp14:editId="1A8EE8DB">
            <wp:extent cx="182880" cy="182880"/>
            <wp:effectExtent l="0" t="0" r="0" b="0"/>
            <wp:docPr id="2" name="obrázek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C00" w:rsidRPr="00C516E5">
        <w:t>Tento léčivý přípravek podléhá dalšímu sledování. To umožní rychlé získání nových informací o</w:t>
      </w:r>
      <w:r w:rsidR="005503F5" w:rsidRPr="00C516E5">
        <w:t> </w:t>
      </w:r>
      <w:r w:rsidR="00F96C00" w:rsidRPr="00C516E5">
        <w:t>bezpečnosti. Žádáme zdravotnické pracovníky, aby hlásili jakákoli podezření na nežádoucí účinky. Podrobnosti o hlášení nežádoucích účinků viz bod</w:t>
      </w:r>
      <w:r w:rsidR="00D33424" w:rsidRPr="00C516E5">
        <w:t> </w:t>
      </w:r>
      <w:r w:rsidR="00F96C00" w:rsidRPr="00C516E5">
        <w:t>4.8.</w:t>
      </w:r>
    </w:p>
    <w:p w14:paraId="1E986720" w14:textId="77777777" w:rsidR="00F96C00" w:rsidRDefault="00F96C00" w:rsidP="00EA1154">
      <w:pPr>
        <w:tabs>
          <w:tab w:val="clear" w:pos="567"/>
        </w:tabs>
      </w:pPr>
    </w:p>
    <w:p w14:paraId="7BD377FC" w14:textId="77777777" w:rsidR="00F96C00" w:rsidRDefault="00F96C00" w:rsidP="00F86860">
      <w:pPr>
        <w:ind w:left="567" w:hanging="567"/>
      </w:pPr>
    </w:p>
    <w:p w14:paraId="24D52DC3" w14:textId="703BE6B4" w:rsidR="000A22A9" w:rsidRDefault="003A2761">
      <w:pPr>
        <w:keepNext/>
        <w:ind w:left="567" w:hanging="567"/>
      </w:pPr>
      <w:r>
        <w:rPr>
          <w:b/>
        </w:rPr>
        <w:t>1.</w:t>
      </w:r>
      <w:r>
        <w:rPr>
          <w:b/>
        </w:rPr>
        <w:tab/>
        <w:t>NÁZEV PŘÍPRAVKU</w:t>
      </w:r>
    </w:p>
    <w:p w14:paraId="2149519B" w14:textId="77777777" w:rsidR="000A22A9" w:rsidRDefault="000A22A9">
      <w:pPr>
        <w:keepNext/>
      </w:pPr>
    </w:p>
    <w:p w14:paraId="14CC70E4" w14:textId="59E794E2" w:rsidR="000A22A9" w:rsidRDefault="00F96C00">
      <w:pPr>
        <w:rPr>
          <w:highlight w:val="yellow"/>
        </w:rPr>
      </w:pPr>
      <w:r>
        <w:t xml:space="preserve">Osenvelt </w:t>
      </w:r>
      <w:r w:rsidR="003A2761">
        <w:t>120 mg injekční roztok</w:t>
      </w:r>
    </w:p>
    <w:p w14:paraId="02139C8B" w14:textId="0A4DB801" w:rsidR="000A22A9" w:rsidRDefault="000A22A9">
      <w:pPr>
        <w:rPr>
          <w:bCs/>
        </w:rPr>
      </w:pPr>
    </w:p>
    <w:p w14:paraId="45693F70" w14:textId="77777777" w:rsidR="000A22A9" w:rsidRDefault="000A22A9">
      <w:pPr>
        <w:rPr>
          <w:bCs/>
        </w:rPr>
      </w:pPr>
    </w:p>
    <w:p w14:paraId="71B37557" w14:textId="77777777" w:rsidR="000A22A9" w:rsidRDefault="003A2761">
      <w:pPr>
        <w:keepNext/>
        <w:ind w:left="567" w:hanging="567"/>
      </w:pPr>
      <w:r>
        <w:rPr>
          <w:b/>
        </w:rPr>
        <w:t>2.</w:t>
      </w:r>
      <w:r>
        <w:rPr>
          <w:b/>
        </w:rPr>
        <w:tab/>
        <w:t>KVALITATIVNÍ A KVANTITATIVNÍ SLOŽENÍ</w:t>
      </w:r>
    </w:p>
    <w:p w14:paraId="0CA990A8" w14:textId="77777777" w:rsidR="000A22A9" w:rsidRDefault="000A22A9">
      <w:pPr>
        <w:keepNext/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601F2EDB" w14:textId="69703926" w:rsidR="000A22A9" w:rsidRDefault="003A2761">
      <w:pPr>
        <w:autoSpaceDE w:val="0"/>
        <w:autoSpaceDN w:val="0"/>
        <w:adjustRightInd w:val="0"/>
      </w:pPr>
      <w:r>
        <w:t>Jedna injekční lahvička obsahuje 120 mg denosumabu v 1,7 ml roztoku (70 mg/ml).</w:t>
      </w:r>
    </w:p>
    <w:p w14:paraId="26E8F191" w14:textId="77777777" w:rsidR="00842517" w:rsidRDefault="00842517">
      <w:pPr>
        <w:autoSpaceDE w:val="0"/>
        <w:autoSpaceDN w:val="0"/>
        <w:adjustRightInd w:val="0"/>
        <w:rPr>
          <w:rFonts w:eastAsia="MS Mincho"/>
          <w:szCs w:val="22"/>
        </w:rPr>
      </w:pPr>
    </w:p>
    <w:p w14:paraId="1612835A" w14:textId="65154574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t xml:space="preserve">Denosumab je </w:t>
      </w:r>
      <w:r w:rsidR="00F12100">
        <w:t xml:space="preserve">humánní </w:t>
      </w:r>
      <w:r>
        <w:t>monoklonální protilátka IgG2, produkovaná savčí buněčnou linií (ovariální buňky křečíka</w:t>
      </w:r>
      <w:r w:rsidR="006C1CD7">
        <w:t xml:space="preserve"> čínského</w:t>
      </w:r>
      <w:r>
        <w:t>) pomocí technologie rekombinantní DNA.</w:t>
      </w:r>
    </w:p>
    <w:p w14:paraId="5F45D9AD" w14:textId="77777777" w:rsidR="000A22A9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15BCB4B7" w14:textId="3C26AFC1" w:rsidR="000A22A9" w:rsidRDefault="00DA5E3B">
      <w:pPr>
        <w:keepNext/>
        <w:autoSpaceDE w:val="0"/>
        <w:autoSpaceDN w:val="0"/>
        <w:adjustRightInd w:val="0"/>
        <w:rPr>
          <w:u w:val="single"/>
        </w:rPr>
      </w:pPr>
      <w:r w:rsidRPr="00DA5E3B">
        <w:rPr>
          <w:u w:val="single"/>
        </w:rPr>
        <w:t>Pomocné látky</w:t>
      </w:r>
      <w:r w:rsidR="003A2761">
        <w:rPr>
          <w:u w:val="single"/>
        </w:rPr>
        <w:t xml:space="preserve"> se známým účinkem</w:t>
      </w:r>
    </w:p>
    <w:p w14:paraId="7F586CBE" w14:textId="77777777" w:rsidR="000F5CAB" w:rsidRPr="000F5CAB" w:rsidRDefault="000F5CAB">
      <w:pPr>
        <w:keepNext/>
        <w:autoSpaceDE w:val="0"/>
        <w:autoSpaceDN w:val="0"/>
        <w:adjustRightInd w:val="0"/>
        <w:rPr>
          <w:rFonts w:eastAsia="MS Mincho"/>
          <w:szCs w:val="22"/>
        </w:rPr>
      </w:pPr>
    </w:p>
    <w:p w14:paraId="036D956B" w14:textId="4B2594CB" w:rsidR="000A22A9" w:rsidRDefault="003A2761">
      <w:r>
        <w:t xml:space="preserve">1,7 ml roztoku obsahuje </w:t>
      </w:r>
      <w:r w:rsidR="00F96C00">
        <w:t>79,9</w:t>
      </w:r>
      <w:r>
        <w:t> mg sorbitolu (E</w:t>
      </w:r>
      <w:r w:rsidR="00CC3157">
        <w:t xml:space="preserve"> </w:t>
      </w:r>
      <w:r>
        <w:t>420)</w:t>
      </w:r>
      <w:r w:rsidR="005C626F">
        <w:t xml:space="preserve">, což </w:t>
      </w:r>
      <w:r w:rsidR="001E2134">
        <w:t>odpovídá</w:t>
      </w:r>
      <w:r w:rsidR="005C626F">
        <w:t xml:space="preserve"> 47 mg/ml, a 0,17 mg polysorbátu 20 (E 432), což </w:t>
      </w:r>
      <w:r w:rsidR="001E2134">
        <w:t>odpovídá</w:t>
      </w:r>
      <w:r w:rsidR="005C626F">
        <w:t xml:space="preserve"> 0,1 mg/ml</w:t>
      </w:r>
      <w:r>
        <w:t>.</w:t>
      </w:r>
    </w:p>
    <w:p w14:paraId="1E09E18C" w14:textId="77777777" w:rsidR="000A22A9" w:rsidRDefault="000A22A9" w:rsidP="00EA1154">
      <w:pPr>
        <w:rPr>
          <w:rFonts w:eastAsia="MS Mincho"/>
          <w:szCs w:val="22"/>
          <w:lang w:eastAsia="ja-JP"/>
        </w:rPr>
      </w:pPr>
    </w:p>
    <w:p w14:paraId="7C1E69C2" w14:textId="77777777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t>Úplný seznam pomocných látek viz bod 6.1.</w:t>
      </w:r>
    </w:p>
    <w:p w14:paraId="35CC36A1" w14:textId="77777777" w:rsidR="000A22A9" w:rsidRDefault="000A22A9"/>
    <w:p w14:paraId="7658A1C4" w14:textId="77777777" w:rsidR="000A22A9" w:rsidRDefault="000A22A9"/>
    <w:p w14:paraId="4142CFE5" w14:textId="77777777" w:rsidR="000A22A9" w:rsidRDefault="003A2761">
      <w:pPr>
        <w:keepNext/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>LÉKOVÁ FORMA</w:t>
      </w:r>
    </w:p>
    <w:p w14:paraId="3B2E490D" w14:textId="77777777" w:rsidR="000A22A9" w:rsidRDefault="000A22A9">
      <w:pPr>
        <w:keepNext/>
        <w:ind w:left="567" w:hanging="567"/>
      </w:pPr>
    </w:p>
    <w:p w14:paraId="5ED49FA9" w14:textId="7F148604" w:rsidR="000A22A9" w:rsidRDefault="003A2761">
      <w:pPr>
        <w:rPr>
          <w:bCs/>
        </w:rPr>
      </w:pPr>
      <w:r>
        <w:t>Injekční roztok (injekce).</w:t>
      </w:r>
    </w:p>
    <w:p w14:paraId="3F7F76B7" w14:textId="77777777" w:rsidR="000A22A9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449D39ED" w14:textId="0D7FABF6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t xml:space="preserve">Čirý, bezbarvý až </w:t>
      </w:r>
      <w:r w:rsidR="00206400">
        <w:t>světle</w:t>
      </w:r>
      <w:r w:rsidR="007668B6">
        <w:t xml:space="preserve"> žlutý</w:t>
      </w:r>
      <w:r>
        <w:t xml:space="preserve"> roztok</w:t>
      </w:r>
      <w:r w:rsidR="007668B6">
        <w:t xml:space="preserve"> o pH</w:t>
      </w:r>
      <w:r w:rsidR="005A554E">
        <w:t> </w:t>
      </w:r>
      <w:r w:rsidR="007668B6">
        <w:t>5,2</w:t>
      </w:r>
      <w:r>
        <w:t>.</w:t>
      </w:r>
    </w:p>
    <w:p w14:paraId="7CAB990E" w14:textId="77777777" w:rsidR="000A22A9" w:rsidRDefault="000A22A9"/>
    <w:p w14:paraId="5E1B9BC8" w14:textId="77777777" w:rsidR="000A22A9" w:rsidRDefault="000A22A9"/>
    <w:p w14:paraId="64341E7F" w14:textId="77777777" w:rsidR="000A22A9" w:rsidRDefault="003A2761">
      <w:pPr>
        <w:keepNext/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KLINICKÉ ÚDAJE</w:t>
      </w:r>
    </w:p>
    <w:p w14:paraId="3E82DBFB" w14:textId="77777777" w:rsidR="000A22A9" w:rsidRDefault="000A22A9">
      <w:pPr>
        <w:keepNext/>
        <w:ind w:left="567" w:hanging="567"/>
      </w:pPr>
    </w:p>
    <w:p w14:paraId="3D3E10F6" w14:textId="233E9D51" w:rsidR="000A22A9" w:rsidRPr="00386FDB" w:rsidRDefault="003A2761" w:rsidP="00386FDB">
      <w:pPr>
        <w:pStyle w:val="Stylebold"/>
        <w:keepNext/>
        <w:ind w:left="567" w:hanging="567"/>
      </w:pPr>
      <w:r>
        <w:t>4.1</w:t>
      </w:r>
      <w:r>
        <w:tab/>
        <w:t>Terapeutické indikace</w:t>
      </w:r>
    </w:p>
    <w:p w14:paraId="111D92F9" w14:textId="77777777" w:rsidR="000A22A9" w:rsidRDefault="000A22A9">
      <w:pPr>
        <w:keepNext/>
        <w:rPr>
          <w:szCs w:val="22"/>
        </w:rPr>
      </w:pPr>
    </w:p>
    <w:p w14:paraId="369C199F" w14:textId="77777777" w:rsidR="000A22A9" w:rsidRDefault="003A2761">
      <w:pPr>
        <w:rPr>
          <w:szCs w:val="22"/>
        </w:rPr>
      </w:pPr>
      <w:r>
        <w:t>Prevence kostních příhod (</w:t>
      </w:r>
      <w:r>
        <w:rPr>
          <w:i/>
        </w:rPr>
        <w:t>skeletal related events, SRE</w:t>
      </w:r>
      <w:r>
        <w:t>) (patologické fraktury, míšní komprese, stavy vyžadující radiační léčbu kostí či kostní operaci) u dospělých s pokročilými malignitami postihujícími kosti (viz bod 5.1).</w:t>
      </w:r>
    </w:p>
    <w:p w14:paraId="1D8FC753" w14:textId="77777777" w:rsidR="000A22A9" w:rsidRDefault="000A22A9">
      <w:pPr>
        <w:rPr>
          <w:szCs w:val="22"/>
        </w:rPr>
      </w:pPr>
    </w:p>
    <w:p w14:paraId="2FDE7779" w14:textId="022621BC" w:rsidR="000A22A9" w:rsidRDefault="003A2761">
      <w:bookmarkStart w:id="0" w:name="_Hlk186657126"/>
      <w:r>
        <w:t xml:space="preserve">Léčba dospělých a dospívajících </w:t>
      </w:r>
      <w:r w:rsidRPr="00A95CFC">
        <w:t>s </w:t>
      </w:r>
      <w:r w:rsidR="000643EB" w:rsidRPr="00A95CFC">
        <w:t xml:space="preserve">ukončeným </w:t>
      </w:r>
      <w:r w:rsidR="00CD4255" w:rsidRPr="000C0C60">
        <w:t>vývojem</w:t>
      </w:r>
      <w:r w:rsidR="000643EB" w:rsidRPr="00A95CFC">
        <w:t xml:space="preserve"> </w:t>
      </w:r>
      <w:r w:rsidRPr="00A95CFC">
        <w:t>skelet</w:t>
      </w:r>
      <w:r w:rsidR="000643EB" w:rsidRPr="00A95CFC">
        <w:t>u</w:t>
      </w:r>
      <w:r w:rsidRPr="00A95CFC">
        <w:t xml:space="preserve"> </w:t>
      </w:r>
      <w:r w:rsidR="00CD4255" w:rsidRPr="00A95CFC">
        <w:t>(</w:t>
      </w:r>
      <w:r w:rsidR="00CD4255" w:rsidRPr="000C0C60">
        <w:rPr>
          <w:i/>
          <w:iCs/>
        </w:rPr>
        <w:t>skeletally mature</w:t>
      </w:r>
      <w:r w:rsidR="00CD4255" w:rsidRPr="000C0C60">
        <w:t xml:space="preserve">) </w:t>
      </w:r>
      <w:r w:rsidRPr="00A95CFC">
        <w:t>s velkobuněčným kostním nádorem</w:t>
      </w:r>
      <w:r w:rsidR="00CD4255" w:rsidRPr="00A95CFC">
        <w:t xml:space="preserve"> (</w:t>
      </w:r>
      <w:r w:rsidR="00CD4255" w:rsidRPr="000C0C60">
        <w:rPr>
          <w:i/>
          <w:iCs/>
        </w:rPr>
        <w:t>giant cell tumour of bone</w:t>
      </w:r>
      <w:r w:rsidR="00CD4255" w:rsidRPr="000C0C60">
        <w:t>)</w:t>
      </w:r>
      <w:r w:rsidRPr="00A95CFC">
        <w:t>, který je neresekabilní nebo kde chirurgická resekce povede pravděpodobně k závažné morbiditě.</w:t>
      </w:r>
    </w:p>
    <w:bookmarkEnd w:id="0"/>
    <w:p w14:paraId="049A18E7" w14:textId="77777777" w:rsidR="000A22A9" w:rsidRDefault="000A22A9">
      <w:pPr>
        <w:pStyle w:val="af0"/>
        <w:tabs>
          <w:tab w:val="left" w:pos="567"/>
        </w:tabs>
        <w:spacing w:before="0" w:beforeAutospacing="0" w:after="0" w:afterAutospacing="0"/>
        <w:rPr>
          <w:rFonts w:eastAsia="Times New Roman"/>
          <w:lang w:eastAsia="en-US"/>
        </w:rPr>
      </w:pPr>
    </w:p>
    <w:p w14:paraId="26BA1562" w14:textId="3425F82E" w:rsidR="000A22A9" w:rsidRPr="00386FDB" w:rsidRDefault="003A2761" w:rsidP="00386FDB">
      <w:pPr>
        <w:pStyle w:val="Stylebold"/>
        <w:keepNext/>
        <w:ind w:left="567" w:hanging="567"/>
      </w:pPr>
      <w:r>
        <w:t>4.2</w:t>
      </w:r>
      <w:r>
        <w:tab/>
        <w:t>Dávkování a způsob podání</w:t>
      </w:r>
    </w:p>
    <w:p w14:paraId="4BD324AC" w14:textId="77777777" w:rsidR="000A22A9" w:rsidRDefault="000A22A9">
      <w:pPr>
        <w:keepNext/>
        <w:tabs>
          <w:tab w:val="clear" w:pos="567"/>
        </w:tabs>
      </w:pPr>
    </w:p>
    <w:p w14:paraId="7E32ACAD" w14:textId="75F4A580" w:rsidR="000A22A9" w:rsidRDefault="003A2761">
      <w:pPr>
        <w:tabs>
          <w:tab w:val="clear" w:pos="567"/>
        </w:tabs>
        <w:rPr>
          <w:b/>
        </w:rPr>
      </w:pPr>
      <w:r>
        <w:t xml:space="preserve">Za podání </w:t>
      </w:r>
      <w:r w:rsidR="007668B6">
        <w:t>d</w:t>
      </w:r>
      <w:r w:rsidR="007668B6" w:rsidRPr="00CE3A71">
        <w:t>enosumab</w:t>
      </w:r>
      <w:r w:rsidR="007668B6">
        <w:t>u</w:t>
      </w:r>
      <w:r>
        <w:t xml:space="preserve"> zodpovídá zdravotnický pracovník.</w:t>
      </w:r>
    </w:p>
    <w:p w14:paraId="79177303" w14:textId="77777777" w:rsidR="000A22A9" w:rsidRDefault="000A22A9">
      <w:pPr>
        <w:autoSpaceDE w:val="0"/>
        <w:autoSpaceDN w:val="0"/>
        <w:adjustRightInd w:val="0"/>
        <w:rPr>
          <w:u w:val="single"/>
        </w:rPr>
      </w:pPr>
    </w:p>
    <w:p w14:paraId="13A43832" w14:textId="77777777" w:rsidR="000A22A9" w:rsidRDefault="003A2761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Dávkování</w:t>
      </w:r>
    </w:p>
    <w:p w14:paraId="1E0CA49E" w14:textId="77777777" w:rsidR="000A22A9" w:rsidRDefault="000A22A9">
      <w:pPr>
        <w:keepNext/>
      </w:pPr>
    </w:p>
    <w:p w14:paraId="6613FBB1" w14:textId="77777777" w:rsidR="000A22A9" w:rsidRDefault="003A2761">
      <w:pPr>
        <w:rPr>
          <w:szCs w:val="22"/>
        </w:rPr>
      </w:pPr>
      <w:r>
        <w:t>Všichni pacienti, kteří nemají hyperkalcemii, mají užívat alespoň 500 mg kalcia a 400 IU vitaminu D denně (viz bod 4.4).</w:t>
      </w:r>
    </w:p>
    <w:p w14:paraId="27AB9B48" w14:textId="77777777" w:rsidR="000A22A9" w:rsidRDefault="000A22A9"/>
    <w:p w14:paraId="7D70D4CC" w14:textId="7F6708DC" w:rsidR="000A22A9" w:rsidRDefault="003A2761">
      <w:r>
        <w:t xml:space="preserve">Pacienti léčení </w:t>
      </w:r>
      <w:r w:rsidR="007668B6">
        <w:t>d</w:t>
      </w:r>
      <w:r w:rsidR="007668B6" w:rsidRPr="00CE3A71">
        <w:t>enosumab</w:t>
      </w:r>
      <w:r w:rsidR="007668B6">
        <w:t>em</w:t>
      </w:r>
      <w:r>
        <w:t xml:space="preserve"> mají dostat příbalovou informaci </w:t>
      </w:r>
      <w:r w:rsidRPr="0021773E">
        <w:t>a kartu pacienta.</w:t>
      </w:r>
    </w:p>
    <w:p w14:paraId="6CA0866D" w14:textId="77777777" w:rsidR="000A22A9" w:rsidRDefault="000A22A9">
      <w:pPr>
        <w:rPr>
          <w:szCs w:val="22"/>
        </w:rPr>
      </w:pPr>
    </w:p>
    <w:p w14:paraId="6551E839" w14:textId="77777777" w:rsidR="000A22A9" w:rsidRPr="0021773E" w:rsidRDefault="003A2761">
      <w:pPr>
        <w:keepNext/>
        <w:autoSpaceDE w:val="0"/>
        <w:autoSpaceDN w:val="0"/>
        <w:adjustRightInd w:val="0"/>
        <w:rPr>
          <w:i/>
          <w:szCs w:val="22"/>
        </w:rPr>
      </w:pPr>
      <w:r>
        <w:rPr>
          <w:i/>
        </w:rPr>
        <w:lastRenderedPageBreak/>
        <w:t xml:space="preserve">Prevence kostních příhod u dospělých s pokročilými malignitami </w:t>
      </w:r>
      <w:r w:rsidRPr="0021773E">
        <w:rPr>
          <w:i/>
        </w:rPr>
        <w:t>postihujícími kosti</w:t>
      </w:r>
    </w:p>
    <w:p w14:paraId="1246D0D1" w14:textId="1025A42D" w:rsidR="000A22A9" w:rsidRDefault="003A2761">
      <w:pPr>
        <w:rPr>
          <w:szCs w:val="22"/>
        </w:rPr>
      </w:pPr>
      <w:r w:rsidRPr="0021773E">
        <w:t>Doporučená dávka je 120 mg</w:t>
      </w:r>
      <w:r w:rsidR="00964740" w:rsidRPr="0021773E">
        <w:t xml:space="preserve"> </w:t>
      </w:r>
      <w:r w:rsidRPr="0021773E">
        <w:t>podáv</w:t>
      </w:r>
      <w:r w:rsidR="00964740" w:rsidRPr="0021773E">
        <w:t>an</w:t>
      </w:r>
      <w:r w:rsidRPr="0021773E">
        <w:t>á form</w:t>
      </w:r>
      <w:r w:rsidR="00964740" w:rsidRPr="0021773E">
        <w:t>ou</w:t>
      </w:r>
      <w:r w:rsidRPr="0021773E">
        <w:t xml:space="preserve"> jednorázové subkutánní</w:t>
      </w:r>
      <w:r>
        <w:t xml:space="preserve"> injekce </w:t>
      </w:r>
      <w:r w:rsidR="00964740">
        <w:t xml:space="preserve">jednou za 4 týdny </w:t>
      </w:r>
      <w:r>
        <w:t>do stehna, břicha nebo horní části paže.</w:t>
      </w:r>
    </w:p>
    <w:p w14:paraId="41C589F0" w14:textId="77777777" w:rsidR="000A22A9" w:rsidRDefault="000A22A9"/>
    <w:p w14:paraId="524995E0" w14:textId="77777777" w:rsidR="000A22A9" w:rsidRDefault="003A2761">
      <w:pPr>
        <w:keepNext/>
        <w:autoSpaceDE w:val="0"/>
        <w:autoSpaceDN w:val="0"/>
        <w:adjustRightInd w:val="0"/>
        <w:rPr>
          <w:i/>
          <w:szCs w:val="22"/>
        </w:rPr>
      </w:pPr>
      <w:r>
        <w:rPr>
          <w:i/>
        </w:rPr>
        <w:t>Velkobuněčný kostní nádor</w:t>
      </w:r>
    </w:p>
    <w:p w14:paraId="6C079C79" w14:textId="0F181CC1" w:rsidR="000A22A9" w:rsidRDefault="003A2761">
      <w:pPr>
        <w:rPr>
          <w:szCs w:val="22"/>
        </w:rPr>
      </w:pPr>
      <w:r>
        <w:t xml:space="preserve">Doporučená dávka </w:t>
      </w:r>
      <w:r w:rsidR="007668B6">
        <w:t>d</w:t>
      </w:r>
      <w:r w:rsidR="007668B6" w:rsidRPr="00CE3A71">
        <w:t>enosumab</w:t>
      </w:r>
      <w:r w:rsidR="007668B6">
        <w:t>u</w:t>
      </w:r>
      <w:r>
        <w:t xml:space="preserve"> je 120 mg podávaná formou </w:t>
      </w:r>
      <w:r w:rsidRPr="0021773E">
        <w:t>jednorázové subkutánní</w:t>
      </w:r>
      <w:r>
        <w:t xml:space="preserve"> injekce jednou za 4 týdny do stehna, břicha nebo horní části paže s </w:t>
      </w:r>
      <w:r w:rsidRPr="00CC0A98">
        <w:t>další</w:t>
      </w:r>
      <w:r w:rsidR="00CC0A98" w:rsidRPr="00CC0A98">
        <w:t>m</w:t>
      </w:r>
      <w:r w:rsidR="00CC0A98">
        <w:t>i</w:t>
      </w:r>
      <w:r>
        <w:t xml:space="preserve"> dávk</w:t>
      </w:r>
      <w:r w:rsidR="00CC0A98">
        <w:t>ami</w:t>
      </w:r>
      <w:r>
        <w:t xml:space="preserve"> 120 mg 8. a 15. den léčby v prvním měsíci terapie.</w:t>
      </w:r>
    </w:p>
    <w:p w14:paraId="7B0AAF96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FF0168" w14:textId="77777777" w:rsidR="000A22A9" w:rsidRDefault="003A2761">
      <w:pPr>
        <w:keepNext/>
        <w:rPr>
          <w:szCs w:val="22"/>
        </w:rPr>
      </w:pPr>
      <w:r>
        <w:t>Pacienti ve studii fáze II, kteří podstoupili úplnou resekci velkobuněčného kostního nádoru, byli podle protokolu studie léčeni ještě dalších 6 měsíců po chirurgickém zákroku.</w:t>
      </w:r>
    </w:p>
    <w:p w14:paraId="48E5CC9F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32E7C16F" w14:textId="2B13D9C1" w:rsidR="000A22A9" w:rsidRDefault="003A2761">
      <w:pPr>
        <w:keepNext/>
      </w:pPr>
      <w:r>
        <w:t>Pacienty s velkobuněčnýcm kostním nádorem je třeba pravidelně vyšetř</w:t>
      </w:r>
      <w:r w:rsidR="00964740">
        <w:t>ovat</w:t>
      </w:r>
      <w:r>
        <w:t xml:space="preserve">, zda je pro ně léčba i dále přínosná. U pacientů, kde je onemocnění kontrolováno </w:t>
      </w:r>
      <w:r w:rsidR="007668B6">
        <w:t>d</w:t>
      </w:r>
      <w:r w:rsidR="007668B6" w:rsidRPr="00CE3A71">
        <w:t>enosumab</w:t>
      </w:r>
      <w:r w:rsidR="007668B6">
        <w:t>em</w:t>
      </w:r>
      <w:r>
        <w:t>, nebyl hodnocen vliv přerušení nebo ukončení léčby, omezené údaje u těchto pacientů však nenaznačují, že by po ukončení léčby docházelo k rebound efektu.</w:t>
      </w:r>
    </w:p>
    <w:p w14:paraId="7FF498B6" w14:textId="77777777" w:rsidR="000A22A9" w:rsidRDefault="000A22A9">
      <w:pPr>
        <w:rPr>
          <w:szCs w:val="22"/>
        </w:rPr>
      </w:pPr>
    </w:p>
    <w:p w14:paraId="659372B4" w14:textId="77777777" w:rsidR="000A22A9" w:rsidRDefault="003A2761">
      <w:pPr>
        <w:keepNext/>
        <w:rPr>
          <w:i/>
          <w:szCs w:val="22"/>
        </w:rPr>
      </w:pPr>
      <w:r>
        <w:rPr>
          <w:i/>
        </w:rPr>
        <w:t>Porucha funkce ledvin</w:t>
      </w:r>
    </w:p>
    <w:p w14:paraId="15112B14" w14:textId="39029182" w:rsidR="000A22A9" w:rsidRDefault="003A2761">
      <w:pPr>
        <w:pStyle w:val="ab"/>
        <w:rPr>
          <w:sz w:val="22"/>
          <w:szCs w:val="22"/>
        </w:rPr>
      </w:pPr>
      <w:r>
        <w:rPr>
          <w:sz w:val="22"/>
        </w:rPr>
        <w:t>U pacientů s poruchou funkce ledvin není třeba dávku přípravku upravovat (viz bod 4.4 pro doporučení ohledně sledování hladin vápníku, body 4.8 a 5.2).</w:t>
      </w:r>
    </w:p>
    <w:p w14:paraId="0F712835" w14:textId="77777777" w:rsidR="000A22A9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032033C7" w14:textId="77777777" w:rsidR="000A22A9" w:rsidRDefault="003A2761">
      <w:pPr>
        <w:keepNext/>
        <w:rPr>
          <w:i/>
          <w:szCs w:val="22"/>
        </w:rPr>
      </w:pPr>
      <w:r>
        <w:rPr>
          <w:i/>
        </w:rPr>
        <w:t>Porucha funkce jater</w:t>
      </w:r>
    </w:p>
    <w:p w14:paraId="056F0774" w14:textId="33957916" w:rsidR="000A22A9" w:rsidRDefault="003A2761">
      <w:pPr>
        <w:autoSpaceDE w:val="0"/>
        <w:autoSpaceDN w:val="0"/>
        <w:adjustRightInd w:val="0"/>
      </w:pPr>
      <w:r>
        <w:t xml:space="preserve">U pacientů s poruchou funkce jater nebyla bezpečnost a účinnost denosumabu </w:t>
      </w:r>
      <w:r w:rsidR="00964740">
        <w:t>hodnocena</w:t>
      </w:r>
      <w:r>
        <w:t xml:space="preserve"> (viz bod 5.2).</w:t>
      </w:r>
    </w:p>
    <w:p w14:paraId="0F7D9C6D" w14:textId="77777777" w:rsidR="000A22A9" w:rsidRDefault="000A22A9">
      <w:pPr>
        <w:rPr>
          <w:i/>
          <w:szCs w:val="22"/>
        </w:rPr>
      </w:pPr>
    </w:p>
    <w:p w14:paraId="60E6BD4E" w14:textId="77777777" w:rsidR="000A22A9" w:rsidRDefault="003A2761">
      <w:pPr>
        <w:keepNext/>
        <w:rPr>
          <w:i/>
        </w:rPr>
      </w:pPr>
      <w:r>
        <w:rPr>
          <w:i/>
        </w:rPr>
        <w:t>Starší pacienti (≥ 65 let)</w:t>
      </w:r>
    </w:p>
    <w:p w14:paraId="0EF94161" w14:textId="77777777" w:rsidR="000A22A9" w:rsidRDefault="003A2761">
      <w:pPr>
        <w:autoSpaceDE w:val="0"/>
        <w:autoSpaceDN w:val="0"/>
        <w:adjustRightInd w:val="0"/>
        <w:rPr>
          <w:szCs w:val="22"/>
        </w:rPr>
      </w:pPr>
      <w:r>
        <w:t>U starších pacientů není třeba dávku přípravku upravovat (viz bod 5.2).</w:t>
      </w:r>
    </w:p>
    <w:p w14:paraId="0B4DCE8E" w14:textId="77777777" w:rsidR="000A22A9" w:rsidRDefault="000A22A9">
      <w:pPr>
        <w:rPr>
          <w:b/>
          <w:szCs w:val="22"/>
        </w:rPr>
      </w:pPr>
    </w:p>
    <w:p w14:paraId="42F9C66C" w14:textId="77777777" w:rsidR="000A22A9" w:rsidRDefault="003A2761">
      <w:pPr>
        <w:keepNext/>
        <w:rPr>
          <w:i/>
          <w:szCs w:val="22"/>
        </w:rPr>
      </w:pPr>
      <w:r>
        <w:rPr>
          <w:i/>
        </w:rPr>
        <w:t>Pediatrická populace</w:t>
      </w:r>
    </w:p>
    <w:p w14:paraId="033DF6DA" w14:textId="7353B91D" w:rsidR="000A22A9" w:rsidRDefault="003A2761">
      <w:r>
        <w:t xml:space="preserve">Bezpečnost a účinnost </w:t>
      </w:r>
      <w:r w:rsidR="007668B6">
        <w:t>d</w:t>
      </w:r>
      <w:r w:rsidR="007668B6" w:rsidRPr="00CE3A71">
        <w:t>enosumab</w:t>
      </w:r>
      <w:r w:rsidR="007668B6">
        <w:t>u</w:t>
      </w:r>
      <w:r>
        <w:t xml:space="preserve"> u pediatrických pacientů (do 18 let) nebyla dosud stanovena s výjimkou dospívajících pacientů (ve věku 12–17 let) s</w:t>
      </w:r>
      <w:r w:rsidR="00CD4255">
        <w:t> ukončeným vývojem</w:t>
      </w:r>
      <w:r>
        <w:t xml:space="preserve"> skelet</w:t>
      </w:r>
      <w:r w:rsidR="00CD4255">
        <w:t>u</w:t>
      </w:r>
      <w:r>
        <w:t xml:space="preserve"> s velkobuněčným kostním nádorem.</w:t>
      </w:r>
    </w:p>
    <w:p w14:paraId="7B33C5F5" w14:textId="77777777" w:rsidR="000A22A9" w:rsidRDefault="000A22A9"/>
    <w:p w14:paraId="0C3E5420" w14:textId="5D3D0EE9" w:rsidR="000A22A9" w:rsidRDefault="003A2761">
      <w:r>
        <w:t xml:space="preserve">Přípravek </w:t>
      </w:r>
      <w:r w:rsidR="007668B6">
        <w:t>Osenvelt</w:t>
      </w:r>
      <w:r>
        <w:t xml:space="preserve"> se nedoporučuje podávat pediatrickým pacientům (do 18 let) s výjimkou dospívajících pacientů (ve věku 12–17 let) s</w:t>
      </w:r>
      <w:r w:rsidR="00CD4255">
        <w:t> ukončeným vývojem</w:t>
      </w:r>
      <w:r>
        <w:t xml:space="preserve"> skelet</w:t>
      </w:r>
      <w:r w:rsidR="00CD4255">
        <w:t>u</w:t>
      </w:r>
      <w:r>
        <w:t xml:space="preserve"> s velkobuněčným kostním nádorem (viz bod 4.4).</w:t>
      </w:r>
    </w:p>
    <w:p w14:paraId="4E2E0D71" w14:textId="77777777" w:rsidR="000A22A9" w:rsidRDefault="000A22A9"/>
    <w:p w14:paraId="57C67C45" w14:textId="4ACBDE64" w:rsidR="000A22A9" w:rsidRDefault="003A2761">
      <w:r>
        <w:t>Léčba dospívajících s</w:t>
      </w:r>
      <w:r w:rsidR="00CD4255">
        <w:t> ukončeným vývojem</w:t>
      </w:r>
      <w:r>
        <w:t xml:space="preserve"> skelet</w:t>
      </w:r>
      <w:r w:rsidR="00CD4255">
        <w:t>u</w:t>
      </w:r>
      <w:r>
        <w:t xml:space="preserve"> s velkobuněčným kostním nádorem, který je neresekabilní nebo kde chirurgická resekce pravděpodobně povede k závažné morbiditě: dávkování je stejné jako u dospělých.</w:t>
      </w:r>
    </w:p>
    <w:p w14:paraId="749A4332" w14:textId="77777777" w:rsidR="000A22A9" w:rsidRDefault="000A22A9"/>
    <w:p w14:paraId="5D10D717" w14:textId="387E0CE6" w:rsidR="000A22A9" w:rsidRDefault="003A2761">
      <w:r>
        <w:t>Inhibice RANK/</w:t>
      </w:r>
      <w:r w:rsidRPr="00CC0A98">
        <w:t>RANK ligandu</w:t>
      </w:r>
      <w:r>
        <w:t xml:space="preserve"> (RANKL) ve studiích na zvířatech je spojována s inhibicí růstu kostí a nedostatečným prořezáváním zubů. Tyto změny byly po ukončení inhibice RANKL částečně reverzibilní (viz bod 5.3).</w:t>
      </w:r>
    </w:p>
    <w:p w14:paraId="6A1865FE" w14:textId="77777777" w:rsidR="000A22A9" w:rsidRDefault="000A22A9">
      <w:pPr>
        <w:autoSpaceDE w:val="0"/>
        <w:autoSpaceDN w:val="0"/>
        <w:adjustRightInd w:val="0"/>
        <w:rPr>
          <w:b/>
          <w:i/>
        </w:rPr>
      </w:pPr>
    </w:p>
    <w:p w14:paraId="450DBCE8" w14:textId="77777777" w:rsidR="000A22A9" w:rsidRDefault="003A2761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Způsob podání</w:t>
      </w:r>
    </w:p>
    <w:p w14:paraId="3B14DEE2" w14:textId="77777777" w:rsidR="000A22A9" w:rsidRDefault="000A22A9">
      <w:pPr>
        <w:keepNext/>
        <w:autoSpaceDE w:val="0"/>
        <w:autoSpaceDN w:val="0"/>
        <w:adjustRightInd w:val="0"/>
        <w:rPr>
          <w:bCs/>
        </w:rPr>
      </w:pPr>
    </w:p>
    <w:p w14:paraId="2AB74C56" w14:textId="39EC9209" w:rsidR="000A22A9" w:rsidRDefault="003A2761">
      <w:pPr>
        <w:autoSpaceDE w:val="0"/>
        <w:autoSpaceDN w:val="0"/>
        <w:adjustRightInd w:val="0"/>
        <w:rPr>
          <w:bCs/>
        </w:rPr>
      </w:pPr>
      <w:r>
        <w:t>Subkutánní podání.</w:t>
      </w:r>
    </w:p>
    <w:p w14:paraId="43AB468D" w14:textId="30EEB8FB" w:rsidR="000A22A9" w:rsidRDefault="000A22A9">
      <w:pPr>
        <w:autoSpaceDE w:val="0"/>
        <w:autoSpaceDN w:val="0"/>
        <w:adjustRightInd w:val="0"/>
        <w:rPr>
          <w:bCs/>
        </w:rPr>
      </w:pPr>
    </w:p>
    <w:p w14:paraId="515407CA" w14:textId="77777777" w:rsidR="000A22A9" w:rsidRDefault="003A2761">
      <w:r>
        <w:t>Pro návod k použití, zacházení a likvidaci viz bod 6.6.</w:t>
      </w:r>
    </w:p>
    <w:p w14:paraId="1FBBB9A9" w14:textId="77777777" w:rsidR="000A22A9" w:rsidRDefault="000A22A9">
      <w:pPr>
        <w:autoSpaceDE w:val="0"/>
        <w:autoSpaceDN w:val="0"/>
        <w:adjustRightInd w:val="0"/>
      </w:pPr>
    </w:p>
    <w:p w14:paraId="7FCE43BC" w14:textId="77777777" w:rsidR="000A22A9" w:rsidRPr="00386FDB" w:rsidRDefault="003A2761" w:rsidP="00386FDB">
      <w:pPr>
        <w:pStyle w:val="Stylebold"/>
        <w:keepNext/>
        <w:ind w:left="567" w:hanging="567"/>
      </w:pPr>
      <w:r>
        <w:t>4.3</w:t>
      </w:r>
      <w:r>
        <w:tab/>
        <w:t>Kontraindikace</w:t>
      </w:r>
    </w:p>
    <w:p w14:paraId="27097E1B" w14:textId="77777777" w:rsidR="000A22A9" w:rsidRDefault="000A22A9">
      <w:pPr>
        <w:keepNext/>
        <w:rPr>
          <w:b/>
        </w:rPr>
      </w:pPr>
    </w:p>
    <w:p w14:paraId="3237A08F" w14:textId="77777777" w:rsidR="000A22A9" w:rsidRDefault="003A2761">
      <w:r>
        <w:t>Hypersenzitivita na léčivou látku nebo na kteroukoli pomocnou látku uvedenou v bodě 6.1.</w:t>
      </w:r>
    </w:p>
    <w:p w14:paraId="1B17641F" w14:textId="77777777" w:rsidR="000A22A9" w:rsidRDefault="000A22A9"/>
    <w:p w14:paraId="6B68A864" w14:textId="0A1F9246" w:rsidR="000A22A9" w:rsidRDefault="007C1C69">
      <w:r w:rsidRPr="000C0C60">
        <w:t>Těžká</w:t>
      </w:r>
      <w:r w:rsidR="003A2761" w:rsidRPr="00CC0A98">
        <w:t>,</w:t>
      </w:r>
      <w:r w:rsidR="003A2761">
        <w:t xml:space="preserve"> neléčená hypokalcemie (viz bod 4.4).</w:t>
      </w:r>
    </w:p>
    <w:p w14:paraId="2910E7D6" w14:textId="77777777" w:rsidR="000A22A9" w:rsidRDefault="000A22A9"/>
    <w:p w14:paraId="089AB89D" w14:textId="77777777" w:rsidR="000A22A9" w:rsidRDefault="003A2761">
      <w:pPr>
        <w:autoSpaceDE w:val="0"/>
        <w:autoSpaceDN w:val="0"/>
        <w:adjustRightInd w:val="0"/>
        <w:rPr>
          <w:rFonts w:cs="Verdana"/>
          <w:bCs/>
        </w:rPr>
      </w:pPr>
      <w:r>
        <w:lastRenderedPageBreak/>
        <w:t>Nezhojené léze po stomatochirugickém výkonu nebo chirurgickém výkonu v dutině ústní.</w:t>
      </w:r>
    </w:p>
    <w:p w14:paraId="32A91788" w14:textId="77777777" w:rsidR="000A22A9" w:rsidRDefault="000A22A9"/>
    <w:p w14:paraId="1BF89499" w14:textId="4C4381C8" w:rsidR="000A22A9" w:rsidRPr="00AB072A" w:rsidRDefault="003A2761" w:rsidP="00AB072A">
      <w:pPr>
        <w:pStyle w:val="Stylebold"/>
        <w:keepNext/>
        <w:ind w:left="567" w:hanging="567"/>
      </w:pPr>
      <w:r>
        <w:t>4.4</w:t>
      </w:r>
      <w:r>
        <w:tab/>
        <w:t>Zvláštní upozornění a opatření pro použití</w:t>
      </w:r>
    </w:p>
    <w:p w14:paraId="2A698368" w14:textId="50A7E002" w:rsidR="000A22A9" w:rsidRDefault="000A22A9">
      <w:pPr>
        <w:keepNext/>
        <w:keepLines/>
        <w:rPr>
          <w:szCs w:val="22"/>
        </w:rPr>
      </w:pPr>
    </w:p>
    <w:p w14:paraId="18F777A8" w14:textId="77777777" w:rsidR="000A22A9" w:rsidRPr="00AB072A" w:rsidRDefault="003A2761" w:rsidP="00AB072A">
      <w:pPr>
        <w:pStyle w:val="Styleunderline"/>
      </w:pPr>
      <w:r>
        <w:t>Sledovatelnost</w:t>
      </w:r>
    </w:p>
    <w:p w14:paraId="0C52E3B4" w14:textId="77777777" w:rsidR="000A22A9" w:rsidRDefault="000A22A9">
      <w:pPr>
        <w:keepNext/>
        <w:keepLines/>
        <w:tabs>
          <w:tab w:val="clear" w:pos="567"/>
        </w:tabs>
        <w:rPr>
          <w:u w:val="single"/>
        </w:rPr>
      </w:pPr>
    </w:p>
    <w:p w14:paraId="68B61CEE" w14:textId="77777777" w:rsidR="000A22A9" w:rsidRDefault="003A2761" w:rsidP="003B09CC">
      <w:pPr>
        <w:tabs>
          <w:tab w:val="clear" w:pos="567"/>
        </w:tabs>
      </w:pPr>
      <w:r>
        <w:t>Aby se zlepšila sledovatelnost biologických léčivých přípravků, má se přehledně zaznamenat název podaného přípravku a číslo šarže.</w:t>
      </w:r>
    </w:p>
    <w:p w14:paraId="7C90A1D2" w14:textId="77777777" w:rsidR="000A22A9" w:rsidRDefault="000A22A9" w:rsidP="003B09CC">
      <w:pPr>
        <w:outlineLvl w:val="0"/>
        <w:rPr>
          <w:szCs w:val="22"/>
        </w:rPr>
      </w:pPr>
    </w:p>
    <w:p w14:paraId="2CE2EDBF" w14:textId="783B4924" w:rsidR="000A22A9" w:rsidRDefault="00F56E3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 xml:space="preserve">Suplementace </w:t>
      </w:r>
      <w:r w:rsidR="003A2761">
        <w:rPr>
          <w:rFonts w:ascii="Times New Roman" w:hAnsi="Times New Roman"/>
          <w:color w:val="auto"/>
          <w:sz w:val="22"/>
          <w:u w:val="single"/>
        </w:rPr>
        <w:t>vápníku a vitaminu D</w:t>
      </w:r>
    </w:p>
    <w:p w14:paraId="18C77E5F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  <w:u w:val="single"/>
        </w:rPr>
      </w:pPr>
    </w:p>
    <w:p w14:paraId="3847CF04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Všichni pacienti, kteří nemají hyperkalcemii, mají užívat kalcium a vitamin D (viz bod 4.2).</w:t>
      </w:r>
    </w:p>
    <w:p w14:paraId="35DD9163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101F6101" w14:textId="77777777" w:rsidR="000A22A9" w:rsidRDefault="003A276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>Hypokalcemie</w:t>
      </w:r>
    </w:p>
    <w:p w14:paraId="1ED91545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0911AA7F" w14:textId="4A2DAC41" w:rsidR="000A22A9" w:rsidRDefault="003A2761" w:rsidP="003B09CC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 xml:space="preserve">Před </w:t>
      </w:r>
      <w:r w:rsidRPr="007668B6">
        <w:rPr>
          <w:rFonts w:ascii="Times New Roman" w:hAnsi="Times New Roman" w:cs="Times New Roman"/>
          <w:color w:val="auto"/>
          <w:sz w:val="22"/>
          <w:szCs w:val="22"/>
        </w:rPr>
        <w:t xml:space="preserve">zahájením léčby </w:t>
      </w:r>
      <w:r w:rsidR="007668B6" w:rsidRPr="00EA1154">
        <w:rPr>
          <w:rFonts w:ascii="Times New Roman" w:hAnsi="Times New Roman" w:cs="Times New Roman"/>
          <w:color w:val="auto"/>
          <w:sz w:val="22"/>
          <w:szCs w:val="22"/>
        </w:rPr>
        <w:t>denosumabem</w:t>
      </w:r>
      <w:r w:rsidRPr="007668B6">
        <w:rPr>
          <w:rFonts w:ascii="Times New Roman" w:hAnsi="Times New Roman" w:cs="Times New Roman"/>
          <w:color w:val="auto"/>
          <w:sz w:val="22"/>
          <w:szCs w:val="22"/>
        </w:rPr>
        <w:t xml:space="preserve"> je </w:t>
      </w:r>
      <w:r w:rsidR="00F56E31">
        <w:rPr>
          <w:rFonts w:ascii="Times New Roman" w:hAnsi="Times New Roman" w:cs="Times New Roman"/>
          <w:color w:val="auto"/>
          <w:sz w:val="22"/>
          <w:szCs w:val="22"/>
        </w:rPr>
        <w:t>nezbytné</w:t>
      </w:r>
      <w:r w:rsidRPr="007668B6">
        <w:rPr>
          <w:rFonts w:ascii="Times New Roman" w:hAnsi="Times New Roman" w:cs="Times New Roman"/>
          <w:color w:val="auto"/>
          <w:sz w:val="22"/>
          <w:szCs w:val="22"/>
        </w:rPr>
        <w:t xml:space="preserve"> upravit preexistující hypokalcemii. Hypokalcemie se může objevit kdykoliv během léčby </w:t>
      </w:r>
      <w:r w:rsidR="007668B6" w:rsidRPr="00EA1154">
        <w:rPr>
          <w:rFonts w:ascii="Times New Roman" w:hAnsi="Times New Roman" w:cs="Times New Roman"/>
          <w:color w:val="auto"/>
          <w:sz w:val="22"/>
          <w:szCs w:val="22"/>
        </w:rPr>
        <w:t>denosumabem</w:t>
      </w:r>
      <w:r w:rsidRPr="007668B6">
        <w:rPr>
          <w:rFonts w:ascii="Times New Roman" w:hAnsi="Times New Roman" w:cs="Times New Roman"/>
          <w:color w:val="auto"/>
          <w:sz w:val="22"/>
          <w:szCs w:val="22"/>
        </w:rPr>
        <w:t>. Hladina vápníku se má monitorovat (i) před úvodní dávkou</w:t>
      </w:r>
      <w:r w:rsidRPr="008013A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68B6" w:rsidRPr="00EA1154">
        <w:rPr>
          <w:rFonts w:ascii="Times New Roman" w:hAnsi="Times New Roman" w:cs="Times New Roman"/>
          <w:color w:val="auto"/>
          <w:sz w:val="22"/>
          <w:szCs w:val="22"/>
        </w:rPr>
        <w:t>denosumabu</w:t>
      </w:r>
      <w:r w:rsidRPr="007668B6">
        <w:rPr>
          <w:rFonts w:ascii="Times New Roman" w:hAnsi="Times New Roman" w:cs="Times New Roman"/>
          <w:color w:val="auto"/>
          <w:sz w:val="22"/>
          <w:szCs w:val="22"/>
        </w:rPr>
        <w:t xml:space="preserve">, (ii) </w:t>
      </w:r>
      <w:r w:rsidR="00F56E31">
        <w:rPr>
          <w:rFonts w:ascii="Times New Roman" w:hAnsi="Times New Roman" w:cs="Times New Roman"/>
          <w:color w:val="auto"/>
          <w:sz w:val="22"/>
          <w:szCs w:val="22"/>
        </w:rPr>
        <w:t>během</w:t>
      </w:r>
      <w:r w:rsidRPr="007668B6">
        <w:rPr>
          <w:rFonts w:ascii="Times New Roman" w:hAnsi="Times New Roman" w:cs="Times New Roman"/>
          <w:color w:val="auto"/>
          <w:sz w:val="22"/>
          <w:szCs w:val="22"/>
        </w:rPr>
        <w:t xml:space="preserve"> dvou týdnů po úvodní dávce, (iii) při výskytu suspektních příznaků hypokalcemie</w:t>
      </w:r>
      <w:r>
        <w:rPr>
          <w:rFonts w:ascii="Times New Roman" w:hAnsi="Times New Roman"/>
          <w:color w:val="auto"/>
          <w:sz w:val="22"/>
        </w:rPr>
        <w:t xml:space="preserve"> (příznaky viz bod 4.8). Další sledování hladiny vápníku má být zváženo v průběhu léčby u pacientů s rizikovými faktory pro hypokalcemii nebo pokud je indikováno na základě klinického stavu pacienta.</w:t>
      </w:r>
    </w:p>
    <w:p w14:paraId="05C686FB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2C35118B" w14:textId="274D0FAB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 xml:space="preserve">Pacientům je třeba doporučit, aby hlásili příznaky hypokalcemie. Pokud dojde při léčbě </w:t>
      </w:r>
      <w:r w:rsidR="007668B6" w:rsidRPr="00EA1154">
        <w:rPr>
          <w:rFonts w:ascii="Times New Roman" w:hAnsi="Times New Roman" w:cs="Times New Roman"/>
          <w:color w:val="auto"/>
          <w:sz w:val="22"/>
          <w:szCs w:val="22"/>
        </w:rPr>
        <w:t>denosumabem</w:t>
      </w:r>
      <w:r>
        <w:rPr>
          <w:rFonts w:ascii="Times New Roman" w:hAnsi="Times New Roman"/>
          <w:color w:val="auto"/>
          <w:sz w:val="22"/>
        </w:rPr>
        <w:t xml:space="preserve"> k hypokalcemii, může být nezbytná další suplementace vápníkem a další monitorování.</w:t>
      </w:r>
    </w:p>
    <w:p w14:paraId="0AEECA7B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05DA8104" w14:textId="553628A8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 xml:space="preserve">Po uvedení přípravku na trh byla hlášena </w:t>
      </w:r>
      <w:r w:rsidR="00CC0A98">
        <w:rPr>
          <w:rFonts w:ascii="Times New Roman" w:hAnsi="Times New Roman"/>
          <w:color w:val="auto"/>
          <w:sz w:val="22"/>
        </w:rPr>
        <w:t xml:space="preserve">těžká </w:t>
      </w:r>
      <w:r>
        <w:rPr>
          <w:rFonts w:ascii="Times New Roman" w:hAnsi="Times New Roman"/>
          <w:color w:val="auto"/>
          <w:sz w:val="22"/>
        </w:rPr>
        <w:t>symptomatická hypokalcemie (včetně fatálních případů) (viz bod 4.8), většina případů se vyskytla během prvních týdnů po zahájení léčby, může se však vyskytnout i později.</w:t>
      </w:r>
    </w:p>
    <w:p w14:paraId="2A943000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</w:p>
    <w:p w14:paraId="120236A9" w14:textId="77777777" w:rsidR="000A22A9" w:rsidRDefault="003A276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>Porucha funkce ledvin</w:t>
      </w:r>
    </w:p>
    <w:p w14:paraId="79F7AFE2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  <w:u w:val="single"/>
        </w:rPr>
      </w:pPr>
    </w:p>
    <w:p w14:paraId="2E235DAD" w14:textId="59098602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bCs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 xml:space="preserve">Pacienti s </w:t>
      </w:r>
      <w:r w:rsidR="007C1C69">
        <w:rPr>
          <w:rFonts w:ascii="Times New Roman" w:hAnsi="Times New Roman"/>
          <w:color w:val="auto"/>
          <w:sz w:val="22"/>
        </w:rPr>
        <w:t>těžkou</w:t>
      </w:r>
      <w:r>
        <w:rPr>
          <w:rFonts w:ascii="Times New Roman" w:hAnsi="Times New Roman"/>
          <w:color w:val="auto"/>
          <w:sz w:val="22"/>
        </w:rPr>
        <w:t xml:space="preserve"> poruchou funkce ledvin (clearance kreatininu &lt; 30 ml/min) nebo dialyzovaní pacienti jsou vystaveni vyššímu riziku vzniku hypokalcemie. Riziko vzniku hypokalcemie a průvodního vzestupu hladin paratyroidního hormonu se zvyšuje se zvyšujícím se stupněm poruchy funkce ledvin. U těchto pacientů je obzvlášť důležité pravidelné sledování hladiny vápníku.</w:t>
      </w:r>
    </w:p>
    <w:p w14:paraId="1DCD70F8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bCs w:val="0"/>
          <w:color w:val="auto"/>
          <w:sz w:val="22"/>
          <w:szCs w:val="22"/>
        </w:rPr>
      </w:pPr>
    </w:p>
    <w:p w14:paraId="6D7399A1" w14:textId="55C15FFB" w:rsidR="000A22A9" w:rsidRDefault="003A2761">
      <w:pPr>
        <w:keepNext/>
        <w:rPr>
          <w:szCs w:val="22"/>
          <w:u w:val="single"/>
        </w:rPr>
      </w:pPr>
      <w:r>
        <w:rPr>
          <w:u w:val="single"/>
        </w:rPr>
        <w:t>Osteonekróza čelisti (</w:t>
      </w:r>
      <w:r w:rsidR="007700EC" w:rsidRPr="00FA56E0">
        <w:rPr>
          <w:i/>
          <w:iCs/>
          <w:noProof/>
          <w:u w:val="single"/>
          <w:lang w:val="en-GB"/>
        </w:rPr>
        <w:t>osteonecrosis of the jaw</w:t>
      </w:r>
      <w:r w:rsidR="007700EC">
        <w:rPr>
          <w:u w:val="single"/>
        </w:rPr>
        <w:t xml:space="preserve">, </w:t>
      </w:r>
      <w:r>
        <w:rPr>
          <w:u w:val="single"/>
        </w:rPr>
        <w:t>ONJ)</w:t>
      </w:r>
    </w:p>
    <w:p w14:paraId="06D9B6E5" w14:textId="77777777" w:rsidR="000A22A9" w:rsidRDefault="000A22A9">
      <w:pPr>
        <w:keepNext/>
        <w:rPr>
          <w:szCs w:val="22"/>
          <w:u w:val="single"/>
        </w:rPr>
      </w:pPr>
    </w:p>
    <w:p w14:paraId="694A16FA" w14:textId="525ECE3D" w:rsidR="000A22A9" w:rsidRDefault="003A2761">
      <w:r>
        <w:t xml:space="preserve">ONJ byla hlášena často u pacientů dostávajících </w:t>
      </w:r>
      <w:r w:rsidR="007668B6">
        <w:t>d</w:t>
      </w:r>
      <w:r w:rsidR="007668B6" w:rsidRPr="00CE3A71">
        <w:t>enosumab</w:t>
      </w:r>
      <w:r>
        <w:t xml:space="preserve"> (viz bod 4.8).</w:t>
      </w:r>
    </w:p>
    <w:p w14:paraId="5A605FF7" w14:textId="77777777" w:rsidR="000A22A9" w:rsidRDefault="000A22A9">
      <w:pPr>
        <w:pStyle w:val="Default"/>
        <w:rPr>
          <w:color w:val="auto"/>
          <w:sz w:val="22"/>
          <w:szCs w:val="22"/>
        </w:rPr>
      </w:pPr>
    </w:p>
    <w:p w14:paraId="3E4E7D31" w14:textId="4F9BF1D3" w:rsidR="000A22A9" w:rsidRDefault="003A276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</w:rPr>
        <w:t>Zahájení léčby/nové léčebné kúry musí být odloženo u pacientů s nezhojenými lézemi měkk</w:t>
      </w:r>
      <w:r w:rsidR="00F56E31">
        <w:rPr>
          <w:color w:val="auto"/>
          <w:sz w:val="22"/>
        </w:rPr>
        <w:t>ých</w:t>
      </w:r>
      <w:r>
        <w:rPr>
          <w:color w:val="auto"/>
          <w:sz w:val="22"/>
        </w:rPr>
        <w:t xml:space="preserve"> tkán</w:t>
      </w:r>
      <w:r w:rsidR="00F56E31">
        <w:rPr>
          <w:color w:val="auto"/>
          <w:sz w:val="22"/>
        </w:rPr>
        <w:t>í</w:t>
      </w:r>
      <w:r>
        <w:rPr>
          <w:color w:val="auto"/>
          <w:sz w:val="22"/>
        </w:rPr>
        <w:t xml:space="preserve"> v ústech. Před léčbou denosumabem se pacientům doporučuje podstoupit </w:t>
      </w:r>
      <w:r w:rsidRPr="00CC0A98">
        <w:rPr>
          <w:color w:val="auto"/>
          <w:sz w:val="22"/>
        </w:rPr>
        <w:t>preventivní zubní prohlídku</w:t>
      </w:r>
      <w:r>
        <w:rPr>
          <w:color w:val="auto"/>
          <w:sz w:val="22"/>
        </w:rPr>
        <w:t xml:space="preserve"> s individuálním posouzením přínosu a rizika léčby.</w:t>
      </w:r>
    </w:p>
    <w:p w14:paraId="6425A14E" w14:textId="77777777" w:rsidR="000A22A9" w:rsidRDefault="000A22A9">
      <w:pPr>
        <w:pStyle w:val="Default"/>
        <w:rPr>
          <w:color w:val="auto"/>
          <w:sz w:val="22"/>
          <w:szCs w:val="22"/>
        </w:rPr>
      </w:pPr>
    </w:p>
    <w:p w14:paraId="12AA2BBE" w14:textId="77777777" w:rsidR="000A22A9" w:rsidRDefault="003A2761">
      <w:pPr>
        <w:pStyle w:val="Default"/>
        <w:keepNext/>
        <w:rPr>
          <w:color w:val="auto"/>
          <w:sz w:val="22"/>
          <w:szCs w:val="22"/>
        </w:rPr>
      </w:pPr>
      <w:r>
        <w:rPr>
          <w:color w:val="auto"/>
          <w:sz w:val="22"/>
        </w:rPr>
        <w:t>Při posouzení rizika vzniku ONJ u pacienta je třeba zvážit následující rizikové faktory:</w:t>
      </w:r>
    </w:p>
    <w:p w14:paraId="255CDBE9" w14:textId="77777777" w:rsidR="000A22A9" w:rsidRDefault="003A2761" w:rsidP="002F6ACF">
      <w:pPr>
        <w:pStyle w:val="Default"/>
        <w:numPr>
          <w:ilvl w:val="0"/>
          <w:numId w:val="21"/>
        </w:numPr>
        <w:ind w:left="567" w:hanging="567"/>
        <w:rPr>
          <w:color w:val="auto"/>
          <w:sz w:val="22"/>
          <w:szCs w:val="22"/>
        </w:rPr>
      </w:pPr>
      <w:r w:rsidRPr="00CC0A98">
        <w:rPr>
          <w:color w:val="auto"/>
          <w:sz w:val="22"/>
        </w:rPr>
        <w:t>účinnost léčivého přípravku, s jakou inhibuje kostní resopci (vyšší riziko u vysoce účinných látek),</w:t>
      </w:r>
      <w:r>
        <w:rPr>
          <w:color w:val="auto"/>
          <w:sz w:val="22"/>
        </w:rPr>
        <w:t xml:space="preserve"> cesta podání (vyšší riziko u parenterálního podávání) a kumulativní dávka léčby kostní resorpce.</w:t>
      </w:r>
    </w:p>
    <w:p w14:paraId="766D42D9" w14:textId="4758561F" w:rsidR="000A22A9" w:rsidRDefault="003A2761">
      <w:pPr>
        <w:pStyle w:val="Default"/>
        <w:numPr>
          <w:ilvl w:val="0"/>
          <w:numId w:val="21"/>
        </w:numPr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</w:rPr>
        <w:t>nádorové onemocnění, přidružená onemocnění (např. an</w:t>
      </w:r>
      <w:r w:rsidR="008624F6">
        <w:rPr>
          <w:color w:val="auto"/>
          <w:sz w:val="22"/>
        </w:rPr>
        <w:t>e</w:t>
      </w:r>
      <w:r>
        <w:rPr>
          <w:color w:val="auto"/>
          <w:sz w:val="22"/>
        </w:rPr>
        <w:t>mie, koagulopatie, infekce), kouření.</w:t>
      </w:r>
    </w:p>
    <w:p w14:paraId="58AA6A6E" w14:textId="77777777" w:rsidR="000A22A9" w:rsidRDefault="003A2761">
      <w:pPr>
        <w:pStyle w:val="Default"/>
        <w:keepNext/>
        <w:numPr>
          <w:ilvl w:val="0"/>
          <w:numId w:val="21"/>
        </w:numPr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</w:rPr>
        <w:t>konkomitantní léčba: kortikoidy, chemoterapie, inhibitory angiogeneze, radioterapie hlavy a krku.</w:t>
      </w:r>
    </w:p>
    <w:p w14:paraId="1CC1D182" w14:textId="091D9A4A" w:rsidR="000A22A9" w:rsidRDefault="003A2761">
      <w:pPr>
        <w:pStyle w:val="Default"/>
        <w:numPr>
          <w:ilvl w:val="0"/>
          <w:numId w:val="21"/>
        </w:numPr>
        <w:ind w:left="567" w:hanging="567"/>
        <w:rPr>
          <w:color w:val="auto"/>
          <w:sz w:val="22"/>
          <w:szCs w:val="22"/>
        </w:rPr>
      </w:pPr>
      <w:r w:rsidRPr="00CC0A98">
        <w:rPr>
          <w:color w:val="auto"/>
          <w:sz w:val="22"/>
        </w:rPr>
        <w:t>špatná hygiena dutiny ústní, p</w:t>
      </w:r>
      <w:r w:rsidR="00F56E31">
        <w:rPr>
          <w:color w:val="auto"/>
          <w:sz w:val="22"/>
        </w:rPr>
        <w:t>arodontální</w:t>
      </w:r>
      <w:r w:rsidRPr="00CC0A98">
        <w:rPr>
          <w:color w:val="auto"/>
          <w:sz w:val="22"/>
        </w:rPr>
        <w:t xml:space="preserve"> onemocnění, špatně </w:t>
      </w:r>
      <w:r w:rsidR="00CC0A98" w:rsidRPr="00CC0A98">
        <w:rPr>
          <w:color w:val="auto"/>
          <w:sz w:val="22"/>
        </w:rPr>
        <w:t xml:space="preserve">padnoucí </w:t>
      </w:r>
      <w:r w:rsidRPr="00CC0A98">
        <w:rPr>
          <w:color w:val="auto"/>
          <w:sz w:val="22"/>
        </w:rPr>
        <w:t>zubní protéza, dentální onemocnění v anamnéze, invazivní zákroky</w:t>
      </w:r>
      <w:r>
        <w:rPr>
          <w:color w:val="auto"/>
          <w:sz w:val="22"/>
        </w:rPr>
        <w:t xml:space="preserve"> v dutině ústní (např. extrakce zubů).</w:t>
      </w:r>
    </w:p>
    <w:p w14:paraId="528F3002" w14:textId="77777777" w:rsidR="000A22A9" w:rsidRDefault="000A22A9">
      <w:pPr>
        <w:pStyle w:val="Default"/>
        <w:rPr>
          <w:color w:val="auto"/>
          <w:sz w:val="22"/>
        </w:rPr>
      </w:pPr>
    </w:p>
    <w:p w14:paraId="5A319704" w14:textId="1A1AE011" w:rsidR="000A22A9" w:rsidRDefault="003A2761" w:rsidP="002F6ACF">
      <w:pPr>
        <w:autoSpaceDE w:val="0"/>
        <w:autoSpaceDN w:val="0"/>
        <w:adjustRightInd w:val="0"/>
        <w:rPr>
          <w:szCs w:val="22"/>
        </w:rPr>
      </w:pPr>
      <w:r>
        <w:t xml:space="preserve">Všem pacientům je třeba doporučit, aby dbali na správnou hygienu dutiny ústní, pravidelně chodili na zubní prohlídky a během léčby denosumabem ihned hlásili výskyt jakýchkoli </w:t>
      </w:r>
      <w:r w:rsidRPr="00CC0A98">
        <w:t>orálních příznaků jako</w:t>
      </w:r>
      <w:r>
        <w:t xml:space="preserve"> je </w:t>
      </w:r>
      <w:r w:rsidRPr="00CC0A98">
        <w:t>kývání zubů</w:t>
      </w:r>
      <w:r>
        <w:t xml:space="preserve">, bolest nebo otoky nebo nehojící se vředy či sekrece. Invazivní zákroky v dutině ústní </w:t>
      </w:r>
      <w:r>
        <w:lastRenderedPageBreak/>
        <w:t xml:space="preserve">mají být během léčby prováděny pouze po pečlivém posouzení a nemají se provádět v době blízké podání </w:t>
      </w:r>
      <w:r w:rsidR="007668B6">
        <w:t>d</w:t>
      </w:r>
      <w:r w:rsidR="007668B6" w:rsidRPr="00CE3A71">
        <w:t>enosumab</w:t>
      </w:r>
      <w:r w:rsidR="007668B6">
        <w:t>u</w:t>
      </w:r>
      <w:r>
        <w:t>.</w:t>
      </w:r>
    </w:p>
    <w:p w14:paraId="3B7B4993" w14:textId="77777777" w:rsidR="000A22A9" w:rsidRDefault="000A22A9">
      <w:pPr>
        <w:autoSpaceDE w:val="0"/>
        <w:autoSpaceDN w:val="0"/>
        <w:adjustRightInd w:val="0"/>
      </w:pPr>
    </w:p>
    <w:p w14:paraId="03C24D12" w14:textId="1412A0DA" w:rsidR="000A22A9" w:rsidRDefault="003A2761">
      <w:r>
        <w:t xml:space="preserve">Má se vytvořit plán léčby pacientů, u kterých se vyvine ONJ, za úzké spolupráce ošetřujícího lékaře a stomatologa nebo stomatochirurga se zkušenostmi s ONJ. Pokud je to možné, je třeba zvážit dočasné přerušení léčby </w:t>
      </w:r>
      <w:r w:rsidR="007668B6">
        <w:t>d</w:t>
      </w:r>
      <w:r w:rsidR="007668B6" w:rsidRPr="00CE3A71">
        <w:t>enosumab</w:t>
      </w:r>
      <w:r w:rsidR="007668B6">
        <w:t>em</w:t>
      </w:r>
      <w:r>
        <w:t xml:space="preserve"> až do ústupu onemocnění a </w:t>
      </w:r>
      <w:r w:rsidRPr="000643EB">
        <w:t>zmírnění přispívajících rizikových faktorů</w:t>
      </w:r>
      <w:r>
        <w:t>.</w:t>
      </w:r>
    </w:p>
    <w:p w14:paraId="501355A6" w14:textId="77777777" w:rsidR="000A22A9" w:rsidRDefault="000A22A9">
      <w:pPr>
        <w:rPr>
          <w:szCs w:val="22"/>
        </w:rPr>
      </w:pPr>
    </w:p>
    <w:p w14:paraId="10C99E4B" w14:textId="77777777" w:rsidR="000A22A9" w:rsidRDefault="003A2761">
      <w:pPr>
        <w:keepNext/>
        <w:rPr>
          <w:u w:val="single"/>
        </w:rPr>
      </w:pPr>
      <w:r>
        <w:rPr>
          <w:u w:val="single"/>
        </w:rPr>
        <w:t>Osteonekróza zevního zvukovodu</w:t>
      </w:r>
    </w:p>
    <w:p w14:paraId="21CA66AF" w14:textId="77777777" w:rsidR="000A22A9" w:rsidRDefault="000A22A9">
      <w:pPr>
        <w:keepNext/>
        <w:rPr>
          <w:u w:val="single"/>
        </w:rPr>
      </w:pPr>
    </w:p>
    <w:p w14:paraId="6CD20D54" w14:textId="77777777" w:rsidR="000A22A9" w:rsidRDefault="003A2761" w:rsidP="002F6ACF">
      <w:r>
        <w:t>V souvislosti s léčbou denosumabem byla hlášena osteonekróza zevního zvukovodu. Mezi možné rizikové faktory osteonekrózy zevního zvukovodu patří používání steroidů a chemoterapie a/nebo lokální rizikové faktory, jako například infekce nebo trauma. Možnost vzniku osteonekrózy zevního zvukovodu je třeba zvážit u pacientů léčených denosumabem, kteří mají ušní symptomy včetně chronických infekcí ucha.</w:t>
      </w:r>
    </w:p>
    <w:p w14:paraId="515653D7" w14:textId="77777777" w:rsidR="000A22A9" w:rsidRDefault="000A22A9">
      <w:pPr>
        <w:rPr>
          <w:szCs w:val="22"/>
        </w:rPr>
      </w:pPr>
    </w:p>
    <w:p w14:paraId="77DB308D" w14:textId="77777777" w:rsidR="000A22A9" w:rsidRDefault="003A2761">
      <w:pPr>
        <w:pStyle w:val="Default"/>
        <w:keepNext/>
        <w:rPr>
          <w:iCs/>
          <w:color w:val="auto"/>
          <w:sz w:val="22"/>
          <w:szCs w:val="22"/>
          <w:u w:val="single"/>
        </w:rPr>
      </w:pPr>
      <w:r>
        <w:rPr>
          <w:color w:val="auto"/>
          <w:sz w:val="22"/>
          <w:u w:val="single"/>
        </w:rPr>
        <w:t>Atypické zlomeniny femuru</w:t>
      </w:r>
    </w:p>
    <w:p w14:paraId="2EE27C12" w14:textId="77777777" w:rsidR="000A22A9" w:rsidRDefault="000A22A9">
      <w:pPr>
        <w:pStyle w:val="Default"/>
        <w:keepNext/>
        <w:rPr>
          <w:color w:val="auto"/>
          <w:sz w:val="22"/>
          <w:szCs w:val="22"/>
          <w:u w:val="single"/>
        </w:rPr>
      </w:pPr>
    </w:p>
    <w:p w14:paraId="41BE9947" w14:textId="29B19946" w:rsidR="000A22A9" w:rsidRDefault="003A2761">
      <w:pPr>
        <w:rPr>
          <w:szCs w:val="22"/>
        </w:rPr>
      </w:pPr>
      <w:r>
        <w:t>U pacientů léčených denosumabem byly zaznamenány atypické zlomeniny femuru (viz bod 4.8). Atypické zlomeniny femuru spojené s malým traumatem nebo bez traumatu se mohou vyskytnout v subtrochanterické a diafyzální oblasti femuru a jsou charakteristické specifickými radiografickými nálezy. Atypické zlomeniny femuru byly zaznamenány také u pacientů s některými komorbiditami (např. nedostatek vitaminu D, revmatoidní artritida</w:t>
      </w:r>
      <w:r w:rsidRPr="000643EB">
        <w:t>, hypofosfatázie) a</w:t>
      </w:r>
      <w:r>
        <w:t xml:space="preserve"> spojeny s užíváním některých léků (např. bisfosfonáty, glukokortikoidy, inhibitory protonové pumpy). K těmto příhodám došlo i bez antiresorpční léčby. Podobné zlomeniny zaznamenané v souvislosti s léčbou bisfosfonáty jsou často bilaterální; proto je třeba u pacientů se zlomeninou diafýzy femuru léčených denosumabem vyšetřit kontralaterální femur. Vysazení léčby </w:t>
      </w:r>
      <w:r w:rsidR="007668B6">
        <w:t>d</w:t>
      </w:r>
      <w:r w:rsidR="007668B6" w:rsidRPr="00CE3A71">
        <w:t>enosumab</w:t>
      </w:r>
      <w:r w:rsidR="007668B6">
        <w:t>em</w:t>
      </w:r>
      <w:r>
        <w:t xml:space="preserve"> má být u pacientů s podezřením na atypickou zlomeninu femuru zváženo při současném posouzení stavu pacienta na základě individuálního hodnocení přínosu a rizika léčby. Během léčby denosumabem se pacientům doporučuje, aby hlásili nové nebo neobvyklé bolesti v oblasti stehna, kyčle nebo třísel. Pacienti s těmito příznaky mají být vyšetřeni s ohledem na možnost neúplné zlomeniny femuru.</w:t>
      </w:r>
    </w:p>
    <w:p w14:paraId="480B115C" w14:textId="77777777" w:rsidR="000A22A9" w:rsidRDefault="000A22A9">
      <w:pPr>
        <w:rPr>
          <w:szCs w:val="22"/>
        </w:rPr>
      </w:pPr>
    </w:p>
    <w:p w14:paraId="6BA5C4B8" w14:textId="77777777" w:rsidR="000A22A9" w:rsidRDefault="003A2761">
      <w:pPr>
        <w:keepNext/>
        <w:rPr>
          <w:szCs w:val="22"/>
          <w:u w:val="single"/>
        </w:rPr>
      </w:pPr>
      <w:r>
        <w:rPr>
          <w:u w:val="single"/>
        </w:rPr>
        <w:t>Hyperkalcemie po přerušení léčby u pacientů s velkobuněčným kostním nádorem a u pacientů s rostoucím skeletem</w:t>
      </w:r>
    </w:p>
    <w:p w14:paraId="5178BFED" w14:textId="77777777" w:rsidR="000A22A9" w:rsidRDefault="000A22A9">
      <w:pPr>
        <w:keepNext/>
        <w:rPr>
          <w:szCs w:val="22"/>
          <w:u w:val="single"/>
        </w:rPr>
      </w:pPr>
    </w:p>
    <w:p w14:paraId="2067D552" w14:textId="1D51D03F" w:rsidR="000A22A9" w:rsidRDefault="003A2761">
      <w:pPr>
        <w:rPr>
          <w:szCs w:val="22"/>
        </w:rPr>
      </w:pPr>
      <w:r>
        <w:t xml:space="preserve">Klinicky významná hyperkalcemie vyžadující hospitalizaci a komplikovaná akutním poškozením ledvin byla hlášena u pacientů s velkobuněčným kostním nádorem léčených </w:t>
      </w:r>
      <w:r w:rsidR="007668B6">
        <w:t>d</w:t>
      </w:r>
      <w:r w:rsidR="007668B6" w:rsidRPr="00CE3A71">
        <w:t>enosumab</w:t>
      </w:r>
      <w:r w:rsidR="007668B6">
        <w:t>em</w:t>
      </w:r>
      <w:r>
        <w:t xml:space="preserve"> za několik týdnů až měsíců po přerušení léčby.</w:t>
      </w:r>
    </w:p>
    <w:p w14:paraId="4A6F65AF" w14:textId="77777777" w:rsidR="000A22A9" w:rsidRDefault="000A22A9">
      <w:pPr>
        <w:rPr>
          <w:szCs w:val="22"/>
        </w:rPr>
      </w:pPr>
    </w:p>
    <w:p w14:paraId="2E9CBB93" w14:textId="77777777" w:rsidR="000A22A9" w:rsidRDefault="003A2761">
      <w:pPr>
        <w:rPr>
          <w:szCs w:val="22"/>
        </w:rPr>
      </w:pPr>
      <w:r>
        <w:t xml:space="preserve">Po přerušení léčby je třeba u pacientů sledovat známky a příznaky hyperkalcemie, zvážit pravidelné </w:t>
      </w:r>
      <w:r w:rsidRPr="000643EB">
        <w:t>stanovení vápníku</w:t>
      </w:r>
      <w:r>
        <w:t xml:space="preserve"> v séru a přehodnotit požadavky pacienta na suplementaci vápníku a vitaminu D (viz bod 4.8).</w:t>
      </w:r>
    </w:p>
    <w:p w14:paraId="4DD4B771" w14:textId="77777777" w:rsidR="000A22A9" w:rsidRDefault="000A22A9">
      <w:pPr>
        <w:rPr>
          <w:szCs w:val="22"/>
        </w:rPr>
      </w:pPr>
    </w:p>
    <w:p w14:paraId="748E3700" w14:textId="66AED51B" w:rsidR="000A22A9" w:rsidRDefault="007668B6">
      <w:pPr>
        <w:rPr>
          <w:szCs w:val="22"/>
        </w:rPr>
      </w:pPr>
      <w:r>
        <w:t>D</w:t>
      </w:r>
      <w:r w:rsidRPr="00CE3A71">
        <w:t>enosumab</w:t>
      </w:r>
      <w:r w:rsidR="003A2761">
        <w:t xml:space="preserve"> není doporučen pro pacienty s rostoucím skeletem (viz bod 4.2). V této skupině pacientů byla také hlášena klinicky významná hyperkalcemie týdny až měsíce po ukončení léčby.</w:t>
      </w:r>
    </w:p>
    <w:p w14:paraId="0EE0E9BF" w14:textId="77777777" w:rsidR="000A22A9" w:rsidRDefault="000A22A9">
      <w:pPr>
        <w:rPr>
          <w:szCs w:val="22"/>
        </w:rPr>
      </w:pPr>
    </w:p>
    <w:p w14:paraId="657409D8" w14:textId="77777777" w:rsidR="000A22A9" w:rsidRDefault="003A2761">
      <w:pPr>
        <w:keepNext/>
        <w:rPr>
          <w:szCs w:val="22"/>
          <w:u w:val="single"/>
        </w:rPr>
      </w:pPr>
      <w:r>
        <w:rPr>
          <w:u w:val="single"/>
        </w:rPr>
        <w:t>Jiné</w:t>
      </w:r>
    </w:p>
    <w:p w14:paraId="2FAA8BEC" w14:textId="77777777" w:rsidR="000A22A9" w:rsidRDefault="000A22A9">
      <w:pPr>
        <w:keepNext/>
        <w:rPr>
          <w:szCs w:val="22"/>
          <w:u w:val="single"/>
        </w:rPr>
      </w:pPr>
    </w:p>
    <w:p w14:paraId="3CC69827" w14:textId="5C324CF1" w:rsidR="000A22A9" w:rsidRDefault="003A2761">
      <w:pPr>
        <w:rPr>
          <w:szCs w:val="22"/>
        </w:rPr>
      </w:pPr>
      <w:r>
        <w:t xml:space="preserve">Pacienti léčení </w:t>
      </w:r>
      <w:r w:rsidR="007668B6">
        <w:t>d</w:t>
      </w:r>
      <w:r w:rsidR="007668B6" w:rsidRPr="00CE3A71">
        <w:t>enosumab</w:t>
      </w:r>
      <w:r w:rsidR="007668B6">
        <w:t>em</w:t>
      </w:r>
      <w:r>
        <w:t xml:space="preserve"> nemají být současně léčeni jinými léčivými přípravky obsahujícími denosumab (k léčbě osteoporózy).</w:t>
      </w:r>
    </w:p>
    <w:p w14:paraId="29C7EB95" w14:textId="77777777" w:rsidR="000A22A9" w:rsidRDefault="000A22A9">
      <w:pPr>
        <w:rPr>
          <w:szCs w:val="22"/>
        </w:rPr>
      </w:pPr>
    </w:p>
    <w:p w14:paraId="75A57DAE" w14:textId="10BE951E" w:rsidR="000A22A9" w:rsidRDefault="003A2761">
      <w:pPr>
        <w:rPr>
          <w:szCs w:val="22"/>
        </w:rPr>
      </w:pPr>
      <w:r>
        <w:t xml:space="preserve">Pacienti léčení </w:t>
      </w:r>
      <w:r w:rsidR="007668B6">
        <w:t>d</w:t>
      </w:r>
      <w:r w:rsidR="007668B6" w:rsidRPr="00CE3A71">
        <w:t>enosumab</w:t>
      </w:r>
      <w:r w:rsidR="007668B6">
        <w:t>em</w:t>
      </w:r>
      <w:r>
        <w:t xml:space="preserve"> nemají být současně léčeni bisfosfonáty.</w:t>
      </w:r>
    </w:p>
    <w:p w14:paraId="68D37225" w14:textId="77777777" w:rsidR="000A22A9" w:rsidRDefault="000A22A9">
      <w:pPr>
        <w:rPr>
          <w:szCs w:val="22"/>
        </w:rPr>
      </w:pPr>
    </w:p>
    <w:p w14:paraId="12CEF20D" w14:textId="4FB4BB29" w:rsidR="000A22A9" w:rsidRDefault="003A2761">
      <w:r w:rsidRPr="00F33CFC">
        <w:t>Malignita v případě velkobuněčného kostního nádoru</w:t>
      </w:r>
      <w:r>
        <w:t xml:space="preserve"> nebo progrese do metastatického onemocnění jsou vzácné a jsou známým rizikem u pacientů s velkobuněčným kostním nádorem. U pacientů mají být sledovány </w:t>
      </w:r>
      <w:r w:rsidRPr="00F33CFC">
        <w:t xml:space="preserve">radiologické </w:t>
      </w:r>
      <w:r w:rsidR="00EF43AA" w:rsidRPr="00F33CFC">
        <w:t xml:space="preserve">známky </w:t>
      </w:r>
      <w:r w:rsidRPr="00F33CFC">
        <w:t>malignity</w:t>
      </w:r>
      <w:r>
        <w:t xml:space="preserve">, nová </w:t>
      </w:r>
      <w:r w:rsidRPr="00F33CFC">
        <w:t>radiolucence nebo osteolýza</w:t>
      </w:r>
      <w:r>
        <w:t xml:space="preserve">. Dostupné klinické údaje nenaznačují zvýšené riziko malignity u pacientů s velkobuněčným kostním nádorem léčených </w:t>
      </w:r>
      <w:r w:rsidR="0046663F">
        <w:t>d</w:t>
      </w:r>
      <w:r w:rsidR="0046663F" w:rsidRPr="00CE3A71">
        <w:t>enosumab</w:t>
      </w:r>
      <w:r w:rsidR="0046663F">
        <w:t>em</w:t>
      </w:r>
      <w:r>
        <w:t>.</w:t>
      </w:r>
    </w:p>
    <w:p w14:paraId="282892D3" w14:textId="77777777" w:rsidR="000A22A9" w:rsidRDefault="000A22A9">
      <w:pPr>
        <w:rPr>
          <w:szCs w:val="22"/>
        </w:rPr>
      </w:pPr>
    </w:p>
    <w:p w14:paraId="379561AC" w14:textId="77777777" w:rsidR="000A22A9" w:rsidRDefault="003A2761">
      <w:pPr>
        <w:keepNext/>
        <w:autoSpaceDE w:val="0"/>
        <w:autoSpaceDN w:val="0"/>
        <w:adjustRightInd w:val="0"/>
        <w:rPr>
          <w:rFonts w:eastAsia="MS Mincho"/>
          <w:szCs w:val="22"/>
          <w:u w:val="single"/>
        </w:rPr>
      </w:pPr>
      <w:r w:rsidRPr="004B64FC">
        <w:rPr>
          <w:u w:val="single"/>
        </w:rPr>
        <w:t>Upozornění na pomocné látky</w:t>
      </w:r>
    </w:p>
    <w:p w14:paraId="78D0E616" w14:textId="77777777" w:rsidR="000A22A9" w:rsidRDefault="000A22A9">
      <w:pPr>
        <w:keepNext/>
        <w:autoSpaceDE w:val="0"/>
        <w:autoSpaceDN w:val="0"/>
        <w:adjustRightInd w:val="0"/>
        <w:rPr>
          <w:rFonts w:eastAsia="MS Mincho"/>
          <w:szCs w:val="22"/>
          <w:u w:val="single"/>
          <w:lang w:eastAsia="ja-JP"/>
        </w:rPr>
      </w:pPr>
    </w:p>
    <w:p w14:paraId="0117DBB2" w14:textId="03FEC51C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t xml:space="preserve">Tento </w:t>
      </w:r>
      <w:r w:rsidR="004B64FC">
        <w:t xml:space="preserve">léčivý </w:t>
      </w:r>
      <w:r>
        <w:t xml:space="preserve">přípravek obsahuje </w:t>
      </w:r>
      <w:r w:rsidR="007668B6">
        <w:t xml:space="preserve">79,9 mg </w:t>
      </w:r>
      <w:r>
        <w:t>sorbitol</w:t>
      </w:r>
      <w:r w:rsidR="007668B6">
        <w:t>u v jedné injekční lahvičce, což odpovídá 47 mg/ml</w:t>
      </w:r>
      <w:r>
        <w:t>. Je nutno vzít v úvahu aditivní účinek současně podávaných přípravků s obsahem sorbitolu (nebo fruktózy) a příjem sorbitolu (nebo fruktózy) potravou.</w:t>
      </w:r>
    </w:p>
    <w:p w14:paraId="3076EDD1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5D8E4806" w14:textId="6405EE91" w:rsidR="000A22A9" w:rsidRDefault="003A2761">
      <w:pPr>
        <w:autoSpaceDE w:val="0"/>
        <w:autoSpaceDN w:val="0"/>
        <w:adjustRightInd w:val="0"/>
        <w:rPr>
          <w:szCs w:val="22"/>
        </w:rPr>
      </w:pPr>
      <w:r>
        <w:t>Tento léčivý přípravek obsahuje méně než 1 mmol (23 mg) sodíku v jedné dávce (120 mg), to znamená, že je v podstatě „bez sodíku“.</w:t>
      </w:r>
    </w:p>
    <w:p w14:paraId="366DEF40" w14:textId="076E7CF1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082DFF31" w14:textId="333140FA" w:rsidR="001155FD" w:rsidRPr="007B050F" w:rsidRDefault="001155FD" w:rsidP="007B050F">
      <w:r>
        <w:t xml:space="preserve">Tento </w:t>
      </w:r>
      <w:r w:rsidR="004B64FC">
        <w:t xml:space="preserve">léčivý </w:t>
      </w:r>
      <w:r>
        <w:t>přípravek obsahuje 0,17 mg polysorbátu 20 v jedné injekční lahvičce, což odpovídá 0,1 mg/ml. Polysorbáty mohou způsobit alergick</w:t>
      </w:r>
      <w:r w:rsidRPr="004B64FC">
        <w:t>é reakce.</w:t>
      </w:r>
    </w:p>
    <w:p w14:paraId="34BBCB45" w14:textId="77777777" w:rsidR="000A22A9" w:rsidRPr="00DE20EF" w:rsidRDefault="000A22A9">
      <w:pPr>
        <w:autoSpaceDE w:val="0"/>
        <w:autoSpaceDN w:val="0"/>
        <w:adjustRightInd w:val="0"/>
        <w:rPr>
          <w:szCs w:val="22"/>
        </w:rPr>
      </w:pPr>
    </w:p>
    <w:p w14:paraId="32803CF9" w14:textId="4420115C" w:rsidR="000A22A9" w:rsidRPr="00A7419B" w:rsidRDefault="003A2761" w:rsidP="00A7419B">
      <w:pPr>
        <w:pStyle w:val="Stylebold"/>
        <w:keepNext/>
        <w:ind w:left="567" w:hanging="567"/>
      </w:pPr>
      <w:r>
        <w:t>4.5</w:t>
      </w:r>
      <w:r>
        <w:tab/>
        <w:t>Interakce s jinými léčivými přípravky a jiné formy interakce</w:t>
      </w:r>
    </w:p>
    <w:p w14:paraId="7CAFE44F" w14:textId="77777777" w:rsidR="000A22A9" w:rsidRDefault="000A22A9">
      <w:pPr>
        <w:keepNext/>
      </w:pPr>
    </w:p>
    <w:p w14:paraId="02D6B253" w14:textId="77777777" w:rsidR="000A22A9" w:rsidRDefault="003A2761">
      <w:pPr>
        <w:pStyle w:val="a9"/>
        <w:tabs>
          <w:tab w:val="left" w:pos="567"/>
        </w:tabs>
        <w:rPr>
          <w:i w:val="0"/>
          <w:color w:val="auto"/>
        </w:rPr>
      </w:pPr>
      <w:r>
        <w:rPr>
          <w:i w:val="0"/>
          <w:color w:val="auto"/>
        </w:rPr>
        <w:t>Nebyly provedeny žádné studie interakcí.</w:t>
      </w:r>
    </w:p>
    <w:p w14:paraId="0183C4F1" w14:textId="77777777" w:rsidR="000A22A9" w:rsidRDefault="000A22A9">
      <w:pPr>
        <w:rPr>
          <w:bCs/>
          <w:iCs/>
        </w:rPr>
      </w:pPr>
    </w:p>
    <w:p w14:paraId="41420DD7" w14:textId="4A09BEDB" w:rsidR="000A22A9" w:rsidRDefault="003A2761">
      <w:pPr>
        <w:rPr>
          <w:rFonts w:cs="Arial"/>
          <w:szCs w:val="22"/>
        </w:rPr>
      </w:pPr>
      <w:r>
        <w:t xml:space="preserve">V klinických studiích byl </w:t>
      </w:r>
      <w:r w:rsidR="001155FD" w:rsidRPr="00CE3A71">
        <w:t>denosumab</w:t>
      </w:r>
      <w:r>
        <w:t xml:space="preserve"> podáván v kombinaci se standardní protinádorovou léčbou a pacientům </w:t>
      </w:r>
      <w:r w:rsidR="00EF43AA" w:rsidRPr="004B64FC">
        <w:t>léčeným</w:t>
      </w:r>
      <w:r w:rsidRPr="004B64FC">
        <w:t xml:space="preserve"> dříve</w:t>
      </w:r>
      <w:r>
        <w:t xml:space="preserve"> bisfosfonáty. Při souběžně podávané chemoterapii a/nebo hormonální léčbě nebo po předchozím </w:t>
      </w:r>
      <w:r w:rsidR="00EF43AA">
        <w:t xml:space="preserve">intravenózním </w:t>
      </w:r>
      <w:r>
        <w:t xml:space="preserve">podávání bisfosfonátů nebyly </w:t>
      </w:r>
      <w:r w:rsidRPr="004B64FC">
        <w:t>zjištěny žádné klinicky signifikantní změny sérové koncentrace nebo farmakodynamiky denosumabu (močový N</w:t>
      </w:r>
      <w:r w:rsidRPr="004B64FC">
        <w:noBreakHyphen/>
        <w:t>telopeptid vztažený k hladině kreatininu uNTX/Cr).</w:t>
      </w:r>
    </w:p>
    <w:p w14:paraId="6D57F8F6" w14:textId="77777777" w:rsidR="000A22A9" w:rsidRDefault="000A22A9"/>
    <w:p w14:paraId="62F6EF0D" w14:textId="091F827E" w:rsidR="000A22A9" w:rsidRPr="00A7419B" w:rsidRDefault="003A2761" w:rsidP="00A7419B">
      <w:pPr>
        <w:pStyle w:val="Stylebold"/>
        <w:keepNext/>
        <w:ind w:left="567" w:hanging="567"/>
      </w:pPr>
      <w:r>
        <w:t>4.6</w:t>
      </w:r>
      <w:r>
        <w:tab/>
        <w:t>Fertilita, těhotenství a kojení</w:t>
      </w:r>
    </w:p>
    <w:p w14:paraId="363D9EF7" w14:textId="77777777" w:rsidR="000A22A9" w:rsidRDefault="000A22A9">
      <w:pPr>
        <w:keepNext/>
        <w:rPr>
          <w:b/>
          <w:i/>
        </w:rPr>
      </w:pPr>
    </w:p>
    <w:p w14:paraId="75082A04" w14:textId="77777777" w:rsidR="000A22A9" w:rsidRDefault="003A2761">
      <w:pPr>
        <w:keepNext/>
        <w:rPr>
          <w:u w:val="single"/>
        </w:rPr>
      </w:pPr>
      <w:r>
        <w:rPr>
          <w:u w:val="single"/>
        </w:rPr>
        <w:t>Těhotenství</w:t>
      </w:r>
    </w:p>
    <w:p w14:paraId="5540D5CF" w14:textId="77777777" w:rsidR="000A22A9" w:rsidRDefault="000A22A9">
      <w:pPr>
        <w:keepNext/>
        <w:rPr>
          <w:u w:val="single"/>
        </w:rPr>
      </w:pPr>
    </w:p>
    <w:p w14:paraId="335757DE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O podávání denosumabu těhotným ženám nejsou dostupné žádné údaje nebo jsou dostupné omezené údaje. Ve studiích na zvířatech byla prokázána reprodukční toxicita (viz bod 5.3).</w:t>
      </w:r>
    </w:p>
    <w:p w14:paraId="38D2A82E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048ABFF6" w14:textId="3E8173E4" w:rsidR="000A22A9" w:rsidRDefault="001155FD">
      <w:pPr>
        <w:pStyle w:val="ab"/>
        <w:rPr>
          <w:sz w:val="22"/>
          <w:szCs w:val="22"/>
        </w:rPr>
      </w:pPr>
      <w:r w:rsidRPr="00BF25DF">
        <w:rPr>
          <w:sz w:val="22"/>
          <w:szCs w:val="22"/>
        </w:rPr>
        <w:t>D</w:t>
      </w:r>
      <w:r w:rsidRPr="00B55429">
        <w:rPr>
          <w:sz w:val="22"/>
          <w:szCs w:val="22"/>
        </w:rPr>
        <w:t>enosumab</w:t>
      </w:r>
      <w:r w:rsidR="003A2761">
        <w:rPr>
          <w:sz w:val="22"/>
        </w:rPr>
        <w:t xml:space="preserve"> se nedoporučuje podávat těhotným ženám a ženám ve fertilním věku nepoužívajícím </w:t>
      </w:r>
      <w:r w:rsidR="003A2761" w:rsidRPr="00922843">
        <w:rPr>
          <w:sz w:val="22"/>
        </w:rPr>
        <w:t>antikoncepční prostředky. Ženám</w:t>
      </w:r>
      <w:r w:rsidR="003A2761">
        <w:rPr>
          <w:sz w:val="22"/>
        </w:rPr>
        <w:t xml:space="preserve"> je třeba doporučit, aby během léčby a nejméně 5 měsíců po </w:t>
      </w:r>
      <w:r w:rsidR="003A2761" w:rsidRPr="001155FD">
        <w:rPr>
          <w:sz w:val="22"/>
          <w:szCs w:val="22"/>
        </w:rPr>
        <w:t xml:space="preserve">léčbě </w:t>
      </w:r>
      <w:r w:rsidRPr="00B55429">
        <w:rPr>
          <w:sz w:val="22"/>
          <w:szCs w:val="22"/>
        </w:rPr>
        <w:t>denosumabem</w:t>
      </w:r>
      <w:r w:rsidR="003A2761">
        <w:rPr>
          <w:sz w:val="22"/>
        </w:rPr>
        <w:t xml:space="preserve"> neotěhotněly.</w:t>
      </w:r>
      <w:r w:rsidR="003A2761">
        <w:rPr>
          <w:b/>
        </w:rPr>
        <w:t xml:space="preserve"> </w:t>
      </w:r>
      <w:r w:rsidR="003A2761">
        <w:rPr>
          <w:sz w:val="22"/>
        </w:rPr>
        <w:t xml:space="preserve">Všechny účinky </w:t>
      </w:r>
      <w:r w:rsidRPr="00B55429">
        <w:rPr>
          <w:sz w:val="22"/>
          <w:szCs w:val="22"/>
        </w:rPr>
        <w:t>denosumabu</w:t>
      </w:r>
      <w:r w:rsidR="003A2761">
        <w:rPr>
          <w:sz w:val="22"/>
        </w:rPr>
        <w:t xml:space="preserve"> jsou pravděpodobně silnější v průběhu druhého a třetího trimestru gravidity, protože monoklonální protilátky procházejí přes placentu lineárně s vývojem těhotenství, přičemž největší množství prochází během třetího trimestru.</w:t>
      </w:r>
    </w:p>
    <w:p w14:paraId="59F2EC46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575F2434" w14:textId="77777777" w:rsidR="000A22A9" w:rsidRDefault="003A2761">
      <w:pPr>
        <w:keepNext/>
        <w:rPr>
          <w:szCs w:val="22"/>
          <w:u w:val="single"/>
        </w:rPr>
      </w:pPr>
      <w:r>
        <w:rPr>
          <w:u w:val="single"/>
        </w:rPr>
        <w:t>Kojení</w:t>
      </w:r>
    </w:p>
    <w:p w14:paraId="77FCB282" w14:textId="77777777" w:rsidR="000A22A9" w:rsidRDefault="000A22A9">
      <w:pPr>
        <w:keepNext/>
        <w:rPr>
          <w:szCs w:val="22"/>
          <w:u w:val="single"/>
        </w:rPr>
      </w:pPr>
    </w:p>
    <w:p w14:paraId="34591A57" w14:textId="3E25B7C0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t xml:space="preserve">Není známo, zda se denosumab vylučuje do </w:t>
      </w:r>
      <w:r w:rsidRPr="00922843">
        <w:t>lidského mateřského mléka. Riziko pro novorozence/kojen</w:t>
      </w:r>
      <w:r w:rsidR="002F2BF5" w:rsidRPr="00922843">
        <w:t>é děti</w:t>
      </w:r>
      <w:r w:rsidRPr="00922843">
        <w:t xml:space="preserve"> nelze vyloučit. Studie provedené u kno</w:t>
      </w:r>
      <w:r w:rsidR="00922843" w:rsidRPr="000C0C60">
        <w:t>c</w:t>
      </w:r>
      <w:r w:rsidRPr="00922843">
        <w:t>k</w:t>
      </w:r>
      <w:r w:rsidR="00922843" w:rsidRPr="000C0C60">
        <w:t>o</w:t>
      </w:r>
      <w:r w:rsidRPr="00922843">
        <w:t>utovaných myší naznačují</w:t>
      </w:r>
      <w:r>
        <w:t xml:space="preserve">, že absence RANKL v průběhu těhotenství může zasahovat do procesu zrání mléčné žlázy a vést k poruše laktace po porodu (viz bod 5.3). Je třeba se rozhodnout, zda ustoupit od kojení, nebo zda nepodávat </w:t>
      </w:r>
      <w:r w:rsidR="001155FD" w:rsidRPr="00CE3A71">
        <w:t>denosumab</w:t>
      </w:r>
      <w:r>
        <w:t>, přičemž je nutno brát v úvahu přínos kojení pro novorozence/kojen</w:t>
      </w:r>
      <w:r w:rsidR="002F2BF5">
        <w:t>é dítě</w:t>
      </w:r>
      <w:r>
        <w:t xml:space="preserve"> a přínos léčby pro pacientku.</w:t>
      </w:r>
    </w:p>
    <w:p w14:paraId="595451D9" w14:textId="77777777" w:rsidR="000A22A9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12D4CE4C" w14:textId="77777777" w:rsidR="000A22A9" w:rsidRDefault="003A2761">
      <w:pPr>
        <w:keepNext/>
        <w:autoSpaceDE w:val="0"/>
        <w:autoSpaceDN w:val="0"/>
        <w:adjustRightInd w:val="0"/>
        <w:rPr>
          <w:rFonts w:eastAsia="MS Mincho"/>
          <w:szCs w:val="22"/>
          <w:u w:val="single"/>
        </w:rPr>
      </w:pPr>
      <w:r>
        <w:rPr>
          <w:u w:val="single"/>
        </w:rPr>
        <w:t>Fertilita</w:t>
      </w:r>
    </w:p>
    <w:p w14:paraId="08FAF2A2" w14:textId="77777777" w:rsidR="000A22A9" w:rsidRDefault="000A22A9">
      <w:pPr>
        <w:keepNext/>
        <w:autoSpaceDE w:val="0"/>
        <w:autoSpaceDN w:val="0"/>
        <w:adjustRightInd w:val="0"/>
        <w:rPr>
          <w:rFonts w:eastAsia="MS Mincho"/>
          <w:szCs w:val="22"/>
          <w:u w:val="single"/>
          <w:lang w:eastAsia="ja-JP"/>
        </w:rPr>
      </w:pPr>
    </w:p>
    <w:p w14:paraId="1E3AED19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Nejsou k dispozici žádné údaje o vlivu denosumabu na fertilitu u člověka. Studie na zvířatech nenaznačují přímé ani nepřímé škodlivé účinky na fertilitu (viz bod 5.3).</w:t>
      </w:r>
    </w:p>
    <w:p w14:paraId="55A68D0E" w14:textId="77777777" w:rsidR="000A22A9" w:rsidRDefault="000A22A9">
      <w:pPr>
        <w:outlineLvl w:val="0"/>
      </w:pPr>
    </w:p>
    <w:p w14:paraId="717E3C08" w14:textId="43D2FE1D" w:rsidR="000A22A9" w:rsidRPr="00A7419B" w:rsidRDefault="003A2761" w:rsidP="00A7419B">
      <w:pPr>
        <w:pStyle w:val="Stylebold"/>
        <w:keepNext/>
        <w:ind w:left="567" w:hanging="567"/>
      </w:pPr>
      <w:r>
        <w:t>4.7</w:t>
      </w:r>
      <w:r>
        <w:tab/>
        <w:t>Účinky na schopnost řídit a obsluhovat stroje</w:t>
      </w:r>
    </w:p>
    <w:p w14:paraId="12D1F8F8" w14:textId="77777777" w:rsidR="000A22A9" w:rsidRDefault="000A22A9">
      <w:pPr>
        <w:keepNext/>
        <w:outlineLvl w:val="0"/>
      </w:pPr>
    </w:p>
    <w:p w14:paraId="1C48F187" w14:textId="68127427" w:rsidR="000A22A9" w:rsidRDefault="00E92CAC">
      <w:pPr>
        <w:tabs>
          <w:tab w:val="clear" w:pos="567"/>
        </w:tabs>
        <w:autoSpaceDE w:val="0"/>
        <w:autoSpaceDN w:val="0"/>
        <w:adjustRightInd w:val="0"/>
        <w:rPr>
          <w:bCs/>
          <w:szCs w:val="22"/>
        </w:rPr>
      </w:pPr>
      <w:r w:rsidRPr="00CE3A71">
        <w:t>Denosumab</w:t>
      </w:r>
      <w:r w:rsidR="003A2761">
        <w:t xml:space="preserve"> nemá žádný nebo má zanedbatelný vliv na schopnost řídit nebo obsluhovat stroje.</w:t>
      </w:r>
    </w:p>
    <w:p w14:paraId="35667AB2" w14:textId="77777777" w:rsidR="000A22A9" w:rsidRDefault="000A22A9"/>
    <w:p w14:paraId="377DD069" w14:textId="132F121D" w:rsidR="000A22A9" w:rsidRPr="00A7419B" w:rsidRDefault="003A2761" w:rsidP="00A7419B">
      <w:pPr>
        <w:pStyle w:val="Stylebold"/>
        <w:keepNext/>
        <w:ind w:left="567" w:hanging="567"/>
      </w:pPr>
      <w:r>
        <w:lastRenderedPageBreak/>
        <w:t>4.8</w:t>
      </w:r>
      <w:r>
        <w:tab/>
        <w:t>Nežádoucí účinky</w:t>
      </w:r>
    </w:p>
    <w:p w14:paraId="70B12C80" w14:textId="77777777" w:rsidR="000A22A9" w:rsidRDefault="000A22A9">
      <w:pPr>
        <w:keepNext/>
        <w:rPr>
          <w:u w:val="single"/>
        </w:rPr>
      </w:pPr>
    </w:p>
    <w:p w14:paraId="58051AF7" w14:textId="77777777" w:rsidR="000A22A9" w:rsidRDefault="003A2761">
      <w:pPr>
        <w:keepNext/>
        <w:rPr>
          <w:u w:val="single"/>
        </w:rPr>
      </w:pPr>
      <w:r w:rsidRPr="000C17EE">
        <w:rPr>
          <w:u w:val="single"/>
        </w:rPr>
        <w:t>Souhrn bezpečnostního profilu</w:t>
      </w:r>
    </w:p>
    <w:p w14:paraId="56E8684B" w14:textId="77777777" w:rsidR="000A22A9" w:rsidRDefault="000A22A9">
      <w:pPr>
        <w:keepNext/>
        <w:rPr>
          <w:u w:val="single"/>
        </w:rPr>
      </w:pPr>
    </w:p>
    <w:p w14:paraId="2CF5FB09" w14:textId="26FEF3FB" w:rsidR="000A22A9" w:rsidRDefault="003A2761">
      <w:pPr>
        <w:tabs>
          <w:tab w:val="left" w:pos="720"/>
        </w:tabs>
        <w:autoSpaceDE w:val="0"/>
        <w:autoSpaceDN w:val="0"/>
        <w:adjustRightInd w:val="0"/>
      </w:pPr>
      <w:r>
        <w:t xml:space="preserve">Celkový bezpečnostní profil je shodný ve všech schválených indikacích pro </w:t>
      </w:r>
      <w:r w:rsidR="001155FD" w:rsidRPr="00CE3A71">
        <w:t>denosumab</w:t>
      </w:r>
      <w:r>
        <w:t>.</w:t>
      </w:r>
    </w:p>
    <w:p w14:paraId="73AC506C" w14:textId="77777777" w:rsidR="000A22A9" w:rsidRDefault="000A22A9">
      <w:pPr>
        <w:tabs>
          <w:tab w:val="left" w:pos="720"/>
        </w:tabs>
        <w:autoSpaceDE w:val="0"/>
        <w:autoSpaceDN w:val="0"/>
        <w:adjustRightInd w:val="0"/>
      </w:pPr>
    </w:p>
    <w:p w14:paraId="1E19DB95" w14:textId="48070AA1" w:rsidR="000A22A9" w:rsidRDefault="003A2761">
      <w:pPr>
        <w:tabs>
          <w:tab w:val="left" w:pos="720"/>
        </w:tabs>
        <w:autoSpaceDE w:val="0"/>
        <w:autoSpaceDN w:val="0"/>
        <w:adjustRightInd w:val="0"/>
      </w:pPr>
      <w:r>
        <w:t xml:space="preserve">Po podání </w:t>
      </w:r>
      <w:r w:rsidR="001155FD" w:rsidRPr="00CE3A71">
        <w:t>denosumab</w:t>
      </w:r>
      <w:r w:rsidR="001155FD">
        <w:t>u</w:t>
      </w:r>
      <w:r>
        <w:t xml:space="preserve"> byla velmi často hlášena hypokalcemie, většinou během prvních 2 týdnů. Hypokalcemie může být závažná a symptomatická (viz bod 4.8 </w:t>
      </w:r>
      <w:r>
        <w:noBreakHyphen/>
        <w:t xml:space="preserve"> popis vybraných nežádoucích účinků). Poklesy sérového kalcia byly obvykle náležitě zvládnuty podáváním vápníku a vitaminu D. </w:t>
      </w:r>
      <w:r w:rsidRPr="00922843">
        <w:t xml:space="preserve">Nejčastějšími nežádoucími účinky u </w:t>
      </w:r>
      <w:r w:rsidR="001155FD" w:rsidRPr="00922843">
        <w:t>denosumabu</w:t>
      </w:r>
      <w:r w:rsidRPr="00922843">
        <w:t xml:space="preserve"> je muskuloskeletální bolest. U pacientů </w:t>
      </w:r>
      <w:r w:rsidR="00922843" w:rsidRPr="00922843">
        <w:t xml:space="preserve">léčených </w:t>
      </w:r>
      <w:r w:rsidR="001155FD" w:rsidRPr="00922843">
        <w:t>denosumab</w:t>
      </w:r>
      <w:r w:rsidR="00922843" w:rsidRPr="00922843">
        <w:t>em</w:t>
      </w:r>
      <w:r w:rsidRPr="00922843">
        <w:t xml:space="preserve"> byly často pozorovány</w:t>
      </w:r>
      <w:r>
        <w:t xml:space="preserve"> případy osteonekrózy čelisti (viz body 4.4 a 4.8 – popis vybraných nežádoucích účinků).</w:t>
      </w:r>
    </w:p>
    <w:p w14:paraId="0296A2D1" w14:textId="77777777" w:rsidR="000A22A9" w:rsidRDefault="000A22A9"/>
    <w:p w14:paraId="67F0D609" w14:textId="77777777" w:rsidR="000A22A9" w:rsidRDefault="003A2761">
      <w:pPr>
        <w:keepNext/>
        <w:rPr>
          <w:szCs w:val="22"/>
          <w:u w:val="single"/>
        </w:rPr>
      </w:pPr>
      <w:r>
        <w:rPr>
          <w:u w:val="single"/>
        </w:rPr>
        <w:t>Tabulkový přehled nežádoucích účinků</w:t>
      </w:r>
    </w:p>
    <w:p w14:paraId="1D4FF443" w14:textId="77777777" w:rsidR="000A22A9" w:rsidRDefault="000A22A9">
      <w:pPr>
        <w:keepNext/>
        <w:rPr>
          <w:u w:val="single"/>
        </w:rPr>
      </w:pPr>
    </w:p>
    <w:p w14:paraId="1F5A626B" w14:textId="77777777" w:rsidR="000A22A9" w:rsidRDefault="003A2761">
      <w:pPr>
        <w:rPr>
          <w:bCs/>
          <w:szCs w:val="22"/>
        </w:rPr>
      </w:pPr>
      <w:r>
        <w:t>Pro klasifikaci nežádoucích účinků, vycházejících z incidence výskytu ve čtyřech klinických studiích fáze III, dvou klinických studiích fáze II a po uvedení přípravku na trh (viz tab. 1), byla použita následující ustálená kritéria: velmi časté (≥ 1/10), časté (≥ 1/100 až &lt; 1/10), méně časté (≥ 1/1 000 až &lt; 1/100), vzácné (≥ 1/10 000 až &lt; 1/1 000), velmi vzácné (&lt; 1/10 000) a není známo (z dostupných údajů nelze určit). V každé třídě orgánových systémů a skupině definované frekvencí výskytu jsou nežádoucí účinky seřazeny podle klesající závažnosti.</w:t>
      </w:r>
    </w:p>
    <w:p w14:paraId="697E5F90" w14:textId="77777777" w:rsidR="000A22A9" w:rsidRDefault="000A22A9">
      <w:pPr>
        <w:rPr>
          <w:bCs/>
          <w:szCs w:val="22"/>
        </w:rPr>
      </w:pPr>
    </w:p>
    <w:p w14:paraId="3024F619" w14:textId="77777777" w:rsidR="000A22A9" w:rsidRDefault="003A2761">
      <w:pPr>
        <w:keepNext/>
        <w:rPr>
          <w:b/>
        </w:rPr>
      </w:pPr>
      <w:r w:rsidRPr="00425D47">
        <w:rPr>
          <w:b/>
        </w:rPr>
        <w:t>Tabulka 1. Nežádoucí účinky hlášené u pacientů s pokročilým maligním</w:t>
      </w:r>
      <w:r>
        <w:rPr>
          <w:b/>
        </w:rPr>
        <w:t xml:space="preserve"> nádorovým onemocněním postihujícím kosti, s mnohočetným myelomem nebo s velkobuněčným kostním nádorem</w:t>
      </w:r>
    </w:p>
    <w:p w14:paraId="17E32991" w14:textId="77777777" w:rsidR="004C042F" w:rsidRPr="00EA1154" w:rsidRDefault="004C042F">
      <w:pPr>
        <w:keepNext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5"/>
        <w:gridCol w:w="2880"/>
        <w:gridCol w:w="3146"/>
      </w:tblGrid>
      <w:tr w:rsidR="000A22A9" w14:paraId="615B66E4" w14:textId="77777777">
        <w:trPr>
          <w:cantSplit/>
          <w:tblHeader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E4F" w14:textId="0CBCE429" w:rsidR="000A22A9" w:rsidRDefault="003A2761">
            <w:pPr>
              <w:keepNext/>
              <w:rPr>
                <w:b/>
              </w:rPr>
            </w:pPr>
            <w:r>
              <w:rPr>
                <w:b/>
              </w:rPr>
              <w:t xml:space="preserve">Třídy orgánových systémů podle </w:t>
            </w:r>
            <w:r w:rsidR="00425D47" w:rsidRPr="00922843">
              <w:rPr>
                <w:b/>
              </w:rPr>
              <w:t xml:space="preserve">databáze </w:t>
            </w:r>
            <w:r w:rsidRPr="00922843">
              <w:rPr>
                <w:b/>
              </w:rPr>
              <w:t>MedDRA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FC48" w14:textId="77777777" w:rsidR="000A22A9" w:rsidRDefault="003A2761">
            <w:pPr>
              <w:keepNext/>
              <w:rPr>
                <w:rFonts w:eastAsia="MS Mincho"/>
                <w:bCs/>
                <w:szCs w:val="22"/>
                <w:u w:val="single"/>
              </w:rPr>
            </w:pPr>
            <w:r>
              <w:rPr>
                <w:b/>
              </w:rPr>
              <w:t>Frekvence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16BF" w14:textId="77777777" w:rsidR="000A22A9" w:rsidRDefault="003A2761">
            <w:pPr>
              <w:keepNext/>
              <w:rPr>
                <w:rFonts w:eastAsia="MS Mincho"/>
                <w:b/>
                <w:bCs/>
                <w:szCs w:val="22"/>
              </w:rPr>
            </w:pPr>
            <w:r>
              <w:rPr>
                <w:b/>
              </w:rPr>
              <w:t>Nežádoucí účinek</w:t>
            </w:r>
          </w:p>
        </w:tc>
      </w:tr>
      <w:tr w:rsidR="000A22A9" w14:paraId="384194C2" w14:textId="77777777">
        <w:trPr>
          <w:cantSplit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719F0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Novotvary benigní, maligní a blíže neurčené (zahrnující cysty a polypy)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CF3F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387" w14:textId="77777777" w:rsidR="000A22A9" w:rsidRDefault="003A2761">
            <w:pPr>
              <w:keepNext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t>Nová primární malignita</w:t>
            </w:r>
            <w:r>
              <w:rPr>
                <w:vertAlign w:val="superscript"/>
              </w:rPr>
              <w:t>1</w:t>
            </w:r>
          </w:p>
        </w:tc>
      </w:tr>
      <w:tr w:rsidR="000A22A9" w14:paraId="1C79AEB7" w14:textId="77777777">
        <w:trPr>
          <w:cantSplit/>
        </w:trPr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4B3D6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Poruchy imunitního systému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FF05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Vzácné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A56" w14:textId="77777777" w:rsidR="000A22A9" w:rsidRDefault="003A2761">
            <w:pPr>
              <w:keepNext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t>Hypersenzitivita na léčivou látku</w:t>
            </w:r>
            <w:r>
              <w:rPr>
                <w:vertAlign w:val="superscript"/>
              </w:rPr>
              <w:t>1</w:t>
            </w:r>
          </w:p>
        </w:tc>
      </w:tr>
      <w:tr w:rsidR="000A22A9" w14:paraId="17CC7984" w14:textId="77777777" w:rsidTr="00325E4E">
        <w:trPr>
          <w:cantSplit/>
        </w:trPr>
        <w:tc>
          <w:tcPr>
            <w:tcW w:w="1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622C" w14:textId="77777777" w:rsidR="000A22A9" w:rsidRDefault="000A22A9">
            <w:pPr>
              <w:keepNext/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498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Vzácné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76B" w14:textId="77777777" w:rsidR="000A22A9" w:rsidRDefault="003A2761">
            <w:pPr>
              <w:keepNext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t>Anafylaktická reakce</w:t>
            </w:r>
            <w:r>
              <w:rPr>
                <w:vertAlign w:val="superscript"/>
              </w:rPr>
              <w:t>1</w:t>
            </w:r>
          </w:p>
        </w:tc>
      </w:tr>
      <w:tr w:rsidR="000A22A9" w14:paraId="036C0DA0" w14:textId="77777777" w:rsidTr="00325E4E">
        <w:trPr>
          <w:cantSplit/>
        </w:trPr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8809" w14:textId="77777777" w:rsidR="000A22A9" w:rsidRDefault="003A2761" w:rsidP="00325E4E">
            <w:pPr>
              <w:rPr>
                <w:rFonts w:eastAsia="MS Mincho"/>
                <w:szCs w:val="22"/>
              </w:rPr>
            </w:pPr>
            <w:r>
              <w:t>Poruchy metabolismu a výživy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4E5" w14:textId="77777777" w:rsidR="000A22A9" w:rsidRDefault="003A2761" w:rsidP="00325E4E">
            <w:pPr>
              <w:rPr>
                <w:rFonts w:eastAsia="MS Mincho"/>
                <w:bCs/>
                <w:szCs w:val="22"/>
              </w:rPr>
            </w:pPr>
            <w:r>
              <w:t>Velmi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4CC" w14:textId="77777777" w:rsidR="000A22A9" w:rsidRDefault="003A2761" w:rsidP="00325E4E">
            <w:pPr>
              <w:rPr>
                <w:rFonts w:eastAsia="MS Mincho"/>
                <w:szCs w:val="22"/>
              </w:rPr>
            </w:pPr>
            <w:r>
              <w:t>Hypokalcemie</w:t>
            </w:r>
            <w:r>
              <w:rPr>
                <w:vertAlign w:val="superscript"/>
              </w:rPr>
              <w:t>1, 2</w:t>
            </w:r>
          </w:p>
        </w:tc>
      </w:tr>
      <w:tr w:rsidR="000A22A9" w14:paraId="5CF76F68" w14:textId="77777777" w:rsidTr="00325E4E">
        <w:trPr>
          <w:cantSplit/>
        </w:trPr>
        <w:tc>
          <w:tcPr>
            <w:tcW w:w="1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BCF" w14:textId="77777777" w:rsidR="000A22A9" w:rsidRDefault="000A22A9" w:rsidP="002A6E2E">
            <w:pPr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063E" w14:textId="77777777" w:rsidR="000A22A9" w:rsidRDefault="003A2761" w:rsidP="002A6E2E">
            <w:pPr>
              <w:rPr>
                <w:rFonts w:eastAsia="MS Mincho"/>
                <w:bCs/>
                <w:szCs w:val="22"/>
              </w:rPr>
            </w:pPr>
            <w:r>
              <w:t>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D88" w14:textId="512FA013" w:rsidR="000A22A9" w:rsidRDefault="003A2761" w:rsidP="002A6E2E">
            <w:pPr>
              <w:rPr>
                <w:rFonts w:eastAsia="MS Mincho"/>
                <w:szCs w:val="22"/>
              </w:rPr>
            </w:pPr>
            <w:r>
              <w:t>H</w:t>
            </w:r>
            <w:r w:rsidRPr="00922843">
              <w:t>ypofosfat</w:t>
            </w:r>
            <w:r w:rsidR="00922843" w:rsidRPr="00922843">
              <w:t>e</w:t>
            </w:r>
            <w:r w:rsidRPr="00922843">
              <w:t>mie</w:t>
            </w:r>
          </w:p>
        </w:tc>
      </w:tr>
      <w:tr w:rsidR="000A22A9" w14:paraId="7A9FD91C" w14:textId="77777777" w:rsidTr="00325E4E">
        <w:trPr>
          <w:cantSplit/>
        </w:trPr>
        <w:tc>
          <w:tcPr>
            <w:tcW w:w="1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E34B" w14:textId="77777777" w:rsidR="000A22A9" w:rsidRDefault="000A22A9" w:rsidP="002A6E2E">
            <w:pPr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670D" w14:textId="77777777" w:rsidR="000A22A9" w:rsidRDefault="003A2761" w:rsidP="002A6E2E">
            <w:pPr>
              <w:rPr>
                <w:rFonts w:eastAsia="MS Mincho"/>
                <w:bCs/>
                <w:szCs w:val="22"/>
              </w:rPr>
            </w:pPr>
            <w:r>
              <w:t>Méně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170A" w14:textId="77777777" w:rsidR="000A22A9" w:rsidRDefault="003A2761" w:rsidP="002A6E2E">
            <w:pPr>
              <w:rPr>
                <w:rFonts w:eastAsia="MS Mincho"/>
                <w:szCs w:val="22"/>
              </w:rPr>
            </w:pPr>
            <w:r>
              <w:t>Hyperkalcemie po přerušení léčby u pacientů s velkobuněčným kostním nádorem</w:t>
            </w:r>
            <w:r>
              <w:rPr>
                <w:vertAlign w:val="superscript"/>
              </w:rPr>
              <w:t>3</w:t>
            </w:r>
          </w:p>
        </w:tc>
      </w:tr>
      <w:tr w:rsidR="000A22A9" w14:paraId="397521D0" w14:textId="77777777" w:rsidTr="00325E4E">
        <w:trPr>
          <w:cantSplit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863" w14:textId="77777777" w:rsidR="000A22A9" w:rsidRDefault="003A2761">
            <w:pPr>
              <w:rPr>
                <w:rFonts w:eastAsia="MS Mincho"/>
                <w:szCs w:val="22"/>
              </w:rPr>
            </w:pPr>
            <w:r>
              <w:t>Respirační, hrudní a mediastinální poruchy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D97D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Velmi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CFD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Dyspnoe</w:t>
            </w:r>
          </w:p>
        </w:tc>
      </w:tr>
      <w:tr w:rsidR="000A22A9" w14:paraId="365A0FD1" w14:textId="77777777">
        <w:trPr>
          <w:cantSplit/>
          <w:trHeight w:val="231"/>
        </w:trPr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F027A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Gastrointestinální poruchy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DAF6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Velmi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E4A2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Průjem</w:t>
            </w:r>
          </w:p>
        </w:tc>
      </w:tr>
      <w:tr w:rsidR="000A22A9" w14:paraId="1A9525FC" w14:textId="77777777">
        <w:trPr>
          <w:cantSplit/>
        </w:trPr>
        <w:tc>
          <w:tcPr>
            <w:tcW w:w="1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8D3B" w14:textId="77777777" w:rsidR="000A22A9" w:rsidRDefault="000A22A9">
            <w:pPr>
              <w:keepNext/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F523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1E5A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Extrakce zubu</w:t>
            </w:r>
          </w:p>
        </w:tc>
      </w:tr>
      <w:tr w:rsidR="000A22A9" w14:paraId="42089F7A" w14:textId="77777777">
        <w:trPr>
          <w:cantSplit/>
        </w:trPr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EC5E" w14:textId="77777777" w:rsidR="000A22A9" w:rsidRDefault="003A2761">
            <w:pPr>
              <w:rPr>
                <w:rFonts w:eastAsia="MS Mincho"/>
                <w:szCs w:val="22"/>
              </w:rPr>
            </w:pPr>
            <w:r>
              <w:t>Poruchy kůže a podkožní tkáně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85B" w14:textId="77777777" w:rsidR="000A22A9" w:rsidRDefault="003A2761">
            <w:pPr>
              <w:rPr>
                <w:rFonts w:eastAsia="MS Mincho"/>
                <w:bCs/>
                <w:szCs w:val="22"/>
              </w:rPr>
            </w:pPr>
            <w:r>
              <w:t>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253E" w14:textId="77777777" w:rsidR="000A22A9" w:rsidRDefault="003A2761">
            <w:pPr>
              <w:rPr>
                <w:rFonts w:eastAsia="MS Mincho"/>
                <w:szCs w:val="22"/>
              </w:rPr>
            </w:pPr>
            <w:r>
              <w:t>Hyperhidróza</w:t>
            </w:r>
          </w:p>
        </w:tc>
      </w:tr>
      <w:tr w:rsidR="000A22A9" w14:paraId="0E603D84" w14:textId="77777777">
        <w:trPr>
          <w:cantSplit/>
        </w:trPr>
        <w:tc>
          <w:tcPr>
            <w:tcW w:w="1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AF0FF" w14:textId="77777777" w:rsidR="000A22A9" w:rsidRDefault="000A22A9">
            <w:pPr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5321" w14:textId="77777777" w:rsidR="000A22A9" w:rsidRDefault="003A2761">
            <w:pPr>
              <w:rPr>
                <w:rFonts w:eastAsia="MS Mincho"/>
                <w:bCs/>
                <w:szCs w:val="22"/>
              </w:rPr>
            </w:pPr>
            <w:r>
              <w:t>Méně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19CB" w14:textId="77777777" w:rsidR="000A22A9" w:rsidRDefault="003A2761">
            <w:pPr>
              <w:rPr>
                <w:rFonts w:eastAsia="MS Mincho"/>
                <w:szCs w:val="22"/>
              </w:rPr>
            </w:pPr>
            <w:r>
              <w:t>Lichenoidní erupce způsobené léky</w:t>
            </w:r>
            <w:r>
              <w:rPr>
                <w:vertAlign w:val="superscript"/>
              </w:rPr>
              <w:t>1</w:t>
            </w:r>
          </w:p>
        </w:tc>
      </w:tr>
      <w:tr w:rsidR="000A22A9" w14:paraId="436A31FD" w14:textId="77777777">
        <w:trPr>
          <w:cantSplit/>
        </w:trPr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4B058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Poruchy svalové a kosterní soustavy a pojivové tkáně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D12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Velmi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A1DC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Muskuloskeletální bolest</w:t>
            </w:r>
            <w:r>
              <w:rPr>
                <w:vertAlign w:val="superscript"/>
              </w:rPr>
              <w:t>1</w:t>
            </w:r>
          </w:p>
        </w:tc>
      </w:tr>
      <w:tr w:rsidR="000A22A9" w14:paraId="006C0335" w14:textId="77777777">
        <w:trPr>
          <w:cantSplit/>
        </w:trPr>
        <w:tc>
          <w:tcPr>
            <w:tcW w:w="1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C922C" w14:textId="77777777" w:rsidR="000A22A9" w:rsidRDefault="000A22A9">
            <w:pPr>
              <w:keepNext/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4F6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CF8C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Osteonekróza čelisti</w:t>
            </w:r>
            <w:r>
              <w:rPr>
                <w:vertAlign w:val="superscript"/>
              </w:rPr>
              <w:t>1</w:t>
            </w:r>
          </w:p>
        </w:tc>
      </w:tr>
      <w:tr w:rsidR="000A22A9" w14:paraId="7B84EEE8" w14:textId="77777777">
        <w:trPr>
          <w:cantSplit/>
        </w:trPr>
        <w:tc>
          <w:tcPr>
            <w:tcW w:w="16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3B775" w14:textId="77777777" w:rsidR="000A22A9" w:rsidRDefault="000A22A9">
            <w:pPr>
              <w:keepNext/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DFA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Méně časté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7965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Atypická zlomenina femuru</w:t>
            </w:r>
            <w:r>
              <w:rPr>
                <w:vertAlign w:val="superscript"/>
              </w:rPr>
              <w:t>1</w:t>
            </w:r>
          </w:p>
        </w:tc>
      </w:tr>
      <w:tr w:rsidR="000A22A9" w14:paraId="30542EB5" w14:textId="77777777">
        <w:trPr>
          <w:cantSplit/>
        </w:trPr>
        <w:tc>
          <w:tcPr>
            <w:tcW w:w="1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49B" w14:textId="77777777" w:rsidR="000A22A9" w:rsidRDefault="000A22A9">
            <w:pPr>
              <w:keepNext/>
              <w:rPr>
                <w:rFonts w:eastAsia="MS Mincho"/>
                <w:szCs w:val="22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1E8F" w14:textId="77777777" w:rsidR="000A22A9" w:rsidRDefault="003A2761">
            <w:pPr>
              <w:keepNext/>
              <w:rPr>
                <w:rFonts w:eastAsia="MS Mincho"/>
                <w:bCs/>
                <w:szCs w:val="22"/>
              </w:rPr>
            </w:pPr>
            <w:r>
              <w:t>Není známo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C08" w14:textId="77777777" w:rsidR="000A22A9" w:rsidRDefault="003A2761">
            <w:pPr>
              <w:keepNext/>
              <w:rPr>
                <w:rFonts w:eastAsia="MS Mincho"/>
                <w:szCs w:val="22"/>
              </w:rPr>
            </w:pPr>
            <w:r>
              <w:t>Osteonekróza zevního zvukovodu</w:t>
            </w:r>
            <w:r>
              <w:rPr>
                <w:vertAlign w:val="superscript"/>
              </w:rPr>
              <w:t>3,4</w:t>
            </w:r>
          </w:p>
        </w:tc>
      </w:tr>
    </w:tbl>
    <w:p w14:paraId="28909A64" w14:textId="77777777" w:rsidR="000A22A9" w:rsidRDefault="003A2761">
      <w:pPr>
        <w:pStyle w:val="ab"/>
        <w:keepNext/>
      </w:pPr>
      <w:r>
        <w:rPr>
          <w:vertAlign w:val="superscript"/>
        </w:rPr>
        <w:t xml:space="preserve">1 </w:t>
      </w:r>
      <w:r>
        <w:t>Viz bod Popis vybraných nežádoucích účinků</w:t>
      </w:r>
    </w:p>
    <w:p w14:paraId="4E7FB07D" w14:textId="77777777" w:rsidR="000A22A9" w:rsidRDefault="003A2761">
      <w:pPr>
        <w:pStyle w:val="ab"/>
      </w:pPr>
      <w:r>
        <w:rPr>
          <w:vertAlign w:val="superscript"/>
        </w:rPr>
        <w:t xml:space="preserve">2 </w:t>
      </w:r>
      <w:r>
        <w:t xml:space="preserve">Viz </w:t>
      </w:r>
      <w:r w:rsidRPr="00922843">
        <w:t>bod Jiné zvláštní skupiny</w:t>
      </w:r>
      <w:r>
        <w:t xml:space="preserve"> pacientů</w:t>
      </w:r>
    </w:p>
    <w:p w14:paraId="13A2942A" w14:textId="77777777" w:rsidR="000A22A9" w:rsidRDefault="003A2761">
      <w:pPr>
        <w:pStyle w:val="ab"/>
        <w:keepNext/>
        <w:rPr>
          <w:rFonts w:eastAsia="MS Mincho"/>
          <w:szCs w:val="22"/>
        </w:rPr>
      </w:pPr>
      <w:r>
        <w:rPr>
          <w:vertAlign w:val="superscript"/>
        </w:rPr>
        <w:t>3</w:t>
      </w:r>
      <w:r>
        <w:t xml:space="preserve"> Viz bod 4.4</w:t>
      </w:r>
    </w:p>
    <w:p w14:paraId="5F1AC02F" w14:textId="2B1CCDB9" w:rsidR="000A22A9" w:rsidRDefault="003A2761">
      <w:pPr>
        <w:pStyle w:val="ab"/>
      </w:pPr>
      <w:r>
        <w:rPr>
          <w:vertAlign w:val="superscript"/>
        </w:rPr>
        <w:t>4</w:t>
      </w:r>
      <w:r>
        <w:t xml:space="preserve"> </w:t>
      </w:r>
      <w:r w:rsidR="00922843" w:rsidRPr="00922843">
        <w:t>Skupinový účinek (</w:t>
      </w:r>
      <w:r w:rsidR="00922843" w:rsidRPr="000C0C60">
        <w:rPr>
          <w:i/>
          <w:iCs/>
        </w:rPr>
        <w:t>c</w:t>
      </w:r>
      <w:r w:rsidRPr="000C0C60">
        <w:rPr>
          <w:i/>
          <w:iCs/>
        </w:rPr>
        <w:t>lass effect</w:t>
      </w:r>
      <w:r w:rsidR="00922843" w:rsidRPr="00922843">
        <w:t>)</w:t>
      </w:r>
    </w:p>
    <w:p w14:paraId="204BBC5E" w14:textId="77777777" w:rsidR="000A22A9" w:rsidRDefault="000A22A9">
      <w:pPr>
        <w:rPr>
          <w:szCs w:val="22"/>
          <w:u w:val="single"/>
        </w:rPr>
      </w:pPr>
    </w:p>
    <w:p w14:paraId="14862E34" w14:textId="77777777" w:rsidR="000A22A9" w:rsidRDefault="003A2761">
      <w:pPr>
        <w:keepNext/>
        <w:rPr>
          <w:szCs w:val="22"/>
          <w:u w:val="single"/>
        </w:rPr>
      </w:pPr>
      <w:r>
        <w:rPr>
          <w:u w:val="single"/>
        </w:rPr>
        <w:lastRenderedPageBreak/>
        <w:t>Popis vybraných nežádoucích účinků</w:t>
      </w:r>
    </w:p>
    <w:p w14:paraId="7AA74260" w14:textId="77777777" w:rsidR="000A22A9" w:rsidRDefault="000A22A9">
      <w:pPr>
        <w:keepNext/>
        <w:rPr>
          <w:u w:val="single"/>
        </w:rPr>
      </w:pPr>
    </w:p>
    <w:p w14:paraId="7DAA53A2" w14:textId="77777777" w:rsidR="000A22A9" w:rsidRDefault="003A2761">
      <w:pPr>
        <w:keepNext/>
        <w:autoSpaceDE w:val="0"/>
        <w:autoSpaceDN w:val="0"/>
        <w:adjustRightInd w:val="0"/>
        <w:rPr>
          <w:i/>
        </w:rPr>
      </w:pPr>
      <w:r>
        <w:rPr>
          <w:i/>
        </w:rPr>
        <w:t>Hypokalcemie</w:t>
      </w:r>
    </w:p>
    <w:p w14:paraId="0A576A50" w14:textId="40472B71" w:rsidR="000A22A9" w:rsidRDefault="003A2761">
      <w:pPr>
        <w:autoSpaceDE w:val="0"/>
        <w:autoSpaceDN w:val="0"/>
        <w:adjustRightInd w:val="0"/>
        <w:rPr>
          <w:szCs w:val="22"/>
        </w:rPr>
      </w:pPr>
      <w:r>
        <w:t>V klinických studiích zaměřených na prevenci SRE byl pozorován vyšší výskyt hypokalcemie u</w:t>
      </w:r>
      <w:r w:rsidR="00A11203" w:rsidRPr="00524A3B">
        <w:rPr>
          <w:rFonts w:eastAsia="맑은 고딕"/>
          <w:lang w:eastAsia="ko-KR"/>
        </w:rPr>
        <w:t> </w:t>
      </w:r>
      <w:r w:rsidR="00A11203" w:rsidRPr="00A11203">
        <w:t>pacientů</w:t>
      </w:r>
      <w:r>
        <w:t xml:space="preserve"> léčených denosumabem ve srovnání s kyselinou zoledronovou.</w:t>
      </w:r>
    </w:p>
    <w:p w14:paraId="5696274C" w14:textId="77777777" w:rsidR="000A22A9" w:rsidRPr="00A11203" w:rsidRDefault="000A22A9">
      <w:pPr>
        <w:autoSpaceDE w:val="0"/>
        <w:autoSpaceDN w:val="0"/>
        <w:adjustRightInd w:val="0"/>
        <w:rPr>
          <w:szCs w:val="22"/>
        </w:rPr>
      </w:pPr>
    </w:p>
    <w:p w14:paraId="596E7D34" w14:textId="2DE53791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Nejvyšší výskyt hypokalcemie byl pozorován ve studii fáze III u pacientů s mnohočetným myelomem. Hypokalcemie byla hlášena u 16,9 % pacientů léčených </w:t>
      </w:r>
      <w:r w:rsidR="001155FD" w:rsidRPr="00CE3A71">
        <w:t>denosumab</w:t>
      </w:r>
      <w:r w:rsidR="001155FD">
        <w:t>em</w:t>
      </w:r>
      <w:r>
        <w:t xml:space="preserve"> a u 12,4 % pacientů léčených kyselinou zoledronovou. U 1,4 % pacientů léčených </w:t>
      </w:r>
      <w:r w:rsidR="001155FD" w:rsidRPr="00CE3A71">
        <w:t>denosumab</w:t>
      </w:r>
      <w:r w:rsidR="001155FD">
        <w:t>em</w:t>
      </w:r>
      <w:r>
        <w:t xml:space="preserve"> a u 0,6 % pacientů léčených kyselinou zoledronovou došlo k poklesu hladiny sérového kalcia třetího stupně. U 0,4 % pacientů léčených </w:t>
      </w:r>
      <w:r w:rsidR="001155FD" w:rsidRPr="00CE3A71">
        <w:t>denosumab</w:t>
      </w:r>
      <w:r w:rsidR="001155FD">
        <w:t>em</w:t>
      </w:r>
      <w:r>
        <w:t xml:space="preserve"> a u 0,1 % pacientů léčených kyselinou zoledronovou došlo k poklesu hladiny sérového kalcia čtvrtého stupně.</w:t>
      </w:r>
    </w:p>
    <w:p w14:paraId="7EC6119F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0F9F09E2" w14:textId="4C608AD0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Ve třech kontrolovaných klinických studiích fáze III s aktivním komparátorem u pacientů s pokročilým maligním nádorovým onemocněním postihujícím kosti byla hypokalcemie zaznamenána u 9,6 % pacientů léčených </w:t>
      </w:r>
      <w:r w:rsidR="001155FD" w:rsidRPr="00CE3A71">
        <w:t>denosumab</w:t>
      </w:r>
      <w:r w:rsidR="001155FD">
        <w:t>em</w:t>
      </w:r>
      <w:r>
        <w:t xml:space="preserve"> a u 5,0 % pacientů léčených kyselinou zoledronovou.</w:t>
      </w:r>
    </w:p>
    <w:p w14:paraId="634AE629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4B6CA28A" w14:textId="34A381D1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Snížení hladiny kalcia v séru třetího stupně bylo zjištěno u 2,5 % pacientů léčených </w:t>
      </w:r>
      <w:r w:rsidR="00492FCF" w:rsidRPr="00CE3A71">
        <w:t>denosumab</w:t>
      </w:r>
      <w:r w:rsidR="00492FCF">
        <w:t>em</w:t>
      </w:r>
      <w:r>
        <w:t xml:space="preserve"> a u 1,2 % pacientů léčených kyselinou zoledronovou. Pokles hladiny sérového kalcia čtvrtého stupně byl zjištěn u 0,6 % pacientů léčených </w:t>
      </w:r>
      <w:r w:rsidR="00492FCF" w:rsidRPr="00CE3A71">
        <w:t>denosumab</w:t>
      </w:r>
      <w:r w:rsidR="00492FCF">
        <w:t>em</w:t>
      </w:r>
      <w:r>
        <w:t xml:space="preserve"> a u 0,2 % pacientů léčených kyselinou zoledronovou (viz bod 4.4).</w:t>
      </w:r>
    </w:p>
    <w:p w14:paraId="21A45456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384436AB" w14:textId="77777777" w:rsidR="000A22A9" w:rsidRDefault="003A2761">
      <w:pPr>
        <w:autoSpaceDE w:val="0"/>
        <w:autoSpaceDN w:val="0"/>
        <w:adjustRightInd w:val="0"/>
        <w:rPr>
          <w:szCs w:val="22"/>
        </w:rPr>
      </w:pPr>
      <w:r>
        <w:t>Ve dvou jednoramenných klinických studiích fáze II u pacientů s velkobuněčným kostním nádorem byla hypokalcemie hlášena u 5,7 % pacientů. Žádné nežádoucí účinky nebyly považovány za závažné.</w:t>
      </w:r>
    </w:p>
    <w:p w14:paraId="2BF20647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7EE7A88E" w14:textId="7B25B273" w:rsidR="000A22A9" w:rsidRDefault="003A2761">
      <w:pPr>
        <w:autoSpaceDE w:val="0"/>
        <w:autoSpaceDN w:val="0"/>
        <w:adjustRightInd w:val="0"/>
      </w:pPr>
      <w:r>
        <w:t xml:space="preserve">Po uvedení přípravku </w:t>
      </w:r>
      <w:r w:rsidRPr="00922843">
        <w:t xml:space="preserve">na trh byla hlášena </w:t>
      </w:r>
      <w:r w:rsidR="00922843" w:rsidRPr="00922843">
        <w:t>těžká</w:t>
      </w:r>
      <w:r w:rsidRPr="00922843">
        <w:t xml:space="preserve"> symptomatická hypokalcemie (včetně fatálních případů), z toho se většina případů vyskytla během prvních týdnů léčby. Příklady klinických projevů </w:t>
      </w:r>
      <w:r w:rsidR="00922843" w:rsidRPr="00922843">
        <w:t>těžké</w:t>
      </w:r>
      <w:r w:rsidRPr="00922843">
        <w:t xml:space="preserve"> symptomatické</w:t>
      </w:r>
      <w:r>
        <w:t xml:space="preserve"> hypokalcemie zahrnovaly prodloužení </w:t>
      </w:r>
      <w:r w:rsidR="007700EC">
        <w:t xml:space="preserve">intervalu </w:t>
      </w:r>
      <w:r>
        <w:t xml:space="preserve">QT, tetanii, </w:t>
      </w:r>
      <w:r w:rsidR="00F56E31">
        <w:t xml:space="preserve">epileptické záchvaty </w:t>
      </w:r>
      <w:r>
        <w:t>a poruchy duševního stavu (včetně kómatu) (viz bod 4.4). Příznaky hypokalcemie v klinických studiích zahrnovaly parestézie nebo svalovou stuhlost, záškuby, spazmy a svalové křeče.</w:t>
      </w:r>
    </w:p>
    <w:p w14:paraId="183A5CD4" w14:textId="77777777" w:rsidR="000A22A9" w:rsidRDefault="000A22A9">
      <w:pPr>
        <w:rPr>
          <w:bCs/>
          <w:i/>
          <w:szCs w:val="22"/>
        </w:rPr>
      </w:pPr>
    </w:p>
    <w:p w14:paraId="1207F3A1" w14:textId="77777777" w:rsidR="000A22A9" w:rsidRDefault="003A2761">
      <w:pPr>
        <w:keepNext/>
        <w:rPr>
          <w:bCs/>
          <w:i/>
          <w:szCs w:val="22"/>
        </w:rPr>
      </w:pPr>
      <w:r w:rsidRPr="006E752F">
        <w:rPr>
          <w:i/>
        </w:rPr>
        <w:t>Osteonekróza čelisti (osteonecrosis of the jaw, ONJ)</w:t>
      </w:r>
    </w:p>
    <w:p w14:paraId="561A2D52" w14:textId="7E10E362" w:rsidR="000A22A9" w:rsidRDefault="003A2761">
      <w:pPr>
        <w:rPr>
          <w:bCs/>
          <w:szCs w:val="22"/>
        </w:rPr>
      </w:pPr>
      <w:r>
        <w:t xml:space="preserve">Incidence ONJ se v klinických studiích zvyšovala s prodlužující se dobou expozice léku. ONJ byla rovněž diagnostikována po ukončení léčby </w:t>
      </w:r>
      <w:r w:rsidR="00492FCF" w:rsidRPr="00CE3A71">
        <w:t>denosumab</w:t>
      </w:r>
      <w:r w:rsidR="00492FCF">
        <w:t>em</w:t>
      </w:r>
      <w:r>
        <w:t>, z toho se většina případů vyskytla do 5 měsíců po poslední dávce. Pacienti s předchozí anamnézou ONJ nebo osteomyelitidy čelisti, s aktivním onemocněním zubů nebo čelisti vyžadujícím chirurgický zákrok v ústech, s</w:t>
      </w:r>
      <w:r w:rsidR="00922843">
        <w:t> </w:t>
      </w:r>
      <w:r>
        <w:t>nezhojen</w:t>
      </w:r>
      <w:r w:rsidR="009E69BA">
        <w:t>ými</w:t>
      </w:r>
      <w:r w:rsidR="00922843">
        <w:t xml:space="preserve"> r</w:t>
      </w:r>
      <w:r w:rsidR="009E69BA">
        <w:t>a</w:t>
      </w:r>
      <w:r w:rsidR="00922843">
        <w:t>n</w:t>
      </w:r>
      <w:r w:rsidR="009E69BA">
        <w:t>ami</w:t>
      </w:r>
      <w:r w:rsidR="00922843">
        <w:t xml:space="preserve"> po </w:t>
      </w:r>
      <w:r w:rsidR="00922843" w:rsidRPr="00922843">
        <w:t>stomatologickém</w:t>
      </w:r>
      <w:r w:rsidRPr="00922843">
        <w:t xml:space="preserve"> nebo chirurgick</w:t>
      </w:r>
      <w:r w:rsidR="00922843" w:rsidRPr="000C0C60">
        <w:t>ém</w:t>
      </w:r>
      <w:r w:rsidRPr="00922843">
        <w:t xml:space="preserve"> zákrok</w:t>
      </w:r>
      <w:r w:rsidR="00922843" w:rsidRPr="000C0C60">
        <w:t>u v ústech</w:t>
      </w:r>
      <w:r>
        <w:t xml:space="preserve"> nebo s jakýmkoliv plánovaným invazivním stomatologickým zákrokem byli vyřazeni z klinických studií.</w:t>
      </w:r>
    </w:p>
    <w:p w14:paraId="454987B8" w14:textId="77777777" w:rsidR="000A22A9" w:rsidRDefault="000A22A9">
      <w:pPr>
        <w:rPr>
          <w:szCs w:val="22"/>
        </w:rPr>
      </w:pPr>
    </w:p>
    <w:p w14:paraId="30E86B05" w14:textId="75DAE3D2" w:rsidR="000A22A9" w:rsidRDefault="003A2761">
      <w:pPr>
        <w:rPr>
          <w:szCs w:val="22"/>
        </w:rPr>
      </w:pPr>
      <w:r>
        <w:t>Vyšší výskyt ONJ u</w:t>
      </w:r>
      <w:r w:rsidR="00A11203" w:rsidRPr="002540E0">
        <w:rPr>
          <w:rFonts w:eastAsia="맑은 고딕"/>
          <w:lang w:eastAsia="ko-KR"/>
        </w:rPr>
        <w:t> </w:t>
      </w:r>
      <w:r w:rsidR="00A11203" w:rsidRPr="00A11203">
        <w:t>pacientů</w:t>
      </w:r>
      <w:r>
        <w:t xml:space="preserve"> léčených denosumabem v porovnání s kyselinou zoledronovou byl pozorován v klinických studiích zaměřených na prevenci SRE. Nejvyšší výskyt ONJ byl pozorován ve studii fáze III u pacientů s mnohočetným myelomem. Ve dvojitě zaslepené léčebné fázi této studie byla ONJ potvrzena u 5,9 % pacientů léčených </w:t>
      </w:r>
      <w:r w:rsidR="00492FCF" w:rsidRPr="00CE3A71">
        <w:t>denosumab</w:t>
      </w:r>
      <w:r w:rsidR="00492FCF">
        <w:t>em</w:t>
      </w:r>
      <w:r>
        <w:t xml:space="preserve"> (medián expozice 19,4 měsíce; rozmezí 1–52) a u 3,2 % pacientů léčených kyselinou zoledronovou. Po ukončení dvojitě zaslepené léčebné fáze této studie byla incidence potvrzené ONJ, upravená na pacientoroky, ve skupině s </w:t>
      </w:r>
      <w:r w:rsidR="00492FCF" w:rsidRPr="00CE3A71">
        <w:t>denosumab</w:t>
      </w:r>
      <w:r w:rsidR="00492FCF">
        <w:t>em</w:t>
      </w:r>
      <w:r>
        <w:t xml:space="preserve"> (medián expozice 19,4 měsíce; rozmezí 1–52) 2,0 na 100 pacientoroků během prvního roku léčby, v druhém roce 5,0 a dále 4,5. Medián doby do výskytu ONJ byl 18,7 měsíce (rozmezí: 1 </w:t>
      </w:r>
      <w:r>
        <w:noBreakHyphen/>
        <w:t xml:space="preserve"> 44).</w:t>
      </w:r>
    </w:p>
    <w:p w14:paraId="5F5E7C1A" w14:textId="77777777" w:rsidR="000A22A9" w:rsidRDefault="000A22A9">
      <w:pPr>
        <w:rPr>
          <w:szCs w:val="22"/>
        </w:rPr>
      </w:pPr>
    </w:p>
    <w:p w14:paraId="46CBD0C1" w14:textId="68F02048" w:rsidR="000A22A9" w:rsidRDefault="003A2761">
      <w:pPr>
        <w:rPr>
          <w:szCs w:val="22"/>
        </w:rPr>
      </w:pPr>
      <w:r>
        <w:t xml:space="preserve">V primárních fázích léčby ve třech kontrolovaných klinických studiích fáze III s aktivním komparátorem u pacientů s pokročilým maligním nádorovým onemocněním postihujícím kosti byla osteonekróza čelisti potvrzena u 1,8 % pacientů léčených </w:t>
      </w:r>
      <w:r w:rsidR="00492FCF" w:rsidRPr="00CE3A71">
        <w:t>denosumab</w:t>
      </w:r>
      <w:r w:rsidR="00492FCF">
        <w:t>em</w:t>
      </w:r>
      <w:r>
        <w:t xml:space="preserve"> (medián expozice 12,0 měsíců; rozmezí: 0,1 – 40,5) a u 1,3 % pacientů léčených kyselinou zoledronovou. Klinické příznaky těchto případů byly v obou léčených skupinách podobné. Mezi pacienty s potvrzenou ONJ měla většina (81 % v obou léčených skupinách) pacientů v anamnéze extrakci zubu, špatnou hygienu dutiny ústní, a/nebo </w:t>
      </w:r>
      <w:r w:rsidRPr="006107B2">
        <w:t>používání zubních náhrad</w:t>
      </w:r>
      <w:r>
        <w:t xml:space="preserve">. Většina pacientů </w:t>
      </w:r>
      <w:r w:rsidRPr="006107B2">
        <w:t xml:space="preserve">byla aktuálně nebo </w:t>
      </w:r>
      <w:r w:rsidR="006107B2" w:rsidRPr="006107B2">
        <w:t>dříve</w:t>
      </w:r>
      <w:r w:rsidR="006107B2">
        <w:t xml:space="preserve"> </w:t>
      </w:r>
      <w:r>
        <w:t>léčena chemoterapií.</w:t>
      </w:r>
    </w:p>
    <w:p w14:paraId="141457C1" w14:textId="77777777" w:rsidR="000A22A9" w:rsidRDefault="000A22A9">
      <w:pPr>
        <w:rPr>
          <w:szCs w:val="22"/>
        </w:rPr>
      </w:pPr>
    </w:p>
    <w:p w14:paraId="6B774035" w14:textId="42E9775B" w:rsidR="000A22A9" w:rsidRDefault="003A2761">
      <w:pPr>
        <w:pStyle w:val="ab"/>
        <w:rPr>
          <w:sz w:val="22"/>
          <w:szCs w:val="22"/>
        </w:rPr>
      </w:pPr>
      <w:r>
        <w:rPr>
          <w:sz w:val="22"/>
        </w:rPr>
        <w:t xml:space="preserve">Klinické studie u pacientů s karcinomem prsu nebo prostaty zahrnovaly rozšíření léčebné fáze </w:t>
      </w:r>
      <w:r w:rsidR="00492FCF" w:rsidRPr="00B55429">
        <w:rPr>
          <w:sz w:val="22"/>
          <w:szCs w:val="22"/>
        </w:rPr>
        <w:t>denosumabu</w:t>
      </w:r>
      <w:r>
        <w:rPr>
          <w:sz w:val="22"/>
        </w:rPr>
        <w:t xml:space="preserve"> (medián celkové expozice 14,9 měsíců; rozmezí: 0,1 – 67,2). ONJ byla potvrzena u 6,9 % pacientů s karcinomem prsu a s karcinomem prostaty během fáze prodloužení léčby.</w:t>
      </w:r>
    </w:p>
    <w:p w14:paraId="58E71AD4" w14:textId="77777777" w:rsidR="000A22A9" w:rsidRDefault="000A22A9">
      <w:pPr>
        <w:rPr>
          <w:szCs w:val="22"/>
        </w:rPr>
      </w:pPr>
    </w:p>
    <w:p w14:paraId="34FD0E4F" w14:textId="0D31285D" w:rsidR="000A22A9" w:rsidRDefault="003A2761">
      <w:pPr>
        <w:rPr>
          <w:szCs w:val="22"/>
        </w:rPr>
      </w:pPr>
      <w:r w:rsidRPr="005B3D79">
        <w:t>Celkový výskyt potvrzené ONJ upravený na pacientorok</w:t>
      </w:r>
      <w:r w:rsidR="006E752F" w:rsidRPr="005B3D79">
        <w:t>y</w:t>
      </w:r>
      <w:r w:rsidRPr="005B3D79">
        <w:t xml:space="preserve"> byl po</w:t>
      </w:r>
      <w:r>
        <w:t xml:space="preserve"> dobu prvního roku léčby 1,1 na 100 pacientoroků, v druhém roce 3,7 a poté 4,6.</w:t>
      </w:r>
      <w:r>
        <w:rPr>
          <w:i/>
        </w:rPr>
        <w:t xml:space="preserve"> </w:t>
      </w:r>
      <w:r>
        <w:t xml:space="preserve">Medián doby do výskytu ONJ byl 20,6 měsíců (rozmezí: 4 </w:t>
      </w:r>
      <w:r>
        <w:noBreakHyphen/>
        <w:t xml:space="preserve"> 53).</w:t>
      </w:r>
    </w:p>
    <w:p w14:paraId="6B1AB7A0" w14:textId="77777777" w:rsidR="000A22A9" w:rsidRDefault="000A22A9">
      <w:pPr>
        <w:autoSpaceDE w:val="0"/>
        <w:autoSpaceDN w:val="0"/>
        <w:adjustRightInd w:val="0"/>
        <w:rPr>
          <w:iCs/>
        </w:rPr>
      </w:pPr>
    </w:p>
    <w:p w14:paraId="7B03678A" w14:textId="2BD78A1A" w:rsidR="000A22A9" w:rsidRPr="00A7419B" w:rsidRDefault="003A2761" w:rsidP="00A7419B">
      <w:r>
        <w:t xml:space="preserve">Nerandomizovaná retrospektivní observační studie u 2877 pacientů s nádorovým onemocněním léčených </w:t>
      </w:r>
      <w:r w:rsidR="00492FCF" w:rsidRPr="00CE3A71">
        <w:t>denosumab</w:t>
      </w:r>
      <w:r w:rsidR="00492FCF">
        <w:t>em</w:t>
      </w:r>
      <w:r>
        <w:t xml:space="preserve"> nebo kyselinou zoledronovou ve Švédsku, Dánsku a Norsku ukázala, že 5letá incidence lékařsky potvrzené ONJ byla 5,7 % (95% CI: 4,4, 7,3; medián doby následného sledování 20 měsíců [rozmezí 0,2–60]) v kohortě pacientů, kteří dostávali </w:t>
      </w:r>
      <w:r w:rsidR="00492FCF" w:rsidRPr="00CE3A71">
        <w:t>denosumab</w:t>
      </w:r>
      <w:r>
        <w:t xml:space="preserve">, a 1,4 % (95% CI: 0,8, 2,3; medián doby následného sledování 13 měsíců [rozmezí 0,1–60]) v samostatné kohortě pacientů, kteří dostávali kyselinu zoledronovou. Pětiletá incidence ONJ u pacientů převáděných z kyseliny zoledronové na </w:t>
      </w:r>
      <w:r w:rsidR="00492FCF" w:rsidRPr="00CE3A71">
        <w:t>denosumab</w:t>
      </w:r>
      <w:r>
        <w:t xml:space="preserve"> byla 6,6 % (95% CI: 4,2, 10,0; medián doby následného sledování 13 měsíců [rozmezí 0,2–60]).</w:t>
      </w:r>
    </w:p>
    <w:p w14:paraId="4CA8010F" w14:textId="77777777" w:rsidR="000A22A9" w:rsidRDefault="000A22A9">
      <w:pPr>
        <w:autoSpaceDE w:val="0"/>
        <w:autoSpaceDN w:val="0"/>
        <w:adjustRightInd w:val="0"/>
        <w:rPr>
          <w:iCs/>
        </w:rPr>
      </w:pPr>
    </w:p>
    <w:p w14:paraId="643D73E3" w14:textId="5F1369C2" w:rsidR="000A22A9" w:rsidRDefault="003A2761">
      <w:pPr>
        <w:autoSpaceDE w:val="0"/>
        <w:autoSpaceDN w:val="0"/>
        <w:ind w:left="2"/>
      </w:pPr>
      <w:r w:rsidRPr="00A8711F">
        <w:t>V klinické studii fáze III u pacientů</w:t>
      </w:r>
      <w:r>
        <w:t xml:space="preserve"> </w:t>
      </w:r>
      <w:r w:rsidRPr="005B3D79">
        <w:t>s nemetast</w:t>
      </w:r>
      <w:r w:rsidR="00A8711F" w:rsidRPr="005B3D79">
        <w:t>a</w:t>
      </w:r>
      <w:r w:rsidRPr="005B3D79">
        <w:t xml:space="preserve">zujícím karcinomem prostaty (populace pacientů, u kterých není léčba </w:t>
      </w:r>
      <w:r w:rsidR="00492FCF" w:rsidRPr="005B3D79">
        <w:t>denosumabem</w:t>
      </w:r>
      <w:r w:rsidRPr="005B3D79">
        <w:t xml:space="preserve"> indikována), s delší expozicí léku až po dobu 7 let, byla incidence potvrzené ONJ upravená na pacientorok</w:t>
      </w:r>
      <w:r w:rsidR="00A8711F" w:rsidRPr="005B3D79">
        <w:t>y</w:t>
      </w:r>
      <w:r w:rsidRPr="005B3D79">
        <w:t xml:space="preserve"> 1,</w:t>
      </w:r>
      <w:r>
        <w:t>1 na 100 pacientoroků během prvního roku léčby, 3,0 ve druhém roce a poté 7,1.</w:t>
      </w:r>
    </w:p>
    <w:p w14:paraId="2493CAB2" w14:textId="77777777" w:rsidR="000A22A9" w:rsidRDefault="000A22A9">
      <w:pPr>
        <w:autoSpaceDE w:val="0"/>
        <w:autoSpaceDN w:val="0"/>
        <w:rPr>
          <w:lang w:eastAsia="sv-SE"/>
        </w:rPr>
      </w:pPr>
    </w:p>
    <w:p w14:paraId="61099AE0" w14:textId="24632A5B" w:rsidR="000A22A9" w:rsidRDefault="003A2761">
      <w:pPr>
        <w:autoSpaceDE w:val="0"/>
        <w:autoSpaceDN w:val="0"/>
        <w:rPr>
          <w:rFonts w:eastAsia="맑은 고딕"/>
          <w:lang w:eastAsia="ko-KR"/>
        </w:rPr>
      </w:pPr>
      <w:r>
        <w:t>V dlouhodobé otevřené klinické studii fáze</w:t>
      </w:r>
      <w:r w:rsidR="00A11203">
        <w:t> </w:t>
      </w:r>
      <w:r>
        <w:t>II u pacientů s velkobuněčným kostním nádorem (studie</w:t>
      </w:r>
      <w:r w:rsidR="00A11203" w:rsidRPr="00242813">
        <w:rPr>
          <w:rFonts w:eastAsia="맑은 고딕"/>
          <w:lang w:eastAsia="ko-KR"/>
        </w:rPr>
        <w:t> </w:t>
      </w:r>
      <w:r>
        <w:t>6, viz bod</w:t>
      </w:r>
      <w:r w:rsidR="00A11203" w:rsidRPr="00242813">
        <w:rPr>
          <w:rFonts w:eastAsia="맑은 고딕"/>
          <w:lang w:eastAsia="ko-KR"/>
        </w:rPr>
        <w:t> </w:t>
      </w:r>
      <w:r>
        <w:t>5.1) byla ONJ potvrzena u</w:t>
      </w:r>
      <w:r w:rsidR="00A11203" w:rsidRPr="00242813">
        <w:rPr>
          <w:rFonts w:eastAsia="맑은 고딕"/>
          <w:lang w:eastAsia="ko-KR"/>
        </w:rPr>
        <w:t> </w:t>
      </w:r>
      <w:r>
        <w:t>6,8 % pacientů, včetně jednoho dospívajícího (medián dávek 34; rozmezí 4 až 116). Po dokončení studie byl medián doby trvání studie včetně fáze následného sledování bezpečnosti 60,9 měsíců (rozmezí: 0 až 112,6). Celkový výskyt potvrzené ONJ upravený na pacientorok</w:t>
      </w:r>
      <w:r w:rsidR="006107B2">
        <w:t>y</w:t>
      </w:r>
      <w:r>
        <w:t xml:space="preserve"> byl celkově 1,5 na 100 pacientoroků (po dobu prvního roku léčby 0,2 na 100 pacientoroků, v druhém roce 1,5, ve třetím roce 1,8, ve čtvrtém roce 2,1, v pátém roce 1,4 a poté 2,2). Medián doby do ONJ byl 41 měsíců (rozmezí: 11 až 96).</w:t>
      </w:r>
    </w:p>
    <w:p w14:paraId="762298AA" w14:textId="77777777" w:rsidR="00522DFD" w:rsidRDefault="00522DFD">
      <w:pPr>
        <w:autoSpaceDE w:val="0"/>
        <w:autoSpaceDN w:val="0"/>
        <w:rPr>
          <w:rFonts w:eastAsia="맑은 고딕"/>
          <w:lang w:eastAsia="ko-KR"/>
        </w:rPr>
      </w:pPr>
    </w:p>
    <w:p w14:paraId="7FC2A622" w14:textId="5290604D" w:rsidR="00522DFD" w:rsidRPr="00522DFD" w:rsidRDefault="00522DFD">
      <w:pPr>
        <w:autoSpaceDE w:val="0"/>
        <w:autoSpaceDN w:val="0"/>
        <w:rPr>
          <w:rFonts w:eastAsia="맑은 고딕"/>
          <w:lang w:eastAsia="ko-KR"/>
        </w:rPr>
      </w:pPr>
      <w:r>
        <w:t>Studie 7 byla provedena s cílem pokračovat ve sledování pacientů s GCTB, kteří byli léčeni ve studii 6, po dobu dalších 5 nebo více let. ONJ byla hlášena u 6 pacientů (11,8 %) z 51 exponovaných pacientů s mediánem celkem 42 dávek denosumabu. Tři z těchto případů ONJ byly lékařsky potvrzeny.</w:t>
      </w:r>
    </w:p>
    <w:p w14:paraId="5D3E548E" w14:textId="77777777" w:rsidR="000A22A9" w:rsidRDefault="000A22A9">
      <w:pPr>
        <w:autoSpaceDE w:val="0"/>
        <w:autoSpaceDN w:val="0"/>
        <w:adjustRightInd w:val="0"/>
        <w:rPr>
          <w:iCs/>
        </w:rPr>
      </w:pPr>
    </w:p>
    <w:p w14:paraId="3B3EBB4E" w14:textId="77777777" w:rsidR="000A22A9" w:rsidRDefault="003A2761">
      <w:pPr>
        <w:keepNext/>
        <w:rPr>
          <w:i/>
          <w:iCs/>
        </w:rPr>
      </w:pPr>
      <w:r>
        <w:rPr>
          <w:i/>
        </w:rPr>
        <w:t xml:space="preserve">Hypersenzitivní </w:t>
      </w:r>
      <w:r w:rsidRPr="0084411D">
        <w:rPr>
          <w:i/>
        </w:rPr>
        <w:t>reakce související s přípravkem</w:t>
      </w:r>
    </w:p>
    <w:p w14:paraId="70A47281" w14:textId="6D0F5CEF" w:rsidR="000A22A9" w:rsidRDefault="003A2761">
      <w:pPr>
        <w:rPr>
          <w:iCs/>
        </w:rPr>
      </w:pPr>
      <w:r>
        <w:t xml:space="preserve">Po uvedení přípravku na trh byly u pacientů léčených </w:t>
      </w:r>
      <w:r w:rsidR="00492FCF" w:rsidRPr="00CE3A71">
        <w:t>denosumab</w:t>
      </w:r>
      <w:r w:rsidR="00492FCF">
        <w:t>em</w:t>
      </w:r>
      <w:r>
        <w:t xml:space="preserve"> hlášeny případy hypersenzitivity včetně vzácných případů anafylaktických reakcí.</w:t>
      </w:r>
    </w:p>
    <w:p w14:paraId="6FC9B087" w14:textId="77777777" w:rsidR="000A22A9" w:rsidRDefault="000A22A9">
      <w:pPr>
        <w:rPr>
          <w:szCs w:val="22"/>
        </w:rPr>
      </w:pPr>
    </w:p>
    <w:p w14:paraId="27861A03" w14:textId="77777777" w:rsidR="000A22A9" w:rsidRDefault="003A2761">
      <w:pPr>
        <w:pStyle w:val="Default"/>
        <w:keepNext/>
        <w:rPr>
          <w:color w:val="auto"/>
          <w:sz w:val="22"/>
          <w:szCs w:val="22"/>
        </w:rPr>
      </w:pPr>
      <w:r>
        <w:rPr>
          <w:i/>
          <w:color w:val="auto"/>
          <w:sz w:val="22"/>
        </w:rPr>
        <w:t>Atypické zlomeniny femuru</w:t>
      </w:r>
    </w:p>
    <w:p w14:paraId="5EA0BF60" w14:textId="0C6E96FA" w:rsidR="000A22A9" w:rsidRDefault="00522DFD">
      <w:pPr>
        <w:rPr>
          <w:rFonts w:eastAsia="맑은 고딕"/>
          <w:lang w:eastAsia="ko-KR"/>
        </w:rPr>
      </w:pPr>
      <w:r>
        <w:t xml:space="preserve">Celkově </w:t>
      </w:r>
      <w:r>
        <w:rPr>
          <w:rFonts w:eastAsia="맑은 고딕" w:hint="eastAsia"/>
          <w:lang w:eastAsia="ko-KR"/>
        </w:rPr>
        <w:t xml:space="preserve">v </w:t>
      </w:r>
      <w:r w:rsidR="003A2761">
        <w:t>programu klinických studií byly méně často hlášeny atypické zlomeniny femuru u</w:t>
      </w:r>
      <w:r w:rsidRPr="00522DFD">
        <w:rPr>
          <w:rFonts w:eastAsia="맑은 고딕"/>
          <w:lang w:eastAsia="ko-KR"/>
        </w:rPr>
        <w:t> </w:t>
      </w:r>
      <w:r w:rsidR="003A2761">
        <w:t xml:space="preserve">pacientů léčených </w:t>
      </w:r>
      <w:r w:rsidR="00492FCF" w:rsidRPr="00CE3A71">
        <w:t>denosumab</w:t>
      </w:r>
      <w:r w:rsidR="00492FCF">
        <w:t>em</w:t>
      </w:r>
      <w:r w:rsidR="003A2761">
        <w:t xml:space="preserve"> a</w:t>
      </w:r>
      <w:r w:rsidRPr="00522DFD">
        <w:rPr>
          <w:rFonts w:eastAsia="맑은 고딕"/>
          <w:lang w:eastAsia="ko-KR"/>
        </w:rPr>
        <w:t> </w:t>
      </w:r>
      <w:r w:rsidR="003A2761">
        <w:t>riziko se zvýšilo s</w:t>
      </w:r>
      <w:r w:rsidR="00DA65F9">
        <w:rPr>
          <w:rFonts w:eastAsia="맑은 고딕" w:hint="eastAsia"/>
          <w:lang w:eastAsia="ko-KR"/>
        </w:rPr>
        <w:t xml:space="preserve"> </w:t>
      </w:r>
      <w:r w:rsidR="003A2761">
        <w:t>delším trváním léčby</w:t>
      </w:r>
      <w:r w:rsidR="003A2761" w:rsidRPr="0084411D">
        <w:t xml:space="preserve">. </w:t>
      </w:r>
      <w:r w:rsidR="0084411D" w:rsidRPr="000C0C60">
        <w:t>N</w:t>
      </w:r>
      <w:r w:rsidR="003A2761" w:rsidRPr="0084411D">
        <w:t xml:space="preserve">ežádoucí účinky </w:t>
      </w:r>
      <w:r w:rsidR="0084411D" w:rsidRPr="000C0C60">
        <w:t xml:space="preserve">se objevily </w:t>
      </w:r>
      <w:r w:rsidR="003A2761" w:rsidRPr="0084411D">
        <w:t xml:space="preserve">během léčby a až 9 měsíců po </w:t>
      </w:r>
      <w:r w:rsidR="0084411D" w:rsidRPr="000C0C60">
        <w:t>jejím ukončení</w:t>
      </w:r>
      <w:r w:rsidR="003A2761" w:rsidRPr="0084411D">
        <w:t xml:space="preserve"> (viz bod</w:t>
      </w:r>
      <w:r w:rsidR="003A2761">
        <w:t> 4.4)</w:t>
      </w:r>
      <w:r w:rsidR="00A8711F">
        <w:t>.</w:t>
      </w:r>
    </w:p>
    <w:p w14:paraId="6B1A47AD" w14:textId="77777777" w:rsidR="00DA65F9" w:rsidRDefault="00DA65F9">
      <w:pPr>
        <w:rPr>
          <w:rFonts w:eastAsia="맑은 고딕"/>
          <w:lang w:eastAsia="ko-KR"/>
        </w:rPr>
      </w:pPr>
    </w:p>
    <w:p w14:paraId="7B713860" w14:textId="74DF4C41" w:rsidR="00DA65F9" w:rsidRPr="00DA65F9" w:rsidRDefault="00DA65F9">
      <w:pPr>
        <w:rPr>
          <w:rFonts w:eastAsia="맑은 고딕"/>
          <w:szCs w:val="22"/>
          <w:lang w:eastAsia="ko-KR"/>
        </w:rPr>
      </w:pPr>
      <w:r>
        <w:t xml:space="preserve">V programu klinických studií zkoumajících GCTB byly u pacientů léčených přípravkem </w:t>
      </w:r>
      <w:r w:rsidRPr="00DA65F9">
        <w:t>denosumabem</w:t>
      </w:r>
      <w:r>
        <w:t xml:space="preserve"> často hlášeny atypické zlomeniny femuru. Ve studii 6 byl výskyt potvrzené AFF (atypické zlomeniny femuru) u pacientů s velkobuněčným kostním nádorem 0,95 % (5/526) V následné studii 7 byl výskyt potvrzené AFF u 3,9 % (2/51) pacientů exponovaných denosumabu.</w:t>
      </w:r>
    </w:p>
    <w:p w14:paraId="57DAC15B" w14:textId="77777777" w:rsidR="000A22A9" w:rsidRDefault="000A22A9">
      <w:pPr>
        <w:rPr>
          <w:b/>
          <w:i/>
          <w:iCs/>
          <w:szCs w:val="22"/>
        </w:rPr>
      </w:pPr>
    </w:p>
    <w:p w14:paraId="7E38A715" w14:textId="77777777" w:rsidR="000A22A9" w:rsidRDefault="003A2761">
      <w:pPr>
        <w:keepNext/>
        <w:rPr>
          <w:i/>
          <w:iCs/>
          <w:szCs w:val="22"/>
        </w:rPr>
      </w:pPr>
      <w:r>
        <w:rPr>
          <w:i/>
        </w:rPr>
        <w:t>Muskuloskeletální bolest</w:t>
      </w:r>
    </w:p>
    <w:p w14:paraId="5E6EC777" w14:textId="73726CDA" w:rsidR="000A22A9" w:rsidRDefault="003A2761">
      <w:pPr>
        <w:rPr>
          <w:bCs/>
          <w:szCs w:val="22"/>
        </w:rPr>
      </w:pPr>
      <w:r>
        <w:t xml:space="preserve">Po uvedení přípravku na trh byla u </w:t>
      </w:r>
      <w:r w:rsidRPr="0084411D">
        <w:t xml:space="preserve">pacientů </w:t>
      </w:r>
      <w:r w:rsidR="0084411D" w:rsidRPr="0084411D">
        <w:t>léčených</w:t>
      </w:r>
      <w:r w:rsidR="0084411D">
        <w:t xml:space="preserve"> </w:t>
      </w:r>
      <w:r w:rsidR="00492FCF" w:rsidRPr="00CE3A71">
        <w:t>denosumab</w:t>
      </w:r>
      <w:r w:rsidR="0084411D">
        <w:t>em</w:t>
      </w:r>
      <w:r>
        <w:t xml:space="preserve"> zaznamenána muskuloskeletální bolest včetně závažných případů. V klinických studiích byla muskuloskeletální bolest velmi častá v obou skupinách jak s denosumabem, tak s kyselinou zoledronovou. Muskuloskeletální bolest vedoucí k přerušení léčby ve studii byla méně častá.</w:t>
      </w:r>
    </w:p>
    <w:p w14:paraId="5AE6FD5D" w14:textId="77777777" w:rsidR="000A22A9" w:rsidRDefault="000A22A9">
      <w:pPr>
        <w:rPr>
          <w:bCs/>
          <w:szCs w:val="22"/>
        </w:rPr>
      </w:pPr>
    </w:p>
    <w:p w14:paraId="6A92D085" w14:textId="77777777" w:rsidR="000A22A9" w:rsidRDefault="003A2761">
      <w:pPr>
        <w:keepNext/>
        <w:autoSpaceDE w:val="0"/>
        <w:autoSpaceDN w:val="0"/>
        <w:rPr>
          <w:i/>
          <w:iCs/>
        </w:rPr>
      </w:pPr>
      <w:r>
        <w:rPr>
          <w:i/>
        </w:rPr>
        <w:lastRenderedPageBreak/>
        <w:t>Nová primární malignita</w:t>
      </w:r>
    </w:p>
    <w:p w14:paraId="1D566233" w14:textId="6863019F" w:rsidR="000A22A9" w:rsidRDefault="003A2761">
      <w:pPr>
        <w:autoSpaceDE w:val="0"/>
        <w:autoSpaceDN w:val="0"/>
        <w:rPr>
          <w:iCs/>
        </w:rPr>
      </w:pPr>
      <w:r>
        <w:t>V primárních dvojitě zaslepených fázích léčby ve čtyřech kontrolovaných klinických studiích fáze III s aktivním komparátorem u pacientů s pokročilým maligním nádorovým onemocněním postihujícím kosti byla nová primární malignita hlášena u 54/3</w:t>
      </w:r>
      <w:r w:rsidR="00DA65F9">
        <w:t> </w:t>
      </w:r>
      <w:r>
        <w:t xml:space="preserve">691 (1,5 %) pacientů léčených </w:t>
      </w:r>
      <w:r w:rsidR="00492FCF" w:rsidRPr="00CE3A71">
        <w:t>denosumab</w:t>
      </w:r>
      <w:r w:rsidR="00492FCF">
        <w:t>em</w:t>
      </w:r>
      <w:r>
        <w:t xml:space="preserve"> (medián expozice 13,8 měsíců; rozmezí: 1,0–51,7) a u 33/3</w:t>
      </w:r>
      <w:r w:rsidR="009237FF">
        <w:t> </w:t>
      </w:r>
      <w:r>
        <w:t>688 (0,9 %) pacientů léčených kyselinou zoledronovou (medián expozice 12,9 měsíců, rozmezí: 1,0–50,8).</w:t>
      </w:r>
    </w:p>
    <w:p w14:paraId="1601F6E0" w14:textId="77777777" w:rsidR="000A22A9" w:rsidRPr="00DE20EF" w:rsidRDefault="000A22A9">
      <w:pPr>
        <w:autoSpaceDE w:val="0"/>
        <w:autoSpaceDN w:val="0"/>
        <w:rPr>
          <w:iCs/>
        </w:rPr>
      </w:pPr>
    </w:p>
    <w:p w14:paraId="6468B9A1" w14:textId="77777777" w:rsidR="000A22A9" w:rsidRDefault="003A2761">
      <w:pPr>
        <w:autoSpaceDE w:val="0"/>
        <w:autoSpaceDN w:val="0"/>
        <w:rPr>
          <w:iCs/>
        </w:rPr>
      </w:pPr>
      <w:r>
        <w:t>Kumulativní incidence v jednom roce činila 1,1 % pro denosumab a 0,6 % pro kyselinu zoledronovou.</w:t>
      </w:r>
    </w:p>
    <w:p w14:paraId="20A62F8E" w14:textId="77777777" w:rsidR="000A22A9" w:rsidRPr="002375FC" w:rsidRDefault="000A22A9">
      <w:pPr>
        <w:autoSpaceDE w:val="0"/>
        <w:autoSpaceDN w:val="0"/>
        <w:rPr>
          <w:iCs/>
        </w:rPr>
      </w:pPr>
    </w:p>
    <w:p w14:paraId="227B1ACD" w14:textId="77777777" w:rsidR="000A22A9" w:rsidRDefault="003A2761">
      <w:pPr>
        <w:autoSpaceDE w:val="0"/>
        <w:autoSpaceDN w:val="0"/>
        <w:rPr>
          <w:rFonts w:eastAsia="맑은 고딕"/>
          <w:lang w:eastAsia="ko-KR"/>
        </w:rPr>
      </w:pPr>
      <w:r>
        <w:t>U jednotlivých maligních nádorů nebo skupin maligních nádorů nebyl zaznamenán žádný vzorec souvislosti s léčbou.</w:t>
      </w:r>
    </w:p>
    <w:p w14:paraId="775BFF42" w14:textId="77777777" w:rsidR="00605E04" w:rsidRDefault="00605E04">
      <w:pPr>
        <w:autoSpaceDE w:val="0"/>
        <w:autoSpaceDN w:val="0"/>
        <w:rPr>
          <w:rFonts w:eastAsia="맑은 고딕"/>
          <w:lang w:eastAsia="ko-KR"/>
        </w:rPr>
      </w:pPr>
    </w:p>
    <w:p w14:paraId="3C638588" w14:textId="2BDE9818" w:rsidR="00605E04" w:rsidRPr="00605E04" w:rsidRDefault="00605E04">
      <w:pPr>
        <w:autoSpaceDE w:val="0"/>
        <w:autoSpaceDN w:val="0"/>
        <w:rPr>
          <w:rFonts w:eastAsia="맑은 고딕"/>
          <w:iCs/>
          <w:lang w:eastAsia="ko-KR"/>
        </w:rPr>
      </w:pPr>
      <w:r>
        <w:t>U pacientů s velkobuněčným kostním nádorem byl ve studii 6 výskyt nových malignit, včetně malignit zasahujících kost a malignit mimo kost, 3,8 % (20/526). V následné studii 7 byl výskyt u 11,8 % (6/51) pacientů exponovaných denosumabu.</w:t>
      </w:r>
    </w:p>
    <w:p w14:paraId="67BFF77F" w14:textId="77777777" w:rsidR="000A22A9" w:rsidRPr="002375FC" w:rsidRDefault="000A22A9">
      <w:pPr>
        <w:autoSpaceDE w:val="0"/>
        <w:autoSpaceDN w:val="0"/>
        <w:rPr>
          <w:iCs/>
        </w:rPr>
      </w:pPr>
    </w:p>
    <w:p w14:paraId="4A86B8D9" w14:textId="77777777" w:rsidR="000A22A9" w:rsidRDefault="003A2761" w:rsidP="00BF0E6B">
      <w:pPr>
        <w:pStyle w:val="Italic11pt"/>
        <w:keepNext/>
      </w:pPr>
      <w:r w:rsidRPr="00074584">
        <w:t>Lichenoidní erupce způsobené léky</w:t>
      </w:r>
    </w:p>
    <w:p w14:paraId="4887629C" w14:textId="77777777" w:rsidR="000A22A9" w:rsidRDefault="003A2761">
      <w:pPr>
        <w:autoSpaceDE w:val="0"/>
        <w:autoSpaceDN w:val="0"/>
        <w:rPr>
          <w:iCs/>
        </w:rPr>
      </w:pPr>
      <w:r>
        <w:t xml:space="preserve">Lichenoidní erupce způsobené léky (např. reakce podobné </w:t>
      </w:r>
      <w:r w:rsidRPr="00074584">
        <w:t>projevům lichen planus) byly</w:t>
      </w:r>
      <w:r>
        <w:t xml:space="preserve"> hlášeny u pacientů po uvedení přípravku na trh.</w:t>
      </w:r>
    </w:p>
    <w:p w14:paraId="7A423E7D" w14:textId="77777777" w:rsidR="000A22A9" w:rsidRPr="00F66886" w:rsidRDefault="000A22A9">
      <w:pPr>
        <w:autoSpaceDE w:val="0"/>
        <w:autoSpaceDN w:val="0"/>
      </w:pPr>
    </w:p>
    <w:p w14:paraId="5A6427E9" w14:textId="77777777" w:rsidR="000A22A9" w:rsidRDefault="003A2761">
      <w:pPr>
        <w:keepNext/>
        <w:rPr>
          <w:bCs/>
          <w:u w:val="single"/>
        </w:rPr>
      </w:pPr>
      <w:r>
        <w:rPr>
          <w:u w:val="single"/>
        </w:rPr>
        <w:t>Pediatrická populace</w:t>
      </w:r>
    </w:p>
    <w:p w14:paraId="4F5C0211" w14:textId="77777777" w:rsidR="000A22A9" w:rsidRDefault="000A22A9">
      <w:pPr>
        <w:keepNext/>
        <w:rPr>
          <w:bCs/>
          <w:u w:val="single"/>
        </w:rPr>
      </w:pPr>
    </w:p>
    <w:p w14:paraId="17C819A6" w14:textId="529FEDD5" w:rsidR="000A22A9" w:rsidRDefault="00492FCF">
      <w:pPr>
        <w:tabs>
          <w:tab w:val="clear" w:pos="567"/>
        </w:tabs>
        <w:rPr>
          <w:bCs/>
        </w:rPr>
      </w:pPr>
      <w:r>
        <w:t>D</w:t>
      </w:r>
      <w:r w:rsidRPr="00492FCF">
        <w:t>enosumab</w:t>
      </w:r>
      <w:r w:rsidR="003A2761">
        <w:t xml:space="preserve"> byl hodnocen v </w:t>
      </w:r>
      <w:r w:rsidR="00A8711F">
        <w:t xml:space="preserve">otevřené </w:t>
      </w:r>
      <w:r w:rsidR="003A2761">
        <w:t>studii, do které bylo zařazeno 28 dospívajících s</w:t>
      </w:r>
      <w:r w:rsidR="00CD4255">
        <w:t> ukončeným vývojem</w:t>
      </w:r>
      <w:r w:rsidR="003A2761">
        <w:t xml:space="preserve"> skelet</w:t>
      </w:r>
      <w:r w:rsidR="00CD4255">
        <w:t>u</w:t>
      </w:r>
      <w:r w:rsidR="003A2761">
        <w:t xml:space="preserve"> s velkobuněčným kostním nádorem. Na základě těchto omezených údajů se zdá, že profil nežádoucích účinků je podobný jako u dospělých.</w:t>
      </w:r>
    </w:p>
    <w:p w14:paraId="728CB61D" w14:textId="77777777" w:rsidR="000A22A9" w:rsidRDefault="000A22A9">
      <w:pPr>
        <w:rPr>
          <w:szCs w:val="22"/>
        </w:rPr>
      </w:pPr>
    </w:p>
    <w:p w14:paraId="1B337B50" w14:textId="77777777" w:rsidR="000A22A9" w:rsidRDefault="003A2761">
      <w:pPr>
        <w:rPr>
          <w:szCs w:val="22"/>
        </w:rPr>
      </w:pPr>
      <w:r>
        <w:t>Po uvedení přípravku na trh byla u pediatrických pacientů po vysazení léčby zaznamenána klinicky významná hyperkalcemie (viz bod 4.4).</w:t>
      </w:r>
    </w:p>
    <w:p w14:paraId="210E5A72" w14:textId="77777777" w:rsidR="000A22A9" w:rsidRDefault="000A22A9">
      <w:pPr>
        <w:rPr>
          <w:szCs w:val="22"/>
        </w:rPr>
      </w:pPr>
    </w:p>
    <w:p w14:paraId="3EB08B99" w14:textId="77777777" w:rsidR="000A22A9" w:rsidRDefault="003A2761">
      <w:pPr>
        <w:keepNext/>
        <w:rPr>
          <w:bCs/>
          <w:u w:val="single"/>
        </w:rPr>
      </w:pPr>
      <w:r>
        <w:rPr>
          <w:u w:val="single"/>
        </w:rPr>
        <w:t>Jiné zvláštní skupiny pacientů</w:t>
      </w:r>
    </w:p>
    <w:p w14:paraId="15E851AA" w14:textId="77777777" w:rsidR="000A22A9" w:rsidRDefault="000A22A9">
      <w:pPr>
        <w:keepNext/>
        <w:rPr>
          <w:bCs/>
          <w:u w:val="single"/>
        </w:rPr>
      </w:pPr>
    </w:p>
    <w:p w14:paraId="0C919B83" w14:textId="77777777" w:rsidR="000A22A9" w:rsidRDefault="003A2761">
      <w:pPr>
        <w:keepNext/>
        <w:rPr>
          <w:bCs/>
          <w:i/>
          <w:szCs w:val="22"/>
        </w:rPr>
      </w:pPr>
      <w:r>
        <w:rPr>
          <w:i/>
        </w:rPr>
        <w:t>Porucha funkce ledvin</w:t>
      </w:r>
    </w:p>
    <w:p w14:paraId="49079F45" w14:textId="4F11D1B2" w:rsidR="000A22A9" w:rsidRDefault="003A2761">
      <w:pPr>
        <w:rPr>
          <w:bCs/>
          <w:szCs w:val="22"/>
        </w:rPr>
      </w:pPr>
      <w:r>
        <w:t xml:space="preserve">V klinické studii u pacientů bez pokročilého </w:t>
      </w:r>
      <w:r w:rsidRPr="00074584">
        <w:t xml:space="preserve">karcinomu s </w:t>
      </w:r>
      <w:r w:rsidR="00A8711F" w:rsidRPr="00074584">
        <w:t>těžkou</w:t>
      </w:r>
      <w:r w:rsidRPr="00074584">
        <w:t xml:space="preserve"> poruchou funkce</w:t>
      </w:r>
      <w:r>
        <w:t xml:space="preserve"> ledvin (clearance kreatininu &lt; 30 ml/min) nebo u dialyzovaných pacientů existuje vyšší riziko vzniku hypokalcemie při chybějící suplementaci vápníkem.</w:t>
      </w:r>
      <w:r>
        <w:rPr>
          <w:i/>
        </w:rPr>
        <w:t xml:space="preserve"> </w:t>
      </w:r>
      <w:r>
        <w:t xml:space="preserve">Riziko vzniku hypokalcemie během léčby </w:t>
      </w:r>
      <w:r w:rsidR="00492FCF" w:rsidRPr="00CE3A71">
        <w:t>denosumab</w:t>
      </w:r>
      <w:r w:rsidR="00492FCF">
        <w:t>em</w:t>
      </w:r>
      <w:r>
        <w:t xml:space="preserve"> je vyšší se zvyšujícím se stupněm poruchy funkce ledvin. V klinické studii u pacientů bez pokročilého karcinomu se u 19 % pacientů s </w:t>
      </w:r>
      <w:r w:rsidR="00A8711F">
        <w:t>těžkou</w:t>
      </w:r>
      <w:r>
        <w:t xml:space="preserve"> poruchou funkce ledvin (clearance kreatininu &lt; 30 ml/min) a u 63 % pacientů </w:t>
      </w:r>
      <w:r w:rsidR="00A8711F">
        <w:t>podstupujících</w:t>
      </w:r>
      <w:r>
        <w:t xml:space="preserve"> dialýz</w:t>
      </w:r>
      <w:r w:rsidR="00A8711F">
        <w:t>u</w:t>
      </w:r>
      <w:r>
        <w:t xml:space="preserve"> vyvinula hypokalcemie i přes suplementaci vápníkem. Celková incidence klinicky významné hypokalcemie byla 9 %.</w:t>
      </w:r>
    </w:p>
    <w:p w14:paraId="4475FA20" w14:textId="77777777" w:rsidR="000A22A9" w:rsidRDefault="000A22A9">
      <w:pPr>
        <w:rPr>
          <w:bCs/>
          <w:szCs w:val="22"/>
        </w:rPr>
      </w:pPr>
    </w:p>
    <w:p w14:paraId="7D097237" w14:textId="0370191B" w:rsidR="000A22A9" w:rsidRDefault="003A2761">
      <w:pPr>
        <w:rPr>
          <w:bCs/>
          <w:szCs w:val="22"/>
        </w:rPr>
      </w:pPr>
      <w:r>
        <w:t xml:space="preserve">U pacientů léčených </w:t>
      </w:r>
      <w:r w:rsidR="00492FCF" w:rsidRPr="00CE3A71">
        <w:t>denosumab</w:t>
      </w:r>
      <w:r w:rsidR="00492FCF">
        <w:t>em</w:t>
      </w:r>
      <w:r>
        <w:t xml:space="preserve"> s </w:t>
      </w:r>
      <w:r w:rsidR="00A8711F">
        <w:t>těžkou</w:t>
      </w:r>
      <w:r>
        <w:t xml:space="preserve"> poruchou funkce ledvin nebo na dialýze bylo rovněž pozorováno průvodní zvýšení hladin paratyroidního hormonu. U pacientů s poruchou funkce ledvin je obzvlášť důležité monitorování hladin vápníku a adekvátní přísun vápníku a vitaminu D (viz bod 4.4).</w:t>
      </w:r>
    </w:p>
    <w:p w14:paraId="6E6FAAF4" w14:textId="77777777" w:rsidR="000A22A9" w:rsidRDefault="000A22A9">
      <w:pPr>
        <w:rPr>
          <w:szCs w:val="22"/>
          <w:lang w:eastAsia="zh-TW"/>
        </w:rPr>
      </w:pPr>
    </w:p>
    <w:p w14:paraId="4CFE3FF6" w14:textId="77777777" w:rsidR="000A22A9" w:rsidRDefault="003A2761">
      <w:pPr>
        <w:pStyle w:val="Default"/>
        <w:keepNext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u w:val="single"/>
        </w:rPr>
        <w:t>Hlášení podezření na nežádoucí účinky</w:t>
      </w:r>
    </w:p>
    <w:p w14:paraId="50E89ACE" w14:textId="77777777" w:rsidR="000A22A9" w:rsidRDefault="000A22A9">
      <w:pPr>
        <w:pStyle w:val="Default"/>
        <w:keepNext/>
        <w:rPr>
          <w:color w:val="auto"/>
          <w:sz w:val="22"/>
          <w:szCs w:val="22"/>
          <w:u w:val="single"/>
        </w:rPr>
      </w:pPr>
    </w:p>
    <w:p w14:paraId="0687B3E5" w14:textId="5F3FEBAE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>
        <w:rPr>
          <w:highlight w:val="lightGray"/>
        </w:rPr>
        <w:t>národního systému hlášení nežádoucích účinků uvedeného v </w:t>
      </w:r>
      <w:hyperlink r:id="rId11" w:history="1">
        <w:r>
          <w:rPr>
            <w:rStyle w:val="ad"/>
            <w:highlight w:val="lightGray"/>
          </w:rPr>
          <w:t>Dodatku V</w:t>
        </w:r>
      </w:hyperlink>
      <w:r>
        <w:t>.</w:t>
      </w:r>
    </w:p>
    <w:p w14:paraId="1F0D109D" w14:textId="77777777" w:rsidR="000A22A9" w:rsidRDefault="000A22A9">
      <w:pPr>
        <w:tabs>
          <w:tab w:val="clear" w:pos="567"/>
          <w:tab w:val="left" w:pos="988"/>
        </w:tabs>
        <w:rPr>
          <w:bCs/>
        </w:rPr>
      </w:pPr>
    </w:p>
    <w:p w14:paraId="53432842" w14:textId="77777777" w:rsidR="000A22A9" w:rsidRDefault="003A2761">
      <w:pPr>
        <w:keepNext/>
        <w:ind w:left="567" w:hanging="567"/>
        <w:rPr>
          <w:bCs/>
        </w:rPr>
      </w:pPr>
      <w:r>
        <w:rPr>
          <w:b/>
        </w:rPr>
        <w:t>4.9</w:t>
      </w:r>
      <w:r>
        <w:rPr>
          <w:b/>
        </w:rPr>
        <w:tab/>
        <w:t>Předávkování</w:t>
      </w:r>
    </w:p>
    <w:p w14:paraId="526C41EB" w14:textId="77777777" w:rsidR="000A22A9" w:rsidRDefault="000A22A9">
      <w:pPr>
        <w:keepNext/>
        <w:rPr>
          <w:szCs w:val="22"/>
        </w:rPr>
      </w:pPr>
    </w:p>
    <w:p w14:paraId="1E29BB53" w14:textId="1A13C7C4" w:rsidR="000A22A9" w:rsidRDefault="003A2761">
      <w:r>
        <w:t xml:space="preserve">Neexistují zkušenosti s předávkováním v klinických studiích. </w:t>
      </w:r>
      <w:r w:rsidR="00492FCF">
        <w:t>D</w:t>
      </w:r>
      <w:r w:rsidR="00492FCF" w:rsidRPr="00CE3A71">
        <w:t>enosumab</w:t>
      </w:r>
      <w:r>
        <w:t xml:space="preserve"> byl podáván v rámci klinických studií v dávkách až 180 mg každé 4 týdny a 120 mg týdně po dobu 3 týdnů.</w:t>
      </w:r>
    </w:p>
    <w:p w14:paraId="420428A8" w14:textId="77777777" w:rsidR="000A22A9" w:rsidRDefault="000A22A9"/>
    <w:p w14:paraId="34989624" w14:textId="77777777" w:rsidR="000A22A9" w:rsidRDefault="000A22A9"/>
    <w:p w14:paraId="5CC4A623" w14:textId="77777777" w:rsidR="000A22A9" w:rsidRDefault="003A2761">
      <w:pPr>
        <w:keepNext/>
        <w:ind w:left="567" w:hanging="567"/>
      </w:pPr>
      <w:r>
        <w:rPr>
          <w:b/>
        </w:rPr>
        <w:lastRenderedPageBreak/>
        <w:t>5.</w:t>
      </w:r>
      <w:r>
        <w:rPr>
          <w:b/>
        </w:rPr>
        <w:tab/>
        <w:t>FARMAKOLOGICKÉ VLASTNOSTI</w:t>
      </w:r>
    </w:p>
    <w:p w14:paraId="7F267C5B" w14:textId="77777777" w:rsidR="000A22A9" w:rsidRDefault="000A22A9">
      <w:pPr>
        <w:keepNext/>
      </w:pPr>
    </w:p>
    <w:p w14:paraId="027DA1A1" w14:textId="3999B718" w:rsidR="000A22A9" w:rsidRPr="00021B53" w:rsidRDefault="003A2761" w:rsidP="00021B53">
      <w:pPr>
        <w:pStyle w:val="Stylebold"/>
        <w:keepNext/>
        <w:ind w:left="567" w:hanging="567"/>
      </w:pPr>
      <w:r>
        <w:t>5.1</w:t>
      </w:r>
      <w:r>
        <w:tab/>
        <w:t>Farmakodynamické vlastnosti</w:t>
      </w:r>
    </w:p>
    <w:p w14:paraId="28AE46A0" w14:textId="77777777" w:rsidR="000A22A9" w:rsidRDefault="000A22A9">
      <w:pPr>
        <w:keepNext/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40D83740" w14:textId="77777777" w:rsidR="000A22A9" w:rsidRDefault="003A2761">
      <w:pPr>
        <w:pStyle w:val="ab"/>
        <w:rPr>
          <w:sz w:val="22"/>
        </w:rPr>
      </w:pPr>
      <w:r>
        <w:rPr>
          <w:sz w:val="22"/>
        </w:rPr>
        <w:t xml:space="preserve">Farmakoterapeutická </w:t>
      </w:r>
      <w:r w:rsidRPr="00074584">
        <w:rPr>
          <w:sz w:val="22"/>
        </w:rPr>
        <w:t>skupina: Léčiva k terapii nemocí kostí – jiná léčiva ovlivňující stavbu</w:t>
      </w:r>
      <w:r>
        <w:rPr>
          <w:sz w:val="22"/>
        </w:rPr>
        <w:t xml:space="preserve"> a mineralizaci kosti, ATC kód: M05BX04</w:t>
      </w:r>
    </w:p>
    <w:p w14:paraId="781B0162" w14:textId="77777777" w:rsidR="008B57E4" w:rsidRPr="00BF25DF" w:rsidRDefault="008B57E4">
      <w:pPr>
        <w:pStyle w:val="ab"/>
        <w:rPr>
          <w:sz w:val="22"/>
          <w:szCs w:val="22"/>
        </w:rPr>
      </w:pPr>
    </w:p>
    <w:p w14:paraId="29782972" w14:textId="641E6B67" w:rsidR="008B57E4" w:rsidRPr="008C3C2D" w:rsidRDefault="00074584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Přípravek </w:t>
      </w:r>
      <w:r w:rsidR="008B57E4" w:rsidRPr="00BF25DF">
        <w:rPr>
          <w:sz w:val="22"/>
          <w:szCs w:val="22"/>
        </w:rPr>
        <w:t xml:space="preserve">Osenvelt </w:t>
      </w:r>
      <w:r w:rsidR="008B57E4" w:rsidRPr="00F04C6A">
        <w:rPr>
          <w:sz w:val="22"/>
          <w:szCs w:val="22"/>
        </w:rPr>
        <w:t xml:space="preserve">je </w:t>
      </w:r>
      <w:r w:rsidR="008B57E4" w:rsidRPr="00074584">
        <w:rPr>
          <w:sz w:val="22"/>
          <w:szCs w:val="22"/>
        </w:rPr>
        <w:t>tzv. podobným biologickým léčivým přípravkem („biosimilar</w:t>
      </w:r>
      <w:r w:rsidR="008B57E4" w:rsidRPr="00F04C6A">
        <w:rPr>
          <w:sz w:val="22"/>
          <w:szCs w:val="22"/>
        </w:rPr>
        <w:t>“). Podrobné informace jsou k dispozici na webových stránkách Evropské agentury pro léčivé přípravky</w:t>
      </w:r>
      <w:r w:rsidR="008B57E4" w:rsidRPr="00EA1154">
        <w:rPr>
          <w:sz w:val="22"/>
          <w:szCs w:val="22"/>
        </w:rPr>
        <w:t xml:space="preserve"> </w:t>
      </w:r>
      <w:hyperlink r:id="rId12" w:history="1">
        <w:r w:rsidR="000A0E5A" w:rsidRPr="00BE4B15">
          <w:rPr>
            <w:rStyle w:val="ad"/>
            <w:sz w:val="22"/>
            <w:szCs w:val="22"/>
          </w:rPr>
          <w:t>https://www.ema.europa.eu</w:t>
        </w:r>
      </w:hyperlink>
      <w:r w:rsidR="008B57E4" w:rsidRPr="00EA1154">
        <w:rPr>
          <w:sz w:val="22"/>
          <w:szCs w:val="22"/>
        </w:rPr>
        <w:t>.</w:t>
      </w:r>
    </w:p>
    <w:p w14:paraId="41CC7BE6" w14:textId="77777777" w:rsidR="000A22A9" w:rsidRDefault="000A22A9"/>
    <w:p w14:paraId="5CBA04BD" w14:textId="77777777" w:rsidR="000A22A9" w:rsidRDefault="003A2761">
      <w:pPr>
        <w:keepNext/>
        <w:rPr>
          <w:u w:val="single"/>
        </w:rPr>
      </w:pPr>
      <w:r>
        <w:rPr>
          <w:u w:val="single"/>
        </w:rPr>
        <w:t>Mechanismus účinku</w:t>
      </w:r>
    </w:p>
    <w:p w14:paraId="6754ACDC" w14:textId="77777777" w:rsidR="000A22A9" w:rsidRDefault="000A22A9">
      <w:pPr>
        <w:keepNext/>
        <w:rPr>
          <w:u w:val="single"/>
        </w:rPr>
      </w:pPr>
    </w:p>
    <w:p w14:paraId="36786AD5" w14:textId="7E7FD4E1" w:rsidR="000A22A9" w:rsidRDefault="003A2761">
      <w:pPr>
        <w:rPr>
          <w:szCs w:val="22"/>
        </w:rPr>
      </w:pPr>
      <w:r>
        <w:t xml:space="preserve">RANKL existuje ve formě transmembránového nebo solubilního proteinu. RANKL je nepostradatelný pro tvorbu, funkci </w:t>
      </w:r>
      <w:r w:rsidRPr="00074584">
        <w:t xml:space="preserve">a </w:t>
      </w:r>
      <w:r w:rsidR="00074584" w:rsidRPr="00074584">
        <w:t>přežívání</w:t>
      </w:r>
      <w:r w:rsidR="00074584">
        <w:t xml:space="preserve"> </w:t>
      </w:r>
      <w:r>
        <w:t xml:space="preserve">osteoklastů, jediného typu buněk zodpovědného za resorpci kostní tkáně. Zvýšená aktivita osteoklastů, kterou stimuluje RANKL, je klíčovým prostředkem destrukce kosti při jejím metastatickém postižení a u </w:t>
      </w:r>
      <w:r w:rsidRPr="00074584">
        <w:t>mnohočetného myelomu. Denosumab je humánní monoklonální protilátka (IgG2), která se s vysokou afinitou i specificitou zaměřuje a váže na RANKL. Zabránění interakce RANKL/RANK vede ke snížení počtu osteoklastů a jejich funkce, čímž snižuje resorpci kosti a brání destrukci kosti způsobené nádorovým bujením.</w:t>
      </w:r>
    </w:p>
    <w:p w14:paraId="44A75155" w14:textId="77777777" w:rsidR="000A22A9" w:rsidRDefault="000A22A9">
      <w:pPr>
        <w:rPr>
          <w:szCs w:val="22"/>
        </w:rPr>
      </w:pPr>
    </w:p>
    <w:p w14:paraId="61E80F8E" w14:textId="77777777" w:rsidR="000A22A9" w:rsidRDefault="003A2761">
      <w:pPr>
        <w:rPr>
          <w:szCs w:val="22"/>
        </w:rPr>
      </w:pPr>
      <w:r w:rsidRPr="00074584">
        <w:t>Velkobuněčné kostní nádory jsou charakteristické neoplastickými stromálními buňkami, které exprimují RANK ligand a obrovskými osteoklastům podobnými buňkami, které exprimují RANK. U pacientů s velkobuněčným kostním nádorem se denosumab váže na RANK ligand, což výrazně snižuje nebo eliminuje obrovské osteoklastům podobné buňky. Důsledkem</w:t>
      </w:r>
      <w:r>
        <w:t xml:space="preserve"> toho je snížená osteolýza a stroma proliferačního nádoru je nahrazeno neproliferační diferencovanou novou kostí s vysokou hustotou.</w:t>
      </w:r>
    </w:p>
    <w:p w14:paraId="1EA9A716" w14:textId="77777777" w:rsidR="000A22A9" w:rsidRDefault="000A22A9">
      <w:pPr>
        <w:rPr>
          <w:bCs/>
          <w:szCs w:val="22"/>
        </w:rPr>
      </w:pPr>
    </w:p>
    <w:p w14:paraId="6D7BAB11" w14:textId="77777777" w:rsidR="000A22A9" w:rsidRDefault="003A276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>Farmakodynamické účinky</w:t>
      </w:r>
    </w:p>
    <w:p w14:paraId="3C5E8E3B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Cs w:val="0"/>
          <w:color w:val="auto"/>
          <w:sz w:val="22"/>
          <w:szCs w:val="22"/>
          <w:u w:val="single"/>
        </w:rPr>
      </w:pPr>
    </w:p>
    <w:p w14:paraId="0CDECF58" w14:textId="4110B26B" w:rsidR="000A22A9" w:rsidRDefault="003A2761" w:rsidP="002F6ACF">
      <w:pPr>
        <w:autoSpaceDE w:val="0"/>
        <w:autoSpaceDN w:val="0"/>
        <w:adjustRightInd w:val="0"/>
        <w:rPr>
          <w:szCs w:val="22"/>
        </w:rPr>
      </w:pPr>
      <w:r>
        <w:t xml:space="preserve">V klinických studiích fáze II u pacientů s pokročilým maligním onemocněním postihujícím kosti vedlo subkutánní podávání </w:t>
      </w:r>
      <w:r w:rsidR="008B57E4" w:rsidRPr="00CE3977">
        <w:t>denosumab</w:t>
      </w:r>
      <w:r w:rsidR="008B57E4">
        <w:t>u</w:t>
      </w:r>
      <w:r>
        <w:t xml:space="preserve"> každé 4 </w:t>
      </w:r>
      <w:r w:rsidRPr="009E69BA">
        <w:t>týdny (Q4W) nebo</w:t>
      </w:r>
      <w:r>
        <w:t xml:space="preserve"> každých 12 týdnů k rychlému poklesu hladiny markerů kostní resorpce (uNTX/Cr, sérový CTx), s mediánem poklesu markeru uNTX/Cr </w:t>
      </w:r>
      <w:r w:rsidRPr="009E69BA">
        <w:t>přibližně o</w:t>
      </w:r>
      <w:r w:rsidR="00605E04" w:rsidRPr="00605E04">
        <w:rPr>
          <w:rFonts w:eastAsia="맑은 고딕"/>
          <w:lang w:eastAsia="ko-KR"/>
        </w:rPr>
        <w:t> </w:t>
      </w:r>
      <w:r w:rsidRPr="009E69BA">
        <w:t>80 %, ke kterému došlo během 1 týdne bez závislosti na předchozí léčbě bisfosfonáty nebo na výchozí hladině uNTX/Cr. V klinických studiích fáze III u pacientů s pokročilými malignitami postihujícími kosti přetrvával medián poklesu uNTX/Cr přibližně o</w:t>
      </w:r>
      <w:r w:rsidR="009B2902" w:rsidRPr="002540E0">
        <w:rPr>
          <w:rFonts w:eastAsia="맑은 고딕"/>
          <w:lang w:eastAsia="ko-KR"/>
        </w:rPr>
        <w:t> </w:t>
      </w:r>
      <w:r w:rsidRPr="009E69BA">
        <w:t xml:space="preserve">80 % po dobu 49 týdnů léčby </w:t>
      </w:r>
      <w:r w:rsidR="008B57E4" w:rsidRPr="009E69BA">
        <w:t>denosumabem</w:t>
      </w:r>
      <w:r w:rsidRPr="009E69BA">
        <w:t xml:space="preserve"> (</w:t>
      </w:r>
      <w:r w:rsidR="002E00E3" w:rsidRPr="009E69BA">
        <w:t xml:space="preserve">při dávkování </w:t>
      </w:r>
      <w:r w:rsidRPr="009E69BA">
        <w:t>120 mg Q4W).</w:t>
      </w:r>
    </w:p>
    <w:p w14:paraId="5215914E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20745167" w14:textId="77777777" w:rsidR="000A22A9" w:rsidRDefault="003A2761">
      <w:pPr>
        <w:keepNext/>
        <w:rPr>
          <w:u w:val="single"/>
        </w:rPr>
      </w:pPr>
      <w:r>
        <w:rPr>
          <w:u w:val="single"/>
        </w:rPr>
        <w:t>Imunogenita</w:t>
      </w:r>
    </w:p>
    <w:p w14:paraId="2F45E831" w14:textId="77777777" w:rsidR="003B5AF1" w:rsidRDefault="003B5AF1">
      <w:pPr>
        <w:keepNext/>
        <w:rPr>
          <w:u w:val="single"/>
        </w:rPr>
      </w:pPr>
    </w:p>
    <w:p w14:paraId="6DA7DDEF" w14:textId="7601D03E" w:rsidR="000A22A9" w:rsidRDefault="003B5AF1">
      <w:r>
        <w:t xml:space="preserve">Během léčby </w:t>
      </w:r>
      <w:r w:rsidRPr="00CE3977">
        <w:t>denosumab</w:t>
      </w:r>
      <w:r>
        <w:t>em se mohou vy</w:t>
      </w:r>
      <w:r w:rsidR="000B2DE6">
        <w:t>vinout</w:t>
      </w:r>
      <w:r>
        <w:t xml:space="preserve"> protilátky proti </w:t>
      </w:r>
      <w:r w:rsidRPr="00CE3977">
        <w:t>denosumab</w:t>
      </w:r>
      <w:r>
        <w:t>u</w:t>
      </w:r>
      <w:r w:rsidRPr="00CE3977">
        <w:t>. N</w:t>
      </w:r>
      <w:r>
        <w:t xml:space="preserve">ebyla pozorována žádná zjevná </w:t>
      </w:r>
      <w:r w:rsidR="00FD2758" w:rsidRPr="002E03DE">
        <w:t>souvislost</w:t>
      </w:r>
      <w:r>
        <w:t xml:space="preserve"> mezi </w:t>
      </w:r>
      <w:r w:rsidR="00CC0DD4" w:rsidRPr="002E03DE">
        <w:t>vznik</w:t>
      </w:r>
      <w:r w:rsidR="00CC0DD4">
        <w:t>em</w:t>
      </w:r>
      <w:r>
        <w:t xml:space="preserve"> protilátek a farmakokinetikou, klinickou odpovědí </w:t>
      </w:r>
      <w:r w:rsidR="00484340" w:rsidRPr="002E03DE">
        <w:t>nebo</w:t>
      </w:r>
      <w:r>
        <w:t xml:space="preserve"> nežádoucími účinky.</w:t>
      </w:r>
    </w:p>
    <w:p w14:paraId="5BFA1E72" w14:textId="77777777" w:rsidR="000A22A9" w:rsidRDefault="000A22A9">
      <w:pPr>
        <w:tabs>
          <w:tab w:val="left" w:pos="702"/>
        </w:tabs>
        <w:autoSpaceDE w:val="0"/>
        <w:autoSpaceDN w:val="0"/>
        <w:adjustRightInd w:val="0"/>
        <w:rPr>
          <w:szCs w:val="22"/>
        </w:rPr>
      </w:pPr>
    </w:p>
    <w:p w14:paraId="256EE8BD" w14:textId="77777777" w:rsidR="000A22A9" w:rsidRDefault="003A276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>Klinická účinnost a bezpečnost přípravku u pacientů s kostními metastázami solidních nádorů</w:t>
      </w:r>
    </w:p>
    <w:p w14:paraId="2AE34EA9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6D4D857B" w14:textId="6BB90BAA" w:rsidR="000A22A9" w:rsidRDefault="003A2761">
      <w:pPr>
        <w:contextualSpacing/>
        <w:rPr>
          <w:iCs/>
          <w:szCs w:val="22"/>
        </w:rPr>
      </w:pPr>
      <w:r>
        <w:t xml:space="preserve">Účinnost a bezpečnost </w:t>
      </w:r>
      <w:r w:rsidR="003B5AF1" w:rsidRPr="00CE3977">
        <w:t>denosumab</w:t>
      </w:r>
      <w:r w:rsidR="003B5AF1">
        <w:t>u</w:t>
      </w:r>
      <w:r>
        <w:t xml:space="preserve">, podávaného subkutánně v dávce 120 mg každé 4 týdny, nebo kyseliny zoledronové v dávce 4 mg (dávka upravena pro sníženou funkci ledvin), podávané intravenózně každé 4 týdny, byly porovnávány ve třech randomizovaných dvojitě zaslepených kontrolovaných klinických studiích s aktivním komparátorem u pacientů dosud neléčených intravenózně podávanými </w:t>
      </w:r>
      <w:r w:rsidRPr="009E69BA">
        <w:t xml:space="preserve">bisfosfonáty, </w:t>
      </w:r>
      <w:r w:rsidR="002E00E3" w:rsidRPr="009E69BA">
        <w:t xml:space="preserve">s </w:t>
      </w:r>
      <w:r w:rsidRPr="009E69BA">
        <w:t>pokročilým</w:t>
      </w:r>
      <w:r>
        <w:t xml:space="preserve"> maligním nádorovým onemocněním postihujícím kosti: dospělí pacienti s karcinomem prsu (studie 1), pacienti s jinými solidními maligními nádory nebo mnohočetným myelomem (studie 2) a </w:t>
      </w:r>
      <w:r w:rsidRPr="009E69BA">
        <w:t>pacienti s kastračně rezistentním karcinomem prostaty (studie 3). V těchto aktivně kontrolovaných klinických studiích byla bezpečnost hodnocena u 5931 pacientů. Pacienti s ONJ nebo osteomyelitidou čelisti v anamnéze</w:t>
      </w:r>
      <w:r>
        <w:t xml:space="preserve">, pacienti s aktivním </w:t>
      </w:r>
      <w:r w:rsidRPr="009E69BA">
        <w:t>onemocněním chrupu nebo čelisti vyžadujícím chirurgický</w:t>
      </w:r>
      <w:r>
        <w:t xml:space="preserve"> zákrok, pacienti s nezhojenými ranami </w:t>
      </w:r>
      <w:r w:rsidRPr="009E69BA">
        <w:t xml:space="preserve">po stomatologickém </w:t>
      </w:r>
      <w:r w:rsidR="009E69BA" w:rsidRPr="000C0C60">
        <w:t xml:space="preserve">nebo chirurgickém </w:t>
      </w:r>
      <w:r w:rsidRPr="009E69BA">
        <w:t>výkonu v dutině ústní nebo pacienti, u</w:t>
      </w:r>
      <w:r>
        <w:t xml:space="preserve"> nichž byl </w:t>
      </w:r>
      <w:r>
        <w:lastRenderedPageBreak/>
        <w:t>plánován jakýkoliv invazivní stomatologický zákrok, nebyli způsobilí pro zařazení do těchto studií. Primární a sekundární cíl</w:t>
      </w:r>
      <w:r w:rsidR="002E00E3">
        <w:t>ové pa</w:t>
      </w:r>
      <w:r w:rsidR="009E69BA">
        <w:t>ram</w:t>
      </w:r>
      <w:r>
        <w:t>e</w:t>
      </w:r>
      <w:r w:rsidR="002E00E3">
        <w:t>try</w:t>
      </w:r>
      <w:r>
        <w:t xml:space="preserve"> hodnotily výskyt jedné nebo více kostních příhod </w:t>
      </w:r>
      <w:r w:rsidRPr="009E69BA">
        <w:t>(SRE). Ve</w:t>
      </w:r>
      <w:r>
        <w:t xml:space="preserve"> studiích prokazujících superioritu </w:t>
      </w:r>
      <w:r w:rsidR="003B5AF1" w:rsidRPr="00CE3977">
        <w:t>denosumab</w:t>
      </w:r>
      <w:r w:rsidR="003B5AF1">
        <w:t>u</w:t>
      </w:r>
      <w:r>
        <w:t xml:space="preserve"> vůči kyselině zoledronové byl pacientům poskytnut nezaslepen</w:t>
      </w:r>
      <w:r w:rsidR="003B5AF1">
        <w:t xml:space="preserve">ý </w:t>
      </w:r>
      <w:r w:rsidR="003B5AF1" w:rsidRPr="00CE3977">
        <w:t>denosumab</w:t>
      </w:r>
      <w:r>
        <w:t xml:space="preserve"> v předem specifikovaném dvouletém prodloužení léčebné fáze. SRE byla definována jako některá z následujících příhod: patologická fraktura (vertebrální nebo nevertebrální), radiační léčba kosti (včetně použití radioizotopů), kostní operace nebo míšní komprese.</w:t>
      </w:r>
    </w:p>
    <w:p w14:paraId="5206A297" w14:textId="77777777" w:rsidR="000A22A9" w:rsidRDefault="000A22A9">
      <w:pPr>
        <w:contextualSpacing/>
      </w:pPr>
    </w:p>
    <w:p w14:paraId="63984BB4" w14:textId="2CB2764E" w:rsidR="000A22A9" w:rsidRDefault="003B5AF1">
      <w:pPr>
        <w:contextualSpacing/>
        <w:outlineLvl w:val="0"/>
        <w:rPr>
          <w:iCs/>
          <w:szCs w:val="22"/>
        </w:rPr>
      </w:pPr>
      <w:r>
        <w:t>D</w:t>
      </w:r>
      <w:r w:rsidRPr="00CE3977">
        <w:t>enosumab</w:t>
      </w:r>
      <w:r w:rsidR="003A2761">
        <w:t xml:space="preserve"> snižoval riziko vzniku SRE a vícečetných SRE (první i následných) u pacientů s metastázami solidních nádorů do kostí (viz tab. 2).</w:t>
      </w:r>
    </w:p>
    <w:p w14:paraId="649D11DA" w14:textId="77777777" w:rsidR="000A22A9" w:rsidRDefault="000A22A9">
      <w:pPr>
        <w:contextualSpacing/>
        <w:outlineLvl w:val="0"/>
        <w:rPr>
          <w:iCs/>
          <w:szCs w:val="22"/>
        </w:rPr>
      </w:pPr>
    </w:p>
    <w:p w14:paraId="78C2D3C0" w14:textId="44E75142" w:rsidR="000A22A9" w:rsidRDefault="003A2761" w:rsidP="008D3E5C">
      <w:pPr>
        <w:pStyle w:val="Stylebold"/>
        <w:keepNext/>
      </w:pPr>
      <w:r>
        <w:t>Tabulka 2. Výsledky účinnosti u pacientů s pokročilým maligním onemocněním postihujícím kosti</w:t>
      </w:r>
    </w:p>
    <w:p w14:paraId="7045FB26" w14:textId="77777777" w:rsidR="00497444" w:rsidRPr="00EA1154" w:rsidRDefault="00497444" w:rsidP="008D3E5C">
      <w:pPr>
        <w:pStyle w:val="Stylebold"/>
        <w:keepNext/>
        <w:rPr>
          <w:b w:val="0"/>
          <w:bCs/>
        </w:rPr>
      </w:pPr>
    </w:p>
    <w:tbl>
      <w:tblPr>
        <w:tblW w:w="5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967"/>
        <w:gridCol w:w="967"/>
        <w:gridCol w:w="17"/>
        <w:gridCol w:w="950"/>
        <w:gridCol w:w="967"/>
        <w:gridCol w:w="34"/>
        <w:gridCol w:w="934"/>
        <w:gridCol w:w="967"/>
        <w:gridCol w:w="50"/>
        <w:gridCol w:w="917"/>
        <w:gridCol w:w="1036"/>
      </w:tblGrid>
      <w:tr w:rsidR="00557EE3" w14:paraId="2CA480A2" w14:textId="77777777" w:rsidTr="00EA1154">
        <w:trPr>
          <w:cantSplit/>
          <w:trHeight w:val="827"/>
          <w:tblHeader/>
          <w:jc w:val="center"/>
        </w:trPr>
        <w:tc>
          <w:tcPr>
            <w:tcW w:w="819" w:type="pct"/>
          </w:tcPr>
          <w:p w14:paraId="65425ABE" w14:textId="77777777" w:rsidR="000A22A9" w:rsidRDefault="000A22A9">
            <w:pPr>
              <w:keepNext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1045" w:type="pct"/>
            <w:gridSpan w:val="3"/>
          </w:tcPr>
          <w:p w14:paraId="3DA01DBD" w14:textId="77777777" w:rsidR="000A22A9" w:rsidRDefault="003A2761">
            <w:pPr>
              <w:keepNext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Studie 1 </w:t>
            </w:r>
            <w:r>
              <w:rPr>
                <w:b/>
                <w:sz w:val="20"/>
              </w:rPr>
              <w:br/>
              <w:t>Karcinom prsu</w:t>
            </w:r>
          </w:p>
        </w:tc>
        <w:tc>
          <w:tcPr>
            <w:tcW w:w="1045" w:type="pct"/>
            <w:gridSpan w:val="3"/>
          </w:tcPr>
          <w:p w14:paraId="42A1B905" w14:textId="77777777" w:rsidR="000A22A9" w:rsidRDefault="003A2761">
            <w:pPr>
              <w:keepNext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Studie 2 </w:t>
            </w:r>
            <w:r>
              <w:rPr>
                <w:b/>
                <w:sz w:val="20"/>
              </w:rPr>
              <w:br/>
              <w:t>Jiné solidní nádory** nebo mnohočetný myelom</w:t>
            </w:r>
          </w:p>
        </w:tc>
        <w:tc>
          <w:tcPr>
            <w:tcW w:w="1045" w:type="pct"/>
            <w:gridSpan w:val="3"/>
          </w:tcPr>
          <w:p w14:paraId="5143DB18" w14:textId="77777777" w:rsidR="000A22A9" w:rsidRDefault="003A2761">
            <w:pPr>
              <w:keepNext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Studie 3 </w:t>
            </w:r>
            <w:r>
              <w:rPr>
                <w:b/>
                <w:sz w:val="20"/>
              </w:rPr>
              <w:br/>
              <w:t>Karcinom prostaty</w:t>
            </w:r>
          </w:p>
        </w:tc>
        <w:tc>
          <w:tcPr>
            <w:tcW w:w="1046" w:type="pct"/>
            <w:gridSpan w:val="2"/>
          </w:tcPr>
          <w:p w14:paraId="3338FF3C" w14:textId="77777777" w:rsidR="000A22A9" w:rsidRDefault="003A2761">
            <w:pPr>
              <w:keepNext/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Kombinovaná analýza </w:t>
            </w:r>
            <w:r>
              <w:rPr>
                <w:b/>
                <w:sz w:val="20"/>
              </w:rPr>
              <w:br/>
              <w:t>studií s pokročilým maligním nádorovým onemocněním</w:t>
            </w:r>
          </w:p>
        </w:tc>
      </w:tr>
      <w:tr w:rsidR="00557EE3" w14:paraId="2ABC6417" w14:textId="77777777" w:rsidTr="00EA1154">
        <w:trPr>
          <w:cantSplit/>
          <w:trHeight w:val="406"/>
          <w:tblHeader/>
          <w:jc w:val="center"/>
        </w:trPr>
        <w:tc>
          <w:tcPr>
            <w:tcW w:w="819" w:type="pct"/>
          </w:tcPr>
          <w:p w14:paraId="3DE7868B" w14:textId="77777777" w:rsidR="000A22A9" w:rsidRDefault="000A22A9">
            <w:pPr>
              <w:keepNext/>
              <w:contextualSpacing/>
              <w:rPr>
                <w:sz w:val="20"/>
              </w:rPr>
            </w:pPr>
          </w:p>
        </w:tc>
        <w:tc>
          <w:tcPr>
            <w:tcW w:w="518" w:type="pct"/>
            <w:tcMar>
              <w:left w:w="0" w:type="dxa"/>
              <w:right w:w="0" w:type="dxa"/>
            </w:tcMar>
          </w:tcPr>
          <w:p w14:paraId="7621451B" w14:textId="77779D64" w:rsidR="000A22A9" w:rsidRPr="00715730" w:rsidRDefault="00545CBB" w:rsidP="00EA1154">
            <w:pPr>
              <w:keepNext/>
              <w:tabs>
                <w:tab w:val="clear" w:pos="567"/>
              </w:tabs>
              <w:contextualSpacing/>
              <w:jc w:val="center"/>
              <w:rPr>
                <w:sz w:val="20"/>
              </w:rPr>
            </w:pPr>
            <w:r w:rsidRPr="00EA1154">
              <w:rPr>
                <w:sz w:val="20"/>
              </w:rPr>
              <w:t>D</w:t>
            </w:r>
            <w:r w:rsidR="003B5AF1" w:rsidRPr="00EA1154">
              <w:rPr>
                <w:sz w:val="20"/>
              </w:rPr>
              <w:t>enosumab</w:t>
            </w:r>
          </w:p>
        </w:tc>
        <w:tc>
          <w:tcPr>
            <w:tcW w:w="518" w:type="pct"/>
          </w:tcPr>
          <w:p w14:paraId="75650901" w14:textId="77777777" w:rsidR="000A22A9" w:rsidRPr="00715730" w:rsidRDefault="003A2761">
            <w:pPr>
              <w:keepNext/>
              <w:contextualSpacing/>
              <w:jc w:val="center"/>
              <w:rPr>
                <w:sz w:val="20"/>
              </w:rPr>
            </w:pPr>
            <w:r w:rsidRPr="00715730">
              <w:rPr>
                <w:sz w:val="20"/>
              </w:rPr>
              <w:t>Kyselina zoledro</w:t>
            </w:r>
            <w:r w:rsidRPr="00715730">
              <w:rPr>
                <w:sz w:val="20"/>
              </w:rPr>
              <w:softHyphen/>
              <w:t>nová</w:t>
            </w:r>
          </w:p>
        </w:tc>
        <w:tc>
          <w:tcPr>
            <w:tcW w:w="518" w:type="pct"/>
            <w:gridSpan w:val="2"/>
            <w:tcMar>
              <w:left w:w="0" w:type="dxa"/>
              <w:right w:w="0" w:type="dxa"/>
            </w:tcMar>
          </w:tcPr>
          <w:p w14:paraId="4017504B" w14:textId="5AB7E1E1" w:rsidR="000A22A9" w:rsidRPr="00715730" w:rsidRDefault="00545CBB" w:rsidP="008F7040">
            <w:pPr>
              <w:keepNext/>
              <w:contextualSpacing/>
              <w:jc w:val="center"/>
              <w:rPr>
                <w:sz w:val="20"/>
              </w:rPr>
            </w:pPr>
            <w:r w:rsidRPr="00EA1154">
              <w:rPr>
                <w:sz w:val="20"/>
              </w:rPr>
              <w:t>D</w:t>
            </w:r>
            <w:r w:rsidR="003B5AF1" w:rsidRPr="00EA1154">
              <w:rPr>
                <w:sz w:val="20"/>
              </w:rPr>
              <w:t>enosumab</w:t>
            </w:r>
          </w:p>
        </w:tc>
        <w:tc>
          <w:tcPr>
            <w:tcW w:w="518" w:type="pct"/>
          </w:tcPr>
          <w:p w14:paraId="59701A7F" w14:textId="77777777" w:rsidR="000A22A9" w:rsidRPr="00715730" w:rsidRDefault="003A2761">
            <w:pPr>
              <w:keepNext/>
              <w:contextualSpacing/>
              <w:jc w:val="center"/>
              <w:rPr>
                <w:sz w:val="20"/>
              </w:rPr>
            </w:pPr>
            <w:r w:rsidRPr="00715730">
              <w:rPr>
                <w:sz w:val="20"/>
              </w:rPr>
              <w:t>Kyselina zoledro</w:t>
            </w:r>
            <w:r w:rsidRPr="00715730">
              <w:rPr>
                <w:sz w:val="20"/>
              </w:rPr>
              <w:softHyphen/>
              <w:t>nová</w:t>
            </w:r>
          </w:p>
        </w:tc>
        <w:tc>
          <w:tcPr>
            <w:tcW w:w="518" w:type="pct"/>
            <w:gridSpan w:val="2"/>
            <w:tcMar>
              <w:left w:w="0" w:type="dxa"/>
              <w:right w:w="0" w:type="dxa"/>
            </w:tcMar>
          </w:tcPr>
          <w:p w14:paraId="3CB55E64" w14:textId="3FFEEAB4" w:rsidR="000A22A9" w:rsidRPr="00715730" w:rsidRDefault="00545CBB" w:rsidP="00EA1154">
            <w:pPr>
              <w:keepNext/>
              <w:tabs>
                <w:tab w:val="clear" w:pos="567"/>
              </w:tabs>
              <w:contextualSpacing/>
              <w:jc w:val="center"/>
              <w:rPr>
                <w:sz w:val="20"/>
              </w:rPr>
            </w:pPr>
            <w:r w:rsidRPr="00EA1154">
              <w:rPr>
                <w:sz w:val="20"/>
              </w:rPr>
              <w:t>D</w:t>
            </w:r>
            <w:r w:rsidR="003B5AF1" w:rsidRPr="00EA1154">
              <w:rPr>
                <w:sz w:val="20"/>
              </w:rPr>
              <w:t>enosumab</w:t>
            </w:r>
          </w:p>
        </w:tc>
        <w:tc>
          <w:tcPr>
            <w:tcW w:w="518" w:type="pct"/>
          </w:tcPr>
          <w:p w14:paraId="14F2FD85" w14:textId="77777777" w:rsidR="000A22A9" w:rsidRPr="00715730" w:rsidRDefault="003A2761">
            <w:pPr>
              <w:keepNext/>
              <w:contextualSpacing/>
              <w:jc w:val="center"/>
              <w:rPr>
                <w:sz w:val="20"/>
              </w:rPr>
            </w:pPr>
            <w:r w:rsidRPr="00715730">
              <w:rPr>
                <w:sz w:val="20"/>
              </w:rPr>
              <w:t>Kyselina zoledro</w:t>
            </w:r>
            <w:r w:rsidRPr="00715730">
              <w:rPr>
                <w:sz w:val="20"/>
              </w:rPr>
              <w:softHyphen/>
              <w:t>nová</w:t>
            </w:r>
          </w:p>
        </w:tc>
        <w:tc>
          <w:tcPr>
            <w:tcW w:w="518" w:type="pct"/>
            <w:gridSpan w:val="2"/>
          </w:tcPr>
          <w:p w14:paraId="48F48CF7" w14:textId="6A316551" w:rsidR="003B5AF1" w:rsidRPr="00715730" w:rsidRDefault="00545CBB" w:rsidP="00EA1154">
            <w:pPr>
              <w:keepNext/>
              <w:tabs>
                <w:tab w:val="clear" w:pos="567"/>
              </w:tabs>
              <w:ind w:left="-166" w:right="-159"/>
              <w:contextualSpacing/>
              <w:jc w:val="center"/>
              <w:rPr>
                <w:sz w:val="20"/>
              </w:rPr>
            </w:pPr>
            <w:r w:rsidRPr="00EA1154">
              <w:rPr>
                <w:sz w:val="20"/>
              </w:rPr>
              <w:t>D</w:t>
            </w:r>
            <w:r w:rsidR="003B5AF1" w:rsidRPr="00EA1154">
              <w:rPr>
                <w:sz w:val="20"/>
              </w:rPr>
              <w:t>enosumab</w:t>
            </w:r>
          </w:p>
        </w:tc>
        <w:tc>
          <w:tcPr>
            <w:tcW w:w="556" w:type="pct"/>
          </w:tcPr>
          <w:p w14:paraId="68D0BBAA" w14:textId="77777777" w:rsidR="000A22A9" w:rsidRPr="00715730" w:rsidRDefault="003A2761">
            <w:pPr>
              <w:keepNext/>
              <w:contextualSpacing/>
              <w:jc w:val="center"/>
              <w:rPr>
                <w:sz w:val="20"/>
              </w:rPr>
            </w:pPr>
            <w:r w:rsidRPr="00715730">
              <w:rPr>
                <w:sz w:val="20"/>
              </w:rPr>
              <w:t>Kyselina zoledro</w:t>
            </w:r>
            <w:r w:rsidRPr="00715730">
              <w:rPr>
                <w:sz w:val="20"/>
              </w:rPr>
              <w:softHyphen/>
              <w:t>nová</w:t>
            </w:r>
          </w:p>
        </w:tc>
      </w:tr>
      <w:tr w:rsidR="00557EE3" w14:paraId="73924055" w14:textId="77777777" w:rsidTr="00EA1154">
        <w:trPr>
          <w:cantSplit/>
          <w:trHeight w:val="210"/>
          <w:tblHeader/>
          <w:jc w:val="center"/>
        </w:trPr>
        <w:tc>
          <w:tcPr>
            <w:tcW w:w="819" w:type="pct"/>
          </w:tcPr>
          <w:p w14:paraId="18589F73" w14:textId="35016CE6" w:rsidR="000A22A9" w:rsidRDefault="002E00E3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18" w:type="pct"/>
          </w:tcPr>
          <w:p w14:paraId="1AE9B122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1026</w:t>
            </w:r>
          </w:p>
        </w:tc>
        <w:tc>
          <w:tcPr>
            <w:tcW w:w="518" w:type="pct"/>
          </w:tcPr>
          <w:p w14:paraId="123D1B3A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1020</w:t>
            </w:r>
          </w:p>
        </w:tc>
        <w:tc>
          <w:tcPr>
            <w:tcW w:w="518" w:type="pct"/>
            <w:gridSpan w:val="2"/>
          </w:tcPr>
          <w:p w14:paraId="4D4A4A8C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886</w:t>
            </w:r>
          </w:p>
        </w:tc>
        <w:tc>
          <w:tcPr>
            <w:tcW w:w="518" w:type="pct"/>
          </w:tcPr>
          <w:p w14:paraId="361ACBD4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890</w:t>
            </w:r>
          </w:p>
        </w:tc>
        <w:tc>
          <w:tcPr>
            <w:tcW w:w="518" w:type="pct"/>
            <w:gridSpan w:val="2"/>
          </w:tcPr>
          <w:p w14:paraId="3D0A5E3B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950</w:t>
            </w:r>
          </w:p>
        </w:tc>
        <w:tc>
          <w:tcPr>
            <w:tcW w:w="518" w:type="pct"/>
          </w:tcPr>
          <w:p w14:paraId="51CDCB95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518" w:type="pct"/>
            <w:gridSpan w:val="2"/>
          </w:tcPr>
          <w:p w14:paraId="5F07FE46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2862</w:t>
            </w:r>
          </w:p>
        </w:tc>
        <w:tc>
          <w:tcPr>
            <w:tcW w:w="556" w:type="pct"/>
          </w:tcPr>
          <w:p w14:paraId="50B2B9E4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2861</w:t>
            </w:r>
          </w:p>
        </w:tc>
      </w:tr>
      <w:tr w:rsidR="000A22A9" w14:paraId="3C46E37B" w14:textId="77777777" w:rsidTr="00EA1154">
        <w:trPr>
          <w:cantSplit/>
          <w:trHeight w:val="210"/>
          <w:jc w:val="center"/>
        </w:trPr>
        <w:tc>
          <w:tcPr>
            <w:tcW w:w="5000" w:type="pct"/>
            <w:gridSpan w:val="12"/>
          </w:tcPr>
          <w:p w14:paraId="4CBAFB48" w14:textId="77777777" w:rsidR="000A22A9" w:rsidRDefault="003A2761">
            <w:pPr>
              <w:keepNext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První SRE</w:t>
            </w:r>
          </w:p>
        </w:tc>
      </w:tr>
      <w:tr w:rsidR="00557EE3" w14:paraId="10833FA7" w14:textId="77777777" w:rsidTr="00EA1154">
        <w:trPr>
          <w:cantSplit/>
          <w:trHeight w:val="332"/>
          <w:jc w:val="center"/>
        </w:trPr>
        <w:tc>
          <w:tcPr>
            <w:tcW w:w="819" w:type="pct"/>
          </w:tcPr>
          <w:p w14:paraId="0691B5DC" w14:textId="77777777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>Medián (měsíce)</w:t>
            </w:r>
          </w:p>
        </w:tc>
        <w:tc>
          <w:tcPr>
            <w:tcW w:w="518" w:type="pct"/>
          </w:tcPr>
          <w:p w14:paraId="1EFA7A09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</w:tcPr>
          <w:p w14:paraId="0A287F31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26,4</w:t>
            </w:r>
          </w:p>
        </w:tc>
        <w:tc>
          <w:tcPr>
            <w:tcW w:w="518" w:type="pct"/>
            <w:gridSpan w:val="2"/>
          </w:tcPr>
          <w:p w14:paraId="4EA43F0F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20,6</w:t>
            </w:r>
          </w:p>
        </w:tc>
        <w:tc>
          <w:tcPr>
            <w:tcW w:w="518" w:type="pct"/>
          </w:tcPr>
          <w:p w14:paraId="0E140E80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16,3</w:t>
            </w:r>
          </w:p>
        </w:tc>
        <w:tc>
          <w:tcPr>
            <w:tcW w:w="518" w:type="pct"/>
            <w:gridSpan w:val="2"/>
          </w:tcPr>
          <w:p w14:paraId="327CF521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20,7</w:t>
            </w:r>
          </w:p>
        </w:tc>
        <w:tc>
          <w:tcPr>
            <w:tcW w:w="518" w:type="pct"/>
          </w:tcPr>
          <w:p w14:paraId="7ED4C867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17,1</w:t>
            </w:r>
          </w:p>
        </w:tc>
        <w:tc>
          <w:tcPr>
            <w:tcW w:w="518" w:type="pct"/>
            <w:gridSpan w:val="2"/>
          </w:tcPr>
          <w:p w14:paraId="44191A51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27,6</w:t>
            </w:r>
          </w:p>
        </w:tc>
        <w:tc>
          <w:tcPr>
            <w:tcW w:w="556" w:type="pct"/>
          </w:tcPr>
          <w:p w14:paraId="12137BDB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19,4</w:t>
            </w:r>
          </w:p>
        </w:tc>
      </w:tr>
      <w:tr w:rsidR="00557EE3" w14:paraId="0B710ED5" w14:textId="77777777" w:rsidTr="00EA1154">
        <w:trPr>
          <w:cantSplit/>
          <w:trHeight w:val="323"/>
          <w:jc w:val="center"/>
        </w:trPr>
        <w:tc>
          <w:tcPr>
            <w:tcW w:w="819" w:type="pct"/>
          </w:tcPr>
          <w:p w14:paraId="162D9AE6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Rozdíl mediánů (měsíce)</w:t>
            </w:r>
          </w:p>
        </w:tc>
        <w:tc>
          <w:tcPr>
            <w:tcW w:w="1045" w:type="pct"/>
            <w:gridSpan w:val="3"/>
          </w:tcPr>
          <w:p w14:paraId="6E9C29FE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1045" w:type="pct"/>
            <w:gridSpan w:val="3"/>
          </w:tcPr>
          <w:p w14:paraId="7803D734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4,2</w:t>
            </w:r>
          </w:p>
        </w:tc>
        <w:tc>
          <w:tcPr>
            <w:tcW w:w="1045" w:type="pct"/>
            <w:gridSpan w:val="3"/>
          </w:tcPr>
          <w:p w14:paraId="4663CF51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046" w:type="pct"/>
            <w:gridSpan w:val="2"/>
          </w:tcPr>
          <w:p w14:paraId="7E151FC7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8,2</w:t>
            </w:r>
          </w:p>
        </w:tc>
      </w:tr>
      <w:tr w:rsidR="00557EE3" w14:paraId="3F2C739B" w14:textId="77777777" w:rsidTr="00EA1154">
        <w:trPr>
          <w:cantSplit/>
          <w:trHeight w:val="406"/>
          <w:jc w:val="center"/>
        </w:trPr>
        <w:tc>
          <w:tcPr>
            <w:tcW w:w="819" w:type="pct"/>
          </w:tcPr>
          <w:p w14:paraId="0B52A679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HR (95% CI) / RRR (%)</w:t>
            </w:r>
          </w:p>
        </w:tc>
        <w:tc>
          <w:tcPr>
            <w:tcW w:w="1045" w:type="pct"/>
            <w:gridSpan w:val="3"/>
          </w:tcPr>
          <w:p w14:paraId="7CC9200F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0,82 (0,71; 0,95) / 18</w:t>
            </w:r>
          </w:p>
        </w:tc>
        <w:tc>
          <w:tcPr>
            <w:tcW w:w="1045" w:type="pct"/>
            <w:gridSpan w:val="3"/>
          </w:tcPr>
          <w:p w14:paraId="4ADFD0D1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0,84 (0,71; 0,98) / 16</w:t>
            </w:r>
          </w:p>
        </w:tc>
        <w:tc>
          <w:tcPr>
            <w:tcW w:w="1045" w:type="pct"/>
            <w:gridSpan w:val="3"/>
          </w:tcPr>
          <w:p w14:paraId="075AB506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0,82 (0,71; 0,95) / 18</w:t>
            </w:r>
          </w:p>
        </w:tc>
        <w:tc>
          <w:tcPr>
            <w:tcW w:w="1046" w:type="pct"/>
            <w:gridSpan w:val="2"/>
          </w:tcPr>
          <w:p w14:paraId="3DDF6B84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0,83 (0,76; 0,90) / 17</w:t>
            </w:r>
          </w:p>
        </w:tc>
      </w:tr>
      <w:tr w:rsidR="00557EE3" w14:paraId="0F0370E3" w14:textId="77777777" w:rsidTr="00EA1154">
        <w:trPr>
          <w:cantSplit/>
          <w:trHeight w:val="406"/>
          <w:jc w:val="center"/>
        </w:trPr>
        <w:tc>
          <w:tcPr>
            <w:tcW w:w="819" w:type="pct"/>
          </w:tcPr>
          <w:p w14:paraId="275BD42E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z w:val="20"/>
              </w:rPr>
              <w:noBreakHyphen/>
              <w:t>inferiorita / Superiorita p</w:t>
            </w:r>
            <w:r>
              <w:rPr>
                <w:sz w:val="20"/>
              </w:rPr>
              <w:noBreakHyphen/>
              <w:t>hodnota</w:t>
            </w:r>
          </w:p>
        </w:tc>
        <w:tc>
          <w:tcPr>
            <w:tcW w:w="1045" w:type="pct"/>
            <w:gridSpan w:val="3"/>
          </w:tcPr>
          <w:p w14:paraId="08E7BE82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&lt; 0,0001</w:t>
            </w:r>
            <w:r>
              <w:rPr>
                <w:sz w:val="20"/>
                <w:vertAlign w:val="superscript"/>
              </w:rPr>
              <w:t>†</w:t>
            </w:r>
            <w:r>
              <w:rPr>
                <w:sz w:val="20"/>
              </w:rPr>
              <w:t> / 0,0101</w:t>
            </w:r>
            <w:r>
              <w:rPr>
                <w:sz w:val="20"/>
                <w:vertAlign w:val="superscript"/>
              </w:rPr>
              <w:t>†</w:t>
            </w:r>
          </w:p>
        </w:tc>
        <w:tc>
          <w:tcPr>
            <w:tcW w:w="1045" w:type="pct"/>
            <w:gridSpan w:val="3"/>
          </w:tcPr>
          <w:p w14:paraId="3D8433E1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0,0007</w:t>
            </w:r>
            <w:r>
              <w:rPr>
                <w:sz w:val="20"/>
                <w:vertAlign w:val="superscript"/>
              </w:rPr>
              <w:t>†</w:t>
            </w:r>
            <w:r>
              <w:rPr>
                <w:sz w:val="20"/>
              </w:rPr>
              <w:t> / 0,0619</w:t>
            </w:r>
            <w:r>
              <w:rPr>
                <w:sz w:val="20"/>
                <w:vertAlign w:val="superscript"/>
              </w:rPr>
              <w:t>†</w:t>
            </w:r>
          </w:p>
        </w:tc>
        <w:tc>
          <w:tcPr>
            <w:tcW w:w="1045" w:type="pct"/>
            <w:gridSpan w:val="3"/>
          </w:tcPr>
          <w:p w14:paraId="13C7107D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0,0002</w:t>
            </w:r>
            <w:r>
              <w:rPr>
                <w:sz w:val="20"/>
                <w:vertAlign w:val="superscript"/>
              </w:rPr>
              <w:t>†</w:t>
            </w:r>
            <w:r>
              <w:rPr>
                <w:sz w:val="20"/>
              </w:rPr>
              <w:t> / 0,0085</w:t>
            </w:r>
            <w:r>
              <w:rPr>
                <w:sz w:val="20"/>
                <w:vertAlign w:val="superscript"/>
              </w:rPr>
              <w:t>†</w:t>
            </w:r>
          </w:p>
        </w:tc>
        <w:tc>
          <w:tcPr>
            <w:tcW w:w="1046" w:type="pct"/>
            <w:gridSpan w:val="2"/>
          </w:tcPr>
          <w:p w14:paraId="56D04567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&lt; 0,0001 / &lt; 0,0001</w:t>
            </w:r>
          </w:p>
        </w:tc>
      </w:tr>
      <w:tr w:rsidR="00557EE3" w14:paraId="3772F5C3" w14:textId="77777777" w:rsidTr="00EA1154">
        <w:trPr>
          <w:cantSplit/>
          <w:trHeight w:val="406"/>
          <w:jc w:val="center"/>
        </w:trPr>
        <w:tc>
          <w:tcPr>
            <w:tcW w:w="819" w:type="pct"/>
          </w:tcPr>
          <w:p w14:paraId="120E8098" w14:textId="38998B5D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 xml:space="preserve">Zastoupení </w:t>
            </w:r>
            <w:r w:rsidR="0055762F" w:rsidRPr="0055762F">
              <w:rPr>
                <w:sz w:val="20"/>
              </w:rPr>
              <w:t>pacien</w:t>
            </w:r>
            <w:r>
              <w:rPr>
                <w:sz w:val="20"/>
              </w:rPr>
              <w:t>tů (%)</w:t>
            </w:r>
          </w:p>
        </w:tc>
        <w:tc>
          <w:tcPr>
            <w:tcW w:w="518" w:type="pct"/>
          </w:tcPr>
          <w:p w14:paraId="51680FAC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30,7</w:t>
            </w:r>
          </w:p>
        </w:tc>
        <w:tc>
          <w:tcPr>
            <w:tcW w:w="518" w:type="pct"/>
          </w:tcPr>
          <w:p w14:paraId="202E2C20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36,5</w:t>
            </w:r>
          </w:p>
        </w:tc>
        <w:tc>
          <w:tcPr>
            <w:tcW w:w="518" w:type="pct"/>
            <w:gridSpan w:val="2"/>
          </w:tcPr>
          <w:p w14:paraId="265F9E05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31,4</w:t>
            </w:r>
          </w:p>
        </w:tc>
        <w:tc>
          <w:tcPr>
            <w:tcW w:w="518" w:type="pct"/>
          </w:tcPr>
          <w:p w14:paraId="3D3DE9DA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36,3</w:t>
            </w:r>
          </w:p>
        </w:tc>
        <w:tc>
          <w:tcPr>
            <w:tcW w:w="518" w:type="pct"/>
            <w:gridSpan w:val="2"/>
          </w:tcPr>
          <w:p w14:paraId="0B412757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35,9</w:t>
            </w:r>
          </w:p>
        </w:tc>
        <w:tc>
          <w:tcPr>
            <w:tcW w:w="518" w:type="pct"/>
          </w:tcPr>
          <w:p w14:paraId="5D8EF198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40,6</w:t>
            </w:r>
          </w:p>
        </w:tc>
        <w:tc>
          <w:tcPr>
            <w:tcW w:w="518" w:type="pct"/>
            <w:gridSpan w:val="2"/>
          </w:tcPr>
          <w:p w14:paraId="4FD74EE0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32,6</w:t>
            </w:r>
          </w:p>
        </w:tc>
        <w:tc>
          <w:tcPr>
            <w:tcW w:w="556" w:type="pct"/>
          </w:tcPr>
          <w:p w14:paraId="11F9CE7B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</w:tr>
      <w:tr w:rsidR="000A22A9" w14:paraId="6B196D90" w14:textId="77777777" w:rsidTr="00EA1154">
        <w:trPr>
          <w:cantSplit/>
          <w:trHeight w:val="210"/>
          <w:jc w:val="center"/>
        </w:trPr>
        <w:tc>
          <w:tcPr>
            <w:tcW w:w="5000" w:type="pct"/>
            <w:gridSpan w:val="12"/>
          </w:tcPr>
          <w:p w14:paraId="504B12B4" w14:textId="77777777" w:rsidR="000A22A9" w:rsidRDefault="003A2761">
            <w:pPr>
              <w:keepNext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První a následné SRE*</w:t>
            </w:r>
          </w:p>
        </w:tc>
      </w:tr>
      <w:tr w:rsidR="00557EE3" w14:paraId="49761B7D" w14:textId="77777777" w:rsidTr="00EA1154">
        <w:trPr>
          <w:cantSplit/>
          <w:trHeight w:val="406"/>
          <w:jc w:val="center"/>
        </w:trPr>
        <w:tc>
          <w:tcPr>
            <w:tcW w:w="819" w:type="pct"/>
          </w:tcPr>
          <w:p w14:paraId="498D15EA" w14:textId="3D914B5E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 xml:space="preserve">Průměrný </w:t>
            </w:r>
            <w:r w:rsidRPr="00396A82">
              <w:rPr>
                <w:sz w:val="20"/>
              </w:rPr>
              <w:t>počet</w:t>
            </w:r>
            <w:r w:rsidR="00396A82">
              <w:rPr>
                <w:sz w:val="20"/>
              </w:rPr>
              <w:t xml:space="preserve"> na </w:t>
            </w:r>
            <w:r w:rsidRPr="00396A82">
              <w:rPr>
                <w:sz w:val="20"/>
              </w:rPr>
              <w:t>pac</w:t>
            </w:r>
            <w:r w:rsidR="00396A82">
              <w:rPr>
                <w:sz w:val="20"/>
              </w:rPr>
              <w:t>ienta</w:t>
            </w:r>
          </w:p>
        </w:tc>
        <w:tc>
          <w:tcPr>
            <w:tcW w:w="518" w:type="pct"/>
          </w:tcPr>
          <w:p w14:paraId="448E7B5D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0,46</w:t>
            </w:r>
          </w:p>
        </w:tc>
        <w:tc>
          <w:tcPr>
            <w:tcW w:w="518" w:type="pct"/>
          </w:tcPr>
          <w:p w14:paraId="291F71F5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518" w:type="pct"/>
            <w:gridSpan w:val="2"/>
          </w:tcPr>
          <w:p w14:paraId="36638F4F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518" w:type="pct"/>
          </w:tcPr>
          <w:p w14:paraId="247D923B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0,49</w:t>
            </w:r>
          </w:p>
        </w:tc>
        <w:tc>
          <w:tcPr>
            <w:tcW w:w="518" w:type="pct"/>
            <w:gridSpan w:val="2"/>
          </w:tcPr>
          <w:p w14:paraId="005FB4AF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0,52</w:t>
            </w:r>
          </w:p>
        </w:tc>
        <w:tc>
          <w:tcPr>
            <w:tcW w:w="518" w:type="pct"/>
          </w:tcPr>
          <w:p w14:paraId="72A3497B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0,61</w:t>
            </w:r>
          </w:p>
        </w:tc>
        <w:tc>
          <w:tcPr>
            <w:tcW w:w="518" w:type="pct"/>
            <w:gridSpan w:val="2"/>
          </w:tcPr>
          <w:p w14:paraId="7D46DE74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56" w:type="pct"/>
          </w:tcPr>
          <w:p w14:paraId="22D11096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0,57</w:t>
            </w:r>
          </w:p>
        </w:tc>
      </w:tr>
      <w:tr w:rsidR="00557EE3" w14:paraId="367CF231" w14:textId="77777777" w:rsidTr="00EA1154">
        <w:trPr>
          <w:cantSplit/>
          <w:trHeight w:val="344"/>
          <w:jc w:val="center"/>
        </w:trPr>
        <w:tc>
          <w:tcPr>
            <w:tcW w:w="819" w:type="pct"/>
          </w:tcPr>
          <w:p w14:paraId="530971CF" w14:textId="0A052B8B" w:rsidR="000A22A9" w:rsidRDefault="00396A82">
            <w:pPr>
              <w:contextualSpacing/>
              <w:rPr>
                <w:sz w:val="20"/>
              </w:rPr>
            </w:pPr>
            <w:r w:rsidRPr="00396A82">
              <w:rPr>
                <w:sz w:val="20"/>
              </w:rPr>
              <w:t>Poměr</w:t>
            </w:r>
            <w:r>
              <w:rPr>
                <w:sz w:val="20"/>
              </w:rPr>
              <w:t xml:space="preserve"> výskytu</w:t>
            </w:r>
            <w:r w:rsidR="003A2761">
              <w:rPr>
                <w:sz w:val="20"/>
              </w:rPr>
              <w:t xml:space="preserve"> (95% CI) / RRR (%)</w:t>
            </w:r>
          </w:p>
        </w:tc>
        <w:tc>
          <w:tcPr>
            <w:tcW w:w="1045" w:type="pct"/>
            <w:gridSpan w:val="3"/>
          </w:tcPr>
          <w:p w14:paraId="2C600584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0,77 (0,66; 0,89) / 23</w:t>
            </w:r>
          </w:p>
        </w:tc>
        <w:tc>
          <w:tcPr>
            <w:tcW w:w="1045" w:type="pct"/>
            <w:gridSpan w:val="3"/>
          </w:tcPr>
          <w:p w14:paraId="7AC06155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0,90 (0,77; 1,04) / 10</w:t>
            </w:r>
          </w:p>
        </w:tc>
        <w:tc>
          <w:tcPr>
            <w:tcW w:w="1045" w:type="pct"/>
            <w:gridSpan w:val="3"/>
          </w:tcPr>
          <w:p w14:paraId="4162E58D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0,82 (0,71; 0,94) / 18</w:t>
            </w:r>
          </w:p>
        </w:tc>
        <w:tc>
          <w:tcPr>
            <w:tcW w:w="1046" w:type="pct"/>
            <w:gridSpan w:val="2"/>
          </w:tcPr>
          <w:p w14:paraId="0A0D2CD1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0,82 (0,75; 0,89) / 18</w:t>
            </w:r>
          </w:p>
        </w:tc>
      </w:tr>
      <w:tr w:rsidR="00557EE3" w14:paraId="4AD8DC19" w14:textId="77777777" w:rsidTr="00EA1154">
        <w:trPr>
          <w:cantSplit/>
          <w:trHeight w:val="344"/>
          <w:jc w:val="center"/>
        </w:trPr>
        <w:tc>
          <w:tcPr>
            <w:tcW w:w="819" w:type="pct"/>
          </w:tcPr>
          <w:p w14:paraId="72641857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Superiorita p</w:t>
            </w:r>
            <w:r>
              <w:rPr>
                <w:sz w:val="20"/>
              </w:rPr>
              <w:noBreakHyphen/>
              <w:t>hodnota</w:t>
            </w:r>
          </w:p>
        </w:tc>
        <w:tc>
          <w:tcPr>
            <w:tcW w:w="1045" w:type="pct"/>
            <w:gridSpan w:val="3"/>
          </w:tcPr>
          <w:p w14:paraId="0506B9F2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0,0012</w:t>
            </w:r>
            <w:r>
              <w:rPr>
                <w:sz w:val="20"/>
                <w:vertAlign w:val="superscript"/>
              </w:rPr>
              <w:t>†</w:t>
            </w:r>
          </w:p>
        </w:tc>
        <w:tc>
          <w:tcPr>
            <w:tcW w:w="1045" w:type="pct"/>
            <w:gridSpan w:val="3"/>
          </w:tcPr>
          <w:p w14:paraId="6E182199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0,1447</w:t>
            </w:r>
            <w:r>
              <w:rPr>
                <w:sz w:val="20"/>
                <w:vertAlign w:val="superscript"/>
              </w:rPr>
              <w:t>†</w:t>
            </w:r>
          </w:p>
        </w:tc>
        <w:tc>
          <w:tcPr>
            <w:tcW w:w="1045" w:type="pct"/>
            <w:gridSpan w:val="3"/>
          </w:tcPr>
          <w:p w14:paraId="2ECDDCA0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0,0085</w:t>
            </w:r>
            <w:r>
              <w:rPr>
                <w:sz w:val="20"/>
                <w:vertAlign w:val="superscript"/>
              </w:rPr>
              <w:t>†</w:t>
            </w:r>
          </w:p>
        </w:tc>
        <w:tc>
          <w:tcPr>
            <w:tcW w:w="1046" w:type="pct"/>
            <w:gridSpan w:val="2"/>
          </w:tcPr>
          <w:p w14:paraId="2A95AB49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&lt; 0,0001</w:t>
            </w:r>
          </w:p>
        </w:tc>
      </w:tr>
      <w:tr w:rsidR="00557EE3" w14:paraId="2D428B4D" w14:textId="77777777" w:rsidTr="00EA1154">
        <w:trPr>
          <w:cantSplit/>
          <w:trHeight w:val="116"/>
          <w:jc w:val="center"/>
        </w:trPr>
        <w:tc>
          <w:tcPr>
            <w:tcW w:w="819" w:type="pct"/>
          </w:tcPr>
          <w:p w14:paraId="7C8076FB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SMR za rok</w:t>
            </w:r>
          </w:p>
        </w:tc>
        <w:tc>
          <w:tcPr>
            <w:tcW w:w="518" w:type="pct"/>
          </w:tcPr>
          <w:p w14:paraId="67617B75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518" w:type="pct"/>
          </w:tcPr>
          <w:p w14:paraId="21CA3682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0,58</w:t>
            </w:r>
          </w:p>
        </w:tc>
        <w:tc>
          <w:tcPr>
            <w:tcW w:w="518" w:type="pct"/>
            <w:gridSpan w:val="2"/>
          </w:tcPr>
          <w:p w14:paraId="6599EE7E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0,86</w:t>
            </w:r>
          </w:p>
        </w:tc>
        <w:tc>
          <w:tcPr>
            <w:tcW w:w="518" w:type="pct"/>
          </w:tcPr>
          <w:p w14:paraId="5D5F4CBC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1,04</w:t>
            </w:r>
          </w:p>
        </w:tc>
        <w:tc>
          <w:tcPr>
            <w:tcW w:w="518" w:type="pct"/>
            <w:gridSpan w:val="2"/>
          </w:tcPr>
          <w:p w14:paraId="2C0FB6E4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0,79</w:t>
            </w:r>
          </w:p>
        </w:tc>
        <w:tc>
          <w:tcPr>
            <w:tcW w:w="518" w:type="pct"/>
          </w:tcPr>
          <w:p w14:paraId="71E82690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0,83</w:t>
            </w:r>
          </w:p>
        </w:tc>
        <w:tc>
          <w:tcPr>
            <w:tcW w:w="518" w:type="pct"/>
            <w:gridSpan w:val="2"/>
          </w:tcPr>
          <w:p w14:paraId="721C4511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0,69</w:t>
            </w:r>
          </w:p>
        </w:tc>
        <w:tc>
          <w:tcPr>
            <w:tcW w:w="556" w:type="pct"/>
          </w:tcPr>
          <w:p w14:paraId="4192869A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0,81</w:t>
            </w:r>
          </w:p>
        </w:tc>
      </w:tr>
      <w:tr w:rsidR="000A22A9" w14:paraId="6F9842BE" w14:textId="77777777" w:rsidTr="00EA1154">
        <w:trPr>
          <w:cantSplit/>
          <w:trHeight w:val="210"/>
          <w:jc w:val="center"/>
        </w:trPr>
        <w:tc>
          <w:tcPr>
            <w:tcW w:w="5000" w:type="pct"/>
            <w:gridSpan w:val="12"/>
          </w:tcPr>
          <w:p w14:paraId="6CE6DC24" w14:textId="77777777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b/>
                <w:sz w:val="20"/>
              </w:rPr>
              <w:t>První SRE nebo HCM</w:t>
            </w:r>
          </w:p>
        </w:tc>
      </w:tr>
      <w:tr w:rsidR="00557EE3" w14:paraId="6321BAF8" w14:textId="77777777" w:rsidTr="00EA1154">
        <w:trPr>
          <w:cantSplit/>
          <w:trHeight w:val="248"/>
          <w:jc w:val="center"/>
        </w:trPr>
        <w:tc>
          <w:tcPr>
            <w:tcW w:w="819" w:type="pct"/>
          </w:tcPr>
          <w:p w14:paraId="3F4561FE" w14:textId="77777777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>Medián (měsíce)</w:t>
            </w:r>
          </w:p>
        </w:tc>
        <w:tc>
          <w:tcPr>
            <w:tcW w:w="518" w:type="pct"/>
          </w:tcPr>
          <w:p w14:paraId="63CD278F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</w:tcPr>
          <w:p w14:paraId="5073946E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25,2</w:t>
            </w:r>
          </w:p>
        </w:tc>
        <w:tc>
          <w:tcPr>
            <w:tcW w:w="518" w:type="pct"/>
            <w:gridSpan w:val="2"/>
          </w:tcPr>
          <w:p w14:paraId="7D1226FC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19,0</w:t>
            </w:r>
          </w:p>
        </w:tc>
        <w:tc>
          <w:tcPr>
            <w:tcW w:w="518" w:type="pct"/>
          </w:tcPr>
          <w:p w14:paraId="3C6E8862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14,4</w:t>
            </w:r>
          </w:p>
        </w:tc>
        <w:tc>
          <w:tcPr>
            <w:tcW w:w="518" w:type="pct"/>
            <w:gridSpan w:val="2"/>
          </w:tcPr>
          <w:p w14:paraId="7772F4BC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20,3</w:t>
            </w:r>
          </w:p>
        </w:tc>
        <w:tc>
          <w:tcPr>
            <w:tcW w:w="518" w:type="pct"/>
          </w:tcPr>
          <w:p w14:paraId="1023C809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17,1</w:t>
            </w:r>
          </w:p>
        </w:tc>
        <w:tc>
          <w:tcPr>
            <w:tcW w:w="518" w:type="pct"/>
            <w:gridSpan w:val="2"/>
          </w:tcPr>
          <w:p w14:paraId="47BDBEEF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26,6</w:t>
            </w:r>
          </w:p>
        </w:tc>
        <w:tc>
          <w:tcPr>
            <w:tcW w:w="556" w:type="pct"/>
          </w:tcPr>
          <w:p w14:paraId="5552C378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19,4</w:t>
            </w:r>
          </w:p>
        </w:tc>
      </w:tr>
      <w:tr w:rsidR="00557EE3" w14:paraId="059BAD0E" w14:textId="77777777" w:rsidTr="00EA1154">
        <w:trPr>
          <w:cantSplit/>
          <w:trHeight w:val="406"/>
          <w:jc w:val="center"/>
        </w:trPr>
        <w:tc>
          <w:tcPr>
            <w:tcW w:w="819" w:type="pct"/>
          </w:tcPr>
          <w:p w14:paraId="200E96E9" w14:textId="77777777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>HR (95% CI) / RRR (%)</w:t>
            </w:r>
          </w:p>
        </w:tc>
        <w:tc>
          <w:tcPr>
            <w:tcW w:w="1045" w:type="pct"/>
            <w:gridSpan w:val="3"/>
          </w:tcPr>
          <w:p w14:paraId="6AC021D0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0,82 (0,70; 0,95) / 18</w:t>
            </w:r>
          </w:p>
        </w:tc>
        <w:tc>
          <w:tcPr>
            <w:tcW w:w="1045" w:type="pct"/>
            <w:gridSpan w:val="3"/>
          </w:tcPr>
          <w:p w14:paraId="67DE191A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0,83 (0,71; 0,97) / 17</w:t>
            </w:r>
          </w:p>
        </w:tc>
        <w:tc>
          <w:tcPr>
            <w:tcW w:w="1045" w:type="pct"/>
            <w:gridSpan w:val="3"/>
          </w:tcPr>
          <w:p w14:paraId="4E75F3E7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0,83 (0,72; 0,96) / 17</w:t>
            </w:r>
          </w:p>
        </w:tc>
        <w:tc>
          <w:tcPr>
            <w:tcW w:w="1046" w:type="pct"/>
            <w:gridSpan w:val="2"/>
          </w:tcPr>
          <w:p w14:paraId="1E1ACF9E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0,83 (0,76; 0,90) / 17</w:t>
            </w:r>
          </w:p>
        </w:tc>
      </w:tr>
      <w:tr w:rsidR="00557EE3" w14:paraId="7EC6AD2A" w14:textId="77777777" w:rsidTr="00EA1154">
        <w:trPr>
          <w:cantSplit/>
          <w:trHeight w:val="212"/>
          <w:jc w:val="center"/>
        </w:trPr>
        <w:tc>
          <w:tcPr>
            <w:tcW w:w="819" w:type="pct"/>
          </w:tcPr>
          <w:p w14:paraId="404A9E98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Superiorita p</w:t>
            </w:r>
            <w:r>
              <w:rPr>
                <w:sz w:val="20"/>
              </w:rPr>
              <w:noBreakHyphen/>
              <w:t>hodnota</w:t>
            </w:r>
          </w:p>
        </w:tc>
        <w:tc>
          <w:tcPr>
            <w:tcW w:w="1045" w:type="pct"/>
            <w:gridSpan w:val="3"/>
          </w:tcPr>
          <w:p w14:paraId="09B30304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0,0074</w:t>
            </w:r>
          </w:p>
        </w:tc>
        <w:tc>
          <w:tcPr>
            <w:tcW w:w="1045" w:type="pct"/>
            <w:gridSpan w:val="3"/>
          </w:tcPr>
          <w:p w14:paraId="3387631B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0,0215</w:t>
            </w:r>
          </w:p>
        </w:tc>
        <w:tc>
          <w:tcPr>
            <w:tcW w:w="1045" w:type="pct"/>
            <w:gridSpan w:val="3"/>
          </w:tcPr>
          <w:p w14:paraId="6BF1D48E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0,0134</w:t>
            </w:r>
          </w:p>
        </w:tc>
        <w:tc>
          <w:tcPr>
            <w:tcW w:w="1046" w:type="pct"/>
            <w:gridSpan w:val="2"/>
          </w:tcPr>
          <w:p w14:paraId="37742BF2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&lt; 0,0001</w:t>
            </w:r>
          </w:p>
        </w:tc>
      </w:tr>
      <w:tr w:rsidR="000A22A9" w14:paraId="1902344E" w14:textId="77777777" w:rsidTr="00EA1154">
        <w:trPr>
          <w:cantSplit/>
          <w:trHeight w:val="210"/>
          <w:jc w:val="center"/>
        </w:trPr>
        <w:tc>
          <w:tcPr>
            <w:tcW w:w="5000" w:type="pct"/>
            <w:gridSpan w:val="12"/>
          </w:tcPr>
          <w:p w14:paraId="26EE24B0" w14:textId="77777777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b/>
                <w:sz w:val="20"/>
              </w:rPr>
              <w:t>První radioterapie kosti</w:t>
            </w:r>
          </w:p>
        </w:tc>
      </w:tr>
      <w:tr w:rsidR="00557EE3" w14:paraId="3FA61B7F" w14:textId="77777777" w:rsidTr="00EA1154">
        <w:trPr>
          <w:cantSplit/>
          <w:trHeight w:val="272"/>
          <w:jc w:val="center"/>
        </w:trPr>
        <w:tc>
          <w:tcPr>
            <w:tcW w:w="819" w:type="pct"/>
          </w:tcPr>
          <w:p w14:paraId="049D48F1" w14:textId="77777777" w:rsidR="000A22A9" w:rsidRDefault="003A2761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>Medián (měsíce)</w:t>
            </w:r>
          </w:p>
        </w:tc>
        <w:tc>
          <w:tcPr>
            <w:tcW w:w="518" w:type="pct"/>
          </w:tcPr>
          <w:p w14:paraId="2103E64C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</w:tcPr>
          <w:p w14:paraId="2DA6B38C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  <w:gridSpan w:val="2"/>
          </w:tcPr>
          <w:p w14:paraId="6F42D5B4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</w:tcPr>
          <w:p w14:paraId="720D3E0B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  <w:gridSpan w:val="2"/>
          </w:tcPr>
          <w:p w14:paraId="01121C51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18" w:type="pct"/>
          </w:tcPr>
          <w:p w14:paraId="2ED50DB1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28,6</w:t>
            </w:r>
          </w:p>
        </w:tc>
        <w:tc>
          <w:tcPr>
            <w:tcW w:w="518" w:type="pct"/>
            <w:gridSpan w:val="2"/>
          </w:tcPr>
          <w:p w14:paraId="3E7B16F8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556" w:type="pct"/>
          </w:tcPr>
          <w:p w14:paraId="132CFB01" w14:textId="77777777" w:rsidR="000A22A9" w:rsidRDefault="003A2761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33,2</w:t>
            </w:r>
          </w:p>
        </w:tc>
      </w:tr>
      <w:tr w:rsidR="00557EE3" w14:paraId="5B60E597" w14:textId="77777777" w:rsidTr="00EA1154">
        <w:trPr>
          <w:cantSplit/>
          <w:trHeight w:val="344"/>
          <w:jc w:val="center"/>
        </w:trPr>
        <w:tc>
          <w:tcPr>
            <w:tcW w:w="819" w:type="pct"/>
          </w:tcPr>
          <w:p w14:paraId="6279B193" w14:textId="77777777" w:rsidR="000A22A9" w:rsidRDefault="003A2761" w:rsidP="00325E4E">
            <w:pPr>
              <w:keepNext/>
              <w:contextualSpacing/>
              <w:rPr>
                <w:sz w:val="20"/>
              </w:rPr>
            </w:pPr>
            <w:r>
              <w:rPr>
                <w:sz w:val="20"/>
              </w:rPr>
              <w:t>HR (95% CI) / RRR (%)</w:t>
            </w:r>
          </w:p>
        </w:tc>
        <w:tc>
          <w:tcPr>
            <w:tcW w:w="1045" w:type="pct"/>
            <w:gridSpan w:val="3"/>
          </w:tcPr>
          <w:p w14:paraId="719E3774" w14:textId="77777777" w:rsidR="000A22A9" w:rsidRDefault="003A2761" w:rsidP="00325E4E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0,74 (0,59; 0,94) / 26</w:t>
            </w:r>
          </w:p>
        </w:tc>
        <w:tc>
          <w:tcPr>
            <w:tcW w:w="1045" w:type="pct"/>
            <w:gridSpan w:val="3"/>
          </w:tcPr>
          <w:p w14:paraId="5DC26249" w14:textId="77777777" w:rsidR="000A22A9" w:rsidRDefault="003A2761" w:rsidP="00325E4E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0,78 (0,63; 0,97) / 22</w:t>
            </w:r>
          </w:p>
        </w:tc>
        <w:tc>
          <w:tcPr>
            <w:tcW w:w="1045" w:type="pct"/>
            <w:gridSpan w:val="3"/>
          </w:tcPr>
          <w:p w14:paraId="0541822F" w14:textId="77777777" w:rsidR="000A22A9" w:rsidRDefault="003A2761" w:rsidP="00325E4E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0,78 (0,66; 0,94) / 22</w:t>
            </w:r>
          </w:p>
        </w:tc>
        <w:tc>
          <w:tcPr>
            <w:tcW w:w="1046" w:type="pct"/>
            <w:gridSpan w:val="2"/>
          </w:tcPr>
          <w:p w14:paraId="3D2BFB9F" w14:textId="77777777" w:rsidR="000A22A9" w:rsidRDefault="003A2761" w:rsidP="00325E4E">
            <w:pPr>
              <w:keepNext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0,77 (0,69; 0,87) / 23</w:t>
            </w:r>
          </w:p>
        </w:tc>
      </w:tr>
      <w:tr w:rsidR="00557EE3" w14:paraId="5141C5D2" w14:textId="77777777" w:rsidTr="00EA1154">
        <w:trPr>
          <w:cantSplit/>
          <w:trHeight w:val="296"/>
          <w:jc w:val="center"/>
        </w:trPr>
        <w:tc>
          <w:tcPr>
            <w:tcW w:w="819" w:type="pct"/>
          </w:tcPr>
          <w:p w14:paraId="2F54C219" w14:textId="77777777" w:rsidR="000A22A9" w:rsidRDefault="003A2761">
            <w:pPr>
              <w:contextualSpacing/>
              <w:rPr>
                <w:sz w:val="20"/>
              </w:rPr>
            </w:pPr>
            <w:r>
              <w:rPr>
                <w:sz w:val="20"/>
              </w:rPr>
              <w:t>Superiorita p</w:t>
            </w:r>
            <w:r>
              <w:rPr>
                <w:sz w:val="20"/>
              </w:rPr>
              <w:noBreakHyphen/>
              <w:t>hodnota</w:t>
            </w:r>
          </w:p>
        </w:tc>
        <w:tc>
          <w:tcPr>
            <w:tcW w:w="1045" w:type="pct"/>
            <w:gridSpan w:val="3"/>
          </w:tcPr>
          <w:p w14:paraId="61A716AA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0,0121</w:t>
            </w:r>
          </w:p>
        </w:tc>
        <w:tc>
          <w:tcPr>
            <w:tcW w:w="1045" w:type="pct"/>
            <w:gridSpan w:val="3"/>
          </w:tcPr>
          <w:p w14:paraId="621D72F0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0,0256</w:t>
            </w:r>
          </w:p>
        </w:tc>
        <w:tc>
          <w:tcPr>
            <w:tcW w:w="1045" w:type="pct"/>
            <w:gridSpan w:val="3"/>
          </w:tcPr>
          <w:p w14:paraId="1ECF52B5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0,0071</w:t>
            </w:r>
          </w:p>
        </w:tc>
        <w:tc>
          <w:tcPr>
            <w:tcW w:w="1046" w:type="pct"/>
            <w:gridSpan w:val="2"/>
          </w:tcPr>
          <w:p w14:paraId="12A4A45A" w14:textId="77777777" w:rsidR="000A22A9" w:rsidRDefault="003A2761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&lt; 0,0001</w:t>
            </w:r>
          </w:p>
        </w:tc>
      </w:tr>
    </w:tbl>
    <w:p w14:paraId="634EDACF" w14:textId="48EF3B57" w:rsidR="000A22A9" w:rsidRPr="006B380C" w:rsidRDefault="003A2761">
      <w:pPr>
        <w:keepNext/>
        <w:tabs>
          <w:tab w:val="left" w:pos="284"/>
        </w:tabs>
        <w:autoSpaceDE w:val="0"/>
        <w:autoSpaceDN w:val="0"/>
        <w:adjustRightInd w:val="0"/>
        <w:rPr>
          <w:sz w:val="18"/>
          <w:szCs w:val="18"/>
        </w:rPr>
      </w:pPr>
      <w:r w:rsidRPr="006B380C">
        <w:rPr>
          <w:sz w:val="18"/>
          <w:szCs w:val="18"/>
        </w:rPr>
        <w:t>NR (</w:t>
      </w:r>
      <w:r w:rsidRPr="006B380C">
        <w:rPr>
          <w:i/>
          <w:sz w:val="18"/>
          <w:szCs w:val="18"/>
        </w:rPr>
        <w:t>not reached</w:t>
      </w:r>
      <w:r w:rsidRPr="006B380C">
        <w:rPr>
          <w:sz w:val="18"/>
          <w:szCs w:val="18"/>
        </w:rPr>
        <w:t>) = nedosaženo; NA (</w:t>
      </w:r>
      <w:r w:rsidRPr="006B380C">
        <w:rPr>
          <w:i/>
          <w:sz w:val="18"/>
          <w:szCs w:val="18"/>
        </w:rPr>
        <w:t>not available</w:t>
      </w:r>
      <w:r w:rsidRPr="006B380C">
        <w:rPr>
          <w:sz w:val="18"/>
          <w:szCs w:val="18"/>
        </w:rPr>
        <w:t>) = není k dispozici; HCM (</w:t>
      </w:r>
      <w:r w:rsidRPr="006B380C">
        <w:rPr>
          <w:i/>
          <w:sz w:val="18"/>
          <w:szCs w:val="18"/>
        </w:rPr>
        <w:t>hypercalcaemia of malignancy</w:t>
      </w:r>
      <w:r w:rsidRPr="006B380C">
        <w:rPr>
          <w:sz w:val="18"/>
          <w:szCs w:val="18"/>
        </w:rPr>
        <w:t>) = hyperkalcemie při maligním onemocnění; SMR (</w:t>
      </w:r>
      <w:r w:rsidRPr="006B380C">
        <w:rPr>
          <w:i/>
          <w:sz w:val="18"/>
          <w:szCs w:val="18"/>
        </w:rPr>
        <w:t>skeletal morbidity rate</w:t>
      </w:r>
      <w:r w:rsidRPr="006B380C">
        <w:rPr>
          <w:sz w:val="18"/>
          <w:szCs w:val="18"/>
        </w:rPr>
        <w:t>) = výskyt skeletálních komplikací; HR (</w:t>
      </w:r>
      <w:r w:rsidRPr="006B380C">
        <w:rPr>
          <w:i/>
          <w:sz w:val="18"/>
          <w:szCs w:val="18"/>
        </w:rPr>
        <w:t>hazard ratio</w:t>
      </w:r>
      <w:r w:rsidRPr="006B380C">
        <w:rPr>
          <w:sz w:val="18"/>
          <w:szCs w:val="18"/>
        </w:rPr>
        <w:t>) = poměr rizik; RRR (</w:t>
      </w:r>
      <w:r w:rsidRPr="006B380C">
        <w:rPr>
          <w:i/>
          <w:sz w:val="18"/>
          <w:szCs w:val="18"/>
        </w:rPr>
        <w:t>relative risk reduction</w:t>
      </w:r>
      <w:r w:rsidRPr="006B380C">
        <w:rPr>
          <w:sz w:val="18"/>
          <w:szCs w:val="18"/>
        </w:rPr>
        <w:t xml:space="preserve">) = snížení relativního rizika; </w:t>
      </w:r>
      <w:r w:rsidRPr="006B380C">
        <w:rPr>
          <w:sz w:val="18"/>
          <w:szCs w:val="18"/>
          <w:vertAlign w:val="superscript"/>
        </w:rPr>
        <w:t>†</w:t>
      </w:r>
      <w:r w:rsidRPr="006B380C">
        <w:rPr>
          <w:sz w:val="18"/>
          <w:szCs w:val="18"/>
        </w:rPr>
        <w:t> Adjustované p</w:t>
      </w:r>
      <w:r w:rsidRPr="006B380C">
        <w:rPr>
          <w:sz w:val="18"/>
          <w:szCs w:val="18"/>
        </w:rPr>
        <w:noBreakHyphen/>
        <w:t xml:space="preserve">hodnoty jsou </w:t>
      </w:r>
      <w:r w:rsidRPr="006B380C">
        <w:rPr>
          <w:sz w:val="18"/>
          <w:szCs w:val="18"/>
        </w:rPr>
        <w:lastRenderedPageBreak/>
        <w:t>uvedeny pro studie 1, 2 a 3 (první SRE a první a následné SRE coby cíl</w:t>
      </w:r>
      <w:r w:rsidR="002E00E3" w:rsidRPr="006B380C">
        <w:rPr>
          <w:sz w:val="18"/>
          <w:szCs w:val="18"/>
        </w:rPr>
        <w:t>ové param</w:t>
      </w:r>
      <w:r w:rsidRPr="006B380C">
        <w:rPr>
          <w:sz w:val="18"/>
          <w:szCs w:val="18"/>
        </w:rPr>
        <w:t>e</w:t>
      </w:r>
      <w:r w:rsidR="002E00E3" w:rsidRPr="006B380C">
        <w:rPr>
          <w:sz w:val="18"/>
          <w:szCs w:val="18"/>
        </w:rPr>
        <w:t>try</w:t>
      </w:r>
      <w:r w:rsidRPr="006B380C">
        <w:rPr>
          <w:sz w:val="18"/>
          <w:szCs w:val="18"/>
        </w:rPr>
        <w:t xml:space="preserve"> – </w:t>
      </w:r>
      <w:r w:rsidRPr="006B380C">
        <w:rPr>
          <w:i/>
          <w:sz w:val="18"/>
          <w:szCs w:val="18"/>
        </w:rPr>
        <w:t>endpoints</w:t>
      </w:r>
      <w:r w:rsidRPr="006B380C">
        <w:rPr>
          <w:sz w:val="18"/>
          <w:szCs w:val="18"/>
        </w:rPr>
        <w:t>); *Evidence všech kostních příhod v čase; započítávají se pouze příhody vyskytující se ≥</w:t>
      </w:r>
      <w:r w:rsidRPr="006B380C">
        <w:rPr>
          <w:rFonts w:hint="eastAsia"/>
          <w:sz w:val="18"/>
          <w:szCs w:val="18"/>
        </w:rPr>
        <w:t> </w:t>
      </w:r>
      <w:r w:rsidRPr="006B380C">
        <w:rPr>
          <w:sz w:val="18"/>
          <w:szCs w:val="18"/>
        </w:rPr>
        <w:t>21 dní po předchozí příhodě.</w:t>
      </w:r>
    </w:p>
    <w:p w14:paraId="632D2903" w14:textId="77777777" w:rsidR="000A22A9" w:rsidRPr="006B380C" w:rsidRDefault="003A2761">
      <w:pPr>
        <w:tabs>
          <w:tab w:val="left" w:pos="284"/>
        </w:tabs>
        <w:autoSpaceDE w:val="0"/>
        <w:autoSpaceDN w:val="0"/>
        <w:adjustRightInd w:val="0"/>
        <w:rPr>
          <w:sz w:val="18"/>
          <w:szCs w:val="18"/>
        </w:rPr>
      </w:pPr>
      <w:r w:rsidRPr="006B380C">
        <w:rPr>
          <w:sz w:val="18"/>
          <w:szCs w:val="18"/>
        </w:rPr>
        <w:t>** Včetně nemalobuněčného karcinomu plic, karcinomu ledvin, kolorektálního karcinomu, malobuněčného karcinomu plic, karcinomu močového měchýře, karcinomu oblasti hlavy a krku, karcinomu GI/urogenitální oblasti a jiných, kromě karcinomu prsu a prostaty.</w:t>
      </w:r>
    </w:p>
    <w:p w14:paraId="568B54EB" w14:textId="77777777" w:rsidR="000A22A9" w:rsidRDefault="000A22A9">
      <w:pPr>
        <w:autoSpaceDE w:val="0"/>
        <w:autoSpaceDN w:val="0"/>
        <w:adjustRightInd w:val="0"/>
      </w:pPr>
    </w:p>
    <w:p w14:paraId="3A45ACBD" w14:textId="20C4182A" w:rsidR="000A22A9" w:rsidRPr="008D3E5C" w:rsidRDefault="003A2761" w:rsidP="008D3E5C">
      <w:pPr>
        <w:pStyle w:val="Stylebold"/>
        <w:keepNext/>
      </w:pPr>
      <w:r>
        <w:t>Obrázek 1. Kaplan</w:t>
      </w:r>
      <w:r w:rsidR="002E00E3">
        <w:t>ovy</w:t>
      </w:r>
      <w:r>
        <w:noBreakHyphen/>
        <w:t>Meierovy křivky doby do výskytu první SRE během studie (</w:t>
      </w:r>
      <w:r>
        <w:rPr>
          <w:i/>
        </w:rPr>
        <w:t>first on</w:t>
      </w:r>
      <w:r>
        <w:rPr>
          <w:i/>
        </w:rPr>
        <w:noBreakHyphen/>
        <w:t>study SRE</w:t>
      </w:r>
      <w:r>
        <w:t>)</w:t>
      </w:r>
    </w:p>
    <w:p w14:paraId="1E00A1AF" w14:textId="77777777" w:rsidR="000A22A9" w:rsidRDefault="000A22A9">
      <w:pPr>
        <w:pStyle w:val="Text"/>
        <w:keepNext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</w:p>
    <w:p w14:paraId="6537B552" w14:textId="1D93EFCF" w:rsidR="000A22A9" w:rsidRDefault="004A4D8B" w:rsidP="002F6ACF">
      <w:pPr>
        <w:autoSpaceDE w:val="0"/>
        <w:autoSpaceDN w:val="0"/>
        <w:adjustRightInd w:val="0"/>
        <w:rPr>
          <w:szCs w:val="22"/>
        </w:rPr>
      </w:pPr>
      <w:r w:rsidRPr="004A4D8B">
        <w:rPr>
          <w:rFonts w:ascii="Arial" w:eastAsia="Times New Roman" w:hAnsi="Arial" w:cs="Arial"/>
          <w:noProof/>
          <w:color w:val="0000FF"/>
          <w:sz w:val="20"/>
          <w:szCs w:val="14"/>
        </w:rPr>
        <w:drawing>
          <wp:inline distT="0" distB="0" distL="0" distR="0" wp14:anchorId="327CD468" wp14:editId="0FA5CC99">
            <wp:extent cx="7110000" cy="3085200"/>
            <wp:effectExtent l="0" t="0" r="0" b="0"/>
            <wp:docPr id="2036609000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00" cy="30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403A6" w14:textId="77777777" w:rsidR="000A22A9" w:rsidRDefault="003A2761">
      <w:pPr>
        <w:keepNext/>
        <w:autoSpaceDE w:val="0"/>
        <w:autoSpaceDN w:val="0"/>
        <w:adjustRightInd w:val="0"/>
        <w:rPr>
          <w:szCs w:val="22"/>
          <w:u w:val="single"/>
        </w:rPr>
      </w:pPr>
      <w:r>
        <w:rPr>
          <w:u w:val="single"/>
        </w:rPr>
        <w:t>Progrese onemocnění a celková doba přežití s metastázami solidních nádorů do kostí</w:t>
      </w:r>
    </w:p>
    <w:p w14:paraId="577CD09E" w14:textId="77777777" w:rsidR="000A22A9" w:rsidRDefault="000A22A9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6A5C2B04" w14:textId="61E61541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Progrese onemocnění při léčbě </w:t>
      </w:r>
      <w:r w:rsidR="004F236B" w:rsidRPr="00CE3977">
        <w:t>denosumab</w:t>
      </w:r>
      <w:r w:rsidR="004F236B">
        <w:t>em</w:t>
      </w:r>
      <w:r>
        <w:t xml:space="preserve"> a kyselinou zoledronovou byla obdobná ve všech třech studiích a v prespecifikované kombinované analýze všech tří studií.</w:t>
      </w:r>
    </w:p>
    <w:p w14:paraId="6CEB2EB0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156B07E8" w14:textId="383E27E3" w:rsidR="000A22A9" w:rsidRDefault="003A2761">
      <w:pPr>
        <w:autoSpaceDE w:val="0"/>
        <w:autoSpaceDN w:val="0"/>
        <w:adjustRightInd w:val="0"/>
        <w:rPr>
          <w:iCs/>
          <w:szCs w:val="22"/>
        </w:rPr>
      </w:pPr>
      <w:r>
        <w:t xml:space="preserve">Ve studiích 1, 2 a 3 bylo celkové přežití vyrovnané mezi </w:t>
      </w:r>
      <w:r w:rsidR="004F236B" w:rsidRPr="00CE3977">
        <w:t>denosumab</w:t>
      </w:r>
      <w:r w:rsidR="004F236B">
        <w:t>em</w:t>
      </w:r>
      <w:r>
        <w:t xml:space="preserve"> a kyselinou zoledronovou u pacientů s pokročilým maligním nádorovým onemocněním postihujícím kosti: pacienti s karcinomem prsu (poměr rizik [HR] při 95% CI byl 0,95 [0,81; 1,11]), pacienti s karcinomem prostaty (poměr rizik [HR] při 95% CI byl 1,03 [0,91; 1,17]), a pacienti s jinými solidními nádory nebo mnohočetným myelomem (poměr rizik [HR] při 95% CI byl 0,95 [0,83; 1,08]). Post</w:t>
      </w:r>
      <w:r>
        <w:noBreakHyphen/>
        <w:t xml:space="preserve">hoc analýza ve studii 2 (pacienti s jinými solidními nádory nebo mnohočetným myelomem) zkoumala celkovou dobu přežití u 3 typů nádorů, použitých ke stratifikaci (nemalobuněčný plicní karcinom, mnohočetný myelom a ostatní). Celková doba přežití byla při léčbě </w:t>
      </w:r>
      <w:r w:rsidR="004F236B" w:rsidRPr="00CE3977">
        <w:t>denosumab</w:t>
      </w:r>
      <w:r w:rsidR="004F236B">
        <w:t>em</w:t>
      </w:r>
      <w:r>
        <w:t xml:space="preserve"> delší u</w:t>
      </w:r>
      <w:r w:rsidR="00B957E4" w:rsidRPr="00B957E4">
        <w:rPr>
          <w:rFonts w:eastAsia="맑은 고딕"/>
          <w:lang w:eastAsia="ko-KR"/>
        </w:rPr>
        <w:t> </w:t>
      </w:r>
      <w:r>
        <w:t>nemalobuněčného karcinomu plic (poměr rizik [HR] při 95%</w:t>
      </w:r>
      <w:r w:rsidR="00B957E4">
        <w:rPr>
          <w:rFonts w:eastAsia="맑은 고딕" w:hint="eastAsia"/>
          <w:lang w:eastAsia="ko-KR"/>
        </w:rPr>
        <w:t xml:space="preserve"> </w:t>
      </w:r>
      <w:r>
        <w:t>CI byl 0,79 [0,65; 0,95]; n = 702), při léčbě kyselinou zoledronovou delší u mnohočetného myelomu (poměr rizik [HR] při 95%</w:t>
      </w:r>
      <w:r w:rsidR="00B957E4" w:rsidRPr="00B957E4">
        <w:rPr>
          <w:rFonts w:eastAsia="맑은 고딕"/>
          <w:lang w:eastAsia="ko-KR"/>
        </w:rPr>
        <w:t> </w:t>
      </w:r>
      <w:r>
        <w:t>CI byl 2,26 [1,13; 4,50]; n = 180) a</w:t>
      </w:r>
      <w:r w:rsidR="00B957E4" w:rsidRPr="00B957E4">
        <w:rPr>
          <w:rFonts w:eastAsia="맑은 고딕"/>
          <w:lang w:eastAsia="ko-KR"/>
        </w:rPr>
        <w:t> </w:t>
      </w:r>
      <w:r>
        <w:t xml:space="preserve">obdobná pro </w:t>
      </w:r>
      <w:r w:rsidR="004F236B" w:rsidRPr="00CE3977">
        <w:t>denosumab</w:t>
      </w:r>
      <w:r>
        <w:t xml:space="preserve"> i kyselinu zoledronovou u</w:t>
      </w:r>
      <w:r w:rsidR="002540E0" w:rsidRPr="002540E0">
        <w:rPr>
          <w:rFonts w:eastAsia="맑은 고딕"/>
          <w:lang w:eastAsia="ko-KR"/>
        </w:rPr>
        <w:t> </w:t>
      </w:r>
      <w:r>
        <w:t>ostatních typů nádorů (poměr rizik [HR] při 95%</w:t>
      </w:r>
      <w:r w:rsidR="002540E0" w:rsidRPr="002540E0">
        <w:rPr>
          <w:rFonts w:eastAsia="맑은 고딕"/>
          <w:lang w:eastAsia="ko-KR"/>
        </w:rPr>
        <w:t> </w:t>
      </w:r>
      <w:r>
        <w:t>CI byl 1,08 </w:t>
      </w:r>
      <w:r w:rsidR="002540E0">
        <w:rPr>
          <w:rFonts w:eastAsia="맑은 고딕" w:hint="eastAsia"/>
          <w:lang w:eastAsia="ko-KR"/>
        </w:rPr>
        <w:t>[</w:t>
      </w:r>
      <w:r>
        <w:t>0,90; 1,30</w:t>
      </w:r>
      <w:r w:rsidR="002540E0">
        <w:rPr>
          <w:rFonts w:eastAsia="맑은 고딕" w:hint="eastAsia"/>
          <w:lang w:eastAsia="ko-KR"/>
        </w:rPr>
        <w:t>]</w:t>
      </w:r>
      <w:r>
        <w:t>; n = 894). Tato studie nesledovala prognostické faktory an</w:t>
      </w:r>
      <w:r w:rsidRPr="00396A82">
        <w:t xml:space="preserve">i </w:t>
      </w:r>
      <w:r w:rsidR="00396A82" w:rsidRPr="000C0C60">
        <w:t>onkologickou</w:t>
      </w:r>
      <w:r w:rsidR="00396A82" w:rsidRPr="00396A82">
        <w:t xml:space="preserve"> </w:t>
      </w:r>
      <w:r w:rsidRPr="00396A82">
        <w:t>léčbu. V kombinované prespecifikované analýze studií 1, 2 a</w:t>
      </w:r>
      <w:r>
        <w:t xml:space="preserve"> 3 byla celková doba přežití u </w:t>
      </w:r>
      <w:r w:rsidR="004F236B" w:rsidRPr="00CE3977">
        <w:t>denosumab</w:t>
      </w:r>
      <w:r w:rsidR="004F236B">
        <w:t>u</w:t>
      </w:r>
      <w:r>
        <w:t xml:space="preserve"> a kyseliny zoledronové obdobná (poměr rizik [HR] při 95% CI byl 0,99 [0,91; 1,07]).</w:t>
      </w:r>
    </w:p>
    <w:p w14:paraId="461B0D66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16DDCBC9" w14:textId="77777777" w:rsidR="000A22A9" w:rsidRDefault="003A2761">
      <w:pPr>
        <w:keepNext/>
        <w:autoSpaceDE w:val="0"/>
        <w:autoSpaceDN w:val="0"/>
        <w:adjustRightInd w:val="0"/>
        <w:rPr>
          <w:szCs w:val="22"/>
          <w:u w:val="single"/>
        </w:rPr>
      </w:pPr>
      <w:r>
        <w:rPr>
          <w:u w:val="single"/>
        </w:rPr>
        <w:t>Účinek na bolest</w:t>
      </w:r>
    </w:p>
    <w:p w14:paraId="55DFADAB" w14:textId="77777777" w:rsidR="000A22A9" w:rsidRDefault="000A22A9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01165630" w14:textId="5EA8DD0C" w:rsidR="000A22A9" w:rsidRDefault="003A2761">
      <w:pPr>
        <w:autoSpaceDE w:val="0"/>
        <w:autoSpaceDN w:val="0"/>
        <w:adjustRightInd w:val="0"/>
        <w:rPr>
          <w:szCs w:val="22"/>
        </w:rPr>
      </w:pPr>
      <w:r>
        <w:t>Doba do ústupu bolesti (tj. pokles o ≥ 2 body z výchozí úrovně na škále bolesti BPI</w:t>
      </w:r>
      <w:r>
        <w:noBreakHyphen/>
        <w:t>SF) byla při léčbě denosumabem i kyselinou zoledronovou v každé studii a integrovaných analýzách obdobná. V post</w:t>
      </w:r>
      <w:r>
        <w:noBreakHyphen/>
        <w:t>hoc analýze kombinovaných souborů dat byl medián doby do zhoršení bolesti (&gt; 4 body na škále bolesti) u pacientů s výchozí mírnou bolestí nebo bez bolesti delší u </w:t>
      </w:r>
      <w:r w:rsidR="004F236B" w:rsidRPr="00CE3977">
        <w:t>denosumab</w:t>
      </w:r>
      <w:r w:rsidR="004F236B">
        <w:t>u</w:t>
      </w:r>
      <w:r>
        <w:t xml:space="preserve"> než u kyseliny zoledronové (198 versus 143 dní) (p = 0,0002).</w:t>
      </w:r>
    </w:p>
    <w:p w14:paraId="50F5137A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64F91752" w14:textId="77777777" w:rsidR="000A22A9" w:rsidRDefault="003A2761">
      <w:pPr>
        <w:keepNext/>
        <w:tabs>
          <w:tab w:val="clear" w:pos="567"/>
        </w:tabs>
        <w:autoSpaceDE w:val="0"/>
        <w:autoSpaceDN w:val="0"/>
        <w:adjustRightInd w:val="0"/>
        <w:rPr>
          <w:rFonts w:cs="Arial"/>
          <w:u w:val="single"/>
        </w:rPr>
      </w:pPr>
      <w:r>
        <w:rPr>
          <w:u w:val="single"/>
        </w:rPr>
        <w:lastRenderedPageBreak/>
        <w:t>Klinická účinnost u pacientů s mnohočetným myelomem</w:t>
      </w:r>
    </w:p>
    <w:p w14:paraId="43008E97" w14:textId="77777777" w:rsidR="000A22A9" w:rsidRDefault="000A22A9">
      <w:pPr>
        <w:keepNext/>
        <w:tabs>
          <w:tab w:val="clear" w:pos="567"/>
        </w:tabs>
        <w:autoSpaceDE w:val="0"/>
        <w:autoSpaceDN w:val="0"/>
        <w:adjustRightInd w:val="0"/>
        <w:rPr>
          <w:rFonts w:cs="Arial"/>
          <w:u w:val="single"/>
        </w:rPr>
      </w:pPr>
    </w:p>
    <w:p w14:paraId="076AFC9E" w14:textId="4F16C2EA" w:rsidR="000A22A9" w:rsidRDefault="004F236B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  <w:r>
        <w:t>D</w:t>
      </w:r>
      <w:r w:rsidRPr="00CE3977">
        <w:t>enosumab</w:t>
      </w:r>
      <w:r w:rsidR="003A2761">
        <w:t xml:space="preserve"> byl hodnocen v mezinárodní randomizované (1:1) dvojitě zaslepené aktivně kontrolované studii srovnávající </w:t>
      </w:r>
      <w:r w:rsidRPr="00CE3977">
        <w:t>denosumab</w:t>
      </w:r>
      <w:r w:rsidR="003A2761">
        <w:t xml:space="preserve"> s kyselinou zoledronovou u pacientů s nově diagnostikovaným mnohočetným myelomem, studie 4.</w:t>
      </w:r>
    </w:p>
    <w:p w14:paraId="2E69F0FF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</w:p>
    <w:p w14:paraId="314F37EF" w14:textId="3740764E" w:rsidR="000A22A9" w:rsidRDefault="003A2761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  <w:r>
        <w:t xml:space="preserve">V této studii bylo randomizováno 1718 pacientů s mnohočetným myelomem s alespoň jednou kostní lézí, kteří dostávali 120 mg </w:t>
      </w:r>
      <w:r w:rsidR="004F236B" w:rsidRPr="00CE3977">
        <w:t>denosumab</w:t>
      </w:r>
      <w:r w:rsidR="004F236B">
        <w:t>u</w:t>
      </w:r>
      <w:r>
        <w:t xml:space="preserve"> subkutánně každé 4 týdny (Q4W) nebo 4 mg kyseliny zoledronové intravenózně (i.v.) každé 4 týdny (dávka byla upravena pro funkci ledvin). Primárním výsledným ukazatelem bylo prokázání non</w:t>
      </w:r>
      <w:r>
        <w:noBreakHyphen/>
        <w:t>inferiority doby do první kostní příhody (SRE) během studie v porovnání s kyselinou zoledronovou. Sekundární výsledné ukazatele zahrnovaly superioritu doby do výskytu první SRE, superioritu doby do výskytu první a následující SRE a celkové prežití. SRE byla definována jako některá z následujících příhod: patologická fraktura (vertebrální nebo nevertebrální), radiační léčba kostí (včetně použití radioizotopů), kostní operace nebo míšní komprese.</w:t>
      </w:r>
    </w:p>
    <w:p w14:paraId="4721A8BC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</w:p>
    <w:p w14:paraId="71531720" w14:textId="12690101" w:rsidR="000A22A9" w:rsidRDefault="003A2761">
      <w:r>
        <w:t>V obou studijních ramenech 54,5 % pacientů plánovalo podstoupit autologní transplantaci PBSC, 95,8 % pacientů použilo/plánovalo použít novou antimyelomovou látku (nové terapie zahrnují bortezomib, lenalidomid nebo thalidomid) v první linii léčby a</w:t>
      </w:r>
      <w:r w:rsidR="000061B9" w:rsidRPr="000061B9">
        <w:rPr>
          <w:rFonts w:eastAsia="맑은 고딕"/>
          <w:lang w:eastAsia="ko-KR"/>
        </w:rPr>
        <w:t> </w:t>
      </w:r>
      <w:r>
        <w:t xml:space="preserve">60,7 % pacientů mělo předchozí SRE. Počet pacientů v obou </w:t>
      </w:r>
      <w:r w:rsidRPr="00396A82">
        <w:t>studijních ramenech se stádiem I, II a III</w:t>
      </w:r>
      <w:r>
        <w:t xml:space="preserve"> podle ISS v době stanovení diagnózy byl 32,4 %; 38,2 % a</w:t>
      </w:r>
      <w:r w:rsidR="006D17C0">
        <w:rPr>
          <w:rFonts w:eastAsia="맑은 고딕"/>
          <w:lang w:val="en-US" w:eastAsia="ko-KR"/>
        </w:rPr>
        <w:t> </w:t>
      </w:r>
      <w:r>
        <w:t>29,3 % v příslušném pořadí.</w:t>
      </w:r>
    </w:p>
    <w:p w14:paraId="1BAB16DF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</w:p>
    <w:p w14:paraId="0D992063" w14:textId="3F076C5F" w:rsidR="000A22A9" w:rsidRDefault="003A2761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  <w:r>
        <w:t xml:space="preserve">Medián počtu podaných dávek byl 16 pro </w:t>
      </w:r>
      <w:r w:rsidR="004F236B" w:rsidRPr="00CE3977">
        <w:t>denosumab</w:t>
      </w:r>
      <w:r>
        <w:t xml:space="preserve"> a 15 pro kyselinu zoledronovou.</w:t>
      </w:r>
    </w:p>
    <w:p w14:paraId="467C325B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</w:p>
    <w:p w14:paraId="25A4B656" w14:textId="77777777" w:rsidR="000A22A9" w:rsidRDefault="003A2761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  <w:r>
        <w:t>Výsledky účinnosti ze studie 4 jsou uvedeny na obrázku 2 a v tabulce 3.</w:t>
      </w:r>
    </w:p>
    <w:p w14:paraId="3AF3BC96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rPr>
          <w:rFonts w:cs="Arial"/>
        </w:rPr>
      </w:pPr>
    </w:p>
    <w:p w14:paraId="33969AF0" w14:textId="0DF161A9" w:rsidR="000A22A9" w:rsidRDefault="003A2761">
      <w:pPr>
        <w:keepNext/>
        <w:keepLines/>
        <w:tabs>
          <w:tab w:val="clear" w:pos="567"/>
          <w:tab w:val="left" w:pos="708"/>
        </w:tabs>
        <w:autoSpaceDE w:val="0"/>
        <w:autoSpaceDN w:val="0"/>
        <w:adjustRightInd w:val="0"/>
        <w:rPr>
          <w:rFonts w:cs="Arial"/>
          <w:b/>
        </w:rPr>
      </w:pPr>
      <w:r>
        <w:rPr>
          <w:b/>
        </w:rPr>
        <w:t>Obrázek 2. Kaplan</w:t>
      </w:r>
      <w:r w:rsidR="00EE67C4">
        <w:rPr>
          <w:b/>
        </w:rPr>
        <w:t>ova</w:t>
      </w:r>
      <w:r>
        <w:rPr>
          <w:b/>
        </w:rPr>
        <w:noBreakHyphen/>
        <w:t>Meierova křivka pro dobu do výskytu první SRE během studie u pacientů s nově diagnostikovaným mnohočetným myelomem</w:t>
      </w:r>
    </w:p>
    <w:p w14:paraId="33C2B7DD" w14:textId="77777777" w:rsidR="000A22A9" w:rsidRDefault="000A22A9">
      <w:pPr>
        <w:keepNext/>
        <w:keepLines/>
        <w:tabs>
          <w:tab w:val="clear" w:pos="567"/>
          <w:tab w:val="left" w:pos="708"/>
        </w:tabs>
        <w:autoSpaceDE w:val="0"/>
        <w:autoSpaceDN w:val="0"/>
        <w:adjustRightInd w:val="0"/>
        <w:rPr>
          <w:rFonts w:cs="Arial"/>
        </w:rPr>
      </w:pPr>
    </w:p>
    <w:p w14:paraId="28B2D487" w14:textId="65317B96" w:rsidR="000A22A9" w:rsidRDefault="00C56488">
      <w:pPr>
        <w:autoSpaceDE w:val="0"/>
        <w:autoSpaceDN w:val="0"/>
        <w:adjustRightInd w:val="0"/>
      </w:pPr>
      <w:r w:rsidRPr="00C56488">
        <w:rPr>
          <w:noProof/>
        </w:rPr>
        <w:drawing>
          <wp:inline distT="0" distB="0" distL="0" distR="0" wp14:anchorId="389685AE" wp14:editId="60A46176">
            <wp:extent cx="6195600" cy="3546000"/>
            <wp:effectExtent l="0" t="0" r="0" b="0"/>
            <wp:docPr id="550193773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00" cy="35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FE6E" w14:textId="1AD550C8" w:rsidR="000A22A9" w:rsidRDefault="003A2761">
      <w:pPr>
        <w:keepNext/>
        <w:tabs>
          <w:tab w:val="left" w:pos="702"/>
        </w:tabs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Tabulka 3. Výsledky účinnosti pro</w:t>
      </w:r>
      <w:r w:rsidRPr="00C62F25">
        <w:rPr>
          <w:b/>
        </w:rPr>
        <w:t xml:space="preserve"> </w:t>
      </w:r>
      <w:r w:rsidR="004F236B" w:rsidRPr="00EA1154">
        <w:rPr>
          <w:b/>
        </w:rPr>
        <w:t>denosumab</w:t>
      </w:r>
      <w:r>
        <w:rPr>
          <w:b/>
        </w:rPr>
        <w:t xml:space="preserve"> v porovnání s kyselinou zoledronovou u pacientů s nově diagnostikovaným mnohočetným myelomem</w:t>
      </w:r>
    </w:p>
    <w:p w14:paraId="5B9E3C62" w14:textId="77777777" w:rsidR="00B965ED" w:rsidRDefault="00B965ED">
      <w:pPr>
        <w:keepNext/>
        <w:tabs>
          <w:tab w:val="left" w:pos="702"/>
        </w:tabs>
        <w:autoSpaceDE w:val="0"/>
        <w:autoSpaceDN w:val="0"/>
        <w:adjustRightInd w:val="0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7"/>
        <w:gridCol w:w="2398"/>
        <w:gridCol w:w="2396"/>
      </w:tblGrid>
      <w:tr w:rsidR="000A22A9" w14:paraId="37FBF399" w14:textId="77777777" w:rsidTr="00EA1154">
        <w:trPr>
          <w:trHeight w:val="559"/>
          <w:tblHeader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56E" w14:textId="77777777" w:rsidR="000A22A9" w:rsidRDefault="000A22A9">
            <w:pPr>
              <w:keepNext/>
              <w:rPr>
                <w:b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5645" w14:textId="0C7DF7D6" w:rsidR="004F236B" w:rsidRPr="00206DB4" w:rsidRDefault="00545CBB" w:rsidP="00EA1154">
            <w:pPr>
              <w:keepNext/>
              <w:jc w:val="center"/>
              <w:rPr>
                <w:b/>
                <w:szCs w:val="22"/>
              </w:rPr>
            </w:pPr>
            <w:r w:rsidRPr="00EA1154">
              <w:rPr>
                <w:b/>
              </w:rPr>
              <w:t>D</w:t>
            </w:r>
            <w:r w:rsidR="004F236B" w:rsidRPr="00EA1154">
              <w:rPr>
                <w:b/>
              </w:rPr>
              <w:t>enosumab</w:t>
            </w:r>
          </w:p>
          <w:p w14:paraId="257C9050" w14:textId="77777777" w:rsidR="000A22A9" w:rsidRDefault="003A2761">
            <w:pPr>
              <w:keepNext/>
              <w:ind w:left="14"/>
              <w:jc w:val="center"/>
              <w:rPr>
                <w:szCs w:val="22"/>
              </w:rPr>
            </w:pPr>
            <w:r>
              <w:rPr>
                <w:b/>
              </w:rPr>
              <w:t>(n = 859)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14D8" w14:textId="77777777" w:rsidR="000A22A9" w:rsidRDefault="003A2761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</w:rPr>
              <w:t>Kyselina zoledronová</w:t>
            </w:r>
          </w:p>
          <w:p w14:paraId="75617CC1" w14:textId="77777777" w:rsidR="000A22A9" w:rsidRDefault="003A2761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</w:rPr>
              <w:t>(n = 859)</w:t>
            </w:r>
          </w:p>
        </w:tc>
      </w:tr>
      <w:tr w:rsidR="000A22A9" w14:paraId="0719425D" w14:textId="77777777" w:rsidTr="00EA1154">
        <w:trPr>
          <w:trHeight w:val="251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F53E" w14:textId="77777777" w:rsidR="000A22A9" w:rsidRDefault="003A2761">
            <w:pPr>
              <w:keepNext/>
              <w:rPr>
                <w:szCs w:val="22"/>
              </w:rPr>
            </w:pPr>
            <w:r>
              <w:rPr>
                <w:b/>
              </w:rPr>
              <w:t>První SRE</w:t>
            </w:r>
          </w:p>
        </w:tc>
      </w:tr>
      <w:tr w:rsidR="000A22A9" w14:paraId="2129CE6D" w14:textId="77777777" w:rsidTr="00EA1154">
        <w:trPr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A068" w14:textId="77777777" w:rsidR="000A22A9" w:rsidRDefault="003A2761">
            <w:pPr>
              <w:keepNext/>
              <w:rPr>
                <w:szCs w:val="22"/>
              </w:rPr>
            </w:pPr>
            <w:r>
              <w:t>Počet pacientů, kteří měli SRE (%)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9F94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376 (43,8)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DCE3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383 (44,6)</w:t>
            </w:r>
          </w:p>
        </w:tc>
      </w:tr>
      <w:tr w:rsidR="000A22A9" w14:paraId="31261FAC" w14:textId="77777777" w:rsidTr="00EA1154">
        <w:trPr>
          <w:trHeight w:val="26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FCE5" w14:textId="77777777" w:rsidR="000A22A9" w:rsidRDefault="003A2761">
            <w:pPr>
              <w:keepNext/>
              <w:rPr>
                <w:szCs w:val="22"/>
              </w:rPr>
            </w:pPr>
            <w:r>
              <w:t>Medián doby do výskytu SRE (měsíce)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BA1A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22,8 (14,7; NE)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5A47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23,98 (16,56; 33,31)</w:t>
            </w:r>
          </w:p>
        </w:tc>
      </w:tr>
      <w:tr w:rsidR="000A22A9" w14:paraId="3D29FE93" w14:textId="77777777" w:rsidTr="00EA1154">
        <w:trPr>
          <w:trHeight w:val="26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712" w14:textId="77777777" w:rsidR="000A22A9" w:rsidRDefault="003A2761">
            <w:pPr>
              <w:keepNext/>
              <w:rPr>
                <w:szCs w:val="22"/>
              </w:rPr>
            </w:pPr>
            <w:r>
              <w:t>Poměr rizik (95% CI)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725C" w14:textId="77777777" w:rsidR="000A22A9" w:rsidRDefault="003A2761">
            <w:pPr>
              <w:jc w:val="center"/>
            </w:pPr>
            <w:r>
              <w:t>0,98 (0,85; 1,14)</w:t>
            </w:r>
          </w:p>
        </w:tc>
      </w:tr>
      <w:tr w:rsidR="000A22A9" w14:paraId="2DB75AE9" w14:textId="77777777" w:rsidTr="00EA1154">
        <w:trPr>
          <w:trHeight w:val="281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E5D" w14:textId="77777777" w:rsidR="000A22A9" w:rsidRDefault="000A22A9">
            <w:pPr>
              <w:keepNext/>
              <w:jc w:val="center"/>
              <w:rPr>
                <w:sz w:val="12"/>
                <w:szCs w:val="22"/>
              </w:rPr>
            </w:pPr>
          </w:p>
        </w:tc>
      </w:tr>
      <w:tr w:rsidR="000A22A9" w14:paraId="79BA3312" w14:textId="77777777" w:rsidTr="00EA1154">
        <w:trPr>
          <w:trHeight w:val="293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6E2A" w14:textId="77777777" w:rsidR="000A22A9" w:rsidRDefault="003A2761">
            <w:pPr>
              <w:keepNext/>
              <w:rPr>
                <w:szCs w:val="22"/>
              </w:rPr>
            </w:pPr>
            <w:r>
              <w:rPr>
                <w:b/>
              </w:rPr>
              <w:t>První a následující SRE</w:t>
            </w:r>
          </w:p>
        </w:tc>
      </w:tr>
      <w:tr w:rsidR="000A22A9" w14:paraId="646E4D26" w14:textId="77777777" w:rsidTr="00EA1154">
        <w:trPr>
          <w:trHeight w:val="29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3671" w14:textId="77777777" w:rsidR="000A22A9" w:rsidRDefault="003A2761">
            <w:pPr>
              <w:keepNext/>
              <w:rPr>
                <w:szCs w:val="22"/>
              </w:rPr>
            </w:pPr>
            <w:r w:rsidRPr="00396A82">
              <w:t>Průměrný počet příhod na pacienta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8576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0,66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D5D0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0,66</w:t>
            </w:r>
          </w:p>
        </w:tc>
      </w:tr>
      <w:tr w:rsidR="000A22A9" w14:paraId="6FC51F47" w14:textId="77777777" w:rsidTr="00EA1154">
        <w:trPr>
          <w:trHeight w:val="2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9AAB" w14:textId="77777777" w:rsidR="000A22A9" w:rsidRDefault="003A2761">
            <w:pPr>
              <w:keepNext/>
              <w:rPr>
                <w:szCs w:val="22"/>
              </w:rPr>
            </w:pPr>
            <w:r>
              <w:t>Poměr rizik (95% CI)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9997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1,01 (0,89; 1,15)</w:t>
            </w:r>
          </w:p>
        </w:tc>
      </w:tr>
      <w:tr w:rsidR="000A22A9" w14:paraId="7D0B53BB" w14:textId="77777777" w:rsidTr="00EA1154">
        <w:trPr>
          <w:trHeight w:val="2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D682" w14:textId="77777777" w:rsidR="000A22A9" w:rsidRDefault="003A2761">
            <w:pPr>
              <w:keepNext/>
              <w:rPr>
                <w:szCs w:val="22"/>
              </w:rPr>
            </w:pPr>
            <w:r>
              <w:t>Míra skeletální morbidity za rok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32D5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0,61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0E16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0,62</w:t>
            </w:r>
          </w:p>
        </w:tc>
      </w:tr>
      <w:tr w:rsidR="000A22A9" w14:paraId="057BBB50" w14:textId="77777777" w:rsidTr="00EA1154">
        <w:trPr>
          <w:trHeight w:val="268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22CC" w14:textId="77777777" w:rsidR="000A22A9" w:rsidRDefault="000A22A9">
            <w:pPr>
              <w:keepNext/>
              <w:jc w:val="center"/>
              <w:rPr>
                <w:sz w:val="10"/>
                <w:szCs w:val="22"/>
              </w:rPr>
            </w:pPr>
          </w:p>
        </w:tc>
      </w:tr>
      <w:tr w:rsidR="000A22A9" w14:paraId="4965A331" w14:textId="77777777" w:rsidTr="00EA1154">
        <w:trPr>
          <w:trHeight w:val="293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9F4F" w14:textId="77777777" w:rsidR="000A22A9" w:rsidRDefault="003A2761">
            <w:pPr>
              <w:keepNext/>
              <w:rPr>
                <w:szCs w:val="22"/>
              </w:rPr>
            </w:pPr>
            <w:r>
              <w:rPr>
                <w:b/>
              </w:rPr>
              <w:t>První SRE nebo HCM</w:t>
            </w:r>
          </w:p>
        </w:tc>
      </w:tr>
      <w:tr w:rsidR="000A22A9" w14:paraId="7EC7873E" w14:textId="77777777" w:rsidTr="00EA1154">
        <w:trPr>
          <w:trHeight w:val="29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74A1" w14:textId="77777777" w:rsidR="000A22A9" w:rsidRDefault="003A2761">
            <w:pPr>
              <w:rPr>
                <w:szCs w:val="22"/>
              </w:rPr>
            </w:pPr>
            <w:r>
              <w:t>Medián doby (měsíce)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88F" w14:textId="77777777" w:rsidR="000A22A9" w:rsidRDefault="003A2761">
            <w:pPr>
              <w:jc w:val="center"/>
              <w:rPr>
                <w:szCs w:val="22"/>
              </w:rPr>
            </w:pPr>
            <w:r>
              <w:t>22,14 (14,26; NE)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F825" w14:textId="77777777" w:rsidR="000A22A9" w:rsidRDefault="003A2761">
            <w:pPr>
              <w:jc w:val="center"/>
              <w:rPr>
                <w:szCs w:val="22"/>
              </w:rPr>
            </w:pPr>
            <w:r>
              <w:t>21,32 (13,86; 29,7)</w:t>
            </w:r>
          </w:p>
        </w:tc>
      </w:tr>
      <w:tr w:rsidR="000A22A9" w14:paraId="02F378D9" w14:textId="77777777" w:rsidTr="00EA1154">
        <w:trPr>
          <w:trHeight w:val="2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53A1" w14:textId="77777777" w:rsidR="000A22A9" w:rsidRDefault="003A2761">
            <w:pPr>
              <w:rPr>
                <w:szCs w:val="22"/>
              </w:rPr>
            </w:pPr>
            <w:r>
              <w:t>Poměr rizik (95% CI)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15F0" w14:textId="77777777" w:rsidR="000A22A9" w:rsidRDefault="003A2761">
            <w:pPr>
              <w:jc w:val="center"/>
              <w:rPr>
                <w:szCs w:val="22"/>
              </w:rPr>
            </w:pPr>
            <w:r>
              <w:t>0,98 (0,85; 1,12)</w:t>
            </w:r>
          </w:p>
        </w:tc>
      </w:tr>
      <w:tr w:rsidR="000A22A9" w14:paraId="4B68E36C" w14:textId="77777777" w:rsidTr="00EA1154">
        <w:trPr>
          <w:trHeight w:val="268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C72" w14:textId="77777777" w:rsidR="000A22A9" w:rsidRDefault="000A22A9">
            <w:pPr>
              <w:jc w:val="center"/>
              <w:rPr>
                <w:sz w:val="12"/>
                <w:szCs w:val="22"/>
              </w:rPr>
            </w:pPr>
          </w:p>
        </w:tc>
      </w:tr>
      <w:tr w:rsidR="000A22A9" w14:paraId="46F43E4A" w14:textId="77777777" w:rsidTr="00EA1154">
        <w:trPr>
          <w:trHeight w:val="293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8732" w14:textId="77777777" w:rsidR="000A22A9" w:rsidRDefault="003A2761">
            <w:pPr>
              <w:keepNext/>
              <w:rPr>
                <w:szCs w:val="22"/>
              </w:rPr>
            </w:pPr>
            <w:r>
              <w:rPr>
                <w:b/>
              </w:rPr>
              <w:t>První radioterapie kosti</w:t>
            </w:r>
          </w:p>
        </w:tc>
      </w:tr>
      <w:tr w:rsidR="000A22A9" w14:paraId="7C0D6F43" w14:textId="77777777" w:rsidTr="00EA1154">
        <w:trPr>
          <w:trHeight w:val="2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6E68" w14:textId="77777777" w:rsidR="000A22A9" w:rsidRDefault="003A2761">
            <w:pPr>
              <w:keepNext/>
              <w:rPr>
                <w:szCs w:val="22"/>
              </w:rPr>
            </w:pPr>
            <w:r>
              <w:t>Poměr rizik (95% CI)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573C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0,78 (0,53; 1,14)</w:t>
            </w:r>
          </w:p>
        </w:tc>
      </w:tr>
      <w:tr w:rsidR="000A22A9" w14:paraId="7E4248D9" w14:textId="77777777" w:rsidTr="00EA1154">
        <w:trPr>
          <w:trHeight w:val="293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EB5" w14:textId="77777777" w:rsidR="000A22A9" w:rsidRDefault="000A22A9">
            <w:pPr>
              <w:keepNext/>
              <w:rPr>
                <w:b/>
                <w:szCs w:val="22"/>
              </w:rPr>
            </w:pPr>
          </w:p>
        </w:tc>
      </w:tr>
      <w:tr w:rsidR="000A22A9" w14:paraId="024F0910" w14:textId="77777777" w:rsidTr="00EA1154">
        <w:trPr>
          <w:trHeight w:val="293"/>
        </w:trPr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9787" w14:textId="77777777" w:rsidR="000A22A9" w:rsidRDefault="003A2761">
            <w:pPr>
              <w:keepNext/>
              <w:rPr>
                <w:szCs w:val="22"/>
              </w:rPr>
            </w:pPr>
            <w:r>
              <w:rPr>
                <w:b/>
              </w:rPr>
              <w:t>Celkové přežití</w:t>
            </w:r>
          </w:p>
        </w:tc>
      </w:tr>
      <w:tr w:rsidR="000A22A9" w14:paraId="308FD626" w14:textId="77777777" w:rsidTr="00EA1154">
        <w:trPr>
          <w:trHeight w:val="2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5752" w14:textId="77777777" w:rsidR="000A22A9" w:rsidRDefault="003A2761">
            <w:pPr>
              <w:keepNext/>
              <w:rPr>
                <w:szCs w:val="22"/>
              </w:rPr>
            </w:pPr>
            <w:r>
              <w:t>Poměr rizik (95% CI)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BA96" w14:textId="77777777" w:rsidR="000A22A9" w:rsidRDefault="003A2761">
            <w:pPr>
              <w:keepNext/>
              <w:jc w:val="center"/>
              <w:rPr>
                <w:szCs w:val="22"/>
              </w:rPr>
            </w:pPr>
            <w:r>
              <w:t>0,90 (0,70; 1,16)</w:t>
            </w:r>
          </w:p>
        </w:tc>
      </w:tr>
    </w:tbl>
    <w:p w14:paraId="1917387D" w14:textId="77777777" w:rsidR="000A22A9" w:rsidRDefault="003A2761">
      <w:pPr>
        <w:keepNext/>
        <w:keepLines/>
        <w:autoSpaceDE w:val="0"/>
        <w:autoSpaceDN w:val="0"/>
        <w:adjustRightInd w:val="0"/>
        <w:rPr>
          <w:bCs/>
          <w:sz w:val="20"/>
        </w:rPr>
      </w:pPr>
      <w:r>
        <w:rPr>
          <w:sz w:val="20"/>
        </w:rPr>
        <w:t>NE = nelze odhadnout</w:t>
      </w:r>
    </w:p>
    <w:p w14:paraId="2ADECE3B" w14:textId="77777777" w:rsidR="000A22A9" w:rsidRDefault="003A2761" w:rsidP="002F6ACF">
      <w:pPr>
        <w:autoSpaceDE w:val="0"/>
        <w:autoSpaceDN w:val="0"/>
        <w:adjustRightInd w:val="0"/>
        <w:rPr>
          <w:bCs/>
          <w:sz w:val="20"/>
        </w:rPr>
      </w:pPr>
      <w:r>
        <w:rPr>
          <w:sz w:val="20"/>
        </w:rPr>
        <w:t>HCM = hyperkalcemie při maligním onemocnění</w:t>
      </w:r>
    </w:p>
    <w:p w14:paraId="409A7777" w14:textId="77777777" w:rsidR="000A22A9" w:rsidRDefault="000A22A9">
      <w:pPr>
        <w:autoSpaceDE w:val="0"/>
        <w:autoSpaceDN w:val="0"/>
        <w:adjustRightInd w:val="0"/>
      </w:pPr>
    </w:p>
    <w:p w14:paraId="00E5D565" w14:textId="1D403B89" w:rsidR="000A22A9" w:rsidRDefault="003A2761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5A027C">
        <w:rPr>
          <w:u w:val="single"/>
        </w:rPr>
        <w:t>Klinická účinnost a bezpečnost u dospělých a dospívajících s</w:t>
      </w:r>
      <w:r w:rsidR="00CD4255">
        <w:rPr>
          <w:u w:val="single"/>
        </w:rPr>
        <w:t> ukončeným vývojem</w:t>
      </w:r>
      <w:r w:rsidRPr="005A027C">
        <w:rPr>
          <w:u w:val="single"/>
        </w:rPr>
        <w:t xml:space="preserve"> skelet</w:t>
      </w:r>
      <w:r w:rsidR="00CD4255">
        <w:rPr>
          <w:u w:val="single"/>
        </w:rPr>
        <w:t>u</w:t>
      </w:r>
      <w:r w:rsidRPr="005A027C">
        <w:rPr>
          <w:u w:val="single"/>
        </w:rPr>
        <w:t xml:space="preserve"> s velkobuněčným kostním nádorem</w:t>
      </w:r>
    </w:p>
    <w:p w14:paraId="0C3829E9" w14:textId="77777777" w:rsidR="000A22A9" w:rsidRDefault="000A22A9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61AC752F" w14:textId="2CD94C9D" w:rsidR="000A22A9" w:rsidRDefault="003A2761" w:rsidP="002F6ACF">
      <w:pPr>
        <w:autoSpaceDE w:val="0"/>
        <w:autoSpaceDN w:val="0"/>
        <w:adjustRightInd w:val="0"/>
        <w:rPr>
          <w:szCs w:val="22"/>
        </w:rPr>
      </w:pPr>
      <w:r>
        <w:t xml:space="preserve">Bezpečnost a účinnost </w:t>
      </w:r>
      <w:r w:rsidR="004F236B" w:rsidRPr="00CE3977">
        <w:t>denosumab</w:t>
      </w:r>
      <w:r w:rsidR="004F236B">
        <w:t>u</w:t>
      </w:r>
      <w:r>
        <w:t xml:space="preserve"> byla </w:t>
      </w:r>
      <w:r w:rsidR="005A027C">
        <w:t xml:space="preserve">hodnocena </w:t>
      </w:r>
      <w:r>
        <w:t xml:space="preserve">ve dvou </w:t>
      </w:r>
      <w:r w:rsidR="005A027C">
        <w:t xml:space="preserve">otevřených </w:t>
      </w:r>
      <w:r>
        <w:t>jednoramenných klinických studiích fáze II (studie 5 a 6), které zahrnovaly 554 pacientů s velkobuněčným kostním nádorem, který byl buď neresekabilní, nebo u kterého by byla chirurgická resekce spojena se závažnou morbiditou</w:t>
      </w:r>
      <w:r w:rsidR="00AB1B88">
        <w:t>, a v prospektivní, multicentrické, otevřené studii fáze IV (studie 7), která poskytla dlouhodobé bezpečnostní následné sledování pacientů, kteří dokončili studii 6</w:t>
      </w:r>
      <w:r>
        <w:t xml:space="preserve">. Pacienti dostávali 120 mg </w:t>
      </w:r>
      <w:r w:rsidR="004F236B" w:rsidRPr="00CE3977">
        <w:t>denosumab</w:t>
      </w:r>
      <w:r w:rsidR="004F236B">
        <w:t>u</w:t>
      </w:r>
      <w:r>
        <w:t xml:space="preserve"> subkutánně každé 4 týdny s </w:t>
      </w:r>
      <w:r w:rsidR="005A027C">
        <w:t xml:space="preserve">nasycovací </w:t>
      </w:r>
      <w:r>
        <w:t xml:space="preserve">dávkou 120 mg 8. a 15. den. Pacienti, kteří ukončili léčbu </w:t>
      </w:r>
      <w:r w:rsidR="004F236B" w:rsidRPr="00CE3977">
        <w:t>denosumab</w:t>
      </w:r>
      <w:r w:rsidR="004F236B">
        <w:t>em</w:t>
      </w:r>
      <w:r>
        <w:t xml:space="preserve">, poté vstoupili do fáze následného sledování bezpečnosti na dobu minimálně 60 měsíců. U pacientů, kteří zpočátku vykazovali odpověď na </w:t>
      </w:r>
      <w:r w:rsidR="004F236B" w:rsidRPr="00CE3977">
        <w:t>denosumab</w:t>
      </w:r>
      <w:r>
        <w:t xml:space="preserve"> (např. v případě recidivujícího onemocnění), byla povolena opakovaná léčba </w:t>
      </w:r>
      <w:r w:rsidR="004F236B" w:rsidRPr="00CE3977">
        <w:t>denosumab</w:t>
      </w:r>
      <w:r w:rsidR="004F236B">
        <w:t>em</w:t>
      </w:r>
      <w:r>
        <w:t xml:space="preserve"> během následného sledování bezpečnosti.</w:t>
      </w:r>
    </w:p>
    <w:p w14:paraId="3018717E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34C6AFAA" w14:textId="365F134B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Do studie 5 bylo zařazeno 37 dospělých pacientů s histologicky potvrzeným neresekabilním nebo rekurentním velkobuněčným kostním nádorem. Hlavním výsledným </w:t>
      </w:r>
      <w:r w:rsidRPr="00396A82">
        <w:t>ukazatelem hodnocení byla míra od</w:t>
      </w:r>
      <w:r w:rsidR="00396A82" w:rsidRPr="000C0C60">
        <w:t>povědi</w:t>
      </w:r>
      <w:r w:rsidRPr="00396A82">
        <w:t>, která byla definována buď jako alespoň 90% eliminace</w:t>
      </w:r>
      <w:r>
        <w:t xml:space="preserve"> obrovských buněk vzhledem k výchozímu stavu (nebo úplná eliminace obrovských buněk v případech, kdy obrovské buňky představovaly &lt;5 % nádorových buněk), nebo žádná progrese cílové léze na základě radiografických měření v případech, kdy histopatologie nebyla k dispozici. Z 35 pacientů zahrnutých do analýzy účinnosti zaznamenalo 85,7 % (95% CI: 69,7; 95,2) odpověď na léčbu </w:t>
      </w:r>
      <w:r w:rsidR="004F236B" w:rsidRPr="00CE3977">
        <w:t>denosumab</w:t>
      </w:r>
      <w:r w:rsidR="004F236B">
        <w:t>em</w:t>
      </w:r>
      <w:r>
        <w:t>. Všech 20 pacientů (100 %) s histologickým vyšetřením splnilo kritéria pro odpověď. Ze zbývajících 15 pacientů nebyla u 10</w:t>
      </w:r>
      <w:r w:rsidR="00EE1360" w:rsidRPr="00EE1360">
        <w:rPr>
          <w:rFonts w:eastAsia="맑은 고딕"/>
          <w:lang w:eastAsia="ko-KR"/>
        </w:rPr>
        <w:t> </w:t>
      </w:r>
      <w:r>
        <w:t>(67 %) radiografickými měřeními zjištěna progrese cílové léze.</w:t>
      </w:r>
    </w:p>
    <w:p w14:paraId="454DCBC6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548F3B8D" w14:textId="23D1D375" w:rsidR="000A22A9" w:rsidRDefault="003A2761">
      <w:pPr>
        <w:autoSpaceDE w:val="0"/>
        <w:autoSpaceDN w:val="0"/>
        <w:adjustRightInd w:val="0"/>
        <w:rPr>
          <w:szCs w:val="22"/>
        </w:rPr>
      </w:pPr>
      <w:r>
        <w:t>Do studie 6 bylo zařazeno 535 dospělých nebo dospívajících s</w:t>
      </w:r>
      <w:r w:rsidR="00CD4255">
        <w:t> ukončeným vývojem</w:t>
      </w:r>
      <w:r>
        <w:t xml:space="preserve"> skelet</w:t>
      </w:r>
      <w:r w:rsidR="00CD4255">
        <w:t>u</w:t>
      </w:r>
      <w:r>
        <w:t xml:space="preserve"> s velkobuněčným kostním nádorem. Z těchto pacientů bylo 28 ve věku 12–17 let. Pacienti byli zařazeni do jedné ze tří kohort: do kohorty 1 byli zařazeni pacienti s </w:t>
      </w:r>
      <w:r w:rsidRPr="00396A82">
        <w:t>chirurgicky neléčitelným</w:t>
      </w:r>
      <w:r>
        <w:t xml:space="preserve"> </w:t>
      </w:r>
      <w:r>
        <w:lastRenderedPageBreak/>
        <w:t>onemocněním (např. sakrální, spinální nebo mnohočetné léze, včetně plicních metastáz); v kohortě 2 byli pacienti s chirurgicky léčitelným onemocněním, jejichž plánovaný chirurgický zákrok byl spojen s těžkou morbiditou (např. resekce kloubů, amputace končetin nebo hemipelvektomie); v kohortě 3 byli pacienti, kteří se dříve účastnili studie 5 a poté přešli do této studie. Primárním cílem bylo vyhodnotit bezpečnostní profil denosumabu u pacientů s velkobuněčným kostním nádorem. Sekundární výsledný ukazatel studie zahrnoval dobu do progrese onemocnění (na základě hodnocení zkoušejícího) v kohortě 1 a podíl pacientů bez chirurgického zákroku v 6. měsíci v kohortě 2.</w:t>
      </w:r>
    </w:p>
    <w:p w14:paraId="15EC7B26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6AAFAB0C" w14:textId="11E50654" w:rsidR="000A22A9" w:rsidRDefault="003A2761">
      <w:pPr>
        <w:autoSpaceDE w:val="0"/>
        <w:autoSpaceDN w:val="0"/>
        <w:adjustRightInd w:val="0"/>
        <w:rPr>
          <w:rFonts w:eastAsia="맑은 고딕"/>
          <w:lang w:eastAsia="ko-KR"/>
        </w:rPr>
      </w:pPr>
      <w:r>
        <w:t xml:space="preserve">V kohortě 1 při konečné analýze mělo progresi onemocnění 28 z 260 léčených pacientů (10,8 %). V kohortě 2 nepodstoupilo 219 z 238 (92,0 %; 95 % IS: 87,8 %, 95,1 %) hodnotitelných pacientů léčených </w:t>
      </w:r>
      <w:r w:rsidR="004F236B" w:rsidRPr="00CE3977">
        <w:t>denosumab</w:t>
      </w:r>
      <w:r w:rsidR="004F236B">
        <w:t>em</w:t>
      </w:r>
      <w:r>
        <w:t xml:space="preserve"> chirurgický zákrok do 6. měsíce. Z 239 pacientů v kohortě</w:t>
      </w:r>
      <w:r w:rsidR="004563CA" w:rsidRPr="00725BD2">
        <w:rPr>
          <w:rFonts w:eastAsia="맑은 고딕"/>
          <w:lang w:eastAsia="ko-KR"/>
        </w:rPr>
        <w:t> </w:t>
      </w:r>
      <w:r>
        <w:t>2 s cílovou lézí, která se ve výchozím hodnocení nebo během studie nenacházela v plicích nebo měkkých tkáních, nemusel být u celkem 82</w:t>
      </w:r>
      <w:r w:rsidR="00EF5F97" w:rsidRPr="00EF5F97">
        <w:rPr>
          <w:rFonts w:eastAsia="맑은 고딕"/>
          <w:lang w:eastAsia="ko-KR"/>
        </w:rPr>
        <w:t> </w:t>
      </w:r>
      <w:r>
        <w:t>pacientů (34,3 %) proveden chirurgický zákrok během studie. Celkově byly výsledky účinnosti u dospívajících s</w:t>
      </w:r>
      <w:r w:rsidR="00CD4255">
        <w:t> ukončeným vývojem</w:t>
      </w:r>
      <w:r>
        <w:t xml:space="preserve"> skelet</w:t>
      </w:r>
      <w:r w:rsidR="00CD4255">
        <w:t>u</w:t>
      </w:r>
      <w:r>
        <w:t xml:space="preserve"> podobné těm, které byly pozorovány u dospělých.</w:t>
      </w:r>
    </w:p>
    <w:p w14:paraId="6D2E6859" w14:textId="77777777" w:rsidR="00524A3B" w:rsidRDefault="00524A3B">
      <w:pPr>
        <w:autoSpaceDE w:val="0"/>
        <w:autoSpaceDN w:val="0"/>
        <w:adjustRightInd w:val="0"/>
        <w:rPr>
          <w:rFonts w:eastAsia="맑은 고딕"/>
          <w:lang w:eastAsia="ko-KR"/>
        </w:rPr>
      </w:pPr>
    </w:p>
    <w:p w14:paraId="5D583F62" w14:textId="3A89795F" w:rsidR="00524A3B" w:rsidRPr="00524A3B" w:rsidRDefault="00524A3B">
      <w:pPr>
        <w:autoSpaceDE w:val="0"/>
        <w:autoSpaceDN w:val="0"/>
        <w:adjustRightInd w:val="0"/>
        <w:rPr>
          <w:rFonts w:eastAsia="맑은 고딕"/>
          <w:szCs w:val="22"/>
          <w:lang w:eastAsia="ko-KR"/>
        </w:rPr>
      </w:pPr>
      <w:r>
        <w:t>Do studie 7 bylo zařazeno 85 dospělých pacientů, kteří byli dříve zařazeni do studie 6 a dokončili ji. U pacientů bylo povoleno podávání denosumabu k léčbě GCTB a všichni pacienti byli sledováni po dobu 5 let. Primárním cílem bylo vyhodnotit dlouhodobý bezpečnostní profil denosumabu u pacientů s velkobuněčným kostním nádorem.</w:t>
      </w:r>
    </w:p>
    <w:p w14:paraId="3F67F282" w14:textId="77777777" w:rsidR="000A22A9" w:rsidRDefault="000A22A9">
      <w:pPr>
        <w:autoSpaceDE w:val="0"/>
        <w:autoSpaceDN w:val="0"/>
        <w:adjustRightInd w:val="0"/>
        <w:rPr>
          <w:szCs w:val="22"/>
          <w:u w:val="single"/>
        </w:rPr>
      </w:pPr>
    </w:p>
    <w:p w14:paraId="11CF3C26" w14:textId="77777777" w:rsidR="000A22A9" w:rsidRDefault="003A2761">
      <w:pPr>
        <w:keepNext/>
        <w:autoSpaceDE w:val="0"/>
        <w:autoSpaceDN w:val="0"/>
        <w:adjustRightInd w:val="0"/>
        <w:rPr>
          <w:szCs w:val="22"/>
          <w:u w:val="single"/>
        </w:rPr>
      </w:pPr>
      <w:r>
        <w:rPr>
          <w:u w:val="single"/>
        </w:rPr>
        <w:t>Účinek na bolest</w:t>
      </w:r>
    </w:p>
    <w:p w14:paraId="564325E4" w14:textId="77777777" w:rsidR="000A22A9" w:rsidRDefault="000A22A9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69117C7C" w14:textId="77777777" w:rsidR="000A22A9" w:rsidRDefault="003A2761">
      <w:pPr>
        <w:autoSpaceDE w:val="0"/>
        <w:autoSpaceDN w:val="0"/>
        <w:adjustRightInd w:val="0"/>
        <w:rPr>
          <w:b/>
          <w:szCs w:val="22"/>
        </w:rPr>
      </w:pPr>
      <w:r>
        <w:t>V závěrečné společné analýze kohorty 1 a 2 byl zaznamenán klinicky významný pokles nejhorší bolesti (tj. pokles o ≥ 2 body oproti výchozímu stavu) u 30,8 % rizikových pacientů (tj. u těch, kteří měli na začátku skóre nejhorší bolesti ≥ 2) v průběhu 1. týdne léčby a ≥ 50 % v 5. týdnu. Tato zlepšení bolesti se udržela ve všech následných hodnoceních.</w:t>
      </w:r>
    </w:p>
    <w:p w14:paraId="5EE18706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0D05D330" w14:textId="77777777" w:rsidR="000A22A9" w:rsidRDefault="003A2761">
      <w:pPr>
        <w:keepNext/>
        <w:autoSpaceDE w:val="0"/>
        <w:autoSpaceDN w:val="0"/>
        <w:adjustRightInd w:val="0"/>
        <w:rPr>
          <w:szCs w:val="22"/>
          <w:u w:val="single"/>
        </w:rPr>
      </w:pPr>
      <w:r>
        <w:rPr>
          <w:u w:val="single"/>
        </w:rPr>
        <w:t>Pediatrická populace</w:t>
      </w:r>
    </w:p>
    <w:p w14:paraId="3383A265" w14:textId="77777777" w:rsidR="000A22A9" w:rsidRDefault="000A22A9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5BF9BAE1" w14:textId="5977CB7B" w:rsidR="000A22A9" w:rsidRDefault="003A2761">
      <w:pPr>
        <w:autoSpaceDE w:val="0"/>
        <w:autoSpaceDN w:val="0"/>
        <w:adjustRightInd w:val="0"/>
        <w:rPr>
          <w:szCs w:val="22"/>
        </w:rPr>
      </w:pPr>
      <w:r>
        <w:t>Evropská agentura pro léčivé přípravky rozhodla o zproštění povinnosti předložit výsledky studií s </w:t>
      </w:r>
      <w:r w:rsidR="004F236B" w:rsidRPr="00CE3977">
        <w:t>denosumab</w:t>
      </w:r>
      <w:r w:rsidR="004F236B">
        <w:t>em</w:t>
      </w:r>
      <w:r>
        <w:t xml:space="preserve"> u všech podskupin pediatrické populace v prevenci kostních příhod u pacientů s kostními metastázami a u podskupin pediatrické populace ve věku do 12 let v léčbě velkobuněčného kostního nádoru (informace o použití u </w:t>
      </w:r>
      <w:r w:rsidR="005A027C">
        <w:t xml:space="preserve">pediatrické populace </w:t>
      </w:r>
      <w:r>
        <w:t>viz bod 4.2).</w:t>
      </w:r>
    </w:p>
    <w:p w14:paraId="168340CD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4459C400" w14:textId="4F362B6E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Ve studii 6 byl </w:t>
      </w:r>
      <w:r w:rsidR="004F236B" w:rsidRPr="00CE3977">
        <w:t>denosumab</w:t>
      </w:r>
      <w:r>
        <w:t xml:space="preserve"> hodnocen v podskupině 28 dospívajících pacientů (ve věku 13–17 let) s velkobuněčným kostním nádorem, kteří </w:t>
      </w:r>
      <w:r w:rsidRPr="00396A82">
        <w:t>měli </w:t>
      </w:r>
      <w:r w:rsidR="00396A82" w:rsidRPr="000C0C60">
        <w:t>ukončený vývoj</w:t>
      </w:r>
      <w:r w:rsidR="00396A82" w:rsidRPr="00396A82">
        <w:t xml:space="preserve"> </w:t>
      </w:r>
      <w:r w:rsidRPr="00396A82">
        <w:t>skelet</w:t>
      </w:r>
      <w:r w:rsidR="00396A82" w:rsidRPr="00396A82">
        <w:t>u</w:t>
      </w:r>
      <w:r w:rsidRPr="00396A82">
        <w:t xml:space="preserve"> definovaný jako minimálně jedna dlouhá kost</w:t>
      </w:r>
      <w:r w:rsidR="00396A82" w:rsidRPr="00396A82">
        <w:t xml:space="preserve"> s ukončeným růstem</w:t>
      </w:r>
      <w:r>
        <w:t xml:space="preserve"> (např. uzavřená epifyzální růstová ploténka humeru), a tělesnou hmotnost ≥ 45 kg. U jednoho dospívajícího pacienta s chirurgicky </w:t>
      </w:r>
      <w:r w:rsidRPr="00396A82">
        <w:t>neléčitelným onemocněním (n = 14) došlo k recidivě onemocnění během úvodní léčby. Třináct ze 14</w:t>
      </w:r>
      <w:r w:rsidR="00E72310" w:rsidRPr="00E72310">
        <w:rPr>
          <w:rFonts w:eastAsia="맑은 고딕"/>
          <w:lang w:eastAsia="ko-KR"/>
        </w:rPr>
        <w:t> </w:t>
      </w:r>
      <w:r w:rsidRPr="00396A82">
        <w:t>pacientů s chirurgicky léčitelným onemocněním, jejichž plánovaný chirurgický zákrok byl spojen s těžkou morbiditou, nepodstoupilo chirurgický zákrok do 6.</w:t>
      </w:r>
      <w:r w:rsidR="00E72310" w:rsidRPr="00E72310">
        <w:rPr>
          <w:rFonts w:eastAsia="맑은 고딕"/>
          <w:lang w:eastAsia="ko-KR"/>
        </w:rPr>
        <w:t> </w:t>
      </w:r>
      <w:r w:rsidRPr="00396A82">
        <w:t>měsíce.</w:t>
      </w:r>
    </w:p>
    <w:p w14:paraId="42C11170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</w:rPr>
      </w:pPr>
    </w:p>
    <w:p w14:paraId="03C6BC93" w14:textId="139B9EAB" w:rsidR="000A22A9" w:rsidRPr="008D3E5C" w:rsidRDefault="003A2761" w:rsidP="008D3E5C">
      <w:pPr>
        <w:pStyle w:val="Stylebold"/>
        <w:keepNext/>
        <w:ind w:left="567" w:hanging="567"/>
      </w:pPr>
      <w:r>
        <w:t>5.2</w:t>
      </w:r>
      <w:r>
        <w:tab/>
        <w:t>Farmakokinetické vlastnosti</w:t>
      </w:r>
    </w:p>
    <w:p w14:paraId="7A3D006E" w14:textId="77777777" w:rsidR="000A22A9" w:rsidRDefault="000A22A9">
      <w:pPr>
        <w:keepNext/>
        <w:autoSpaceDE w:val="0"/>
        <w:autoSpaceDN w:val="0"/>
        <w:adjustRightInd w:val="0"/>
        <w:rPr>
          <w:b/>
          <w:i/>
          <w:szCs w:val="22"/>
        </w:rPr>
      </w:pPr>
    </w:p>
    <w:p w14:paraId="11468289" w14:textId="77777777" w:rsidR="000A22A9" w:rsidRDefault="003A2761">
      <w:pPr>
        <w:pStyle w:val="a9"/>
        <w:keepNext/>
        <w:rPr>
          <w:i w:val="0"/>
          <w:color w:val="auto"/>
          <w:u w:val="single"/>
        </w:rPr>
      </w:pPr>
      <w:r>
        <w:rPr>
          <w:i w:val="0"/>
          <w:color w:val="auto"/>
          <w:u w:val="single"/>
        </w:rPr>
        <w:t>Absorpce</w:t>
      </w:r>
    </w:p>
    <w:p w14:paraId="590A7DF0" w14:textId="77777777" w:rsidR="000A22A9" w:rsidRPr="00DE20EF" w:rsidRDefault="000A22A9">
      <w:pPr>
        <w:pStyle w:val="a9"/>
        <w:keepNext/>
        <w:rPr>
          <w:i w:val="0"/>
          <w:color w:val="auto"/>
          <w:u w:val="single"/>
        </w:rPr>
      </w:pPr>
    </w:p>
    <w:p w14:paraId="028E3490" w14:textId="77777777" w:rsidR="000A22A9" w:rsidRDefault="003A2761">
      <w:pPr>
        <w:pStyle w:val="a9"/>
        <w:rPr>
          <w:i w:val="0"/>
          <w:color w:val="auto"/>
        </w:rPr>
      </w:pPr>
      <w:r>
        <w:rPr>
          <w:i w:val="0"/>
          <w:color w:val="auto"/>
        </w:rPr>
        <w:t>Po subkutánním podání činila biologická dostupnost přípravku 62 %.</w:t>
      </w:r>
    </w:p>
    <w:p w14:paraId="248319A8" w14:textId="77777777" w:rsidR="000A22A9" w:rsidRPr="00DE20EF" w:rsidRDefault="000A22A9">
      <w:pPr>
        <w:pStyle w:val="a9"/>
        <w:rPr>
          <w:i w:val="0"/>
          <w:color w:val="auto"/>
        </w:rPr>
      </w:pPr>
    </w:p>
    <w:p w14:paraId="547C155A" w14:textId="77777777" w:rsidR="000A22A9" w:rsidRDefault="003A2761">
      <w:pPr>
        <w:pStyle w:val="a9"/>
        <w:keepNext/>
        <w:rPr>
          <w:i w:val="0"/>
          <w:color w:val="auto"/>
          <w:u w:val="single"/>
        </w:rPr>
      </w:pPr>
      <w:r>
        <w:rPr>
          <w:i w:val="0"/>
          <w:color w:val="auto"/>
          <w:u w:val="single"/>
        </w:rPr>
        <w:t>Biotransformace</w:t>
      </w:r>
    </w:p>
    <w:p w14:paraId="374C0DF0" w14:textId="77777777" w:rsidR="000A22A9" w:rsidRPr="00DE20EF" w:rsidRDefault="000A22A9">
      <w:pPr>
        <w:pStyle w:val="a9"/>
        <w:keepNext/>
        <w:rPr>
          <w:i w:val="0"/>
          <w:color w:val="auto"/>
          <w:u w:val="single"/>
        </w:rPr>
      </w:pPr>
    </w:p>
    <w:p w14:paraId="7BBF8DC5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Denosumab se skládá, stejně jako přirozené imunoglobuliny, pouze z aminokyselin a sacharidů a není proto pravděpodobné, že by byl eliminován metabolickými mechanismy v játrech. Předpokládá se, že jeho metabolismus a eliminace probíhají stejným způsobem a drahami jako clearance imunoglobulinů a výslednými produkty jsou nakonec malé peptidy a jednotlivé aminokyseliny.</w:t>
      </w:r>
    </w:p>
    <w:p w14:paraId="7EAEB9BF" w14:textId="77777777" w:rsidR="000A22A9" w:rsidRPr="00DE20EF" w:rsidRDefault="000A22A9">
      <w:pPr>
        <w:pStyle w:val="a9"/>
        <w:rPr>
          <w:i w:val="0"/>
          <w:color w:val="auto"/>
        </w:rPr>
      </w:pPr>
    </w:p>
    <w:p w14:paraId="1018C5E8" w14:textId="77777777" w:rsidR="000A22A9" w:rsidRDefault="003A2761">
      <w:pPr>
        <w:pStyle w:val="a9"/>
        <w:keepNext/>
        <w:rPr>
          <w:i w:val="0"/>
          <w:color w:val="auto"/>
          <w:u w:val="single"/>
        </w:rPr>
      </w:pPr>
      <w:r>
        <w:rPr>
          <w:i w:val="0"/>
          <w:color w:val="auto"/>
          <w:u w:val="single"/>
        </w:rPr>
        <w:lastRenderedPageBreak/>
        <w:t>Eliminace</w:t>
      </w:r>
    </w:p>
    <w:p w14:paraId="216D0FF4" w14:textId="77777777" w:rsidR="000A22A9" w:rsidRPr="00DE20EF" w:rsidRDefault="000A22A9">
      <w:pPr>
        <w:pStyle w:val="a9"/>
        <w:keepNext/>
        <w:rPr>
          <w:i w:val="0"/>
          <w:color w:val="auto"/>
          <w:u w:val="single"/>
        </w:rPr>
      </w:pPr>
    </w:p>
    <w:p w14:paraId="7009BFBB" w14:textId="13D4ECDB" w:rsidR="000A22A9" w:rsidRDefault="003A2761">
      <w:pPr>
        <w:pStyle w:val="a9"/>
        <w:rPr>
          <w:i w:val="0"/>
          <w:color w:val="auto"/>
        </w:rPr>
      </w:pPr>
      <w:r>
        <w:rPr>
          <w:i w:val="0"/>
          <w:color w:val="auto"/>
        </w:rPr>
        <w:t>U pacientů s pokročilým nádorovým onemocněním, kteří dostávali opakovaně dávky 120 mg každé 4 týdny, byla pozorována přibližně dvojnásobná kumulace denosumabu v séru a ustáleného stavu (</w:t>
      </w:r>
      <w:r w:rsidRPr="000C0C60">
        <w:rPr>
          <w:iCs/>
          <w:color w:val="auto"/>
        </w:rPr>
        <w:t>steady</w:t>
      </w:r>
      <w:r w:rsidRPr="000C0C60">
        <w:rPr>
          <w:iCs/>
          <w:color w:val="auto"/>
        </w:rPr>
        <w:noBreakHyphen/>
        <w:t>state</w:t>
      </w:r>
      <w:r>
        <w:rPr>
          <w:i w:val="0"/>
          <w:color w:val="auto"/>
        </w:rPr>
        <w:t xml:space="preserve">) bylo </w:t>
      </w:r>
      <w:r w:rsidRPr="00396A82">
        <w:rPr>
          <w:i w:val="0"/>
          <w:color w:val="auto"/>
        </w:rPr>
        <w:t>dosaženo za 6 měsíců</w:t>
      </w:r>
      <w:r>
        <w:rPr>
          <w:i w:val="0"/>
          <w:color w:val="auto"/>
        </w:rPr>
        <w:t xml:space="preserve">, v souladu s farmakokinetikou nezávislou na čase. U </w:t>
      </w:r>
      <w:r w:rsidR="00867E0C" w:rsidRPr="00867E0C">
        <w:rPr>
          <w:i w:val="0"/>
          <w:color w:val="auto"/>
        </w:rPr>
        <w:t>pacientů</w:t>
      </w:r>
      <w:r>
        <w:rPr>
          <w:i w:val="0"/>
          <w:color w:val="auto"/>
        </w:rPr>
        <w:t xml:space="preserve"> s</w:t>
      </w:r>
      <w:r w:rsidR="00867E0C" w:rsidRPr="00867E0C">
        <w:rPr>
          <w:rFonts w:eastAsia="맑은 고딕"/>
          <w:i w:val="0"/>
          <w:color w:val="auto"/>
          <w:lang w:eastAsia="ko-KR"/>
        </w:rPr>
        <w:t> </w:t>
      </w:r>
      <w:r>
        <w:rPr>
          <w:i w:val="0"/>
          <w:color w:val="auto"/>
        </w:rPr>
        <w:t>mnohočetným myelomem dostávajících 120 mg každé 4 týdny se medián nejnižších hladin v období mezi měsíci 6 a 12 lišil o méně než 8 %. U pacientů s velkobuněčným kostním nádorem, kteří dostávali 120 mg každé 4 týdny s nárazovou dávkou 8. a 15. den, bylo dosaženo rovnovážných hladin v průběhu prvního měsíce léčby. Mezi 9. a 49. týdnem se medián nejnižších hladin lišil o méně než 9 %. U pacientů, kterým byl přípravek podávaný každé 4 týdny v dávce 120 mg vysazen, činil průměrný poločas 28 dní (rozmezí od 14 do 55 dní).</w:t>
      </w:r>
    </w:p>
    <w:p w14:paraId="410D5CB3" w14:textId="77777777" w:rsidR="000A22A9" w:rsidRPr="00DE20EF" w:rsidRDefault="000A22A9">
      <w:pPr>
        <w:pStyle w:val="a9"/>
        <w:rPr>
          <w:i w:val="0"/>
          <w:color w:val="auto"/>
        </w:rPr>
      </w:pPr>
    </w:p>
    <w:p w14:paraId="38AA0AEE" w14:textId="5A040E29" w:rsidR="000A22A9" w:rsidRDefault="003A2761">
      <w:pPr>
        <w:pStyle w:val="a9"/>
        <w:rPr>
          <w:i w:val="0"/>
          <w:color w:val="auto"/>
        </w:rPr>
      </w:pPr>
      <w:r>
        <w:rPr>
          <w:i w:val="0"/>
          <w:color w:val="auto"/>
        </w:rPr>
        <w:t>Populační farmakokinetická analýza neodhalila žádné klinicky významné změny systémové expozice denosumabu v ustáleném stavu (</w:t>
      </w:r>
      <w:r w:rsidRPr="000C0C60">
        <w:rPr>
          <w:iCs/>
          <w:color w:val="auto"/>
        </w:rPr>
        <w:t>steady</w:t>
      </w:r>
      <w:r w:rsidRPr="000C0C60">
        <w:rPr>
          <w:iCs/>
          <w:color w:val="auto"/>
        </w:rPr>
        <w:noBreakHyphen/>
        <w:t>state</w:t>
      </w:r>
      <w:r>
        <w:rPr>
          <w:i w:val="0"/>
          <w:color w:val="auto"/>
        </w:rPr>
        <w:t>) pokud jde o věk (18 až 87 let), rasu/etnický původ (černoši, Hispánci, Asi</w:t>
      </w:r>
      <w:r w:rsidR="005A6C18">
        <w:rPr>
          <w:i w:val="0"/>
          <w:color w:val="auto"/>
        </w:rPr>
        <w:t>jci</w:t>
      </w:r>
      <w:r>
        <w:rPr>
          <w:i w:val="0"/>
          <w:color w:val="auto"/>
        </w:rPr>
        <w:t xml:space="preserve"> i běloši), pohlaví nebo typ solidního nádoru nebo pacienty s mnohočetným myelomem. Zvyšující se tělesná hmotnost byla spojena se snížením systémové expozice a naopak. Tyto změny nebyly považovány za klinicky relevantní, neboť farmakodynamické účinky posuzované na základě markerů kostního obratu (</w:t>
      </w:r>
      <w:r w:rsidRPr="000C0C60">
        <w:rPr>
          <w:iCs/>
          <w:color w:val="auto"/>
        </w:rPr>
        <w:t>bone turnover</w:t>
      </w:r>
      <w:r>
        <w:rPr>
          <w:i w:val="0"/>
          <w:color w:val="auto"/>
        </w:rPr>
        <w:t>) byly konzistentní napříč širokou škálou tělesné hmotnosti.</w:t>
      </w:r>
    </w:p>
    <w:p w14:paraId="6E72265F" w14:textId="77777777" w:rsidR="000A22A9" w:rsidRPr="00DE20EF" w:rsidRDefault="000A22A9">
      <w:pPr>
        <w:pStyle w:val="a9"/>
        <w:rPr>
          <w:i w:val="0"/>
          <w:color w:val="auto"/>
        </w:rPr>
      </w:pPr>
    </w:p>
    <w:p w14:paraId="2C370984" w14:textId="77777777" w:rsidR="000A22A9" w:rsidRDefault="003A276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>Linearita/nelinearita</w:t>
      </w:r>
    </w:p>
    <w:p w14:paraId="5674E24C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5D1A532D" w14:textId="77777777" w:rsidR="000A22A9" w:rsidRDefault="003A2761" w:rsidP="002F6ACF">
      <w:pPr>
        <w:pStyle w:val="a9"/>
        <w:rPr>
          <w:i w:val="0"/>
          <w:color w:val="auto"/>
        </w:rPr>
      </w:pPr>
      <w:r>
        <w:rPr>
          <w:i w:val="0"/>
          <w:color w:val="auto"/>
        </w:rPr>
        <w:t xml:space="preserve">Denosumab vykazoval při dávkování v širokém rozmezí dávek nelineární farmakokinetiku, avšak se vzestupy úměrnými dávce při podávání dávek 60 mg (nebo 1 mg/kg) a vyšších. Tato nelinearita byla zřejmě způsobena </w:t>
      </w:r>
      <w:r w:rsidRPr="00E32A3A">
        <w:rPr>
          <w:i w:val="0"/>
          <w:color w:val="auto"/>
        </w:rPr>
        <w:t>saturovatelnou „target</w:t>
      </w:r>
      <w:r w:rsidRPr="00E32A3A">
        <w:rPr>
          <w:i w:val="0"/>
          <w:color w:val="auto"/>
        </w:rPr>
        <w:noBreakHyphen/>
        <w:t>mediated“ cestou eliminace, uplatňující</w:t>
      </w:r>
      <w:r>
        <w:rPr>
          <w:i w:val="0"/>
          <w:color w:val="auto"/>
        </w:rPr>
        <w:t xml:space="preserve"> se při nízkých koncentracích.</w:t>
      </w:r>
    </w:p>
    <w:p w14:paraId="55F5CFD2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52328966" w14:textId="77777777" w:rsidR="000A22A9" w:rsidRDefault="003A2761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  <w:u w:val="single"/>
        </w:rPr>
      </w:pPr>
      <w:r>
        <w:rPr>
          <w:rFonts w:ascii="Times New Roman" w:hAnsi="Times New Roman"/>
          <w:color w:val="auto"/>
          <w:sz w:val="22"/>
          <w:u w:val="single"/>
        </w:rPr>
        <w:t>Porucha funkce ledvin</w:t>
      </w:r>
    </w:p>
    <w:p w14:paraId="77CDED49" w14:textId="77777777" w:rsidR="000A22A9" w:rsidRPr="00DE20EF" w:rsidRDefault="000A22A9">
      <w:pPr>
        <w:pStyle w:val="Text"/>
        <w:keepNext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  <w:u w:val="single"/>
        </w:rPr>
      </w:pPr>
    </w:p>
    <w:p w14:paraId="3215048E" w14:textId="08F877D4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 xml:space="preserve">Ve studiích s denosumabem (60 mg, n = 55 a 120 mg, n = 32), u pacientů bez pokročilého nádorového onemocnění, ale s různými stupni funkce ledvin, včetně dialyzovaných pacientů, neměl stupeň poruchy funkce ledvin žádný vliv na farmakokinetiku denosumabu; proto kvůli poruše funkce ledvin není potřeba upravovat dávku. Léčba </w:t>
      </w:r>
      <w:r w:rsidR="004F236B" w:rsidRPr="00675601">
        <w:rPr>
          <w:rFonts w:ascii="Times New Roman" w:hAnsi="Times New Roman" w:cs="Times New Roman"/>
          <w:color w:val="auto"/>
          <w:sz w:val="22"/>
          <w:szCs w:val="22"/>
        </w:rPr>
        <w:t>denosumabem</w:t>
      </w:r>
      <w:r>
        <w:rPr>
          <w:rFonts w:ascii="Times New Roman" w:hAnsi="Times New Roman"/>
          <w:color w:val="auto"/>
          <w:sz w:val="22"/>
        </w:rPr>
        <w:t xml:space="preserve"> nevyžaduje monitorování renálních funkcí.</w:t>
      </w:r>
    </w:p>
    <w:p w14:paraId="6B5C78F3" w14:textId="77777777" w:rsidR="000A22A9" w:rsidRDefault="000A22A9">
      <w:pPr>
        <w:numPr>
          <w:ilvl w:val="12"/>
          <w:numId w:val="0"/>
        </w:numPr>
        <w:tabs>
          <w:tab w:val="clear" w:pos="567"/>
          <w:tab w:val="left" w:pos="8010"/>
        </w:tabs>
        <w:rPr>
          <w:szCs w:val="22"/>
        </w:rPr>
      </w:pPr>
    </w:p>
    <w:p w14:paraId="5598F96A" w14:textId="77777777" w:rsidR="000A22A9" w:rsidRDefault="003A2761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Porucha funkce jater</w:t>
      </w:r>
    </w:p>
    <w:p w14:paraId="68A52A27" w14:textId="77777777" w:rsidR="000A22A9" w:rsidRDefault="000A22A9">
      <w:pPr>
        <w:keepNext/>
        <w:autoSpaceDE w:val="0"/>
        <w:autoSpaceDN w:val="0"/>
        <w:adjustRightInd w:val="0"/>
        <w:rPr>
          <w:u w:val="single"/>
        </w:rPr>
      </w:pPr>
    </w:p>
    <w:p w14:paraId="234F016C" w14:textId="77777777" w:rsidR="000A22A9" w:rsidRDefault="003A2761">
      <w:pPr>
        <w:autoSpaceDE w:val="0"/>
        <w:autoSpaceDN w:val="0"/>
        <w:adjustRightInd w:val="0"/>
        <w:rPr>
          <w:rFonts w:cs="Arial"/>
          <w:szCs w:val="22"/>
        </w:rPr>
      </w:pPr>
      <w:r>
        <w:t>U pacientů s poruchou funkce jater nebyly provedeny žádné specifické studie. Monoklonální protilátky nejsou obecně vylučovány prostřednictvím jaterního metabolismu. Nepředpokládá se, že by porucha funkce jater ovlivnila farmakokinetiku denosumabu.</w:t>
      </w:r>
    </w:p>
    <w:p w14:paraId="28F64B40" w14:textId="77777777" w:rsidR="000A22A9" w:rsidRDefault="000A22A9">
      <w:pPr>
        <w:numPr>
          <w:ilvl w:val="12"/>
          <w:numId w:val="0"/>
        </w:numPr>
        <w:rPr>
          <w:szCs w:val="22"/>
        </w:rPr>
      </w:pPr>
    </w:p>
    <w:p w14:paraId="0BB1A6E0" w14:textId="77777777" w:rsidR="000A22A9" w:rsidRDefault="003A2761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Starší pacienti</w:t>
      </w:r>
    </w:p>
    <w:p w14:paraId="395BA3EF" w14:textId="77777777" w:rsidR="000A22A9" w:rsidRDefault="000A22A9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0BACE962" w14:textId="56360F65" w:rsidR="000A22A9" w:rsidRDefault="003A2761">
      <w:pPr>
        <w:pStyle w:val="ab"/>
        <w:rPr>
          <w:rFonts w:cs="Arial"/>
          <w:bCs/>
          <w:sz w:val="22"/>
          <w:szCs w:val="22"/>
        </w:rPr>
      </w:pPr>
      <w:r>
        <w:rPr>
          <w:sz w:val="22"/>
        </w:rPr>
        <w:t xml:space="preserve">V bezpečnosti a účinnosti přípravku nebyly pozorovány žádné celkové rozdíly mezi staršími a mladšími pacienty. Kontrolované klinické </w:t>
      </w:r>
      <w:r w:rsidRPr="004F236B">
        <w:rPr>
          <w:sz w:val="22"/>
          <w:szCs w:val="22"/>
        </w:rPr>
        <w:t xml:space="preserve">studie </w:t>
      </w:r>
      <w:r w:rsidR="004F236B" w:rsidRPr="00675601">
        <w:rPr>
          <w:sz w:val="22"/>
          <w:szCs w:val="22"/>
        </w:rPr>
        <w:t>denosumabu</w:t>
      </w:r>
      <w:r>
        <w:rPr>
          <w:sz w:val="22"/>
        </w:rPr>
        <w:t xml:space="preserve"> u pacientů nad 65 let s pokročilým maligním nádorovým onemocněním postihujícím kosti prokázaly obdobnou účinnost a bezpečnost u starších i mladších pacientů. U starších pacientů není třeba dávku přípravku upravovat.</w:t>
      </w:r>
    </w:p>
    <w:p w14:paraId="03821B1D" w14:textId="77777777" w:rsidR="000A22A9" w:rsidRDefault="000A22A9">
      <w:pPr>
        <w:numPr>
          <w:ilvl w:val="12"/>
          <w:numId w:val="0"/>
        </w:numPr>
        <w:rPr>
          <w:szCs w:val="22"/>
        </w:rPr>
      </w:pPr>
    </w:p>
    <w:p w14:paraId="3156D817" w14:textId="77777777" w:rsidR="000A22A9" w:rsidRDefault="003A2761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Pediatrická populace</w:t>
      </w:r>
    </w:p>
    <w:p w14:paraId="6BACB8CE" w14:textId="77777777" w:rsidR="000A22A9" w:rsidRDefault="000A22A9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5C3A977E" w14:textId="4B15BFDB" w:rsidR="000A22A9" w:rsidRDefault="003A2761">
      <w:pPr>
        <w:numPr>
          <w:ilvl w:val="12"/>
          <w:numId w:val="0"/>
        </w:numPr>
        <w:rPr>
          <w:szCs w:val="22"/>
        </w:rPr>
      </w:pPr>
      <w:r>
        <w:t>U dospívajících (ve věku 12–17</w:t>
      </w:r>
      <w:r w:rsidR="0003144F" w:rsidRPr="0003144F">
        <w:rPr>
          <w:rFonts w:eastAsia="맑은 고딕"/>
          <w:lang w:eastAsia="ko-KR"/>
        </w:rPr>
        <w:t> </w:t>
      </w:r>
      <w:r>
        <w:t>let) s</w:t>
      </w:r>
      <w:r w:rsidR="00CD4255">
        <w:t> ukončeným vývojem</w:t>
      </w:r>
      <w:r>
        <w:t xml:space="preserve"> skelet</w:t>
      </w:r>
      <w:r w:rsidR="00CD4255">
        <w:t>u</w:t>
      </w:r>
      <w:r>
        <w:t xml:space="preserve"> a s velkobuněčným kostním nádorem, kteří dostávali 120 mg každé 4</w:t>
      </w:r>
      <w:r w:rsidR="00A20D68" w:rsidRPr="00A20D68">
        <w:rPr>
          <w:rFonts w:eastAsia="맑은 고딕"/>
          <w:lang w:eastAsia="ko-KR"/>
        </w:rPr>
        <w:t> </w:t>
      </w:r>
      <w:r w:rsidRPr="00E32A3A">
        <w:t>týdny s </w:t>
      </w:r>
      <w:r w:rsidR="005A6C18" w:rsidRPr="00E32A3A">
        <w:t xml:space="preserve">nasycovací </w:t>
      </w:r>
      <w:r w:rsidRPr="00E32A3A">
        <w:t>dávkou</w:t>
      </w:r>
      <w:r w:rsidR="0010394D" w:rsidRPr="0010394D">
        <w:rPr>
          <w:rFonts w:eastAsia="맑은 고딕"/>
          <w:lang w:eastAsia="ko-KR"/>
        </w:rPr>
        <w:t> </w:t>
      </w:r>
      <w:r>
        <w:t>8. a 15.</w:t>
      </w:r>
      <w:r w:rsidR="0010394D" w:rsidRPr="0010394D">
        <w:rPr>
          <w:rFonts w:eastAsia="맑은 고딕"/>
          <w:lang w:eastAsia="ko-KR"/>
        </w:rPr>
        <w:t> </w:t>
      </w:r>
      <w:r>
        <w:t>den, byla farmakokinetika denosumabu podobná jako u dospělých pacientů s GCTB.</w:t>
      </w:r>
    </w:p>
    <w:p w14:paraId="4ED2A2E6" w14:textId="77777777" w:rsidR="000A22A9" w:rsidRDefault="000A22A9">
      <w:pPr>
        <w:numPr>
          <w:ilvl w:val="12"/>
          <w:numId w:val="0"/>
        </w:numPr>
        <w:rPr>
          <w:iCs/>
          <w:szCs w:val="22"/>
        </w:rPr>
      </w:pPr>
    </w:p>
    <w:p w14:paraId="01C04180" w14:textId="54BAED3F" w:rsidR="000A22A9" w:rsidRPr="008D3E5C" w:rsidRDefault="003A2761" w:rsidP="008D3E5C">
      <w:pPr>
        <w:pStyle w:val="Stylebold"/>
        <w:keepNext/>
        <w:ind w:left="567" w:hanging="567"/>
      </w:pPr>
      <w:r>
        <w:t>5.3</w:t>
      </w:r>
      <w:r>
        <w:tab/>
        <w:t>Předklinické údaje vztahující se k bezpečnosti</w:t>
      </w:r>
    </w:p>
    <w:p w14:paraId="479D8D36" w14:textId="77777777" w:rsidR="000A22A9" w:rsidRDefault="000A22A9">
      <w:pPr>
        <w:keepNext/>
        <w:tabs>
          <w:tab w:val="left" w:pos="480"/>
        </w:tabs>
        <w:rPr>
          <w:szCs w:val="22"/>
        </w:rPr>
      </w:pPr>
    </w:p>
    <w:p w14:paraId="023F35ED" w14:textId="35660E7B" w:rsidR="000A22A9" w:rsidRDefault="003A2761">
      <w:pPr>
        <w:tabs>
          <w:tab w:val="left" w:pos="480"/>
        </w:tabs>
        <w:rPr>
          <w:szCs w:val="22"/>
        </w:rPr>
      </w:pPr>
      <w:r>
        <w:t xml:space="preserve">Vzhledem k tomu, že biologická aktivita denosumabu u zvířat je charakteristická pro nehumánní primáty, byly k hodnocení farmakodynamických vlastností denosumabu na zvířecím modelu </w:t>
      </w:r>
      <w:r>
        <w:lastRenderedPageBreak/>
        <w:t xml:space="preserve">(hlodavci) používány </w:t>
      </w:r>
      <w:r w:rsidRPr="00E32A3A">
        <w:t>geneticky modifikované (kno</w:t>
      </w:r>
      <w:r w:rsidR="00922843" w:rsidRPr="000C0C60">
        <w:t>c</w:t>
      </w:r>
      <w:r w:rsidRPr="00E32A3A">
        <w:t>k</w:t>
      </w:r>
      <w:r w:rsidR="00922843" w:rsidRPr="000C0C60">
        <w:t>o</w:t>
      </w:r>
      <w:r w:rsidRPr="00E32A3A">
        <w:t xml:space="preserve">utované) myši nebo jiné biologické inhibitory </w:t>
      </w:r>
      <w:r w:rsidR="00E32A3A" w:rsidRPr="00E32A3A">
        <w:t xml:space="preserve">dráhy </w:t>
      </w:r>
      <w:r w:rsidRPr="00E32A3A">
        <w:t>RANK</w:t>
      </w:r>
      <w:r w:rsidR="00E32A3A" w:rsidRPr="000C0C60">
        <w:t>/</w:t>
      </w:r>
      <w:r w:rsidRPr="00E32A3A">
        <w:t>RANKL, jako</w:t>
      </w:r>
      <w:r>
        <w:t xml:space="preserve"> jsou OPG</w:t>
      </w:r>
      <w:r>
        <w:noBreakHyphen/>
        <w:t>Fc a RANK</w:t>
      </w:r>
      <w:r>
        <w:noBreakHyphen/>
        <w:t>Fc.</w:t>
      </w:r>
    </w:p>
    <w:p w14:paraId="4E047F64" w14:textId="77777777" w:rsidR="000A22A9" w:rsidRDefault="000A22A9">
      <w:pPr>
        <w:tabs>
          <w:tab w:val="left" w:pos="480"/>
        </w:tabs>
        <w:rPr>
          <w:szCs w:val="22"/>
        </w:rPr>
      </w:pPr>
    </w:p>
    <w:p w14:paraId="1D98054F" w14:textId="77777777" w:rsidR="000A22A9" w:rsidRDefault="003A2761">
      <w:pPr>
        <w:tabs>
          <w:tab w:val="left" w:pos="480"/>
        </w:tabs>
        <w:rPr>
          <w:b/>
          <w:szCs w:val="22"/>
        </w:rPr>
      </w:pPr>
      <w:r w:rsidRPr="00745E83">
        <w:t xml:space="preserve">Na myších modelech kostních </w:t>
      </w:r>
      <w:r w:rsidRPr="00E32A3A">
        <w:t>metastáz lidského estrogen</w:t>
      </w:r>
      <w:r w:rsidRPr="00E32A3A">
        <w:noBreakHyphen/>
        <w:t>receptor pozitivního a negativního</w:t>
      </w:r>
      <w:r>
        <w:t xml:space="preserve"> karcinomu prsu, karcinomu prostaty a nemalobuněčného karcinomu plic redukoval OPG</w:t>
      </w:r>
      <w:r>
        <w:noBreakHyphen/>
        <w:t xml:space="preserve">Fc osteolytické, osteoblastické a smíšené léze, zpomaloval tvorbu </w:t>
      </w:r>
      <w:r>
        <w:rPr>
          <w:i/>
        </w:rPr>
        <w:t>de novo</w:t>
      </w:r>
      <w:r>
        <w:t xml:space="preserve"> vznikajících kostních metastáz a brzdil růst kostních nádorů. Při kombinaci OPG</w:t>
      </w:r>
      <w:r>
        <w:noBreakHyphen/>
        <w:t>Fc s hormonální léčbou (tamoxifen) nebo chemoterapií (docetaxel) docházelo u těchto modelů k aditivní inhibici růstu kostních metastáz karcinomu prsu, prostaty nebo plic. Na myším modelu indukce nádoru mléčné žlázy snižoval RANK</w:t>
      </w:r>
      <w:r>
        <w:noBreakHyphen/>
        <w:t>Fc hormonálně indukovanou proliferaci epitelu mléčné žlázy a zpomaloval tvorbu nádorů.</w:t>
      </w:r>
    </w:p>
    <w:p w14:paraId="6C107A58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14:paraId="4F326938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Standardní vyšetření genotoxického potenciálu denosumabu nebyla provedena, neboť tato vyšetření nejsou pro tuto molekulu relevantní. Vzhledem k charakteru denosumabu je však nepravděpodobné, že by měl jakýkoliv potenciál genotoxicity.</w:t>
      </w:r>
    </w:p>
    <w:p w14:paraId="5BFB6EDF" w14:textId="77777777" w:rsidR="000A22A9" w:rsidRDefault="000A22A9">
      <w:pPr>
        <w:rPr>
          <w:szCs w:val="22"/>
        </w:rPr>
      </w:pPr>
    </w:p>
    <w:p w14:paraId="57D93F92" w14:textId="77777777" w:rsidR="000A22A9" w:rsidRDefault="003A2761">
      <w:pPr>
        <w:rPr>
          <w:szCs w:val="22"/>
        </w:rPr>
      </w:pPr>
      <w:r>
        <w:t>Kancerogenní potenciál denosumabu nebyl v dlouhodobých studiích na zvířatech hodnocen.</w:t>
      </w:r>
    </w:p>
    <w:p w14:paraId="4468A6B8" w14:textId="77777777" w:rsidR="000A22A9" w:rsidRDefault="000A22A9">
      <w:pPr>
        <w:rPr>
          <w:szCs w:val="22"/>
        </w:rPr>
      </w:pPr>
    </w:p>
    <w:p w14:paraId="7DD0C325" w14:textId="77777777" w:rsidR="000A22A9" w:rsidRDefault="003A2761" w:rsidP="002F6ACF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Ve studiích toxicity jednorázových a opakovaných dávek u makaků jávských neměly dávky denosumabu, které vedly k systémové expozici 2,7 až 15krát vyšší, než jaké je dosahováno po podání doporučených dávek u člověka, žádný vliv na fyziologii kardiovaskulární soustavy, mužskou ani ženskou fertilitu a nevyvolaly ani žádnou specifickou toxickou reakci u cílových orgánů.</w:t>
      </w:r>
    </w:p>
    <w:p w14:paraId="4CDB6EA2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19301100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Ve studii u makaků jávských nevykazoval denosumab v období odpovídajícím prvnímu trimestru těhotenství při systémové expozici 9krát vyšší, než jaké je dosahováno po podání doporučených dávek u člověka, žádné toxické účinky na samici či poškození plodu v období odpovídajícím prvnímu trimestru, ačkoliv u plodu nebyly vyšetřeny lymfatické uzliny.</w:t>
      </w:r>
    </w:p>
    <w:p w14:paraId="6408DFCD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</w:p>
    <w:p w14:paraId="437E9B28" w14:textId="61FDCB7C" w:rsidR="000A22A9" w:rsidRDefault="003A2761">
      <w:r>
        <w:t xml:space="preserve">V další studii byl zjištěn u makaků jávských, kteří dostávali denosumab po dobu březosti při systémové expozici 12krát vyšší, než je dávka u člověka, zvýšený výskyt narozených mrtvých plodů a postnatální mortality; abnormální růst kostí vedoucí k jejich nižší pevnosti, snížená hematopoeza a chybné postavení zubů; chybějící periferní lymfatické uzliny; a pomalejší neonatální růst. Nebyla stanovena hladina, při níž ještě nebyly zjištěny reprodukční nežádoucí účinky. Po 6 měsících po narození se kostní změny upravily a nebyl zjištěn žádný vliv na prořezávání zubů. Účinky na lymfatické uzliny a chybné postavení zubů však přetrvávaly a u jednoho zvířete byla pozorována minimální až </w:t>
      </w:r>
      <w:r w:rsidRPr="00E32A3A">
        <w:t>střední mineralizace v různých tkáních (souvislost s léčbou není jasná). Nebylo prokázáno poškození matek před porodem; nežádoucí účinky se při porodu vyskytly u matek vzácně. Vývoj mléčné žlázy u matek byl</w:t>
      </w:r>
      <w:r>
        <w:t xml:space="preserve"> normální.</w:t>
      </w:r>
    </w:p>
    <w:p w14:paraId="6B1325A5" w14:textId="77777777" w:rsidR="000A22A9" w:rsidRDefault="000A22A9">
      <w:pPr>
        <w:rPr>
          <w:strike/>
          <w:szCs w:val="22"/>
        </w:rPr>
      </w:pPr>
    </w:p>
    <w:p w14:paraId="58981C28" w14:textId="77777777" w:rsidR="000A22A9" w:rsidRDefault="003A2761">
      <w:pPr>
        <w:rPr>
          <w:szCs w:val="22"/>
        </w:rPr>
      </w:pPr>
      <w:r>
        <w:t>V preklinických studiích, zabývajících se kvalitou kostí u opic dlouhodobě léčených denosumabem, bylo snížení kostního obratu spojeno se zlepšením pevnosti kosti a normálním histologickým obrazem kosti.</w:t>
      </w:r>
    </w:p>
    <w:p w14:paraId="5E7D160D" w14:textId="77777777" w:rsidR="000A22A9" w:rsidRDefault="000A22A9">
      <w:pPr>
        <w:rPr>
          <w:szCs w:val="22"/>
        </w:rPr>
      </w:pPr>
    </w:p>
    <w:p w14:paraId="7FC3E3A9" w14:textId="77777777" w:rsidR="000A22A9" w:rsidRDefault="003A2761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</w:rPr>
        <w:t>U samců myší geneticky modifikovaných k expresi humánního RANKL (</w:t>
      </w:r>
      <w:r w:rsidRPr="00E32A3A">
        <w:rPr>
          <w:rFonts w:ascii="Times New Roman" w:hAnsi="Times New Roman"/>
          <w:color w:val="auto"/>
          <w:sz w:val="22"/>
        </w:rPr>
        <w:t>tzv. „knock</w:t>
      </w:r>
      <w:r w:rsidRPr="00E32A3A">
        <w:rPr>
          <w:rFonts w:ascii="Times New Roman" w:hAnsi="Times New Roman"/>
          <w:color w:val="auto"/>
          <w:sz w:val="22"/>
        </w:rPr>
        <w:noBreakHyphen/>
        <w:t>in myši”),</w:t>
      </w:r>
      <w:r>
        <w:rPr>
          <w:rFonts w:ascii="Times New Roman" w:hAnsi="Times New Roman"/>
          <w:color w:val="auto"/>
          <w:sz w:val="22"/>
        </w:rPr>
        <w:t xml:space="preserve"> kteří byli </w:t>
      </w:r>
      <w:r w:rsidRPr="00E32A3A">
        <w:rPr>
          <w:rFonts w:ascii="Times New Roman" w:hAnsi="Times New Roman"/>
          <w:color w:val="auto"/>
          <w:sz w:val="22"/>
        </w:rPr>
        <w:t>vystaveni transkortikální fraktuře,</w:t>
      </w:r>
      <w:r>
        <w:rPr>
          <w:rFonts w:ascii="Times New Roman" w:hAnsi="Times New Roman"/>
          <w:color w:val="auto"/>
          <w:sz w:val="22"/>
        </w:rPr>
        <w:t xml:space="preserve"> denosumab zpomalil (oproti kontrole) odbourání chrupavky a remodelaci kostního svalku, biomechanická pevnost však nebyla nepříznivě ovlivněna.</w:t>
      </w:r>
    </w:p>
    <w:p w14:paraId="1901BCAA" w14:textId="77777777" w:rsidR="000A22A9" w:rsidRDefault="000A22A9">
      <w:pPr>
        <w:rPr>
          <w:szCs w:val="22"/>
        </w:rPr>
      </w:pPr>
    </w:p>
    <w:p w14:paraId="72AF7961" w14:textId="4DEAB74A" w:rsidR="000A22A9" w:rsidRDefault="003A2761">
      <w:pPr>
        <w:rPr>
          <w:szCs w:val="22"/>
        </w:rPr>
      </w:pPr>
      <w:r>
        <w:t xml:space="preserve">V preklinických </w:t>
      </w:r>
      <w:r w:rsidRPr="00E32A3A">
        <w:t>studiích na kno</w:t>
      </w:r>
      <w:r w:rsidR="00922843" w:rsidRPr="000C0C60">
        <w:t>c</w:t>
      </w:r>
      <w:r w:rsidRPr="00E32A3A">
        <w:t>k</w:t>
      </w:r>
      <w:r w:rsidR="00922843" w:rsidRPr="000C0C60">
        <w:t>o</w:t>
      </w:r>
      <w:r w:rsidRPr="00E32A3A">
        <w:t>utovaných</w:t>
      </w:r>
      <w:r>
        <w:t xml:space="preserve"> myších postrádajících RANK nebo RANKL byla pozorována absence laktace v důsledku inhibice zrání mléčné žlázy (lobuloalveolární vývoj žlázy v průběhu březosti) a poškození tvorby lymfatických uzlin. Novorozené knokautované myši postrádající RANK nebo RANKL měly nižší tělesnou hmotnost, snížený růst kosti, abnormality růstových plotének a nedostatečné prořezávání zubů. Snížený růst kosti, abnormality růstových plotének a nedostatečné prořezávání zubů byly pozorovány také ve studiích novorozených potkanů, kterým byly podávány inhibitory RANKL. Tyto změny byly po vysazení inhibitoru RANKL částečně reverzibilní. Dospívající primáti, kterým byl podáván denosumab v</w:t>
      </w:r>
      <w:r w:rsidR="00DA6D41">
        <w:t> dávkách odpovídajících</w:t>
      </w:r>
      <w:r>
        <w:t xml:space="preserve"> 2,7 a 15násobku klinické </w:t>
      </w:r>
      <w:r w:rsidRPr="0026193D">
        <w:t>expozice (dávka 10 a 50 mg/kg), měli abnormality růstových</w:t>
      </w:r>
      <w:r>
        <w:t xml:space="preserve"> plotének. Léčba denosumabem může tedy narušit růst kostí u dětí s otevřenými růstovými ploténkami a může i bránit prořezávání zubů.</w:t>
      </w:r>
    </w:p>
    <w:p w14:paraId="50D08436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14:paraId="6A6CDCC3" w14:textId="77777777" w:rsidR="000A22A9" w:rsidRPr="00DE20EF" w:rsidRDefault="000A22A9">
      <w:pPr>
        <w:pStyle w:val="Text"/>
        <w:tabs>
          <w:tab w:val="left" w:pos="567"/>
        </w:tabs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14:paraId="6D5E1A2D" w14:textId="77777777" w:rsidR="000A22A9" w:rsidRDefault="003A2761">
      <w:pPr>
        <w:keepNext/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FARMACEUTICKÉ ÚDAJE</w:t>
      </w:r>
    </w:p>
    <w:p w14:paraId="4E1F1B6B" w14:textId="77777777" w:rsidR="000A22A9" w:rsidRDefault="000A22A9">
      <w:pPr>
        <w:keepNext/>
      </w:pPr>
    </w:p>
    <w:p w14:paraId="54BFA00F" w14:textId="7E980617" w:rsidR="000A22A9" w:rsidRPr="008D3E5C" w:rsidRDefault="003A2761" w:rsidP="008D3E5C">
      <w:pPr>
        <w:pStyle w:val="Stylebold"/>
        <w:keepNext/>
        <w:ind w:left="567" w:hanging="567"/>
      </w:pPr>
      <w:r>
        <w:t>6.1</w:t>
      </w:r>
      <w:r>
        <w:tab/>
        <w:t>Seznam pomocných látek</w:t>
      </w:r>
    </w:p>
    <w:p w14:paraId="33CEFF49" w14:textId="1A0E09F5" w:rsidR="000A22A9" w:rsidRPr="00EA1154" w:rsidRDefault="000A22A9">
      <w:pPr>
        <w:keepNext/>
        <w:outlineLvl w:val="0"/>
        <w:rPr>
          <w:bCs/>
        </w:rPr>
      </w:pPr>
    </w:p>
    <w:p w14:paraId="27246711" w14:textId="54EB118D" w:rsidR="000A22A9" w:rsidRDefault="00EF1FBC" w:rsidP="00EA1154">
      <w:pPr>
        <w:keepNext/>
        <w:keepLines/>
        <w:autoSpaceDE w:val="0"/>
        <w:autoSpaceDN w:val="0"/>
        <w:adjustRightInd w:val="0"/>
      </w:pPr>
      <w:r>
        <w:t xml:space="preserve">Kyselina </w:t>
      </w:r>
      <w:r w:rsidR="003A2761">
        <w:t>octová*</w:t>
      </w:r>
    </w:p>
    <w:p w14:paraId="3A92BEF5" w14:textId="0BF81598" w:rsidR="000A22A9" w:rsidRDefault="00F009E2" w:rsidP="00EA1154">
      <w:pPr>
        <w:keepNext/>
        <w:keepLines/>
        <w:autoSpaceDE w:val="0"/>
        <w:autoSpaceDN w:val="0"/>
        <w:adjustRightInd w:val="0"/>
      </w:pPr>
      <w:r>
        <w:t xml:space="preserve">Trihydrát </w:t>
      </w:r>
      <w:r w:rsidR="00F33CFC">
        <w:t>natrium-acetátu</w:t>
      </w:r>
      <w:r w:rsidR="003A2761">
        <w:t xml:space="preserve"> (k úpravě pH)*</w:t>
      </w:r>
    </w:p>
    <w:p w14:paraId="2AB4974B" w14:textId="74279288" w:rsidR="000A22A9" w:rsidRDefault="003A2761" w:rsidP="00EA1154">
      <w:pPr>
        <w:keepNext/>
        <w:keepLines/>
        <w:autoSpaceDE w:val="0"/>
        <w:autoSpaceDN w:val="0"/>
        <w:adjustRightInd w:val="0"/>
      </w:pPr>
      <w:r>
        <w:t>Sorbitol (E</w:t>
      </w:r>
      <w:r w:rsidR="008624F6">
        <w:t xml:space="preserve"> </w:t>
      </w:r>
      <w:r>
        <w:t>420)</w:t>
      </w:r>
    </w:p>
    <w:p w14:paraId="6D1CED5D" w14:textId="0906CC45" w:rsidR="000A22A9" w:rsidRDefault="003A2761" w:rsidP="00EA1154">
      <w:pPr>
        <w:keepNext/>
        <w:keepLines/>
        <w:autoSpaceDE w:val="0"/>
        <w:autoSpaceDN w:val="0"/>
        <w:adjustRightInd w:val="0"/>
      </w:pPr>
      <w:r>
        <w:t>Polysorbát 20</w:t>
      </w:r>
      <w:r w:rsidR="00EF1FBC">
        <w:t xml:space="preserve"> (E</w:t>
      </w:r>
      <w:r w:rsidR="002A793D">
        <w:t> </w:t>
      </w:r>
      <w:r w:rsidR="00EF1FBC">
        <w:t>432)</w:t>
      </w:r>
    </w:p>
    <w:p w14:paraId="09CAEFD1" w14:textId="77777777" w:rsidR="000A22A9" w:rsidRDefault="003A2761">
      <w:pPr>
        <w:keepNext/>
        <w:autoSpaceDE w:val="0"/>
        <w:autoSpaceDN w:val="0"/>
        <w:adjustRightInd w:val="0"/>
      </w:pPr>
      <w:r>
        <w:t>Voda pro injekci</w:t>
      </w:r>
    </w:p>
    <w:p w14:paraId="495ECF1C" w14:textId="7336CFEB" w:rsidR="000A22A9" w:rsidRDefault="003A2761">
      <w:pPr>
        <w:autoSpaceDE w:val="0"/>
        <w:autoSpaceDN w:val="0"/>
        <w:adjustRightInd w:val="0"/>
      </w:pPr>
      <w:r>
        <w:t xml:space="preserve">* Acetátový pufr vznikne smícháním kyseliny octové a </w:t>
      </w:r>
      <w:r w:rsidR="00F009E2">
        <w:t xml:space="preserve">trihydrátu </w:t>
      </w:r>
      <w:r w:rsidR="00F33CFC">
        <w:t>natrium-acetátu</w:t>
      </w:r>
    </w:p>
    <w:p w14:paraId="553C4920" w14:textId="501E622E" w:rsidR="000A22A9" w:rsidRDefault="000A22A9">
      <w:pPr>
        <w:autoSpaceDE w:val="0"/>
        <w:autoSpaceDN w:val="0"/>
        <w:adjustRightInd w:val="0"/>
      </w:pPr>
    </w:p>
    <w:p w14:paraId="04CE364E" w14:textId="77777777" w:rsidR="000A22A9" w:rsidRDefault="003A2761">
      <w:pPr>
        <w:keepNext/>
        <w:autoSpaceDE w:val="0"/>
        <w:autoSpaceDN w:val="0"/>
        <w:adjustRightInd w:val="0"/>
        <w:ind w:left="567" w:hanging="567"/>
      </w:pPr>
      <w:r>
        <w:rPr>
          <w:b/>
        </w:rPr>
        <w:t>6.2</w:t>
      </w:r>
      <w:r>
        <w:rPr>
          <w:b/>
        </w:rPr>
        <w:tab/>
        <w:t>Inkompatibility</w:t>
      </w:r>
    </w:p>
    <w:p w14:paraId="76061477" w14:textId="77777777" w:rsidR="000A22A9" w:rsidRPr="00EA1154" w:rsidRDefault="000A22A9">
      <w:pPr>
        <w:keepNext/>
        <w:tabs>
          <w:tab w:val="clear" w:pos="567"/>
        </w:tabs>
        <w:outlineLvl w:val="0"/>
        <w:rPr>
          <w:bCs/>
        </w:rPr>
      </w:pPr>
    </w:p>
    <w:p w14:paraId="624C1A08" w14:textId="1069852C" w:rsidR="000A22A9" w:rsidRPr="008D3E5C" w:rsidRDefault="003A2761" w:rsidP="008D3E5C">
      <w:r>
        <w:t>Studie kompatibility nejsou k dispozici, a proto nesmí být tento léčivý přípravek mísen s jinými léčivými přípravky.</w:t>
      </w:r>
    </w:p>
    <w:p w14:paraId="1C8F880A" w14:textId="77777777" w:rsidR="000A22A9" w:rsidRPr="00EA1154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5E89EAE8" w14:textId="77777777" w:rsidR="000A22A9" w:rsidRDefault="003A2761">
      <w:pPr>
        <w:keepNext/>
        <w:autoSpaceDE w:val="0"/>
        <w:autoSpaceDN w:val="0"/>
        <w:adjustRightInd w:val="0"/>
        <w:ind w:left="567" w:hanging="567"/>
        <w:rPr>
          <w:rFonts w:eastAsia="MS Mincho"/>
          <w:sz w:val="20"/>
        </w:rPr>
      </w:pPr>
      <w:r>
        <w:rPr>
          <w:b/>
        </w:rPr>
        <w:t>6.3</w:t>
      </w:r>
      <w:r>
        <w:rPr>
          <w:b/>
        </w:rPr>
        <w:tab/>
        <w:t>Doba použitelnosti</w:t>
      </w:r>
    </w:p>
    <w:p w14:paraId="68AE5E47" w14:textId="77777777" w:rsidR="000A22A9" w:rsidRPr="00EA1154" w:rsidRDefault="000A22A9">
      <w:pPr>
        <w:keepNext/>
        <w:outlineLvl w:val="0"/>
        <w:rPr>
          <w:bCs/>
        </w:rPr>
      </w:pPr>
    </w:p>
    <w:p w14:paraId="0463C67A" w14:textId="6DC282FD" w:rsidR="000A22A9" w:rsidRDefault="00FC10E5">
      <w:ins w:id="1" w:author="만든 이">
        <w:r w:rsidRPr="00FC10E5">
          <w:rPr>
            <w:rFonts w:eastAsia="맑은 고딕"/>
            <w:lang w:eastAsia="ko-KR"/>
          </w:rPr>
          <w:t>4 roky.</w:t>
        </w:r>
      </w:ins>
      <w:del w:id="2" w:author="만든 이">
        <w:r w:rsidR="0083384F" w:rsidDel="00FC10E5">
          <w:rPr>
            <w:rFonts w:eastAsia="맑은 고딕" w:hint="eastAsia"/>
            <w:lang w:eastAsia="ko-KR"/>
          </w:rPr>
          <w:delText>42</w:delText>
        </w:r>
        <w:r w:rsidR="003A2761" w:rsidDel="00FC10E5">
          <w:delText> </w:delText>
        </w:r>
        <w:r w:rsidR="0083384F" w:rsidRPr="0083384F" w:rsidDel="00FC10E5">
          <w:delText>měsíců.</w:delText>
        </w:r>
      </w:del>
    </w:p>
    <w:p w14:paraId="02C1F364" w14:textId="77777777" w:rsidR="000A22A9" w:rsidRDefault="000A22A9"/>
    <w:p w14:paraId="578253AD" w14:textId="2B8D8014" w:rsidR="003569E5" w:rsidRDefault="003569E5" w:rsidP="003569E5">
      <w:pPr>
        <w:autoSpaceDE w:val="0"/>
        <w:autoSpaceDN w:val="0"/>
        <w:adjustRightInd w:val="0"/>
        <w:rPr>
          <w:ins w:id="3" w:author="만든 이"/>
        </w:rPr>
      </w:pPr>
      <w:ins w:id="4" w:author="만든 이">
        <w:r>
          <w:t xml:space="preserve">Po vyjmutí z chladničky může být přípravek Osenvelt uchováván </w:t>
        </w:r>
        <w:r w:rsidR="00F61A34">
          <w:t xml:space="preserve">v krabičce </w:t>
        </w:r>
        <w:r>
          <w:t>při teplotách</w:t>
        </w:r>
        <w:del w:id="5" w:author="만든 이">
          <w:r w:rsidDel="000205AA">
            <w:delText xml:space="preserve"> </w:delText>
          </w:r>
        </w:del>
        <w:r w:rsidR="000205AA">
          <w:t xml:space="preserve"> </w:t>
        </w:r>
        <w:r>
          <w:t xml:space="preserve">maximálně do 30 °C po jedno období </w:t>
        </w:r>
        <w:r w:rsidR="00F75943">
          <w:t xml:space="preserve">v délce </w:t>
        </w:r>
        <w:r>
          <w:t xml:space="preserve">až 63 dní, </w:t>
        </w:r>
        <w:del w:id="6" w:author="만든 이">
          <w:r w:rsidDel="00F61A34">
            <w:delText xml:space="preserve">v původním obalu, </w:delText>
          </w:r>
        </w:del>
        <w:r>
          <w:t xml:space="preserve">které ale nepřesahuje původní dobu použitelnosti. V případě potřeby může být přípravek Osenvelt během těchto 63 dní jednou vrácen do chladničky a uchováván </w:t>
        </w:r>
        <w:r w:rsidR="00F61A34">
          <w:t xml:space="preserve">v </w:t>
        </w:r>
        <w:r w:rsidR="000205AA">
          <w:t>chladničce</w:t>
        </w:r>
        <w:del w:id="7" w:author="만든 이">
          <w:r w:rsidDel="00F61A34">
            <w:delText>tam</w:delText>
          </w:r>
        </w:del>
        <w:r>
          <w:t xml:space="preserve"> až do původní doby použitelnosti.</w:t>
        </w:r>
      </w:ins>
    </w:p>
    <w:p w14:paraId="3DD0FB06" w14:textId="77777777" w:rsidR="003569E5" w:rsidRDefault="003569E5" w:rsidP="003569E5">
      <w:pPr>
        <w:autoSpaceDE w:val="0"/>
        <w:autoSpaceDN w:val="0"/>
        <w:adjustRightInd w:val="0"/>
        <w:rPr>
          <w:ins w:id="8" w:author="만든 이"/>
        </w:rPr>
      </w:pPr>
    </w:p>
    <w:p w14:paraId="3F90040D" w14:textId="089DA73D" w:rsidR="000A22A9" w:rsidRDefault="003569E5" w:rsidP="003569E5">
      <w:pPr>
        <w:autoSpaceDE w:val="0"/>
        <w:autoSpaceDN w:val="0"/>
        <w:adjustRightInd w:val="0"/>
      </w:pPr>
      <w:ins w:id="9" w:author="만든 이">
        <w:r>
          <w:t xml:space="preserve">Přípravek Osenvelt zlikvidujte, pokud není použit během jednoho období 63 dní </w:t>
        </w:r>
        <w:r w:rsidR="00F75943">
          <w:t xml:space="preserve">při uchovávání </w:t>
        </w:r>
        <w:r>
          <w:t>mimo chladničku nebo do původní doby použitelnosti, podle toho, co nastane dříve.</w:t>
        </w:r>
      </w:ins>
      <w:del w:id="10" w:author="만든 이">
        <w:r w:rsidR="003A2761" w:rsidDel="003569E5">
          <w:delText xml:space="preserve">Jakmile je přípravek </w:delText>
        </w:r>
        <w:r w:rsidR="002F5064" w:rsidDel="003569E5">
          <w:delText>Osenvelt</w:delText>
        </w:r>
        <w:r w:rsidR="003A2761" w:rsidDel="003569E5">
          <w:delText xml:space="preserve"> vyjmut z chladničky, může být uchováván při pokojové teplotě (do 25 °C) po dobu až 30 d</w:delText>
        </w:r>
        <w:r w:rsidR="003A2761" w:rsidRPr="00B6691A" w:rsidDel="003569E5">
          <w:delText>ní v původním obalu</w:delText>
        </w:r>
        <w:r w:rsidR="00B6691A" w:rsidRPr="00B6691A" w:rsidDel="003569E5">
          <w:delText>.</w:delText>
        </w:r>
        <w:r w:rsidR="003A2761" w:rsidRPr="00B6691A" w:rsidDel="003569E5">
          <w:delText xml:space="preserve"> </w:delText>
        </w:r>
        <w:r w:rsidR="00B6691A" w:rsidRPr="000C0C60" w:rsidDel="003569E5">
          <w:delText>N</w:delText>
        </w:r>
        <w:r w:rsidR="003A2761" w:rsidRPr="00B6691A" w:rsidDel="003569E5">
          <w:delText>edávejte jej zpět do chladničky</w:delText>
        </w:r>
        <w:r w:rsidR="00B6691A" w:rsidRPr="00B6691A" w:rsidDel="003569E5">
          <w:delText>,</w:delText>
        </w:r>
        <w:r w:rsidR="003A2761" w:rsidRPr="00B6691A" w:rsidDel="003569E5">
          <w:delText xml:space="preserve"> </w:delText>
        </w:r>
        <w:r w:rsidR="00BD2D91" w:rsidDel="003569E5">
          <w:delText xml:space="preserve">přípravek </w:delText>
        </w:r>
        <w:r w:rsidR="00B6691A" w:rsidRPr="00B6691A" w:rsidDel="003569E5">
          <w:delText>m</w:delText>
        </w:r>
        <w:r w:rsidR="003A2761" w:rsidRPr="00B6691A" w:rsidDel="003569E5">
          <w:delText>usí být použit během těchto 30 dní.</w:delText>
        </w:r>
      </w:del>
    </w:p>
    <w:p w14:paraId="3819AC0E" w14:textId="77777777" w:rsidR="000A22A9" w:rsidRDefault="000A22A9"/>
    <w:p w14:paraId="4BEA5D8B" w14:textId="77777777" w:rsidR="000A22A9" w:rsidRDefault="003A2761">
      <w:pPr>
        <w:keepNext/>
        <w:autoSpaceDE w:val="0"/>
        <w:autoSpaceDN w:val="0"/>
        <w:adjustRightInd w:val="0"/>
        <w:ind w:left="567" w:hanging="567"/>
        <w:rPr>
          <w:b/>
        </w:rPr>
      </w:pPr>
      <w:r>
        <w:rPr>
          <w:b/>
        </w:rPr>
        <w:t>6.4</w:t>
      </w:r>
      <w:r>
        <w:rPr>
          <w:b/>
        </w:rPr>
        <w:tab/>
        <w:t>Zvláštní opatření pro uchovávání</w:t>
      </w:r>
    </w:p>
    <w:p w14:paraId="791369C5" w14:textId="77777777" w:rsidR="000A22A9" w:rsidRDefault="000A22A9">
      <w:pPr>
        <w:keepNext/>
        <w:outlineLvl w:val="0"/>
      </w:pPr>
    </w:p>
    <w:p w14:paraId="21B0D82C" w14:textId="77777777" w:rsidR="000A22A9" w:rsidRDefault="003A2761">
      <w:pPr>
        <w:autoSpaceDE w:val="0"/>
        <w:autoSpaceDN w:val="0"/>
        <w:adjustRightInd w:val="0"/>
      </w:pPr>
      <w:r>
        <w:t>Uchovávejte v chladničce (2 °C – 8 °C).</w:t>
      </w:r>
    </w:p>
    <w:p w14:paraId="1861E5DB" w14:textId="77777777" w:rsidR="000A22A9" w:rsidRDefault="003A2761">
      <w:pPr>
        <w:autoSpaceDE w:val="0"/>
        <w:autoSpaceDN w:val="0"/>
        <w:adjustRightInd w:val="0"/>
      </w:pPr>
      <w:r>
        <w:t>Chraňte před mrazem.</w:t>
      </w:r>
    </w:p>
    <w:p w14:paraId="12F83387" w14:textId="344D2E36" w:rsidR="000A22A9" w:rsidRDefault="00B6691A">
      <w:pPr>
        <w:autoSpaceDE w:val="0"/>
        <w:autoSpaceDN w:val="0"/>
        <w:adjustRightInd w:val="0"/>
      </w:pPr>
      <w:r w:rsidRPr="000C0C60">
        <w:t>Uchovávejte i</w:t>
      </w:r>
      <w:r w:rsidR="003A2761" w:rsidRPr="00B6691A">
        <w:t>njekční lahvičku v krabičce</w:t>
      </w:r>
      <w:r w:rsidR="003A2761">
        <w:t>, aby byl přípravek chráněn před světlem.</w:t>
      </w:r>
    </w:p>
    <w:p w14:paraId="328D59E2" w14:textId="77777777" w:rsidR="000A22A9" w:rsidRDefault="000A22A9">
      <w:pPr>
        <w:autoSpaceDE w:val="0"/>
        <w:autoSpaceDN w:val="0"/>
        <w:adjustRightInd w:val="0"/>
      </w:pPr>
    </w:p>
    <w:p w14:paraId="73BE03A6" w14:textId="77777777" w:rsidR="000A22A9" w:rsidRDefault="003A2761">
      <w:pPr>
        <w:keepNext/>
        <w:autoSpaceDE w:val="0"/>
        <w:autoSpaceDN w:val="0"/>
        <w:adjustRightInd w:val="0"/>
        <w:ind w:left="567" w:hanging="567"/>
        <w:rPr>
          <w:b/>
        </w:rPr>
      </w:pPr>
      <w:r>
        <w:rPr>
          <w:b/>
        </w:rPr>
        <w:t>6.5</w:t>
      </w:r>
      <w:r>
        <w:rPr>
          <w:b/>
        </w:rPr>
        <w:tab/>
        <w:t>Druh obalu a obsah balení</w:t>
      </w:r>
    </w:p>
    <w:p w14:paraId="5B9EDB42" w14:textId="77777777" w:rsidR="000A22A9" w:rsidRDefault="000A22A9">
      <w:pPr>
        <w:keepNext/>
        <w:rPr>
          <w:szCs w:val="22"/>
        </w:rPr>
      </w:pPr>
    </w:p>
    <w:p w14:paraId="784E58CD" w14:textId="01A40A9E" w:rsidR="000A22A9" w:rsidRDefault="003A2761">
      <w:pPr>
        <w:rPr>
          <w:szCs w:val="22"/>
        </w:rPr>
      </w:pPr>
      <w:r>
        <w:t>1,7 ml roztoku v injekční lahvičce</w:t>
      </w:r>
      <w:r w:rsidR="008624F6">
        <w:t xml:space="preserve"> k jednorázovému použití</w:t>
      </w:r>
      <w:r w:rsidR="002F5064">
        <w:t xml:space="preserve"> ze skla třídy</w:t>
      </w:r>
      <w:r w:rsidR="008F41CD">
        <w:t> </w:t>
      </w:r>
      <w:r w:rsidR="002F5064">
        <w:t>I s (butylovou) pryžovou zátkou a hliníkovým uzávěrem s odtrhovacím víčkem</w:t>
      </w:r>
      <w:r>
        <w:t>.</w:t>
      </w:r>
    </w:p>
    <w:p w14:paraId="70B1AAE7" w14:textId="38B66AA7" w:rsidR="000A22A9" w:rsidRDefault="000A22A9">
      <w:pPr>
        <w:autoSpaceDE w:val="0"/>
        <w:autoSpaceDN w:val="0"/>
        <w:adjustRightInd w:val="0"/>
      </w:pPr>
    </w:p>
    <w:p w14:paraId="60487B21" w14:textId="77777777" w:rsidR="000A22A9" w:rsidRDefault="003A2761">
      <w:pPr>
        <w:autoSpaceDE w:val="0"/>
        <w:autoSpaceDN w:val="0"/>
        <w:adjustRightInd w:val="0"/>
      </w:pPr>
      <w:r>
        <w:t>Balení obsahuje jednu, tři nebo čtyři injekční lahvičky.</w:t>
      </w:r>
    </w:p>
    <w:p w14:paraId="3F526FE6" w14:textId="080BF231" w:rsidR="000A22A9" w:rsidRPr="000156BF" w:rsidRDefault="003A2761">
      <w:pPr>
        <w:autoSpaceDE w:val="0"/>
        <w:autoSpaceDN w:val="0"/>
        <w:adjustRightInd w:val="0"/>
      </w:pPr>
      <w:r>
        <w:t>Na trhu nemusí být všechny velikosti balení.</w:t>
      </w:r>
    </w:p>
    <w:p w14:paraId="4D57046A" w14:textId="77777777" w:rsidR="000A22A9" w:rsidRPr="000156BF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13661BE4" w14:textId="77777777" w:rsidR="000A22A9" w:rsidRPr="000156BF" w:rsidRDefault="003A2761">
      <w:pPr>
        <w:keepNext/>
        <w:autoSpaceDE w:val="0"/>
        <w:autoSpaceDN w:val="0"/>
        <w:adjustRightInd w:val="0"/>
        <w:ind w:left="567" w:hanging="567"/>
        <w:rPr>
          <w:b/>
        </w:rPr>
      </w:pPr>
      <w:r>
        <w:rPr>
          <w:b/>
        </w:rPr>
        <w:t>6.6</w:t>
      </w:r>
      <w:r>
        <w:rPr>
          <w:b/>
        </w:rPr>
        <w:tab/>
        <w:t>Zvláštní opatření pro likvidaci přípravku a pro zacházení s ním</w:t>
      </w:r>
    </w:p>
    <w:p w14:paraId="00E1F32D" w14:textId="77777777" w:rsidR="000A22A9" w:rsidRPr="000156BF" w:rsidRDefault="000A22A9">
      <w:pPr>
        <w:keepNext/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7F0FBF50" w14:textId="27B098BF" w:rsidR="000156BF" w:rsidRPr="00EB2620" w:rsidRDefault="000156BF" w:rsidP="002F6ACF">
      <w:pPr>
        <w:numPr>
          <w:ilvl w:val="0"/>
          <w:numId w:val="24"/>
        </w:numPr>
        <w:ind w:left="567" w:hanging="567"/>
        <w:rPr>
          <w:szCs w:val="22"/>
        </w:rPr>
      </w:pPr>
      <w:r>
        <w:t xml:space="preserve">Roztok přípravku </w:t>
      </w:r>
      <w:r w:rsidR="002F5064">
        <w:t>Osenvelt</w:t>
      </w:r>
      <w:r>
        <w:t xml:space="preserve"> před podáním pečlivě vizuálně zkontrolujte. Roztok nepodávejte, pokud </w:t>
      </w:r>
      <w:r w:rsidR="002F5064">
        <w:t xml:space="preserve">obsahuje viditelné částice nebo </w:t>
      </w:r>
      <w:r>
        <w:t>je zakalen</w:t>
      </w:r>
      <w:r w:rsidR="001B28FE">
        <w:t>ý</w:t>
      </w:r>
      <w:r>
        <w:t xml:space="preserve"> </w:t>
      </w:r>
      <w:r w:rsidR="002F5064">
        <w:t xml:space="preserve">nebo </w:t>
      </w:r>
      <w:r>
        <w:t>má odlišnou barvu.</w:t>
      </w:r>
    </w:p>
    <w:p w14:paraId="1A2B6A02" w14:textId="77777777" w:rsidR="000156BF" w:rsidRPr="00EB2620" w:rsidRDefault="000156BF" w:rsidP="008D3E5C">
      <w:pPr>
        <w:numPr>
          <w:ilvl w:val="0"/>
          <w:numId w:val="24"/>
        </w:numPr>
        <w:ind w:left="567" w:hanging="567"/>
        <w:rPr>
          <w:szCs w:val="22"/>
        </w:rPr>
      </w:pPr>
      <w:r>
        <w:t>Přípravkem netřepejte.</w:t>
      </w:r>
    </w:p>
    <w:p w14:paraId="0E8E91A4" w14:textId="480D524F" w:rsidR="000156BF" w:rsidRPr="00EB2620" w:rsidRDefault="000156BF" w:rsidP="008D3E5C">
      <w:pPr>
        <w:numPr>
          <w:ilvl w:val="0"/>
          <w:numId w:val="24"/>
        </w:numPr>
        <w:ind w:left="567" w:hanging="567"/>
        <w:rPr>
          <w:szCs w:val="22"/>
        </w:rPr>
      </w:pPr>
      <w:r>
        <w:t xml:space="preserve">Abyste předešli nepříjemným pocitům v místě vpichu, nechte injekční lahvičku před podáním přípravku </w:t>
      </w:r>
      <w:r w:rsidR="001B28FE">
        <w:t xml:space="preserve">dosáhnout </w:t>
      </w:r>
      <w:r>
        <w:t>pokojov</w:t>
      </w:r>
      <w:r w:rsidR="001B28FE">
        <w:t>é</w:t>
      </w:r>
      <w:r>
        <w:t xml:space="preserve"> teplot</w:t>
      </w:r>
      <w:r w:rsidR="001B28FE">
        <w:t>y</w:t>
      </w:r>
      <w:r>
        <w:t xml:space="preserve"> (do </w:t>
      </w:r>
      <w:ins w:id="11" w:author="만든 이">
        <w:r w:rsidR="004A7923">
          <w:rPr>
            <w:rFonts w:eastAsia="맑은 고딕" w:hint="eastAsia"/>
            <w:lang w:eastAsia="ko-KR"/>
          </w:rPr>
          <w:t>30</w:t>
        </w:r>
      </w:ins>
      <w:del w:id="12" w:author="만든 이">
        <w:r w:rsidDel="004A7923">
          <w:delText>25</w:delText>
        </w:r>
      </w:del>
      <w:r>
        <w:t> °C) a roztok aplikujte pomalu.</w:t>
      </w:r>
    </w:p>
    <w:p w14:paraId="0E75FBED" w14:textId="6B8D7F7C" w:rsidR="000156BF" w:rsidRPr="00EB2620" w:rsidRDefault="00F33CFC" w:rsidP="008D3E5C">
      <w:pPr>
        <w:numPr>
          <w:ilvl w:val="0"/>
          <w:numId w:val="24"/>
        </w:numPr>
        <w:ind w:left="567" w:hanging="567"/>
        <w:rPr>
          <w:szCs w:val="22"/>
        </w:rPr>
      </w:pPr>
      <w:r w:rsidRPr="00B6691A">
        <w:t>A</w:t>
      </w:r>
      <w:r w:rsidR="000156BF" w:rsidRPr="00B6691A">
        <w:t>plik</w:t>
      </w:r>
      <w:r w:rsidRPr="00B6691A">
        <w:t>ujte</w:t>
      </w:r>
      <w:r w:rsidR="000156BF" w:rsidRPr="00B6691A">
        <w:t xml:space="preserve"> celý</w:t>
      </w:r>
      <w:r w:rsidR="000156BF">
        <w:t xml:space="preserve"> obsah injekční lahvičky.</w:t>
      </w:r>
    </w:p>
    <w:p w14:paraId="5F4E612D" w14:textId="000A2B69" w:rsidR="000156BF" w:rsidRPr="00EB2620" w:rsidRDefault="00186203" w:rsidP="008D3E5C">
      <w:pPr>
        <w:keepNext/>
        <w:numPr>
          <w:ilvl w:val="0"/>
          <w:numId w:val="24"/>
        </w:numPr>
        <w:ind w:left="567" w:hanging="567"/>
        <w:rPr>
          <w:szCs w:val="22"/>
        </w:rPr>
      </w:pPr>
      <w:r>
        <w:t>K</w:t>
      </w:r>
      <w:r w:rsidR="000156BF">
        <w:t xml:space="preserve"> podání denosumabu</w:t>
      </w:r>
      <w:r>
        <w:t xml:space="preserve"> se</w:t>
      </w:r>
      <w:r w:rsidR="000156BF">
        <w:t xml:space="preserve"> doporučuje</w:t>
      </w:r>
      <w:r w:rsidR="001B28FE">
        <w:t xml:space="preserve"> </w:t>
      </w:r>
      <w:r w:rsidR="000156BF">
        <w:t>použít injekční jehlu 27 gauge.</w:t>
      </w:r>
    </w:p>
    <w:p w14:paraId="5CF2F062" w14:textId="77777777" w:rsidR="000156BF" w:rsidRPr="00EB2620" w:rsidRDefault="000156BF" w:rsidP="008D3E5C">
      <w:pPr>
        <w:numPr>
          <w:ilvl w:val="0"/>
          <w:numId w:val="24"/>
        </w:numPr>
        <w:ind w:left="567" w:hanging="567"/>
        <w:rPr>
          <w:szCs w:val="22"/>
        </w:rPr>
      </w:pPr>
      <w:r>
        <w:t xml:space="preserve">Injekční </w:t>
      </w:r>
      <w:r w:rsidRPr="00B6691A">
        <w:t>lahvička nemá být opakovaně</w:t>
      </w:r>
      <w:r>
        <w:t xml:space="preserve"> propichována.</w:t>
      </w:r>
    </w:p>
    <w:p w14:paraId="315E7E9C" w14:textId="77777777" w:rsidR="000156BF" w:rsidRPr="00EA1154" w:rsidRDefault="000156BF">
      <w:pPr>
        <w:rPr>
          <w:bCs/>
          <w:szCs w:val="22"/>
        </w:rPr>
      </w:pPr>
    </w:p>
    <w:p w14:paraId="5D56FD2D" w14:textId="77777777" w:rsidR="000A22A9" w:rsidRDefault="003A2761">
      <w:pPr>
        <w:pStyle w:val="TableLeftAlign"/>
        <w:spacing w:before="0"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Veškerý nepoužitý léčivý přípravek nebo odpad musí být zlikvidován v souladu s místními požadavky.</w:t>
      </w:r>
    </w:p>
    <w:p w14:paraId="6D3B92CB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217B61B8" w14:textId="77777777" w:rsidR="000A22A9" w:rsidRDefault="000A22A9">
      <w:pPr>
        <w:autoSpaceDE w:val="0"/>
        <w:autoSpaceDN w:val="0"/>
        <w:adjustRightInd w:val="0"/>
      </w:pPr>
    </w:p>
    <w:p w14:paraId="15609FF2" w14:textId="77777777" w:rsidR="000A22A9" w:rsidRDefault="003A2761">
      <w:pPr>
        <w:keepNext/>
        <w:ind w:left="567" w:hanging="567"/>
      </w:pPr>
      <w:r>
        <w:rPr>
          <w:b/>
        </w:rPr>
        <w:t>7.</w:t>
      </w:r>
      <w:r>
        <w:rPr>
          <w:b/>
        </w:rPr>
        <w:tab/>
        <w:t>DRŽITEL ROZHODNUTÍ O REGISTRACI</w:t>
      </w:r>
    </w:p>
    <w:p w14:paraId="36E4C10F" w14:textId="77777777" w:rsidR="000A22A9" w:rsidRDefault="000A22A9">
      <w:pPr>
        <w:keepNext/>
        <w:autoSpaceDE w:val="0"/>
        <w:autoSpaceDN w:val="0"/>
        <w:adjustRightInd w:val="0"/>
        <w:rPr>
          <w:szCs w:val="22"/>
        </w:rPr>
      </w:pPr>
    </w:p>
    <w:p w14:paraId="24C69FE2" w14:textId="77777777" w:rsidR="00186203" w:rsidRPr="00CE3977" w:rsidRDefault="00186203" w:rsidP="00186203">
      <w:pPr>
        <w:keepNext/>
      </w:pPr>
      <w:r w:rsidRPr="00CE3977">
        <w:t>Celltrion Healthcare Hungary Kft.</w:t>
      </w:r>
    </w:p>
    <w:p w14:paraId="72F05E77" w14:textId="631AE584" w:rsidR="00186203" w:rsidRPr="00294495" w:rsidRDefault="00186203" w:rsidP="00186203">
      <w:pPr>
        <w:keepNext/>
        <w:rPr>
          <w:rFonts w:eastAsia="맑은 고딕"/>
          <w:lang w:eastAsia="ko-KR"/>
          <w:rPrChange w:id="13" w:author="만든 이">
            <w:rPr/>
          </w:rPrChange>
        </w:rPr>
      </w:pPr>
      <w:r w:rsidRPr="00CE3977">
        <w:t>1062 Budapest</w:t>
      </w:r>
      <w:ins w:id="14" w:author="만든 이">
        <w:r w:rsidR="000009DF">
          <w:rPr>
            <w:rFonts w:eastAsia="맑은 고딕" w:hint="eastAsia"/>
            <w:lang w:eastAsia="ko-KR"/>
          </w:rPr>
          <w:t>,</w:t>
        </w:r>
      </w:ins>
    </w:p>
    <w:p w14:paraId="0A64F25F" w14:textId="77777777" w:rsidR="00186203" w:rsidRPr="00CE3977" w:rsidRDefault="00186203" w:rsidP="00186203">
      <w:pPr>
        <w:keepNext/>
      </w:pPr>
      <w:r w:rsidRPr="00CE3977">
        <w:t>Váci út 1-3. WestEnd Office Building B torony</w:t>
      </w:r>
    </w:p>
    <w:p w14:paraId="693C7267" w14:textId="3E42E7A8" w:rsidR="000A22A9" w:rsidRDefault="00186203">
      <w:pPr>
        <w:ind w:left="567" w:hanging="567"/>
        <w:rPr>
          <w:szCs w:val="22"/>
        </w:rPr>
      </w:pPr>
      <w:r>
        <w:rPr>
          <w:szCs w:val="22"/>
        </w:rPr>
        <w:t>Maďarsko</w:t>
      </w:r>
    </w:p>
    <w:p w14:paraId="15F2685C" w14:textId="77777777" w:rsidR="00FA560A" w:rsidRDefault="00FA560A">
      <w:pPr>
        <w:ind w:left="567" w:hanging="567"/>
        <w:rPr>
          <w:szCs w:val="22"/>
        </w:rPr>
      </w:pPr>
    </w:p>
    <w:p w14:paraId="4EFDC7F9" w14:textId="77777777" w:rsidR="000A22A9" w:rsidRDefault="000A22A9">
      <w:pPr>
        <w:ind w:left="567" w:hanging="567"/>
        <w:rPr>
          <w:szCs w:val="22"/>
        </w:rPr>
      </w:pPr>
    </w:p>
    <w:p w14:paraId="78ED88D9" w14:textId="2E609BED" w:rsidR="000A22A9" w:rsidRDefault="003A2761" w:rsidP="00E50772">
      <w:pPr>
        <w:keepNext/>
        <w:ind w:left="567" w:hanging="567"/>
        <w:rPr>
          <w:b/>
        </w:rPr>
      </w:pPr>
      <w:r>
        <w:rPr>
          <w:b/>
        </w:rPr>
        <w:t>8.</w:t>
      </w:r>
      <w:r>
        <w:rPr>
          <w:b/>
        </w:rPr>
        <w:tab/>
        <w:t>REGISTRAČNÍ ČÍSLO</w:t>
      </w:r>
      <w:r w:rsidR="00BD471B">
        <w:rPr>
          <w:b/>
        </w:rPr>
        <w:t>/REGISTRAČNÍ ČÍSLA</w:t>
      </w:r>
    </w:p>
    <w:p w14:paraId="4BA7F487" w14:textId="77777777" w:rsidR="000A22A9" w:rsidRDefault="000A22A9" w:rsidP="00E50772">
      <w:pPr>
        <w:keepNext/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7CB4ACF5" w14:textId="02D8FF3F" w:rsidR="00186203" w:rsidRPr="00CE3977" w:rsidRDefault="00FC2650" w:rsidP="00186203">
      <w:pPr>
        <w:keepNext/>
      </w:pPr>
      <w:r w:rsidRPr="00DF3D18">
        <w:rPr>
          <w:rFonts w:cs="Verdana"/>
          <w:color w:val="000000"/>
        </w:rPr>
        <w:t>EU/1/24/1904/001</w:t>
      </w:r>
    </w:p>
    <w:p w14:paraId="3A5C238C" w14:textId="27F36A9F" w:rsidR="00186203" w:rsidRPr="00FC2650" w:rsidRDefault="00FC2650" w:rsidP="00186203">
      <w:pPr>
        <w:keepNext/>
        <w:rPr>
          <w:rFonts w:eastAsia="맑은 고딕"/>
          <w:lang w:eastAsia="ko-KR"/>
        </w:rPr>
      </w:pPr>
      <w:r w:rsidRPr="00DF3D18">
        <w:rPr>
          <w:rFonts w:cs="Verdana"/>
          <w:color w:val="000000"/>
        </w:rPr>
        <w:t>EU/1/24/1904/00</w:t>
      </w:r>
      <w:r>
        <w:rPr>
          <w:rFonts w:eastAsia="맑은 고딕" w:cs="Verdana" w:hint="eastAsia"/>
          <w:color w:val="000000"/>
          <w:lang w:eastAsia="ko-KR"/>
        </w:rPr>
        <w:t>2</w:t>
      </w:r>
    </w:p>
    <w:p w14:paraId="7BCC851A" w14:textId="6BE0C954" w:rsidR="00186203" w:rsidRPr="00FC2650" w:rsidRDefault="00FC2650" w:rsidP="00186203">
      <w:pPr>
        <w:rPr>
          <w:rFonts w:eastAsia="맑은 고딕"/>
          <w:lang w:eastAsia="ko-KR"/>
        </w:rPr>
      </w:pPr>
      <w:r w:rsidRPr="00DF3D18">
        <w:rPr>
          <w:rFonts w:cs="Verdana"/>
          <w:color w:val="000000"/>
        </w:rPr>
        <w:t>EU/1/24/1904/00</w:t>
      </w:r>
      <w:r>
        <w:rPr>
          <w:rFonts w:eastAsia="맑은 고딕" w:cs="Verdana" w:hint="eastAsia"/>
          <w:color w:val="000000"/>
          <w:lang w:eastAsia="ko-KR"/>
        </w:rPr>
        <w:t>3</w:t>
      </w:r>
    </w:p>
    <w:p w14:paraId="0C8BE327" w14:textId="77777777" w:rsidR="000A22A9" w:rsidRDefault="000A22A9">
      <w:pPr>
        <w:autoSpaceDE w:val="0"/>
        <w:autoSpaceDN w:val="0"/>
        <w:adjustRightInd w:val="0"/>
      </w:pPr>
    </w:p>
    <w:p w14:paraId="6D95FC59" w14:textId="77777777" w:rsidR="000A22A9" w:rsidRDefault="000A22A9">
      <w:pPr>
        <w:autoSpaceDE w:val="0"/>
        <w:autoSpaceDN w:val="0"/>
        <w:adjustRightInd w:val="0"/>
      </w:pPr>
    </w:p>
    <w:p w14:paraId="2DFED07A" w14:textId="28156897" w:rsidR="000A22A9" w:rsidRDefault="003A2761">
      <w:pPr>
        <w:keepNext/>
        <w:ind w:left="567" w:hanging="567"/>
      </w:pPr>
      <w:r>
        <w:rPr>
          <w:b/>
        </w:rPr>
        <w:t>9.</w:t>
      </w:r>
      <w:r>
        <w:rPr>
          <w:b/>
        </w:rPr>
        <w:tab/>
        <w:t>DATUM PRVNÍ REGISTRACE</w:t>
      </w:r>
      <w:r w:rsidR="001B28FE">
        <w:rPr>
          <w:b/>
        </w:rPr>
        <w:t xml:space="preserve"> </w:t>
      </w:r>
      <w:r>
        <w:rPr>
          <w:b/>
        </w:rPr>
        <w:t>/</w:t>
      </w:r>
      <w:r w:rsidR="001B28FE">
        <w:rPr>
          <w:b/>
        </w:rPr>
        <w:t xml:space="preserve"> </w:t>
      </w:r>
      <w:r>
        <w:rPr>
          <w:b/>
        </w:rPr>
        <w:t>PRODLOUŽENÍ REGISTRACE</w:t>
      </w:r>
    </w:p>
    <w:p w14:paraId="2390B2C3" w14:textId="77777777" w:rsidR="000A22A9" w:rsidRDefault="000A22A9">
      <w:pPr>
        <w:keepNext/>
      </w:pPr>
    </w:p>
    <w:p w14:paraId="01269F89" w14:textId="3616775A" w:rsidR="000A22A9" w:rsidRDefault="003A2761">
      <w:pPr>
        <w:keepNext/>
      </w:pPr>
      <w:r>
        <w:t xml:space="preserve">Datum první registrace: </w:t>
      </w:r>
      <w:r w:rsidR="00A040B1" w:rsidRPr="00A040B1">
        <w:t>14 únor 2025</w:t>
      </w:r>
    </w:p>
    <w:p w14:paraId="715E4006" w14:textId="77777777" w:rsidR="000A22A9" w:rsidRDefault="000A22A9">
      <w:pPr>
        <w:keepNext/>
      </w:pPr>
    </w:p>
    <w:p w14:paraId="47CB0796" w14:textId="77777777" w:rsidR="000A22A9" w:rsidRDefault="000A22A9"/>
    <w:p w14:paraId="52EEE46D" w14:textId="77777777" w:rsidR="000A22A9" w:rsidRDefault="003A2761">
      <w:pPr>
        <w:keepNext/>
        <w:keepLines/>
        <w:ind w:left="567" w:hanging="567"/>
        <w:rPr>
          <w:b/>
        </w:rPr>
      </w:pPr>
      <w:r>
        <w:rPr>
          <w:b/>
        </w:rPr>
        <w:t>10.</w:t>
      </w:r>
      <w:r>
        <w:rPr>
          <w:b/>
        </w:rPr>
        <w:tab/>
        <w:t>DATUM REVIZE TEXTU</w:t>
      </w:r>
    </w:p>
    <w:p w14:paraId="31BE08C2" w14:textId="77777777" w:rsidR="000A22A9" w:rsidRDefault="000A22A9">
      <w:pPr>
        <w:keepNext/>
        <w:keepLines/>
      </w:pPr>
    </w:p>
    <w:p w14:paraId="6262C82D" w14:textId="77777777" w:rsidR="000A22A9" w:rsidRDefault="000A22A9">
      <w:pPr>
        <w:keepNext/>
        <w:keepLines/>
      </w:pPr>
    </w:p>
    <w:p w14:paraId="02A64E0D" w14:textId="77777777" w:rsidR="000A22A9" w:rsidRDefault="000A22A9">
      <w:pPr>
        <w:keepNext/>
        <w:keepLines/>
      </w:pPr>
    </w:p>
    <w:p w14:paraId="410D0B2F" w14:textId="0E7EEFF8" w:rsidR="000A22A9" w:rsidRDefault="003A2761">
      <w:pPr>
        <w:keepNext/>
        <w:keepLines/>
        <w:numPr>
          <w:ilvl w:val="12"/>
          <w:numId w:val="0"/>
        </w:numPr>
        <w:ind w:right="-2"/>
      </w:pPr>
      <w:r>
        <w:t xml:space="preserve">Podrobné informace o tomto léčivém přípravku jsou k dispozici na webových stránkách Evropské agentury pro léčivé přípravky na adrese </w:t>
      </w:r>
      <w:hyperlink r:id="rId15" w:history="1">
        <w:r w:rsidR="00A3580C">
          <w:rPr>
            <w:rStyle w:val="ad"/>
          </w:rPr>
          <w:t>https://www.ema.europa.eu</w:t>
        </w:r>
      </w:hyperlink>
      <w:r>
        <w:t>.</w:t>
      </w:r>
    </w:p>
    <w:p w14:paraId="2C72E856" w14:textId="77777777" w:rsidR="000A22A9" w:rsidRDefault="003A2761">
      <w:pPr>
        <w:rPr>
          <w:szCs w:val="22"/>
        </w:rPr>
      </w:pPr>
      <w:r>
        <w:br w:type="page"/>
      </w:r>
    </w:p>
    <w:p w14:paraId="4F48090D" w14:textId="77777777" w:rsidR="000A22A9" w:rsidRDefault="000A22A9">
      <w:pPr>
        <w:jc w:val="center"/>
        <w:rPr>
          <w:szCs w:val="22"/>
        </w:rPr>
      </w:pPr>
    </w:p>
    <w:p w14:paraId="19902173" w14:textId="77777777" w:rsidR="000A22A9" w:rsidRDefault="000A22A9">
      <w:pPr>
        <w:jc w:val="center"/>
        <w:rPr>
          <w:szCs w:val="22"/>
        </w:rPr>
      </w:pPr>
    </w:p>
    <w:p w14:paraId="495FF791" w14:textId="77777777" w:rsidR="000A22A9" w:rsidRDefault="000A22A9">
      <w:pPr>
        <w:jc w:val="center"/>
        <w:rPr>
          <w:szCs w:val="22"/>
        </w:rPr>
      </w:pPr>
    </w:p>
    <w:p w14:paraId="01A957C3" w14:textId="77777777" w:rsidR="000A22A9" w:rsidRDefault="000A22A9">
      <w:pPr>
        <w:jc w:val="center"/>
        <w:rPr>
          <w:szCs w:val="22"/>
        </w:rPr>
      </w:pPr>
    </w:p>
    <w:p w14:paraId="58987E66" w14:textId="77777777" w:rsidR="000A22A9" w:rsidRDefault="000A22A9">
      <w:pPr>
        <w:jc w:val="center"/>
        <w:rPr>
          <w:szCs w:val="22"/>
        </w:rPr>
      </w:pPr>
    </w:p>
    <w:p w14:paraId="6D35EF7C" w14:textId="77777777" w:rsidR="000A22A9" w:rsidRDefault="000A22A9">
      <w:pPr>
        <w:jc w:val="center"/>
        <w:rPr>
          <w:szCs w:val="22"/>
        </w:rPr>
      </w:pPr>
    </w:p>
    <w:p w14:paraId="49316AF2" w14:textId="77777777" w:rsidR="000A22A9" w:rsidRDefault="000A22A9">
      <w:pPr>
        <w:jc w:val="center"/>
        <w:rPr>
          <w:szCs w:val="22"/>
        </w:rPr>
      </w:pPr>
    </w:p>
    <w:p w14:paraId="07E0AC58" w14:textId="77777777" w:rsidR="000A22A9" w:rsidRDefault="000A22A9">
      <w:pPr>
        <w:jc w:val="center"/>
        <w:rPr>
          <w:szCs w:val="22"/>
        </w:rPr>
      </w:pPr>
    </w:p>
    <w:p w14:paraId="51406B0F" w14:textId="77777777" w:rsidR="000A22A9" w:rsidRDefault="000A22A9">
      <w:pPr>
        <w:jc w:val="center"/>
        <w:rPr>
          <w:szCs w:val="22"/>
        </w:rPr>
      </w:pPr>
    </w:p>
    <w:p w14:paraId="2F57F60B" w14:textId="77777777" w:rsidR="000A22A9" w:rsidRDefault="000A22A9">
      <w:pPr>
        <w:jc w:val="center"/>
        <w:rPr>
          <w:szCs w:val="22"/>
        </w:rPr>
      </w:pPr>
    </w:p>
    <w:p w14:paraId="5C86C46F" w14:textId="77777777" w:rsidR="000A22A9" w:rsidRDefault="000A22A9">
      <w:pPr>
        <w:jc w:val="center"/>
        <w:rPr>
          <w:szCs w:val="22"/>
        </w:rPr>
      </w:pPr>
    </w:p>
    <w:p w14:paraId="392AB842" w14:textId="77777777" w:rsidR="000A22A9" w:rsidRDefault="000A22A9">
      <w:pPr>
        <w:jc w:val="center"/>
        <w:rPr>
          <w:szCs w:val="22"/>
        </w:rPr>
      </w:pPr>
    </w:p>
    <w:p w14:paraId="36EB7EF7" w14:textId="77777777" w:rsidR="000A22A9" w:rsidRDefault="000A22A9">
      <w:pPr>
        <w:jc w:val="center"/>
        <w:rPr>
          <w:szCs w:val="22"/>
        </w:rPr>
      </w:pPr>
    </w:p>
    <w:p w14:paraId="03728C0C" w14:textId="77777777" w:rsidR="000A22A9" w:rsidRDefault="000A22A9">
      <w:pPr>
        <w:jc w:val="center"/>
        <w:rPr>
          <w:szCs w:val="22"/>
        </w:rPr>
      </w:pPr>
    </w:p>
    <w:p w14:paraId="5C735251" w14:textId="77777777" w:rsidR="000A22A9" w:rsidRDefault="000A22A9">
      <w:pPr>
        <w:jc w:val="center"/>
        <w:rPr>
          <w:szCs w:val="22"/>
        </w:rPr>
      </w:pPr>
    </w:p>
    <w:p w14:paraId="4F29E2D6" w14:textId="77777777" w:rsidR="000A22A9" w:rsidRDefault="000A22A9">
      <w:pPr>
        <w:jc w:val="center"/>
        <w:rPr>
          <w:szCs w:val="22"/>
        </w:rPr>
      </w:pPr>
    </w:p>
    <w:p w14:paraId="14F01DC9" w14:textId="77777777" w:rsidR="000A22A9" w:rsidRDefault="000A22A9">
      <w:pPr>
        <w:jc w:val="center"/>
        <w:rPr>
          <w:szCs w:val="22"/>
        </w:rPr>
      </w:pPr>
    </w:p>
    <w:p w14:paraId="5AB36D07" w14:textId="77777777" w:rsidR="000A22A9" w:rsidRDefault="000A22A9">
      <w:pPr>
        <w:jc w:val="center"/>
        <w:rPr>
          <w:szCs w:val="22"/>
        </w:rPr>
      </w:pPr>
    </w:p>
    <w:p w14:paraId="306A8A8C" w14:textId="77777777" w:rsidR="000A22A9" w:rsidRDefault="000A22A9">
      <w:pPr>
        <w:jc w:val="center"/>
        <w:rPr>
          <w:szCs w:val="22"/>
        </w:rPr>
      </w:pPr>
    </w:p>
    <w:p w14:paraId="0251F102" w14:textId="77777777" w:rsidR="000A22A9" w:rsidRDefault="000A22A9">
      <w:pPr>
        <w:jc w:val="center"/>
        <w:rPr>
          <w:szCs w:val="22"/>
        </w:rPr>
      </w:pPr>
    </w:p>
    <w:p w14:paraId="1C978C88" w14:textId="77777777" w:rsidR="000A22A9" w:rsidRDefault="000A22A9">
      <w:pPr>
        <w:jc w:val="center"/>
        <w:rPr>
          <w:szCs w:val="22"/>
        </w:rPr>
      </w:pPr>
    </w:p>
    <w:p w14:paraId="7CF6F6BA" w14:textId="77777777" w:rsidR="000A22A9" w:rsidRDefault="000A22A9">
      <w:pPr>
        <w:jc w:val="center"/>
        <w:rPr>
          <w:szCs w:val="22"/>
        </w:rPr>
      </w:pPr>
    </w:p>
    <w:p w14:paraId="29642CB1" w14:textId="77777777" w:rsidR="000A22A9" w:rsidRDefault="003A2761">
      <w:pPr>
        <w:jc w:val="center"/>
        <w:rPr>
          <w:szCs w:val="22"/>
        </w:rPr>
      </w:pPr>
      <w:r>
        <w:rPr>
          <w:b/>
        </w:rPr>
        <w:t>PŘÍLOHA II</w:t>
      </w:r>
    </w:p>
    <w:p w14:paraId="0313442B" w14:textId="77777777" w:rsidR="000A22A9" w:rsidRDefault="000A22A9">
      <w:pPr>
        <w:ind w:left="1701" w:right="1416" w:hanging="567"/>
        <w:rPr>
          <w:szCs w:val="22"/>
        </w:rPr>
      </w:pPr>
    </w:p>
    <w:p w14:paraId="152ACC23" w14:textId="77777777" w:rsidR="000A22A9" w:rsidRDefault="003A2761">
      <w:pPr>
        <w:keepNext/>
        <w:ind w:left="1701" w:right="1416" w:hanging="567"/>
        <w:rPr>
          <w:b/>
          <w:szCs w:val="22"/>
        </w:rPr>
      </w:pPr>
      <w:r>
        <w:rPr>
          <w:b/>
        </w:rPr>
        <w:t>A.</w:t>
      </w:r>
      <w:r>
        <w:rPr>
          <w:b/>
        </w:rPr>
        <w:tab/>
        <w:t>VÝROBCI BIOLOGICKÉ LÉČIVÉ LÁTKY A VÝROBCI ODPOVĚDNÍ ZA PROPOUŠTĚNÍ ŠARŽÍ</w:t>
      </w:r>
    </w:p>
    <w:p w14:paraId="25E61C22" w14:textId="77777777" w:rsidR="000A22A9" w:rsidRDefault="000A22A9">
      <w:pPr>
        <w:keepNext/>
        <w:ind w:left="1701" w:right="1416" w:hanging="567"/>
        <w:rPr>
          <w:b/>
          <w:szCs w:val="22"/>
        </w:rPr>
      </w:pPr>
    </w:p>
    <w:p w14:paraId="07D1FE6D" w14:textId="77777777" w:rsidR="000A22A9" w:rsidRDefault="003A2761">
      <w:pPr>
        <w:ind w:left="1701" w:right="1416" w:hanging="567"/>
        <w:rPr>
          <w:b/>
          <w:szCs w:val="22"/>
        </w:rPr>
      </w:pPr>
      <w:r>
        <w:rPr>
          <w:b/>
        </w:rPr>
        <w:t>B.</w:t>
      </w:r>
      <w:r>
        <w:rPr>
          <w:b/>
        </w:rPr>
        <w:tab/>
        <w:t>PODMÍNKY NEBO OMEZENÍ VÝDEJE A POUŽITÍ</w:t>
      </w:r>
    </w:p>
    <w:p w14:paraId="1E1A464F" w14:textId="77777777" w:rsidR="000A22A9" w:rsidRDefault="000A22A9">
      <w:pPr>
        <w:ind w:left="1701" w:right="1416" w:hanging="567"/>
        <w:jc w:val="both"/>
        <w:rPr>
          <w:b/>
          <w:szCs w:val="22"/>
        </w:rPr>
      </w:pPr>
    </w:p>
    <w:p w14:paraId="71080CB4" w14:textId="77777777" w:rsidR="000A22A9" w:rsidRDefault="003A2761">
      <w:pPr>
        <w:ind w:left="1701" w:right="1416" w:hanging="567"/>
        <w:rPr>
          <w:b/>
          <w:szCs w:val="22"/>
        </w:rPr>
      </w:pPr>
      <w:r>
        <w:rPr>
          <w:b/>
        </w:rPr>
        <w:t>C.</w:t>
      </w:r>
      <w:r>
        <w:rPr>
          <w:b/>
        </w:rPr>
        <w:tab/>
        <w:t>DALŠÍ PODMÍNKY A POŽADAVKY REGISTRACE</w:t>
      </w:r>
    </w:p>
    <w:p w14:paraId="5CDC4495" w14:textId="77777777" w:rsidR="000A22A9" w:rsidRDefault="000A22A9">
      <w:pPr>
        <w:pStyle w:val="TitleB"/>
        <w:keepNext/>
        <w:suppressLineNumbers w:val="0"/>
        <w:ind w:left="1560"/>
      </w:pPr>
    </w:p>
    <w:p w14:paraId="093FF740" w14:textId="77777777" w:rsidR="000A22A9" w:rsidRDefault="003A2761">
      <w:pPr>
        <w:tabs>
          <w:tab w:val="clear" w:pos="567"/>
          <w:tab w:val="left" w:pos="1701"/>
        </w:tabs>
        <w:ind w:left="1701" w:right="1274" w:hanging="567"/>
        <w:rPr>
          <w:b/>
          <w:bCs/>
          <w:szCs w:val="22"/>
        </w:rPr>
      </w:pPr>
      <w:r>
        <w:rPr>
          <w:b/>
        </w:rPr>
        <w:t>D.</w:t>
      </w:r>
      <w:r>
        <w:rPr>
          <w:b/>
        </w:rPr>
        <w:tab/>
        <w:t>PODMÍNKY NEBO OMEZENÍ S OHLEDEM NA BEZPEČNÉ A ÚČINNÉ POUŽÍVÁNÍ LÉČIVÉHO PŘÍPRAVKU</w:t>
      </w:r>
    </w:p>
    <w:p w14:paraId="75FD1409" w14:textId="77777777" w:rsidR="000A22A9" w:rsidRDefault="000A22A9">
      <w:pPr>
        <w:ind w:left="567" w:hanging="567"/>
        <w:rPr>
          <w:szCs w:val="22"/>
        </w:rPr>
      </w:pPr>
    </w:p>
    <w:p w14:paraId="08F6898B" w14:textId="77777777" w:rsidR="000A22A9" w:rsidRDefault="003A2761" w:rsidP="002F6ACF">
      <w:pPr>
        <w:pStyle w:val="TitleB"/>
        <w:keepNext/>
        <w:suppressLineNumbers w:val="0"/>
      </w:pPr>
      <w:r>
        <w:br w:type="page"/>
      </w:r>
      <w:r>
        <w:lastRenderedPageBreak/>
        <w:t>A.</w:t>
      </w:r>
      <w:r>
        <w:tab/>
        <w:t>VÝROBCI BIOLOGICKÉ LÉČIVÉ LÁTKY A VÝROBCI ODPOVĚDNÍ ZA PROPOUŠTĚNÍ ŠARŽÍ</w:t>
      </w:r>
    </w:p>
    <w:p w14:paraId="75075F1A" w14:textId="77777777" w:rsidR="000A22A9" w:rsidRDefault="000A22A9">
      <w:pPr>
        <w:keepNext/>
        <w:ind w:right="1416"/>
        <w:rPr>
          <w:szCs w:val="22"/>
        </w:rPr>
      </w:pPr>
    </w:p>
    <w:p w14:paraId="36D85ED5" w14:textId="36C8C3FA" w:rsidR="000A22A9" w:rsidRPr="008D3E5C" w:rsidRDefault="003A2761" w:rsidP="008D3E5C">
      <w:pPr>
        <w:pStyle w:val="Styleunderline"/>
      </w:pPr>
      <w:r>
        <w:t>Název a adresa výrobc</w:t>
      </w:r>
      <w:r w:rsidR="005E16F8">
        <w:t>e</w:t>
      </w:r>
      <w:r>
        <w:t xml:space="preserve"> biologické léčivé látky</w:t>
      </w:r>
    </w:p>
    <w:p w14:paraId="25BAEAEC" w14:textId="77777777" w:rsidR="000A22A9" w:rsidRDefault="000A22A9">
      <w:pPr>
        <w:keepNext/>
        <w:ind w:right="1416"/>
        <w:rPr>
          <w:szCs w:val="22"/>
        </w:rPr>
      </w:pPr>
    </w:p>
    <w:p w14:paraId="7C330861" w14:textId="605D294B" w:rsidR="003F6D37" w:rsidRPr="00CE3977" w:rsidRDefault="003F6D37" w:rsidP="00EA1154">
      <w:pPr>
        <w:tabs>
          <w:tab w:val="clear" w:pos="567"/>
        </w:tabs>
      </w:pPr>
      <w:r w:rsidRPr="00CE3977">
        <w:t xml:space="preserve">CELLTRION, Inc. </w:t>
      </w:r>
    </w:p>
    <w:p w14:paraId="4CD572B7" w14:textId="77777777" w:rsidR="003F6D37" w:rsidRPr="00CE3977" w:rsidRDefault="003F6D37" w:rsidP="003F6D37">
      <w:pPr>
        <w:keepNext/>
      </w:pPr>
      <w:r w:rsidRPr="00CE3977">
        <w:t>20, Academy-ro 51 beon-gil,</w:t>
      </w:r>
    </w:p>
    <w:p w14:paraId="339EAB86" w14:textId="77777777" w:rsidR="003F6D37" w:rsidRPr="00CE3977" w:rsidRDefault="003F6D37" w:rsidP="003F6D37">
      <w:pPr>
        <w:keepNext/>
      </w:pPr>
      <w:r w:rsidRPr="00CE3977">
        <w:t>Yeonsu-gu, Incheon, 22014</w:t>
      </w:r>
    </w:p>
    <w:p w14:paraId="405D5428" w14:textId="665EB4DF" w:rsidR="003F6D37" w:rsidRPr="005120B9" w:rsidRDefault="003F6D37" w:rsidP="008D3E5C">
      <w:pPr>
        <w:pStyle w:val="Styleunderline"/>
        <w:rPr>
          <w:u w:val="none"/>
        </w:rPr>
      </w:pPr>
      <w:r w:rsidRPr="005120B9">
        <w:rPr>
          <w:u w:val="none"/>
        </w:rPr>
        <w:t>Korejská republika</w:t>
      </w:r>
    </w:p>
    <w:p w14:paraId="580688C8" w14:textId="33C27D99" w:rsidR="000A22A9" w:rsidRDefault="000A22A9">
      <w:pPr>
        <w:rPr>
          <w:szCs w:val="22"/>
        </w:rPr>
      </w:pPr>
    </w:p>
    <w:p w14:paraId="0DBA352E" w14:textId="721187E2" w:rsidR="000A22A9" w:rsidRPr="008D3E5C" w:rsidRDefault="003A2761" w:rsidP="008D3E5C">
      <w:pPr>
        <w:pStyle w:val="Styleunderline"/>
      </w:pPr>
      <w:r>
        <w:t>Název a adresa výrobců odpovědných za propouštění šarží</w:t>
      </w:r>
    </w:p>
    <w:p w14:paraId="3B96D4FE" w14:textId="77777777" w:rsidR="000A22A9" w:rsidRDefault="000A22A9">
      <w:pPr>
        <w:keepNext/>
        <w:rPr>
          <w:szCs w:val="22"/>
        </w:rPr>
      </w:pPr>
    </w:p>
    <w:p w14:paraId="6D09EC83" w14:textId="77777777" w:rsidR="003F6D37" w:rsidRPr="00CE3977" w:rsidRDefault="003F6D37" w:rsidP="003F6D37">
      <w:pPr>
        <w:keepNext/>
      </w:pPr>
      <w:r w:rsidRPr="00CE3977">
        <w:t>Nuvisan France S.A.R.L</w:t>
      </w:r>
    </w:p>
    <w:p w14:paraId="30C3509B" w14:textId="77777777" w:rsidR="003F6D37" w:rsidRPr="00CE3977" w:rsidRDefault="003F6D37" w:rsidP="003F6D37">
      <w:pPr>
        <w:keepNext/>
      </w:pPr>
      <w:r w:rsidRPr="00CE3977">
        <w:t>2400 Route des Colles,</w:t>
      </w:r>
    </w:p>
    <w:p w14:paraId="4FF81D41" w14:textId="53EAC522" w:rsidR="003F6D37" w:rsidRPr="00CE3977" w:rsidRDefault="00B42D57" w:rsidP="003F6D37">
      <w:pPr>
        <w:keepNext/>
      </w:pPr>
      <w:ins w:id="15" w:author="만든 이">
        <w:r w:rsidRPr="00CE3977">
          <w:t>06410</w:t>
        </w:r>
        <w:r>
          <w:rPr>
            <w:rFonts w:eastAsia="맑은 고딕" w:hint="eastAsia"/>
            <w:lang w:eastAsia="ko-KR"/>
          </w:rPr>
          <w:t xml:space="preserve"> </w:t>
        </w:r>
      </w:ins>
      <w:r w:rsidR="003F6D37" w:rsidRPr="00CE3977">
        <w:t xml:space="preserve">Biot, </w:t>
      </w:r>
      <w:del w:id="16" w:author="만든 이">
        <w:r w:rsidR="003F6D37" w:rsidRPr="00CE3977" w:rsidDel="00B42D57">
          <w:delText>06410</w:delText>
        </w:r>
      </w:del>
    </w:p>
    <w:p w14:paraId="7C87235F" w14:textId="71278F0C" w:rsidR="003F6D37" w:rsidRPr="00CE3977" w:rsidRDefault="003F6D37" w:rsidP="003F6D37">
      <w:r w:rsidRPr="00CE3977">
        <w:t>Franc</w:t>
      </w:r>
      <w:r>
        <w:t>i</w:t>
      </w:r>
      <w:r w:rsidRPr="00CE3977">
        <w:t>e</w:t>
      </w:r>
    </w:p>
    <w:p w14:paraId="6764EEC4" w14:textId="77777777" w:rsidR="003F6D37" w:rsidRPr="00CE3977" w:rsidRDefault="003F6D37" w:rsidP="003F6D37"/>
    <w:p w14:paraId="2628CDC4" w14:textId="77777777" w:rsidR="003F6D37" w:rsidRPr="00CE3977" w:rsidRDefault="003F6D37" w:rsidP="003F6D37">
      <w:pPr>
        <w:keepNext/>
      </w:pPr>
      <w:r w:rsidRPr="00CE3977">
        <w:t>Midas Pharma GmbH</w:t>
      </w:r>
    </w:p>
    <w:p w14:paraId="066A95A6" w14:textId="77777777" w:rsidR="003F6D37" w:rsidRPr="00CE3977" w:rsidRDefault="003F6D37" w:rsidP="003F6D37">
      <w:pPr>
        <w:keepNext/>
      </w:pPr>
      <w:r w:rsidRPr="00CE3977">
        <w:t>Rheinstrasse 49, West,</w:t>
      </w:r>
    </w:p>
    <w:p w14:paraId="41FBB2AF" w14:textId="1AA76330" w:rsidR="003F6D37" w:rsidRPr="00CE3977" w:rsidRDefault="00B42D57" w:rsidP="003F6D37">
      <w:pPr>
        <w:keepNext/>
      </w:pPr>
      <w:ins w:id="17" w:author="만든 이">
        <w:r w:rsidRPr="00CE3977">
          <w:t>55218</w:t>
        </w:r>
        <w:r>
          <w:rPr>
            <w:rFonts w:eastAsia="맑은 고딕" w:hint="eastAsia"/>
            <w:lang w:eastAsia="ko-KR"/>
          </w:rPr>
          <w:t xml:space="preserve"> </w:t>
        </w:r>
      </w:ins>
      <w:r w:rsidR="003F6D37" w:rsidRPr="00CE3977">
        <w:t xml:space="preserve">Ingelheim Am Rhein, </w:t>
      </w:r>
    </w:p>
    <w:p w14:paraId="7002B1F2" w14:textId="101E956E" w:rsidR="003F6D37" w:rsidRPr="00CE3977" w:rsidRDefault="003F6D37" w:rsidP="003F6D37">
      <w:pPr>
        <w:keepNext/>
      </w:pPr>
      <w:r w:rsidRPr="00CE3977">
        <w:t xml:space="preserve">Rhineland-Palatinate, </w:t>
      </w:r>
      <w:del w:id="18" w:author="만든 이">
        <w:r w:rsidRPr="00CE3977" w:rsidDel="00B42D57">
          <w:delText>55218</w:delText>
        </w:r>
      </w:del>
    </w:p>
    <w:p w14:paraId="327190F8" w14:textId="2F489CDD" w:rsidR="003F6D37" w:rsidRPr="00CE3977" w:rsidRDefault="003F6D37" w:rsidP="003F6D37">
      <w:r>
        <w:t>Německo</w:t>
      </w:r>
    </w:p>
    <w:p w14:paraId="49D33DE7" w14:textId="77777777" w:rsidR="003F6D37" w:rsidRPr="00CE3977" w:rsidRDefault="003F6D37" w:rsidP="003F6D37"/>
    <w:p w14:paraId="47FAAF85" w14:textId="77777777" w:rsidR="003F6D37" w:rsidRPr="00CE3977" w:rsidRDefault="003F6D37" w:rsidP="003F6D37">
      <w:pPr>
        <w:keepNext/>
      </w:pPr>
      <w:r w:rsidRPr="00CE3977">
        <w:t>Kymos S.L.</w:t>
      </w:r>
    </w:p>
    <w:p w14:paraId="772C4AAB" w14:textId="77777777" w:rsidR="003F6D37" w:rsidRPr="00CE3977" w:rsidRDefault="003F6D37" w:rsidP="003F6D37">
      <w:pPr>
        <w:keepNext/>
      </w:pPr>
      <w:r w:rsidRPr="00CE3977">
        <w:t>Ronda de Can Fatjó, 7B</w:t>
      </w:r>
    </w:p>
    <w:p w14:paraId="79397BA7" w14:textId="77777777" w:rsidR="003F6D37" w:rsidRPr="00CE3977" w:rsidRDefault="003F6D37" w:rsidP="003F6D37">
      <w:pPr>
        <w:keepNext/>
      </w:pPr>
      <w:r w:rsidRPr="00CE3977">
        <w:t>Parc Tecnològic del Vallès,</w:t>
      </w:r>
    </w:p>
    <w:p w14:paraId="2D49A77C" w14:textId="77777777" w:rsidR="003F6D37" w:rsidRPr="00CE3977" w:rsidRDefault="003F6D37" w:rsidP="003F6D37">
      <w:pPr>
        <w:keepNext/>
      </w:pPr>
      <w:r w:rsidRPr="00CE3977">
        <w:t>Cerdanyola del Vallès,</w:t>
      </w:r>
    </w:p>
    <w:p w14:paraId="7DAB1696" w14:textId="690A88A7" w:rsidR="003F6D37" w:rsidRPr="00CE3977" w:rsidRDefault="00B42D57" w:rsidP="003F6D37">
      <w:pPr>
        <w:keepNext/>
      </w:pPr>
      <w:ins w:id="19" w:author="만든 이">
        <w:r w:rsidRPr="00CE3977">
          <w:t>08290</w:t>
        </w:r>
        <w:r>
          <w:rPr>
            <w:rFonts w:eastAsia="맑은 고딕" w:hint="eastAsia"/>
            <w:lang w:eastAsia="ko-KR"/>
          </w:rPr>
          <w:t xml:space="preserve"> </w:t>
        </w:r>
      </w:ins>
      <w:r w:rsidR="003F6D37" w:rsidRPr="00CE3977">
        <w:t xml:space="preserve">Barcelona, </w:t>
      </w:r>
      <w:del w:id="20" w:author="만든 이">
        <w:r w:rsidR="003F6D37" w:rsidRPr="00CE3977" w:rsidDel="00B42D57">
          <w:delText>08290</w:delText>
        </w:r>
      </w:del>
    </w:p>
    <w:p w14:paraId="278E70D4" w14:textId="0645F080" w:rsidR="003F6D37" w:rsidRPr="00CE3977" w:rsidRDefault="003F6D37" w:rsidP="003F6D37">
      <w:r>
        <w:t>Španělsko</w:t>
      </w:r>
      <w:r w:rsidRPr="00CE3977" w:rsidDel="001A3746">
        <w:t xml:space="preserve"> </w:t>
      </w:r>
    </w:p>
    <w:p w14:paraId="35A76E15" w14:textId="77777777" w:rsidR="000A22A9" w:rsidRDefault="000A22A9">
      <w:pPr>
        <w:pStyle w:val="NormalAgency"/>
        <w:rPr>
          <w:rFonts w:ascii="Times New Roman" w:hAnsi="Times New Roman" w:cs="Times New Roman"/>
          <w:sz w:val="22"/>
          <w:szCs w:val="22"/>
          <w:lang w:val="nl-NL"/>
        </w:rPr>
      </w:pPr>
    </w:p>
    <w:p w14:paraId="7336FB59" w14:textId="77777777" w:rsidR="000A22A9" w:rsidRDefault="003A2761">
      <w:pPr>
        <w:pStyle w:val="NormalAgency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/>
          <w:sz w:val="22"/>
        </w:rPr>
        <w:t>V příbalové informaci k léčivému přípravku musí být uveden název a adresa výrobce odpovědného za propouštění dané šarže.</w:t>
      </w:r>
    </w:p>
    <w:p w14:paraId="1F557414" w14:textId="77777777" w:rsidR="000A22A9" w:rsidRDefault="000A22A9">
      <w:pPr>
        <w:rPr>
          <w:szCs w:val="22"/>
        </w:rPr>
      </w:pPr>
    </w:p>
    <w:p w14:paraId="2C52E8BA" w14:textId="77777777" w:rsidR="000A22A9" w:rsidRDefault="000A22A9">
      <w:pPr>
        <w:rPr>
          <w:szCs w:val="22"/>
        </w:rPr>
      </w:pPr>
    </w:p>
    <w:p w14:paraId="03B6E9A9" w14:textId="77777777" w:rsidR="000A22A9" w:rsidRDefault="003A2761">
      <w:pPr>
        <w:pStyle w:val="TitleB"/>
        <w:keepNext/>
        <w:suppressLineNumbers w:val="0"/>
      </w:pPr>
      <w:r>
        <w:t>B.</w:t>
      </w:r>
      <w:r>
        <w:tab/>
        <w:t>PODMÍNKY NEBO OMEZENÍ VÝDEJE A POUŽITÍ</w:t>
      </w:r>
    </w:p>
    <w:p w14:paraId="1B2EB3D1" w14:textId="77777777" w:rsidR="000A22A9" w:rsidRDefault="000A22A9">
      <w:pPr>
        <w:keepNext/>
        <w:rPr>
          <w:szCs w:val="22"/>
        </w:rPr>
      </w:pPr>
    </w:p>
    <w:p w14:paraId="69B50DF9" w14:textId="77777777" w:rsidR="000A22A9" w:rsidRDefault="003A2761">
      <w:pPr>
        <w:numPr>
          <w:ilvl w:val="12"/>
          <w:numId w:val="0"/>
        </w:numPr>
        <w:rPr>
          <w:szCs w:val="22"/>
        </w:rPr>
      </w:pPr>
      <w:r>
        <w:t>Výdej léčivého přípravku je vázán na lékařský předpis s omezením (viz příloha I: Souhrn údajů o přípravku, bod 4.2).</w:t>
      </w:r>
    </w:p>
    <w:p w14:paraId="61E5FA5F" w14:textId="77777777" w:rsidR="000A22A9" w:rsidRDefault="000A22A9">
      <w:pPr>
        <w:numPr>
          <w:ilvl w:val="12"/>
          <w:numId w:val="0"/>
        </w:numPr>
        <w:rPr>
          <w:szCs w:val="22"/>
        </w:rPr>
      </w:pPr>
    </w:p>
    <w:p w14:paraId="4EC30473" w14:textId="77777777" w:rsidR="000A22A9" w:rsidRDefault="000A22A9">
      <w:pPr>
        <w:numPr>
          <w:ilvl w:val="12"/>
          <w:numId w:val="0"/>
        </w:numPr>
        <w:rPr>
          <w:szCs w:val="22"/>
        </w:rPr>
      </w:pPr>
    </w:p>
    <w:p w14:paraId="2A8E85DF" w14:textId="77777777" w:rsidR="000A22A9" w:rsidRDefault="003A2761">
      <w:pPr>
        <w:pStyle w:val="TitleB"/>
        <w:keepNext/>
        <w:suppressLineNumbers w:val="0"/>
      </w:pPr>
      <w:r>
        <w:t>C.</w:t>
      </w:r>
      <w:r>
        <w:tab/>
        <w:t>DALŠÍ PODMÍNKY A POŽADAVKY REGISTRACE</w:t>
      </w:r>
    </w:p>
    <w:p w14:paraId="38B28A8A" w14:textId="77777777" w:rsidR="000A22A9" w:rsidRDefault="000A22A9">
      <w:pPr>
        <w:keepNext/>
        <w:ind w:right="-1"/>
        <w:rPr>
          <w:iCs/>
          <w:szCs w:val="22"/>
          <w:u w:val="single"/>
        </w:rPr>
      </w:pPr>
    </w:p>
    <w:p w14:paraId="34799165" w14:textId="77777777" w:rsidR="000A22A9" w:rsidRDefault="003A2761">
      <w:pPr>
        <w:keepNext/>
        <w:numPr>
          <w:ilvl w:val="0"/>
          <w:numId w:val="19"/>
        </w:numPr>
        <w:tabs>
          <w:tab w:val="clear" w:pos="567"/>
          <w:tab w:val="clear" w:pos="720"/>
        </w:tabs>
        <w:ind w:left="567" w:right="-1" w:hanging="567"/>
        <w:rPr>
          <w:b/>
          <w:szCs w:val="22"/>
        </w:rPr>
      </w:pPr>
      <w:r>
        <w:rPr>
          <w:b/>
        </w:rPr>
        <w:t>Pravidelně aktualizované zprávy o bezpečnosti (PSUR)</w:t>
      </w:r>
    </w:p>
    <w:p w14:paraId="36CBB18C" w14:textId="77777777" w:rsidR="000A22A9" w:rsidRDefault="000A22A9">
      <w:pPr>
        <w:keepNext/>
        <w:tabs>
          <w:tab w:val="left" w:pos="0"/>
        </w:tabs>
        <w:ind w:right="567"/>
      </w:pPr>
    </w:p>
    <w:p w14:paraId="3F672A3E" w14:textId="77777777" w:rsidR="000A22A9" w:rsidRDefault="003A2761">
      <w:r>
        <w:t>Požadavky pro předkládání PSUR pro tento léčivý přípravek jsou uvedeny v seznamu referenčních dat Unie (seznam EURD) stanoveném v čl. 107c odst. 7 směrnice 2001/83/ES a jakékoli následné změny jsou zveřejněny na evropském webovém portálu pro léčivé přípravky.</w:t>
      </w:r>
    </w:p>
    <w:p w14:paraId="73CC52F4" w14:textId="77777777" w:rsidR="000A22A9" w:rsidRDefault="000A22A9">
      <w:pPr>
        <w:pStyle w:val="Default"/>
        <w:rPr>
          <w:iCs/>
          <w:color w:val="auto"/>
          <w:sz w:val="22"/>
          <w:szCs w:val="22"/>
        </w:rPr>
      </w:pPr>
    </w:p>
    <w:p w14:paraId="009750F5" w14:textId="77777777" w:rsidR="000A22A9" w:rsidRDefault="000A22A9">
      <w:pPr>
        <w:pStyle w:val="Default"/>
        <w:rPr>
          <w:iCs/>
          <w:color w:val="auto"/>
          <w:sz w:val="22"/>
          <w:szCs w:val="22"/>
        </w:rPr>
      </w:pPr>
    </w:p>
    <w:p w14:paraId="48097349" w14:textId="77777777" w:rsidR="000A22A9" w:rsidRDefault="003A2761">
      <w:pPr>
        <w:pStyle w:val="TitleB"/>
        <w:keepNext/>
        <w:suppressLineNumbers w:val="0"/>
      </w:pPr>
      <w:r>
        <w:t>D.</w:t>
      </w:r>
      <w:r>
        <w:tab/>
        <w:t>PODMÍNKY NEBO OMEZENÍ S OHLEDEM NA BEZPEČNÉ A ÚČINNÉ POUŽÍVÁNÍ LÉČIVÉHO PŘÍPRAVKU</w:t>
      </w:r>
    </w:p>
    <w:p w14:paraId="2D989EC6" w14:textId="77777777" w:rsidR="000A22A9" w:rsidRDefault="000A22A9">
      <w:pPr>
        <w:keepNext/>
        <w:ind w:right="-1"/>
        <w:rPr>
          <w:iCs/>
          <w:szCs w:val="22"/>
          <w:u w:val="single"/>
        </w:rPr>
      </w:pPr>
    </w:p>
    <w:p w14:paraId="530FDC68" w14:textId="77777777" w:rsidR="000A22A9" w:rsidRDefault="003A2761">
      <w:pPr>
        <w:keepNext/>
        <w:numPr>
          <w:ilvl w:val="0"/>
          <w:numId w:val="19"/>
        </w:numPr>
        <w:tabs>
          <w:tab w:val="clear" w:pos="567"/>
          <w:tab w:val="clear" w:pos="720"/>
        </w:tabs>
        <w:ind w:left="567" w:right="-1" w:hanging="567"/>
        <w:rPr>
          <w:b/>
          <w:szCs w:val="22"/>
        </w:rPr>
      </w:pPr>
      <w:r>
        <w:rPr>
          <w:b/>
        </w:rPr>
        <w:t>Plán řízení rizik (RMP)</w:t>
      </w:r>
    </w:p>
    <w:p w14:paraId="228770C1" w14:textId="77777777" w:rsidR="000A22A9" w:rsidRDefault="000A22A9">
      <w:pPr>
        <w:keepNext/>
        <w:rPr>
          <w:b/>
          <w:szCs w:val="22"/>
        </w:rPr>
      </w:pPr>
    </w:p>
    <w:p w14:paraId="40FD4FF7" w14:textId="77777777" w:rsidR="000A22A9" w:rsidRDefault="003A2761">
      <w:pPr>
        <w:tabs>
          <w:tab w:val="left" w:pos="0"/>
        </w:tabs>
        <w:rPr>
          <w:szCs w:val="22"/>
        </w:rPr>
      </w:pPr>
      <w:r>
        <w:t>Držitel rozhodnutí o registraci (MAH) uskuteční požadované činnosti a intervence v oblasti farmakovigilance podrobně popsané ve schváleném RMP uvedeném v modulu 1.8.2 registrace a ve veškerých schválených následných aktualizacích RMP.</w:t>
      </w:r>
    </w:p>
    <w:p w14:paraId="50F184E1" w14:textId="77777777" w:rsidR="000A22A9" w:rsidRDefault="000A22A9">
      <w:pPr>
        <w:ind w:right="-1"/>
        <w:rPr>
          <w:iCs/>
          <w:szCs w:val="22"/>
        </w:rPr>
      </w:pPr>
    </w:p>
    <w:p w14:paraId="5C8396E2" w14:textId="77777777" w:rsidR="000A22A9" w:rsidRDefault="003A2761">
      <w:pPr>
        <w:keepNext/>
        <w:rPr>
          <w:iCs/>
          <w:szCs w:val="22"/>
        </w:rPr>
      </w:pPr>
      <w:r>
        <w:t>Aktualizovaný RMP je třeba předložit:</w:t>
      </w:r>
    </w:p>
    <w:p w14:paraId="3F405290" w14:textId="77777777" w:rsidR="000A22A9" w:rsidRDefault="003A2761">
      <w:pPr>
        <w:keepNext/>
        <w:numPr>
          <w:ilvl w:val="0"/>
          <w:numId w:val="18"/>
        </w:numPr>
        <w:tabs>
          <w:tab w:val="clear" w:pos="720"/>
          <w:tab w:val="num" w:pos="567"/>
        </w:tabs>
        <w:ind w:left="567" w:right="-1" w:hanging="567"/>
        <w:rPr>
          <w:iCs/>
          <w:szCs w:val="22"/>
        </w:rPr>
      </w:pPr>
      <w:r>
        <w:t>na žádost Evropské agentury pro léčivé přípravky,</w:t>
      </w:r>
    </w:p>
    <w:p w14:paraId="21AC3ED3" w14:textId="77777777" w:rsidR="000A22A9" w:rsidRDefault="003A2761">
      <w:pPr>
        <w:numPr>
          <w:ilvl w:val="0"/>
          <w:numId w:val="18"/>
        </w:numPr>
        <w:tabs>
          <w:tab w:val="clear" w:pos="720"/>
          <w:tab w:val="num" w:pos="567"/>
        </w:tabs>
        <w:ind w:left="567" w:right="-1" w:hanging="567"/>
        <w:rPr>
          <w:iCs/>
          <w:szCs w:val="22"/>
        </w:rPr>
      </w:pPr>
      <w:r>
        <w:t>při každé změně systému řízení rizik, zejména v důsledku obdržení nových informací, které mohou vést k významným změnám poměru přínosů a rizik, nebo z důvodu dosažení význačného milníku (v rámci farmakovigilance nebo minimalizace rizik).</w:t>
      </w:r>
    </w:p>
    <w:p w14:paraId="67F2D654" w14:textId="77777777" w:rsidR="000A22A9" w:rsidRDefault="000A22A9">
      <w:pPr>
        <w:ind w:right="-1"/>
        <w:rPr>
          <w:iCs/>
          <w:szCs w:val="22"/>
        </w:rPr>
      </w:pPr>
    </w:p>
    <w:p w14:paraId="6A153EC3" w14:textId="77777777" w:rsidR="000A22A9" w:rsidRDefault="003A2761">
      <w:pPr>
        <w:keepNext/>
        <w:numPr>
          <w:ilvl w:val="0"/>
          <w:numId w:val="22"/>
        </w:numPr>
        <w:ind w:left="567" w:hanging="567"/>
        <w:rPr>
          <w:b/>
        </w:rPr>
      </w:pPr>
      <w:r>
        <w:rPr>
          <w:b/>
        </w:rPr>
        <w:t>Další opatření k minimalizaci rizik</w:t>
      </w:r>
    </w:p>
    <w:p w14:paraId="4C15AE68" w14:textId="77777777" w:rsidR="000A22A9" w:rsidRDefault="000A22A9" w:rsidP="002F6ACF">
      <w:pPr>
        <w:keepNext/>
        <w:rPr>
          <w:b/>
        </w:rPr>
      </w:pPr>
    </w:p>
    <w:p w14:paraId="76D0B760" w14:textId="4B4AB1E2" w:rsidR="000A22A9" w:rsidRDefault="003A2761">
      <w:r>
        <w:t>Držitel rozhodnutí o registraci zajistí zavedení karty pacienta týkající se osteonekrózy čelisti.</w:t>
      </w:r>
    </w:p>
    <w:p w14:paraId="4017D7C9" w14:textId="77777777" w:rsidR="000A22A9" w:rsidRDefault="003A2761">
      <w:pPr>
        <w:tabs>
          <w:tab w:val="clear" w:pos="567"/>
        </w:tabs>
      </w:pPr>
      <w:r>
        <w:br w:type="page"/>
      </w:r>
    </w:p>
    <w:p w14:paraId="6DBE01E0" w14:textId="77777777" w:rsidR="000A22A9" w:rsidRDefault="000A22A9">
      <w:pPr>
        <w:tabs>
          <w:tab w:val="clear" w:pos="567"/>
        </w:tabs>
      </w:pPr>
    </w:p>
    <w:p w14:paraId="2D5ACFA2" w14:textId="77777777" w:rsidR="000A22A9" w:rsidRDefault="000A22A9">
      <w:pPr>
        <w:tabs>
          <w:tab w:val="clear" w:pos="567"/>
        </w:tabs>
      </w:pPr>
    </w:p>
    <w:p w14:paraId="0FDC4B01" w14:textId="77777777" w:rsidR="000A22A9" w:rsidRDefault="000A22A9">
      <w:pPr>
        <w:tabs>
          <w:tab w:val="clear" w:pos="567"/>
        </w:tabs>
      </w:pPr>
    </w:p>
    <w:p w14:paraId="11360DFA" w14:textId="77777777" w:rsidR="000A22A9" w:rsidRDefault="000A22A9">
      <w:pPr>
        <w:tabs>
          <w:tab w:val="clear" w:pos="567"/>
        </w:tabs>
      </w:pPr>
    </w:p>
    <w:p w14:paraId="61C2F487" w14:textId="77777777" w:rsidR="000A22A9" w:rsidRDefault="000A22A9">
      <w:pPr>
        <w:tabs>
          <w:tab w:val="clear" w:pos="567"/>
        </w:tabs>
      </w:pPr>
    </w:p>
    <w:p w14:paraId="0F2BCE8A" w14:textId="77777777" w:rsidR="000A22A9" w:rsidRDefault="000A22A9">
      <w:pPr>
        <w:tabs>
          <w:tab w:val="clear" w:pos="567"/>
        </w:tabs>
      </w:pPr>
    </w:p>
    <w:p w14:paraId="1E9F4267" w14:textId="77777777" w:rsidR="000A22A9" w:rsidRDefault="000A22A9">
      <w:pPr>
        <w:tabs>
          <w:tab w:val="clear" w:pos="567"/>
        </w:tabs>
      </w:pPr>
    </w:p>
    <w:p w14:paraId="5EC31AB8" w14:textId="77777777" w:rsidR="000A22A9" w:rsidRDefault="000A22A9">
      <w:pPr>
        <w:tabs>
          <w:tab w:val="clear" w:pos="567"/>
        </w:tabs>
      </w:pPr>
    </w:p>
    <w:p w14:paraId="7DE4F29C" w14:textId="77777777" w:rsidR="000A22A9" w:rsidRDefault="000A22A9">
      <w:pPr>
        <w:tabs>
          <w:tab w:val="clear" w:pos="567"/>
        </w:tabs>
      </w:pPr>
    </w:p>
    <w:p w14:paraId="533C4ED8" w14:textId="77777777" w:rsidR="000A22A9" w:rsidRDefault="000A22A9">
      <w:pPr>
        <w:tabs>
          <w:tab w:val="clear" w:pos="567"/>
        </w:tabs>
      </w:pPr>
    </w:p>
    <w:p w14:paraId="4BA99E31" w14:textId="77777777" w:rsidR="000A22A9" w:rsidRDefault="000A22A9">
      <w:pPr>
        <w:tabs>
          <w:tab w:val="clear" w:pos="567"/>
        </w:tabs>
      </w:pPr>
    </w:p>
    <w:p w14:paraId="4526A2F4" w14:textId="77777777" w:rsidR="000A22A9" w:rsidRDefault="000A22A9">
      <w:pPr>
        <w:tabs>
          <w:tab w:val="clear" w:pos="567"/>
        </w:tabs>
      </w:pPr>
    </w:p>
    <w:p w14:paraId="76464CB8" w14:textId="77777777" w:rsidR="000A22A9" w:rsidRDefault="000A22A9">
      <w:pPr>
        <w:tabs>
          <w:tab w:val="clear" w:pos="567"/>
        </w:tabs>
      </w:pPr>
    </w:p>
    <w:p w14:paraId="01FA2622" w14:textId="77777777" w:rsidR="000A22A9" w:rsidRDefault="000A22A9">
      <w:pPr>
        <w:tabs>
          <w:tab w:val="clear" w:pos="567"/>
        </w:tabs>
      </w:pPr>
    </w:p>
    <w:p w14:paraId="7495A06B" w14:textId="77777777" w:rsidR="000A22A9" w:rsidRDefault="000A22A9">
      <w:pPr>
        <w:tabs>
          <w:tab w:val="clear" w:pos="567"/>
        </w:tabs>
      </w:pPr>
    </w:p>
    <w:p w14:paraId="2B382050" w14:textId="77777777" w:rsidR="000A22A9" w:rsidRDefault="000A22A9">
      <w:pPr>
        <w:tabs>
          <w:tab w:val="clear" w:pos="567"/>
        </w:tabs>
      </w:pPr>
    </w:p>
    <w:p w14:paraId="233C55C9" w14:textId="77777777" w:rsidR="000A22A9" w:rsidRDefault="000A22A9">
      <w:pPr>
        <w:tabs>
          <w:tab w:val="clear" w:pos="567"/>
        </w:tabs>
      </w:pPr>
    </w:p>
    <w:p w14:paraId="5CB3C6C0" w14:textId="77777777" w:rsidR="000A22A9" w:rsidRDefault="000A22A9">
      <w:pPr>
        <w:tabs>
          <w:tab w:val="clear" w:pos="567"/>
        </w:tabs>
      </w:pPr>
    </w:p>
    <w:p w14:paraId="77DC9F92" w14:textId="77777777" w:rsidR="000A22A9" w:rsidRDefault="000A22A9">
      <w:pPr>
        <w:tabs>
          <w:tab w:val="clear" w:pos="567"/>
        </w:tabs>
      </w:pPr>
    </w:p>
    <w:p w14:paraId="65E28C7D" w14:textId="77777777" w:rsidR="000A22A9" w:rsidRDefault="000A22A9">
      <w:pPr>
        <w:tabs>
          <w:tab w:val="clear" w:pos="567"/>
        </w:tabs>
      </w:pPr>
    </w:p>
    <w:p w14:paraId="3F347958" w14:textId="77777777" w:rsidR="000A22A9" w:rsidRDefault="000A22A9">
      <w:pPr>
        <w:tabs>
          <w:tab w:val="clear" w:pos="567"/>
        </w:tabs>
      </w:pPr>
    </w:p>
    <w:p w14:paraId="5B1FE7F4" w14:textId="77777777" w:rsidR="000A22A9" w:rsidRDefault="000A22A9">
      <w:pPr>
        <w:tabs>
          <w:tab w:val="clear" w:pos="567"/>
        </w:tabs>
        <w:jc w:val="center"/>
        <w:outlineLvl w:val="0"/>
        <w:rPr>
          <w:b/>
        </w:rPr>
      </w:pPr>
    </w:p>
    <w:p w14:paraId="72126450" w14:textId="580A9812" w:rsidR="000A22A9" w:rsidRPr="00494435" w:rsidRDefault="003A2761" w:rsidP="00494435">
      <w:pPr>
        <w:pStyle w:val="Stylebold"/>
        <w:keepNext/>
        <w:jc w:val="center"/>
      </w:pPr>
      <w:r>
        <w:t>PŘÍLOHA III</w:t>
      </w:r>
    </w:p>
    <w:p w14:paraId="469F47C0" w14:textId="77777777" w:rsidR="000A22A9" w:rsidRPr="00494435" w:rsidRDefault="000A22A9" w:rsidP="00494435">
      <w:pPr>
        <w:pStyle w:val="Stylebold"/>
        <w:keepNext/>
        <w:jc w:val="center"/>
      </w:pPr>
    </w:p>
    <w:p w14:paraId="67905FCC" w14:textId="2978CB7F" w:rsidR="000A22A9" w:rsidRPr="00494435" w:rsidRDefault="003A2761" w:rsidP="00494435">
      <w:pPr>
        <w:pStyle w:val="Stylebold"/>
        <w:keepNext/>
        <w:jc w:val="center"/>
      </w:pPr>
      <w:r>
        <w:t>OZNAČENÍ NA OBALU A PŘÍBALOVÁ INFORMACE</w:t>
      </w:r>
    </w:p>
    <w:p w14:paraId="28B80727" w14:textId="77777777" w:rsidR="000A22A9" w:rsidRDefault="003A2761">
      <w:pPr>
        <w:tabs>
          <w:tab w:val="clear" w:pos="567"/>
        </w:tabs>
      </w:pPr>
      <w:r>
        <w:br w:type="page"/>
      </w:r>
    </w:p>
    <w:p w14:paraId="36F7282E" w14:textId="77777777" w:rsidR="000A22A9" w:rsidRDefault="000A22A9">
      <w:pPr>
        <w:tabs>
          <w:tab w:val="clear" w:pos="567"/>
        </w:tabs>
      </w:pPr>
    </w:p>
    <w:p w14:paraId="42CD2B5A" w14:textId="77777777" w:rsidR="000A22A9" w:rsidRDefault="000A22A9">
      <w:pPr>
        <w:tabs>
          <w:tab w:val="clear" w:pos="567"/>
        </w:tabs>
      </w:pPr>
    </w:p>
    <w:p w14:paraId="5404EFD7" w14:textId="77777777" w:rsidR="000A22A9" w:rsidRDefault="000A22A9">
      <w:pPr>
        <w:tabs>
          <w:tab w:val="clear" w:pos="567"/>
        </w:tabs>
      </w:pPr>
    </w:p>
    <w:p w14:paraId="5C71E445" w14:textId="77777777" w:rsidR="000A22A9" w:rsidRDefault="000A22A9">
      <w:pPr>
        <w:tabs>
          <w:tab w:val="clear" w:pos="567"/>
        </w:tabs>
      </w:pPr>
    </w:p>
    <w:p w14:paraId="184F0AC1" w14:textId="77777777" w:rsidR="000A22A9" w:rsidRDefault="000A22A9">
      <w:pPr>
        <w:tabs>
          <w:tab w:val="clear" w:pos="567"/>
        </w:tabs>
      </w:pPr>
    </w:p>
    <w:p w14:paraId="2B5C3FDE" w14:textId="77777777" w:rsidR="000A22A9" w:rsidRDefault="000A22A9">
      <w:pPr>
        <w:tabs>
          <w:tab w:val="clear" w:pos="567"/>
        </w:tabs>
      </w:pPr>
    </w:p>
    <w:p w14:paraId="0D0AF281" w14:textId="77777777" w:rsidR="000A22A9" w:rsidRDefault="000A22A9">
      <w:pPr>
        <w:tabs>
          <w:tab w:val="clear" w:pos="567"/>
        </w:tabs>
      </w:pPr>
    </w:p>
    <w:p w14:paraId="780603F2" w14:textId="77777777" w:rsidR="000A22A9" w:rsidRDefault="000A22A9">
      <w:pPr>
        <w:tabs>
          <w:tab w:val="clear" w:pos="567"/>
        </w:tabs>
      </w:pPr>
    </w:p>
    <w:p w14:paraId="19D246E3" w14:textId="77777777" w:rsidR="000A22A9" w:rsidRDefault="000A22A9">
      <w:pPr>
        <w:tabs>
          <w:tab w:val="clear" w:pos="567"/>
        </w:tabs>
      </w:pPr>
    </w:p>
    <w:p w14:paraId="32F64290" w14:textId="77777777" w:rsidR="000A22A9" w:rsidRDefault="000A22A9">
      <w:pPr>
        <w:tabs>
          <w:tab w:val="clear" w:pos="567"/>
        </w:tabs>
      </w:pPr>
    </w:p>
    <w:p w14:paraId="2C646ED2" w14:textId="77777777" w:rsidR="000A22A9" w:rsidRDefault="000A22A9">
      <w:pPr>
        <w:tabs>
          <w:tab w:val="clear" w:pos="567"/>
        </w:tabs>
      </w:pPr>
    </w:p>
    <w:p w14:paraId="23FC4655" w14:textId="77777777" w:rsidR="000A22A9" w:rsidRDefault="000A22A9">
      <w:pPr>
        <w:tabs>
          <w:tab w:val="clear" w:pos="567"/>
        </w:tabs>
      </w:pPr>
    </w:p>
    <w:p w14:paraId="2022EEC4" w14:textId="77777777" w:rsidR="000A22A9" w:rsidRDefault="000A22A9">
      <w:pPr>
        <w:tabs>
          <w:tab w:val="clear" w:pos="567"/>
        </w:tabs>
      </w:pPr>
    </w:p>
    <w:p w14:paraId="772E9E68" w14:textId="77777777" w:rsidR="000A22A9" w:rsidRDefault="000A22A9">
      <w:pPr>
        <w:tabs>
          <w:tab w:val="clear" w:pos="567"/>
        </w:tabs>
      </w:pPr>
    </w:p>
    <w:p w14:paraId="527FE761" w14:textId="77777777" w:rsidR="000A22A9" w:rsidRDefault="000A22A9">
      <w:pPr>
        <w:tabs>
          <w:tab w:val="clear" w:pos="567"/>
        </w:tabs>
      </w:pPr>
    </w:p>
    <w:p w14:paraId="0FDC47C9" w14:textId="77777777" w:rsidR="000A22A9" w:rsidRDefault="000A22A9">
      <w:pPr>
        <w:tabs>
          <w:tab w:val="clear" w:pos="567"/>
        </w:tabs>
      </w:pPr>
    </w:p>
    <w:p w14:paraId="10BAB1CE" w14:textId="77777777" w:rsidR="000A22A9" w:rsidRDefault="000A22A9">
      <w:pPr>
        <w:tabs>
          <w:tab w:val="clear" w:pos="567"/>
        </w:tabs>
      </w:pPr>
    </w:p>
    <w:p w14:paraId="6543DFC2" w14:textId="77777777" w:rsidR="000A22A9" w:rsidRDefault="000A22A9">
      <w:pPr>
        <w:tabs>
          <w:tab w:val="clear" w:pos="567"/>
        </w:tabs>
      </w:pPr>
    </w:p>
    <w:p w14:paraId="77EC10F5" w14:textId="77777777" w:rsidR="000A22A9" w:rsidRDefault="000A22A9">
      <w:pPr>
        <w:tabs>
          <w:tab w:val="clear" w:pos="567"/>
        </w:tabs>
      </w:pPr>
    </w:p>
    <w:p w14:paraId="36536E08" w14:textId="77777777" w:rsidR="000A22A9" w:rsidRDefault="000A22A9">
      <w:pPr>
        <w:tabs>
          <w:tab w:val="clear" w:pos="567"/>
        </w:tabs>
      </w:pPr>
    </w:p>
    <w:p w14:paraId="39B0F974" w14:textId="77777777" w:rsidR="000A22A9" w:rsidRDefault="000A22A9">
      <w:pPr>
        <w:tabs>
          <w:tab w:val="clear" w:pos="567"/>
        </w:tabs>
      </w:pPr>
    </w:p>
    <w:p w14:paraId="555EBB18" w14:textId="77777777" w:rsidR="000A22A9" w:rsidRDefault="000A22A9">
      <w:pPr>
        <w:tabs>
          <w:tab w:val="clear" w:pos="567"/>
        </w:tabs>
      </w:pPr>
    </w:p>
    <w:p w14:paraId="2E3C6D66" w14:textId="455B51CE" w:rsidR="000A22A9" w:rsidRDefault="003A2761" w:rsidP="002F6ACF">
      <w:pPr>
        <w:pStyle w:val="TitleA"/>
        <w:keepNext/>
      </w:pPr>
      <w:r>
        <w:t>A. OZNAČENÍ NA OBALU</w:t>
      </w:r>
    </w:p>
    <w:p w14:paraId="5F3DA830" w14:textId="77777777" w:rsidR="000A22A9" w:rsidRDefault="003A2761" w:rsidP="002F6A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clear" w:pos="567"/>
        </w:tabs>
        <w:rPr>
          <w:b/>
        </w:rPr>
      </w:pPr>
      <w:r>
        <w:br w:type="page"/>
      </w:r>
      <w:r>
        <w:rPr>
          <w:b/>
        </w:rPr>
        <w:lastRenderedPageBreak/>
        <w:t>ÚDAJE UVÁDĚNÉ NA VNĚJŠÍM OBALU</w:t>
      </w:r>
    </w:p>
    <w:p w14:paraId="5B6A13E0" w14:textId="77777777" w:rsidR="000A22A9" w:rsidRDefault="000A22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</w:rPr>
      </w:pPr>
    </w:p>
    <w:p w14:paraId="50031628" w14:textId="0B96FC54" w:rsidR="000A22A9" w:rsidRDefault="00C235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</w:rPr>
      </w:pPr>
      <w:r>
        <w:rPr>
          <w:b/>
        </w:rPr>
        <w:t xml:space="preserve">KRABIČKA </w:t>
      </w:r>
      <w:r w:rsidR="003F6D37">
        <w:rPr>
          <w:b/>
        </w:rPr>
        <w:t xml:space="preserve">NA </w:t>
      </w:r>
      <w:r>
        <w:rPr>
          <w:b/>
        </w:rPr>
        <w:t>INJEKČNÍ LAHVIČK</w:t>
      </w:r>
      <w:r w:rsidR="003F6D37">
        <w:rPr>
          <w:b/>
        </w:rPr>
        <w:t>U</w:t>
      </w:r>
    </w:p>
    <w:p w14:paraId="238569BF" w14:textId="77777777" w:rsidR="000A22A9" w:rsidRDefault="000A22A9">
      <w:pPr>
        <w:keepNext/>
        <w:tabs>
          <w:tab w:val="clear" w:pos="567"/>
        </w:tabs>
      </w:pPr>
    </w:p>
    <w:p w14:paraId="5036959C" w14:textId="77777777" w:rsidR="000A22A9" w:rsidRDefault="000A22A9">
      <w:pPr>
        <w:tabs>
          <w:tab w:val="clear" w:pos="567"/>
        </w:tabs>
      </w:pPr>
    </w:p>
    <w:p w14:paraId="5916579D" w14:textId="1F38CC4D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NÁZEV LÉČIVÉHO PŘÍPRAVKU</w:t>
      </w:r>
    </w:p>
    <w:p w14:paraId="492C08FD" w14:textId="77777777" w:rsidR="000A22A9" w:rsidRDefault="000A22A9">
      <w:pPr>
        <w:keepNext/>
        <w:tabs>
          <w:tab w:val="clear" w:pos="567"/>
        </w:tabs>
      </w:pPr>
    </w:p>
    <w:p w14:paraId="1917043B" w14:textId="531A252D" w:rsidR="000A22A9" w:rsidRDefault="003F6D37">
      <w:pPr>
        <w:tabs>
          <w:tab w:val="clear" w:pos="567"/>
        </w:tabs>
      </w:pPr>
      <w:r>
        <w:t xml:space="preserve">Osenvelt </w:t>
      </w:r>
      <w:r w:rsidR="003A2761">
        <w:t>120 mg injekční roztok</w:t>
      </w:r>
    </w:p>
    <w:p w14:paraId="7094129D" w14:textId="5960CF50" w:rsidR="000A22A9" w:rsidRDefault="003A2761">
      <w:pPr>
        <w:tabs>
          <w:tab w:val="clear" w:pos="567"/>
        </w:tabs>
      </w:pPr>
      <w:r>
        <w:t>denosumab</w:t>
      </w:r>
    </w:p>
    <w:p w14:paraId="7B9AFA75" w14:textId="77777777" w:rsidR="000A22A9" w:rsidRDefault="000A22A9">
      <w:pPr>
        <w:tabs>
          <w:tab w:val="clear" w:pos="567"/>
        </w:tabs>
      </w:pPr>
    </w:p>
    <w:p w14:paraId="03874A3A" w14:textId="77777777" w:rsidR="000A22A9" w:rsidRDefault="000A22A9">
      <w:pPr>
        <w:tabs>
          <w:tab w:val="clear" w:pos="567"/>
        </w:tabs>
      </w:pPr>
    </w:p>
    <w:p w14:paraId="78373FF3" w14:textId="2CD9F7FB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</w:rPr>
      </w:pPr>
      <w:r>
        <w:rPr>
          <w:b/>
        </w:rPr>
        <w:t>2.</w:t>
      </w:r>
      <w:r>
        <w:rPr>
          <w:b/>
        </w:rPr>
        <w:tab/>
        <w:t>OBSAH LÉČIVÉ LÁTKY/LÉČIVÝCH LÁTEK</w:t>
      </w:r>
    </w:p>
    <w:p w14:paraId="7A9D45E9" w14:textId="77777777" w:rsidR="000A22A9" w:rsidRDefault="000A22A9">
      <w:pPr>
        <w:keepNext/>
        <w:tabs>
          <w:tab w:val="clear" w:pos="567"/>
        </w:tabs>
      </w:pPr>
    </w:p>
    <w:p w14:paraId="7E8FE690" w14:textId="71FE2420" w:rsidR="000A22A9" w:rsidRDefault="003A2761">
      <w:pPr>
        <w:tabs>
          <w:tab w:val="clear" w:pos="567"/>
        </w:tabs>
        <w:rPr>
          <w:rFonts w:eastAsia="MS Mincho"/>
          <w:szCs w:val="22"/>
        </w:rPr>
      </w:pPr>
      <w:r>
        <w:t>Jedna injekční lahvička obsahuje 120 mg denosumabu v 1,7 ml roztoku (70 mg/ml).</w:t>
      </w:r>
    </w:p>
    <w:p w14:paraId="718D2A4E" w14:textId="77777777" w:rsidR="000A22A9" w:rsidRDefault="000A22A9">
      <w:pPr>
        <w:tabs>
          <w:tab w:val="clear" w:pos="567"/>
        </w:tabs>
      </w:pPr>
    </w:p>
    <w:p w14:paraId="4F9CE640" w14:textId="77777777" w:rsidR="000A22A9" w:rsidRDefault="000A22A9">
      <w:pPr>
        <w:tabs>
          <w:tab w:val="clear" w:pos="567"/>
        </w:tabs>
      </w:pPr>
    </w:p>
    <w:p w14:paraId="5139FF17" w14:textId="7646BF41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highlight w:val="lightGray"/>
        </w:rPr>
      </w:pPr>
      <w:r>
        <w:rPr>
          <w:b/>
        </w:rPr>
        <w:t>3.</w:t>
      </w:r>
      <w:r>
        <w:rPr>
          <w:b/>
        </w:rPr>
        <w:tab/>
        <w:t>SEZNAM POMOCNÝCH LÁTEK</w:t>
      </w:r>
    </w:p>
    <w:p w14:paraId="38FBE707" w14:textId="77777777" w:rsidR="000A22A9" w:rsidRDefault="000A22A9">
      <w:pPr>
        <w:keepNext/>
        <w:tabs>
          <w:tab w:val="clear" w:pos="567"/>
        </w:tabs>
      </w:pPr>
    </w:p>
    <w:p w14:paraId="32DAD0EF" w14:textId="6F5794FD" w:rsidR="000A22A9" w:rsidRDefault="003F6D37">
      <w:r>
        <w:t>Pomocné látky:</w:t>
      </w:r>
      <w:r w:rsidR="006C3EC9">
        <w:t xml:space="preserve"> </w:t>
      </w:r>
      <w:r>
        <w:t>K</w:t>
      </w:r>
      <w:r w:rsidR="003A2761">
        <w:t xml:space="preserve">yselina octová, </w:t>
      </w:r>
      <w:r>
        <w:t xml:space="preserve">trihydrát </w:t>
      </w:r>
      <w:r w:rsidR="00F33CFC">
        <w:t>natrium-acetátu</w:t>
      </w:r>
      <w:r w:rsidR="003A2761">
        <w:t>, sorbitol (E</w:t>
      </w:r>
      <w:r w:rsidR="001B28FE">
        <w:t xml:space="preserve"> </w:t>
      </w:r>
      <w:r w:rsidR="003A2761">
        <w:t>420), polysorbát 20</w:t>
      </w:r>
      <w:r>
        <w:t xml:space="preserve"> (E</w:t>
      </w:r>
      <w:r w:rsidR="005120B9">
        <w:t> </w:t>
      </w:r>
      <w:r>
        <w:t>432)</w:t>
      </w:r>
      <w:r w:rsidR="003A2761">
        <w:t>, voda pro injekci.</w:t>
      </w:r>
    </w:p>
    <w:p w14:paraId="7E390ACB" w14:textId="2FF2FBF0" w:rsidR="003F6D37" w:rsidRPr="00EA1154" w:rsidRDefault="003F6D37" w:rsidP="005120B9">
      <w:pPr>
        <w:rPr>
          <w:highlight w:val="lightGray"/>
        </w:rPr>
      </w:pPr>
      <w:r w:rsidRPr="00EA1154">
        <w:rPr>
          <w:highlight w:val="lightGray"/>
        </w:rPr>
        <w:t>Další informace jsou uvedeny v příbalové informaci.</w:t>
      </w:r>
    </w:p>
    <w:p w14:paraId="0F8E2F0D" w14:textId="77777777" w:rsidR="000A22A9" w:rsidRDefault="000A22A9">
      <w:pPr>
        <w:tabs>
          <w:tab w:val="clear" w:pos="567"/>
        </w:tabs>
      </w:pPr>
    </w:p>
    <w:p w14:paraId="5CAFD179" w14:textId="77777777" w:rsidR="000A22A9" w:rsidRDefault="000A22A9">
      <w:pPr>
        <w:tabs>
          <w:tab w:val="clear" w:pos="567"/>
        </w:tabs>
      </w:pPr>
    </w:p>
    <w:p w14:paraId="6004014C" w14:textId="1324174E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4.</w:t>
      </w:r>
      <w:r>
        <w:rPr>
          <w:b/>
        </w:rPr>
        <w:tab/>
        <w:t>LÉKOVÁ FORMA A OBSAH BALENÍ</w:t>
      </w:r>
    </w:p>
    <w:p w14:paraId="14B2A17F" w14:textId="77777777" w:rsidR="000A22A9" w:rsidRDefault="000A22A9">
      <w:pPr>
        <w:keepNext/>
        <w:tabs>
          <w:tab w:val="clear" w:pos="567"/>
        </w:tabs>
      </w:pPr>
    </w:p>
    <w:p w14:paraId="23EA334B" w14:textId="77777777" w:rsidR="000A22A9" w:rsidRDefault="003A2761">
      <w:pPr>
        <w:tabs>
          <w:tab w:val="clear" w:pos="567"/>
        </w:tabs>
        <w:rPr>
          <w:rFonts w:eastAsia="MS Mincho"/>
          <w:szCs w:val="22"/>
        </w:rPr>
      </w:pPr>
      <w:r>
        <w:rPr>
          <w:highlight w:val="lightGray"/>
        </w:rPr>
        <w:t>Injekční roztok.</w:t>
      </w:r>
    </w:p>
    <w:p w14:paraId="6ABE99E3" w14:textId="3DBCC754" w:rsidR="000A22A9" w:rsidRDefault="003A2761">
      <w:pPr>
        <w:tabs>
          <w:tab w:val="clear" w:pos="567"/>
        </w:tabs>
        <w:rPr>
          <w:rFonts w:eastAsia="MS Mincho"/>
          <w:szCs w:val="22"/>
        </w:rPr>
      </w:pPr>
      <w:r>
        <w:t xml:space="preserve">1 injekční lahvička </w:t>
      </w:r>
      <w:r w:rsidR="001B28FE">
        <w:t>k</w:t>
      </w:r>
      <w:r>
        <w:t xml:space="preserve"> jednorázové</w:t>
      </w:r>
      <w:r w:rsidR="001B28FE">
        <w:t>mu</w:t>
      </w:r>
      <w:r>
        <w:t xml:space="preserve"> použití.</w:t>
      </w:r>
    </w:p>
    <w:p w14:paraId="2D228AE8" w14:textId="0E37A3FB" w:rsidR="000A22A9" w:rsidRDefault="003A2761">
      <w:pPr>
        <w:tabs>
          <w:tab w:val="clear" w:pos="567"/>
        </w:tabs>
        <w:rPr>
          <w:rFonts w:eastAsia="MS Mincho"/>
          <w:szCs w:val="22"/>
        </w:rPr>
      </w:pPr>
      <w:r>
        <w:rPr>
          <w:highlight w:val="lightGray"/>
        </w:rPr>
        <w:t xml:space="preserve">3 injekční lahvičky </w:t>
      </w:r>
      <w:r w:rsidR="001B28FE">
        <w:rPr>
          <w:highlight w:val="lightGray"/>
        </w:rPr>
        <w:t>k</w:t>
      </w:r>
      <w:r>
        <w:rPr>
          <w:highlight w:val="lightGray"/>
        </w:rPr>
        <w:t xml:space="preserve"> jednorázové</w:t>
      </w:r>
      <w:r w:rsidR="001B28FE">
        <w:rPr>
          <w:highlight w:val="lightGray"/>
        </w:rPr>
        <w:t>mu</w:t>
      </w:r>
      <w:r>
        <w:rPr>
          <w:highlight w:val="lightGray"/>
        </w:rPr>
        <w:t xml:space="preserve"> použití.</w:t>
      </w:r>
    </w:p>
    <w:p w14:paraId="2137C046" w14:textId="079A8C15" w:rsidR="000A22A9" w:rsidRDefault="003A2761">
      <w:pPr>
        <w:tabs>
          <w:tab w:val="clear" w:pos="567"/>
        </w:tabs>
      </w:pPr>
      <w:r>
        <w:rPr>
          <w:highlight w:val="lightGray"/>
        </w:rPr>
        <w:t xml:space="preserve">4 injekční lahvičky </w:t>
      </w:r>
      <w:r w:rsidR="001B28FE">
        <w:rPr>
          <w:highlight w:val="lightGray"/>
        </w:rPr>
        <w:t>k</w:t>
      </w:r>
      <w:r>
        <w:rPr>
          <w:highlight w:val="lightGray"/>
        </w:rPr>
        <w:t xml:space="preserve"> jednorázové</w:t>
      </w:r>
      <w:r w:rsidR="001B28FE">
        <w:rPr>
          <w:highlight w:val="lightGray"/>
        </w:rPr>
        <w:t>mu</w:t>
      </w:r>
      <w:r>
        <w:rPr>
          <w:highlight w:val="lightGray"/>
        </w:rPr>
        <w:t xml:space="preserve"> použití.</w:t>
      </w:r>
    </w:p>
    <w:p w14:paraId="711BB599" w14:textId="6FE1E4F2" w:rsidR="003F6D37" w:rsidRDefault="003F6D37" w:rsidP="005120B9">
      <w:pPr>
        <w:tabs>
          <w:tab w:val="clear" w:pos="567"/>
        </w:tabs>
        <w:rPr>
          <w:rFonts w:eastAsia="MS Mincho"/>
          <w:szCs w:val="22"/>
        </w:rPr>
      </w:pPr>
      <w:r w:rsidRPr="00CE3977">
        <w:t>120</w:t>
      </w:r>
      <w:r w:rsidR="006C3EC9">
        <w:t> </w:t>
      </w:r>
      <w:r w:rsidRPr="00CE3977">
        <w:t>mg/1</w:t>
      </w:r>
      <w:r>
        <w:t>,</w:t>
      </w:r>
      <w:r w:rsidRPr="00CE3977">
        <w:t>7</w:t>
      </w:r>
      <w:r w:rsidR="006C3EC9">
        <w:t> </w:t>
      </w:r>
      <w:r w:rsidRPr="00CE3977">
        <w:t>m</w:t>
      </w:r>
      <w:r>
        <w:t>l</w:t>
      </w:r>
    </w:p>
    <w:p w14:paraId="72D7F6AC" w14:textId="77777777" w:rsidR="000A22A9" w:rsidRDefault="000A22A9">
      <w:pPr>
        <w:tabs>
          <w:tab w:val="clear" w:pos="567"/>
        </w:tabs>
        <w:rPr>
          <w:rFonts w:eastAsia="MS Mincho"/>
          <w:szCs w:val="22"/>
          <w:lang w:eastAsia="ja-JP"/>
        </w:rPr>
      </w:pPr>
    </w:p>
    <w:p w14:paraId="621F1BFE" w14:textId="77777777" w:rsidR="000A22A9" w:rsidRDefault="000A22A9">
      <w:pPr>
        <w:tabs>
          <w:tab w:val="clear" w:pos="567"/>
        </w:tabs>
      </w:pPr>
    </w:p>
    <w:p w14:paraId="5E81D4AF" w14:textId="6A9EB405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highlight w:val="lightGray"/>
        </w:rPr>
      </w:pPr>
      <w:r>
        <w:rPr>
          <w:b/>
        </w:rPr>
        <w:t>5.</w:t>
      </w:r>
      <w:r>
        <w:rPr>
          <w:b/>
        </w:rPr>
        <w:tab/>
        <w:t>ZPŮSOB A CESTA/CESTY PODÁNÍ</w:t>
      </w:r>
    </w:p>
    <w:p w14:paraId="35C92F9E" w14:textId="77777777" w:rsidR="000A22A9" w:rsidRDefault="000A22A9">
      <w:pPr>
        <w:keepNext/>
        <w:tabs>
          <w:tab w:val="clear" w:pos="567"/>
        </w:tabs>
        <w:rPr>
          <w:i/>
        </w:rPr>
      </w:pPr>
    </w:p>
    <w:p w14:paraId="02348569" w14:textId="77777777" w:rsidR="000A22A9" w:rsidRDefault="003A2761">
      <w:pPr>
        <w:tabs>
          <w:tab w:val="clear" w:pos="567"/>
        </w:tabs>
      </w:pPr>
      <w:r>
        <w:t>Před použitím si přečtěte příbalovou informaci.</w:t>
      </w:r>
    </w:p>
    <w:p w14:paraId="33EECBC9" w14:textId="77777777" w:rsidR="000A22A9" w:rsidRDefault="003A2761">
      <w:r>
        <w:t>Subkutánní podání.</w:t>
      </w:r>
    </w:p>
    <w:p w14:paraId="6B0CB22A" w14:textId="77777777" w:rsidR="000A22A9" w:rsidRDefault="003A2761">
      <w:pPr>
        <w:tabs>
          <w:tab w:val="clear" w:pos="567"/>
        </w:tabs>
      </w:pPr>
      <w:r>
        <w:t>Přípravkem netřepejte.</w:t>
      </w:r>
    </w:p>
    <w:p w14:paraId="611BE56C" w14:textId="77777777" w:rsidR="000A22A9" w:rsidRDefault="000A22A9">
      <w:pPr>
        <w:tabs>
          <w:tab w:val="clear" w:pos="567"/>
        </w:tabs>
      </w:pPr>
    </w:p>
    <w:p w14:paraId="063D5D4B" w14:textId="77777777" w:rsidR="000A22A9" w:rsidRDefault="000A22A9">
      <w:pPr>
        <w:tabs>
          <w:tab w:val="clear" w:pos="567"/>
        </w:tabs>
      </w:pPr>
    </w:p>
    <w:p w14:paraId="7B30BFCA" w14:textId="70703E60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6.</w:t>
      </w:r>
      <w:r>
        <w:rPr>
          <w:b/>
        </w:rPr>
        <w:tab/>
        <w:t>ZVLÁŠTNÍ UPOZORNĚNÍ, ŽE LÉČIVÝ PŘÍPRAVEK MUSÍ BÝT UCHOVÁVÁN MIMO DOHLED A DOSAH DĚTÍ</w:t>
      </w:r>
    </w:p>
    <w:p w14:paraId="183A9568" w14:textId="77777777" w:rsidR="000A22A9" w:rsidRDefault="000A22A9">
      <w:pPr>
        <w:keepNext/>
        <w:tabs>
          <w:tab w:val="clear" w:pos="567"/>
        </w:tabs>
      </w:pPr>
    </w:p>
    <w:p w14:paraId="1A827559" w14:textId="41B612E8" w:rsidR="000A22A9" w:rsidRDefault="003A2761" w:rsidP="002F6ACF">
      <w:pPr>
        <w:tabs>
          <w:tab w:val="clear" w:pos="567"/>
        </w:tabs>
        <w:outlineLvl w:val="0"/>
      </w:pPr>
      <w:r>
        <w:t>Uchovávejte mimo dohled a dosah dětí.</w:t>
      </w:r>
    </w:p>
    <w:p w14:paraId="19DCA483" w14:textId="77777777" w:rsidR="000A22A9" w:rsidRDefault="000A22A9" w:rsidP="002F6ACF">
      <w:pPr>
        <w:tabs>
          <w:tab w:val="clear" w:pos="567"/>
        </w:tabs>
      </w:pPr>
    </w:p>
    <w:p w14:paraId="409FEC83" w14:textId="77777777" w:rsidR="000A22A9" w:rsidRDefault="000A22A9">
      <w:pPr>
        <w:tabs>
          <w:tab w:val="clear" w:pos="567"/>
        </w:tabs>
      </w:pPr>
    </w:p>
    <w:p w14:paraId="52413CE6" w14:textId="656D15DB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highlight w:val="lightGray"/>
        </w:rPr>
      </w:pPr>
      <w:r>
        <w:rPr>
          <w:b/>
        </w:rPr>
        <w:t>7.</w:t>
      </w:r>
      <w:r>
        <w:rPr>
          <w:b/>
        </w:rPr>
        <w:tab/>
        <w:t>DALŠÍ ZVLÁŠTNÍ UPOZORNĚNÍ, POKUD JE POTŘEBNÉ</w:t>
      </w:r>
    </w:p>
    <w:p w14:paraId="2BCA1F32" w14:textId="77777777" w:rsidR="000A22A9" w:rsidRDefault="000A22A9">
      <w:pPr>
        <w:keepNext/>
        <w:tabs>
          <w:tab w:val="clear" w:pos="567"/>
        </w:tabs>
      </w:pPr>
    </w:p>
    <w:p w14:paraId="041B7A43" w14:textId="77777777" w:rsidR="000A22A9" w:rsidRDefault="000A22A9">
      <w:pPr>
        <w:tabs>
          <w:tab w:val="clear" w:pos="567"/>
        </w:tabs>
      </w:pPr>
    </w:p>
    <w:p w14:paraId="2D2E1F8D" w14:textId="1506BF9F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highlight w:val="lightGray"/>
        </w:rPr>
      </w:pPr>
      <w:r>
        <w:rPr>
          <w:b/>
        </w:rPr>
        <w:t>8.</w:t>
      </w:r>
      <w:r>
        <w:rPr>
          <w:b/>
        </w:rPr>
        <w:tab/>
        <w:t>POUŽITELNOST</w:t>
      </w:r>
    </w:p>
    <w:p w14:paraId="5D7D3B70" w14:textId="77777777" w:rsidR="000A22A9" w:rsidRDefault="000A22A9">
      <w:pPr>
        <w:keepNext/>
        <w:tabs>
          <w:tab w:val="clear" w:pos="567"/>
        </w:tabs>
        <w:rPr>
          <w:i/>
        </w:rPr>
      </w:pPr>
    </w:p>
    <w:p w14:paraId="285E2203" w14:textId="77777777" w:rsidR="000A22A9" w:rsidRDefault="003A2761" w:rsidP="002F6ACF">
      <w:pPr>
        <w:tabs>
          <w:tab w:val="clear" w:pos="567"/>
        </w:tabs>
      </w:pPr>
      <w:r>
        <w:t>EXP</w:t>
      </w:r>
    </w:p>
    <w:p w14:paraId="3E4B9D43" w14:textId="77777777" w:rsidR="000A22A9" w:rsidRDefault="000A22A9" w:rsidP="002F6ACF">
      <w:pPr>
        <w:tabs>
          <w:tab w:val="clear" w:pos="567"/>
        </w:tabs>
      </w:pPr>
    </w:p>
    <w:p w14:paraId="75DCFAD0" w14:textId="77777777" w:rsidR="000A22A9" w:rsidRDefault="000A22A9">
      <w:pPr>
        <w:tabs>
          <w:tab w:val="clear" w:pos="567"/>
        </w:tabs>
      </w:pPr>
    </w:p>
    <w:p w14:paraId="398EF7D9" w14:textId="3EF1E238" w:rsidR="000A22A9" w:rsidRDefault="003A2761" w:rsidP="00EA115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lastRenderedPageBreak/>
        <w:t>9.</w:t>
      </w:r>
      <w:r>
        <w:rPr>
          <w:b/>
        </w:rPr>
        <w:tab/>
        <w:t>ZVLÁŠTNÍ PODMÍNKY PRO UCHOVÁVÁNÍ</w:t>
      </w:r>
    </w:p>
    <w:p w14:paraId="3CC70418" w14:textId="77777777" w:rsidR="000A22A9" w:rsidRDefault="000A22A9" w:rsidP="00EA1154">
      <w:pPr>
        <w:keepNext/>
        <w:keepLines/>
        <w:tabs>
          <w:tab w:val="clear" w:pos="567"/>
        </w:tabs>
      </w:pPr>
    </w:p>
    <w:p w14:paraId="39F4D267" w14:textId="77777777" w:rsidR="000A22A9" w:rsidRDefault="003A2761" w:rsidP="00D638E1">
      <w:pPr>
        <w:tabs>
          <w:tab w:val="clear" w:pos="567"/>
        </w:tabs>
      </w:pPr>
      <w:r>
        <w:t>Uchovávejte v chladničce.</w:t>
      </w:r>
    </w:p>
    <w:p w14:paraId="0038906A" w14:textId="77777777" w:rsidR="000A22A9" w:rsidRDefault="003A2761" w:rsidP="00D638E1">
      <w:pPr>
        <w:tabs>
          <w:tab w:val="clear" w:pos="567"/>
        </w:tabs>
      </w:pPr>
      <w:r>
        <w:t>Chraňte před mrazem.</w:t>
      </w:r>
    </w:p>
    <w:p w14:paraId="1508E191" w14:textId="06AA75E2" w:rsidR="000A22A9" w:rsidRDefault="003A2761" w:rsidP="00D638E1">
      <w:pPr>
        <w:tabs>
          <w:tab w:val="clear" w:pos="567"/>
        </w:tabs>
      </w:pPr>
      <w:r>
        <w:t xml:space="preserve">Uchovávejte injekční </w:t>
      </w:r>
      <w:r w:rsidRPr="00BD471B">
        <w:t xml:space="preserve">lahvičku v </w:t>
      </w:r>
      <w:r w:rsidR="00586753" w:rsidRPr="00BD471B">
        <w:t>krabičce</w:t>
      </w:r>
      <w:r w:rsidRPr="00BD471B">
        <w:t>, aby</w:t>
      </w:r>
      <w:r>
        <w:t xml:space="preserve"> byl přípravek chráněn před světlem.</w:t>
      </w:r>
    </w:p>
    <w:p w14:paraId="10C22DDB" w14:textId="77777777" w:rsidR="000A22A9" w:rsidRDefault="000A22A9" w:rsidP="002F6ACF">
      <w:pPr>
        <w:tabs>
          <w:tab w:val="clear" w:pos="567"/>
        </w:tabs>
      </w:pPr>
    </w:p>
    <w:p w14:paraId="0465D28E" w14:textId="77777777" w:rsidR="000A22A9" w:rsidRDefault="000A22A9">
      <w:pPr>
        <w:tabs>
          <w:tab w:val="clear" w:pos="567"/>
        </w:tabs>
        <w:ind w:left="567" w:hanging="567"/>
      </w:pPr>
    </w:p>
    <w:p w14:paraId="514B4CC3" w14:textId="608065AB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</w:rPr>
      </w:pPr>
      <w:r>
        <w:rPr>
          <w:b/>
        </w:rPr>
        <w:t>10.</w:t>
      </w:r>
      <w:r>
        <w:rPr>
          <w:b/>
        </w:rPr>
        <w:tab/>
        <w:t>ZVLÁŠTNÍ OPATŘENÍ PRO LIKVIDACI NEPOUŽITÝCH LÉČIVÝCH PŘÍPRAVKŮ NEBO ODPADU Z NICH, POKUD JE TO VHODNÉ</w:t>
      </w:r>
    </w:p>
    <w:p w14:paraId="50CCA332" w14:textId="77777777" w:rsidR="000A22A9" w:rsidRDefault="000A22A9">
      <w:pPr>
        <w:keepNext/>
        <w:tabs>
          <w:tab w:val="clear" w:pos="567"/>
        </w:tabs>
      </w:pPr>
    </w:p>
    <w:p w14:paraId="559D96B8" w14:textId="77777777" w:rsidR="000A22A9" w:rsidRDefault="000A22A9">
      <w:pPr>
        <w:tabs>
          <w:tab w:val="clear" w:pos="567"/>
        </w:tabs>
      </w:pPr>
    </w:p>
    <w:p w14:paraId="19ABFDB8" w14:textId="38C93D78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</w:rPr>
      </w:pPr>
      <w:r>
        <w:rPr>
          <w:b/>
        </w:rPr>
        <w:t>11.</w:t>
      </w:r>
      <w:r>
        <w:rPr>
          <w:b/>
        </w:rPr>
        <w:tab/>
        <w:t>NÁZEV A ADRESA DRŽITELE ROZHODNUTÍ O REGISTRACI</w:t>
      </w:r>
    </w:p>
    <w:p w14:paraId="76312C65" w14:textId="77777777" w:rsidR="000A22A9" w:rsidRDefault="000A22A9">
      <w:pPr>
        <w:keepNext/>
        <w:tabs>
          <w:tab w:val="clear" w:pos="567"/>
        </w:tabs>
      </w:pPr>
    </w:p>
    <w:p w14:paraId="02BA2C07" w14:textId="77777777" w:rsidR="003F6D37" w:rsidRPr="00CE3977" w:rsidRDefault="003F6D37" w:rsidP="003F6D37">
      <w:pPr>
        <w:keepNext/>
      </w:pPr>
      <w:r w:rsidRPr="00CE3977">
        <w:t>Celltrion Healthcare Hungary Kft.</w:t>
      </w:r>
    </w:p>
    <w:p w14:paraId="3B37C622" w14:textId="081C15B2" w:rsidR="003F6D37" w:rsidRPr="00294495" w:rsidRDefault="003F6D37" w:rsidP="003F6D37">
      <w:pPr>
        <w:keepNext/>
        <w:rPr>
          <w:rFonts w:eastAsia="맑은 고딕"/>
          <w:lang w:eastAsia="ko-KR"/>
          <w:rPrChange w:id="21" w:author="만든 이">
            <w:rPr/>
          </w:rPrChange>
        </w:rPr>
      </w:pPr>
      <w:r w:rsidRPr="00CE3977">
        <w:t>1062 Budapest</w:t>
      </w:r>
      <w:ins w:id="22" w:author="만든 이">
        <w:r w:rsidR="00381C22">
          <w:rPr>
            <w:rFonts w:eastAsia="맑은 고딕" w:hint="eastAsia"/>
            <w:lang w:eastAsia="ko-KR"/>
          </w:rPr>
          <w:t>,</w:t>
        </w:r>
      </w:ins>
    </w:p>
    <w:p w14:paraId="65B8EC08" w14:textId="77777777" w:rsidR="003F6D37" w:rsidRPr="00CE3977" w:rsidRDefault="003F6D37" w:rsidP="003F6D37">
      <w:pPr>
        <w:keepNext/>
      </w:pPr>
      <w:r w:rsidRPr="00CE3977">
        <w:t>Váci út 1-3. WestEnd Office Building B torony</w:t>
      </w:r>
    </w:p>
    <w:p w14:paraId="3C78484A" w14:textId="7AEB8FC7" w:rsidR="003F6D37" w:rsidRDefault="003F6D37" w:rsidP="003F6D37">
      <w:pPr>
        <w:tabs>
          <w:tab w:val="clear" w:pos="567"/>
        </w:tabs>
      </w:pPr>
      <w:r>
        <w:t>Maďarsko</w:t>
      </w:r>
    </w:p>
    <w:p w14:paraId="5F191AC5" w14:textId="77777777" w:rsidR="000A22A9" w:rsidRDefault="000A22A9" w:rsidP="002F6ACF">
      <w:pPr>
        <w:tabs>
          <w:tab w:val="clear" w:pos="567"/>
        </w:tabs>
      </w:pPr>
    </w:p>
    <w:p w14:paraId="6124D899" w14:textId="77777777" w:rsidR="000A22A9" w:rsidRDefault="000A22A9">
      <w:pPr>
        <w:tabs>
          <w:tab w:val="clear" w:pos="567"/>
        </w:tabs>
      </w:pPr>
    </w:p>
    <w:p w14:paraId="5D964809" w14:textId="3B0EA47D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</w:rPr>
      </w:pPr>
      <w:r>
        <w:rPr>
          <w:b/>
        </w:rPr>
        <w:t>12.</w:t>
      </w:r>
      <w:r>
        <w:rPr>
          <w:b/>
        </w:rPr>
        <w:tab/>
        <w:t>REGISTRAČNÍ ČÍSLO/ČÍSLA</w:t>
      </w:r>
    </w:p>
    <w:p w14:paraId="69567508" w14:textId="77777777" w:rsidR="000A22A9" w:rsidRDefault="000A22A9">
      <w:pPr>
        <w:keepNext/>
        <w:tabs>
          <w:tab w:val="clear" w:pos="567"/>
        </w:tabs>
      </w:pPr>
    </w:p>
    <w:p w14:paraId="5FE9A38E" w14:textId="186B2805" w:rsidR="003F6D37" w:rsidRPr="00CE3977" w:rsidRDefault="00FC2650" w:rsidP="003F6D37">
      <w:r w:rsidRPr="00FC2650">
        <w:t>EU/1/24/1904/001</w:t>
      </w:r>
      <w:r w:rsidR="003F6D37" w:rsidRPr="00CE3977">
        <w:t xml:space="preserve"> </w:t>
      </w:r>
      <w:r w:rsidR="003F6D37">
        <w:rPr>
          <w:highlight w:val="lightGray"/>
        </w:rPr>
        <w:t>1</w:t>
      </w:r>
      <w:r w:rsidR="0011676E">
        <w:rPr>
          <w:highlight w:val="lightGray"/>
        </w:rPr>
        <w:t> injekční lahvička</w:t>
      </w:r>
    </w:p>
    <w:p w14:paraId="21347354" w14:textId="775CBB4E" w:rsidR="003F6D37" w:rsidRDefault="00FC2650" w:rsidP="003F6D37">
      <w:pPr>
        <w:rPr>
          <w:highlight w:val="lightGray"/>
        </w:rPr>
      </w:pPr>
      <w:r w:rsidRPr="00B90981">
        <w:rPr>
          <w:rFonts w:cs="Verdana"/>
          <w:color w:val="000000"/>
          <w:highlight w:val="lightGray"/>
        </w:rPr>
        <w:t>EU/1/24/1904/00</w:t>
      </w:r>
      <w:r w:rsidRPr="00B90981">
        <w:rPr>
          <w:rFonts w:eastAsia="맑은 고딕" w:cs="Verdana" w:hint="eastAsia"/>
          <w:color w:val="000000"/>
          <w:highlight w:val="lightGray"/>
          <w:lang w:eastAsia="ko-KR"/>
        </w:rPr>
        <w:t>2</w:t>
      </w:r>
      <w:r w:rsidR="003F6D37">
        <w:rPr>
          <w:highlight w:val="lightGray"/>
        </w:rPr>
        <w:t xml:space="preserve"> 3</w:t>
      </w:r>
      <w:r w:rsidR="0011676E">
        <w:rPr>
          <w:highlight w:val="lightGray"/>
        </w:rPr>
        <w:t> injekční lahvičky</w:t>
      </w:r>
    </w:p>
    <w:p w14:paraId="743910D7" w14:textId="04E59A4A" w:rsidR="003F6D37" w:rsidRPr="00CE3977" w:rsidRDefault="00B90981" w:rsidP="003F6D37">
      <w:r w:rsidRPr="00B90981">
        <w:rPr>
          <w:rFonts w:cs="Verdana"/>
          <w:color w:val="000000"/>
          <w:highlight w:val="lightGray"/>
        </w:rPr>
        <w:t>EU/1/24/1904/00</w:t>
      </w:r>
      <w:r w:rsidRPr="00B90981">
        <w:rPr>
          <w:rFonts w:eastAsia="맑은 고딕" w:cs="Verdana" w:hint="eastAsia"/>
          <w:color w:val="000000"/>
          <w:highlight w:val="lightGray"/>
          <w:lang w:eastAsia="ko-KR"/>
        </w:rPr>
        <w:t>3</w:t>
      </w:r>
      <w:r w:rsidR="003F6D37">
        <w:rPr>
          <w:highlight w:val="lightGray"/>
        </w:rPr>
        <w:t xml:space="preserve"> 4</w:t>
      </w:r>
      <w:r w:rsidR="0011676E">
        <w:rPr>
          <w:highlight w:val="lightGray"/>
        </w:rPr>
        <w:t> injekční lahvičky</w:t>
      </w:r>
    </w:p>
    <w:p w14:paraId="65600A3A" w14:textId="77777777" w:rsidR="000A22A9" w:rsidRDefault="000A22A9">
      <w:pPr>
        <w:tabs>
          <w:tab w:val="clear" w:pos="567"/>
        </w:tabs>
      </w:pPr>
    </w:p>
    <w:p w14:paraId="30754B8E" w14:textId="77777777" w:rsidR="000A22A9" w:rsidRDefault="000A22A9">
      <w:pPr>
        <w:tabs>
          <w:tab w:val="clear" w:pos="567"/>
        </w:tabs>
      </w:pPr>
    </w:p>
    <w:p w14:paraId="1EE0636D" w14:textId="3BC927AD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13.</w:t>
      </w:r>
      <w:r>
        <w:rPr>
          <w:b/>
        </w:rPr>
        <w:tab/>
        <w:t>ČÍSLO ŠARŽE</w:t>
      </w:r>
    </w:p>
    <w:p w14:paraId="21530219" w14:textId="77777777" w:rsidR="000A22A9" w:rsidRDefault="000A22A9">
      <w:pPr>
        <w:keepNext/>
        <w:tabs>
          <w:tab w:val="clear" w:pos="567"/>
        </w:tabs>
        <w:rPr>
          <w:i/>
        </w:rPr>
      </w:pPr>
    </w:p>
    <w:p w14:paraId="08844716" w14:textId="77777777" w:rsidR="000A22A9" w:rsidRDefault="003A2761">
      <w:pPr>
        <w:tabs>
          <w:tab w:val="clear" w:pos="567"/>
        </w:tabs>
      </w:pPr>
      <w:r>
        <w:t>Lot</w:t>
      </w:r>
    </w:p>
    <w:p w14:paraId="55A7CDD7" w14:textId="77777777" w:rsidR="000A22A9" w:rsidRDefault="000A22A9">
      <w:pPr>
        <w:tabs>
          <w:tab w:val="clear" w:pos="567"/>
        </w:tabs>
      </w:pPr>
    </w:p>
    <w:p w14:paraId="21908973" w14:textId="77777777" w:rsidR="000A22A9" w:rsidRDefault="000A22A9">
      <w:pPr>
        <w:tabs>
          <w:tab w:val="clear" w:pos="567"/>
        </w:tabs>
      </w:pPr>
    </w:p>
    <w:p w14:paraId="40F5BA2C" w14:textId="2F03F0A4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14.</w:t>
      </w:r>
      <w:r>
        <w:rPr>
          <w:b/>
        </w:rPr>
        <w:tab/>
        <w:t>KLASIFIKACE PRO VÝDEJ</w:t>
      </w:r>
    </w:p>
    <w:p w14:paraId="2DF40912" w14:textId="77777777" w:rsidR="000A22A9" w:rsidRDefault="000A22A9">
      <w:pPr>
        <w:keepNext/>
        <w:tabs>
          <w:tab w:val="clear" w:pos="567"/>
        </w:tabs>
      </w:pPr>
    </w:p>
    <w:p w14:paraId="31EC48E4" w14:textId="77777777" w:rsidR="000A22A9" w:rsidRDefault="000A22A9">
      <w:pPr>
        <w:tabs>
          <w:tab w:val="clear" w:pos="567"/>
        </w:tabs>
      </w:pPr>
    </w:p>
    <w:p w14:paraId="50B514EA" w14:textId="4533806B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15.</w:t>
      </w:r>
      <w:r>
        <w:rPr>
          <w:b/>
        </w:rPr>
        <w:tab/>
        <w:t>NÁVOD K POUŽITÍ</w:t>
      </w:r>
    </w:p>
    <w:p w14:paraId="4DF036CA" w14:textId="77777777" w:rsidR="000A22A9" w:rsidRDefault="000A22A9">
      <w:pPr>
        <w:keepNext/>
        <w:tabs>
          <w:tab w:val="clear" w:pos="567"/>
        </w:tabs>
      </w:pPr>
    </w:p>
    <w:p w14:paraId="1372BECC" w14:textId="77777777" w:rsidR="000A22A9" w:rsidRDefault="000A22A9">
      <w:pPr>
        <w:tabs>
          <w:tab w:val="clear" w:pos="567"/>
        </w:tabs>
      </w:pPr>
    </w:p>
    <w:p w14:paraId="340E62AA" w14:textId="63D27597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</w:pPr>
      <w:r>
        <w:rPr>
          <w:b/>
        </w:rPr>
        <w:t>16.</w:t>
      </w:r>
      <w:r>
        <w:rPr>
          <w:b/>
        </w:rPr>
        <w:tab/>
        <w:t>INFORMACE V BRAILLOVĚ PÍSMU</w:t>
      </w:r>
    </w:p>
    <w:p w14:paraId="19AD9054" w14:textId="77777777" w:rsidR="000A22A9" w:rsidRDefault="000A22A9">
      <w:pPr>
        <w:keepNext/>
        <w:tabs>
          <w:tab w:val="clear" w:pos="567"/>
        </w:tabs>
      </w:pPr>
    </w:p>
    <w:p w14:paraId="3724836F" w14:textId="77777777" w:rsidR="00864877" w:rsidRPr="00864877" w:rsidRDefault="00864877" w:rsidP="00864877">
      <w:pPr>
        <w:rPr>
          <w:szCs w:val="22"/>
          <w:shd w:val="clear" w:color="auto" w:fill="CCCCCC"/>
        </w:rPr>
      </w:pPr>
      <w:r>
        <w:rPr>
          <w:shd w:val="clear" w:color="auto" w:fill="CCCCCC"/>
        </w:rPr>
        <w:t>Nevyžaduje se – odůvodnění přijato.</w:t>
      </w:r>
    </w:p>
    <w:p w14:paraId="3286AC93" w14:textId="77777777" w:rsidR="000A22A9" w:rsidRDefault="000A22A9">
      <w:pPr>
        <w:rPr>
          <w:szCs w:val="22"/>
          <w:shd w:val="clear" w:color="auto" w:fill="CCCCCC"/>
        </w:rPr>
      </w:pPr>
    </w:p>
    <w:p w14:paraId="7DA96361" w14:textId="77777777" w:rsidR="008A41F0" w:rsidRDefault="008A41F0">
      <w:pPr>
        <w:rPr>
          <w:szCs w:val="22"/>
          <w:shd w:val="clear" w:color="auto" w:fill="CCCCCC"/>
        </w:rPr>
      </w:pPr>
    </w:p>
    <w:p w14:paraId="1F16960F" w14:textId="77777777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ind w:left="567" w:hanging="567"/>
        <w:rPr>
          <w:i/>
        </w:rPr>
      </w:pPr>
      <w:r>
        <w:rPr>
          <w:b/>
        </w:rPr>
        <w:t>17.</w:t>
      </w:r>
      <w:r>
        <w:rPr>
          <w:b/>
        </w:rPr>
        <w:tab/>
        <w:t>JEDINEČNÝ IDENTIFIKÁTOR – 2D ČÁROVÝ KÓD</w:t>
      </w:r>
    </w:p>
    <w:p w14:paraId="40877978" w14:textId="77777777" w:rsidR="000A22A9" w:rsidRDefault="000A22A9">
      <w:pPr>
        <w:keepNext/>
        <w:tabs>
          <w:tab w:val="clear" w:pos="567"/>
        </w:tabs>
      </w:pPr>
    </w:p>
    <w:p w14:paraId="284BB707" w14:textId="77777777" w:rsidR="000A22A9" w:rsidRDefault="003A2761">
      <w:pPr>
        <w:tabs>
          <w:tab w:val="clear" w:pos="567"/>
        </w:tabs>
        <w:rPr>
          <w:b/>
          <w:szCs w:val="22"/>
          <w:u w:val="single"/>
        </w:rPr>
      </w:pPr>
      <w:r>
        <w:rPr>
          <w:highlight w:val="lightGray"/>
        </w:rPr>
        <w:t>2D čárový kód s jedinečným identifikátorem.</w:t>
      </w:r>
    </w:p>
    <w:p w14:paraId="7BB9577D" w14:textId="77777777" w:rsidR="000A22A9" w:rsidRDefault="000A22A9">
      <w:pPr>
        <w:tabs>
          <w:tab w:val="clear" w:pos="567"/>
        </w:tabs>
      </w:pPr>
    </w:p>
    <w:p w14:paraId="105E4F59" w14:textId="77777777" w:rsidR="000A22A9" w:rsidRDefault="000A22A9">
      <w:pPr>
        <w:tabs>
          <w:tab w:val="clear" w:pos="567"/>
        </w:tabs>
      </w:pPr>
    </w:p>
    <w:p w14:paraId="0D16C368" w14:textId="77777777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ind w:left="567" w:hanging="567"/>
        <w:rPr>
          <w:i/>
        </w:rPr>
      </w:pPr>
      <w:r>
        <w:rPr>
          <w:b/>
        </w:rPr>
        <w:t>18.</w:t>
      </w:r>
      <w:r>
        <w:rPr>
          <w:b/>
        </w:rPr>
        <w:tab/>
        <w:t>JEDINEČNÝ IDENTIFIKÁTOR – DATA ČITELNÁ OKEM</w:t>
      </w:r>
    </w:p>
    <w:p w14:paraId="3D53177E" w14:textId="77777777" w:rsidR="000A22A9" w:rsidRDefault="000A22A9">
      <w:pPr>
        <w:keepNext/>
        <w:tabs>
          <w:tab w:val="clear" w:pos="567"/>
        </w:tabs>
      </w:pPr>
    </w:p>
    <w:p w14:paraId="37B904C8" w14:textId="77777777" w:rsidR="000A22A9" w:rsidRDefault="003A2761">
      <w:pPr>
        <w:keepNext/>
        <w:rPr>
          <w:szCs w:val="22"/>
        </w:rPr>
      </w:pPr>
      <w:r>
        <w:t>PC</w:t>
      </w:r>
    </w:p>
    <w:p w14:paraId="4FF9357C" w14:textId="77777777" w:rsidR="000A22A9" w:rsidRDefault="003A2761">
      <w:pPr>
        <w:keepNext/>
        <w:rPr>
          <w:szCs w:val="22"/>
        </w:rPr>
      </w:pPr>
      <w:r>
        <w:t>SN</w:t>
      </w:r>
    </w:p>
    <w:p w14:paraId="2685C52B" w14:textId="77777777" w:rsidR="000A22A9" w:rsidRDefault="003A2761">
      <w:pPr>
        <w:rPr>
          <w:vanish/>
          <w:szCs w:val="22"/>
        </w:rPr>
      </w:pPr>
      <w:r>
        <w:rPr>
          <w:highlight w:val="lightGray"/>
        </w:rPr>
        <w:t>NN</w:t>
      </w:r>
    </w:p>
    <w:p w14:paraId="5B15C2C3" w14:textId="77777777" w:rsidR="00046EA7" w:rsidRDefault="003A2761" w:rsidP="002F6ACF">
      <w:pPr>
        <w:keepNext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clear" w:pos="567"/>
        </w:tabs>
        <w:rPr>
          <w:rFonts w:eastAsia="맑은 고딕"/>
          <w:lang w:eastAsia="ko-KR"/>
        </w:rPr>
      </w:pPr>
      <w:r>
        <w:lastRenderedPageBreak/>
        <w:br w:type="page"/>
      </w:r>
    </w:p>
    <w:p w14:paraId="74E9C468" w14:textId="21231CD4" w:rsidR="000A22A9" w:rsidRDefault="003A2761" w:rsidP="002F6ACF">
      <w:pPr>
        <w:keepNext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clear" w:pos="567"/>
        </w:tabs>
        <w:rPr>
          <w:b/>
        </w:rPr>
      </w:pPr>
      <w:r>
        <w:rPr>
          <w:b/>
        </w:rPr>
        <w:lastRenderedPageBreak/>
        <w:t>MINIMÁLNÍ ÚDAJE UVÁDĚNÉ NA MALÉM VNITŘNÍM OBALU</w:t>
      </w:r>
    </w:p>
    <w:p w14:paraId="4720B60D" w14:textId="77777777" w:rsidR="000A22A9" w:rsidRDefault="000A22A9" w:rsidP="002F6ACF">
      <w:pPr>
        <w:keepNext/>
        <w:pBdr>
          <w:left w:val="single" w:sz="4" w:space="4" w:color="auto"/>
          <w:right w:val="single" w:sz="4" w:space="4" w:color="auto"/>
        </w:pBdr>
        <w:tabs>
          <w:tab w:val="clear" w:pos="567"/>
        </w:tabs>
        <w:rPr>
          <w:b/>
        </w:rPr>
      </w:pPr>
    </w:p>
    <w:p w14:paraId="4CF4FCB2" w14:textId="436280AB" w:rsidR="000A22A9" w:rsidRDefault="003A2761" w:rsidP="002F6ACF">
      <w:pPr>
        <w:keepNext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>
        <w:rPr>
          <w:b/>
        </w:rPr>
        <w:t xml:space="preserve">ŠTÍTEK </w:t>
      </w:r>
      <w:r w:rsidR="0011676E">
        <w:rPr>
          <w:b/>
        </w:rPr>
        <w:t xml:space="preserve">NA </w:t>
      </w:r>
      <w:r>
        <w:rPr>
          <w:b/>
        </w:rPr>
        <w:t>INJEKČNÍ LAHVIČK</w:t>
      </w:r>
      <w:r w:rsidR="0011676E">
        <w:rPr>
          <w:b/>
        </w:rPr>
        <w:t>U</w:t>
      </w:r>
    </w:p>
    <w:p w14:paraId="6D8F08AF" w14:textId="77777777" w:rsidR="000A22A9" w:rsidRDefault="000A22A9" w:rsidP="002F6ACF">
      <w:pPr>
        <w:keepNext/>
        <w:tabs>
          <w:tab w:val="clear" w:pos="567"/>
        </w:tabs>
      </w:pPr>
    </w:p>
    <w:p w14:paraId="234D217B" w14:textId="77777777" w:rsidR="000A22A9" w:rsidRDefault="000A22A9">
      <w:pPr>
        <w:tabs>
          <w:tab w:val="clear" w:pos="567"/>
        </w:tabs>
      </w:pPr>
    </w:p>
    <w:p w14:paraId="610A218E" w14:textId="1D440B48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</w:rPr>
      </w:pPr>
      <w:r>
        <w:rPr>
          <w:b/>
        </w:rPr>
        <w:t>1.</w:t>
      </w:r>
      <w:r>
        <w:rPr>
          <w:b/>
        </w:rPr>
        <w:tab/>
        <w:t>NÁZEV LÉČIVÉHO PŘÍPRAVKU A CESTA/CESTY PODÁNÍ</w:t>
      </w:r>
    </w:p>
    <w:p w14:paraId="5CB6356D" w14:textId="77777777" w:rsidR="000A22A9" w:rsidRDefault="000A22A9">
      <w:pPr>
        <w:keepNext/>
        <w:tabs>
          <w:tab w:val="clear" w:pos="567"/>
        </w:tabs>
        <w:ind w:left="567" w:hanging="567"/>
      </w:pPr>
    </w:p>
    <w:p w14:paraId="552C8591" w14:textId="34EF0B7F" w:rsidR="000A22A9" w:rsidRDefault="0011676E">
      <w:pPr>
        <w:tabs>
          <w:tab w:val="clear" w:pos="567"/>
        </w:tabs>
      </w:pPr>
      <w:r>
        <w:t>Osenvelt</w:t>
      </w:r>
      <w:r w:rsidR="003A2761">
        <w:t xml:space="preserve"> 120 mg injekce</w:t>
      </w:r>
    </w:p>
    <w:p w14:paraId="280CE5E4" w14:textId="307B13F1" w:rsidR="000A22A9" w:rsidRDefault="003A2761">
      <w:pPr>
        <w:tabs>
          <w:tab w:val="clear" w:pos="567"/>
        </w:tabs>
      </w:pPr>
      <w:r>
        <w:t>denosumab</w:t>
      </w:r>
    </w:p>
    <w:p w14:paraId="11DC29FB" w14:textId="77777777" w:rsidR="000A22A9" w:rsidRDefault="003A2761">
      <w:pPr>
        <w:tabs>
          <w:tab w:val="clear" w:pos="567"/>
        </w:tabs>
      </w:pPr>
      <w:r>
        <w:t>s.c.</w:t>
      </w:r>
    </w:p>
    <w:p w14:paraId="464346F8" w14:textId="77777777" w:rsidR="000A22A9" w:rsidRDefault="000A22A9">
      <w:pPr>
        <w:tabs>
          <w:tab w:val="clear" w:pos="567"/>
        </w:tabs>
      </w:pPr>
    </w:p>
    <w:p w14:paraId="1E066832" w14:textId="77777777" w:rsidR="000A22A9" w:rsidRDefault="000A22A9">
      <w:pPr>
        <w:tabs>
          <w:tab w:val="clear" w:pos="567"/>
        </w:tabs>
      </w:pPr>
    </w:p>
    <w:p w14:paraId="76D8004E" w14:textId="56718A1E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  <w:highlight w:val="lightGray"/>
        </w:rPr>
      </w:pPr>
      <w:r>
        <w:rPr>
          <w:b/>
        </w:rPr>
        <w:t>2.</w:t>
      </w:r>
      <w:r>
        <w:rPr>
          <w:b/>
        </w:rPr>
        <w:tab/>
        <w:t>ZPŮSOB PODÁNÍ</w:t>
      </w:r>
    </w:p>
    <w:p w14:paraId="5790AEBD" w14:textId="77777777" w:rsidR="000A22A9" w:rsidRDefault="000A22A9">
      <w:pPr>
        <w:keepNext/>
        <w:tabs>
          <w:tab w:val="clear" w:pos="567"/>
        </w:tabs>
      </w:pPr>
    </w:p>
    <w:p w14:paraId="648C72FB" w14:textId="77777777" w:rsidR="000A22A9" w:rsidRDefault="000A22A9">
      <w:pPr>
        <w:tabs>
          <w:tab w:val="clear" w:pos="567"/>
        </w:tabs>
      </w:pPr>
    </w:p>
    <w:p w14:paraId="7B23FDB8" w14:textId="5CCC8D3E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</w:rPr>
      </w:pPr>
      <w:r>
        <w:rPr>
          <w:b/>
        </w:rPr>
        <w:t>3.</w:t>
      </w:r>
      <w:r>
        <w:rPr>
          <w:b/>
        </w:rPr>
        <w:tab/>
        <w:t>POUŽITELNOST</w:t>
      </w:r>
    </w:p>
    <w:p w14:paraId="2EC96352" w14:textId="77777777" w:rsidR="000A22A9" w:rsidRDefault="000A22A9">
      <w:pPr>
        <w:keepNext/>
        <w:tabs>
          <w:tab w:val="clear" w:pos="567"/>
        </w:tabs>
        <w:rPr>
          <w:i/>
        </w:rPr>
      </w:pPr>
    </w:p>
    <w:p w14:paraId="7EF414C8" w14:textId="77777777" w:rsidR="000A22A9" w:rsidRDefault="003A2761">
      <w:pPr>
        <w:tabs>
          <w:tab w:val="clear" w:pos="567"/>
        </w:tabs>
      </w:pPr>
      <w:r>
        <w:t>EXP</w:t>
      </w:r>
    </w:p>
    <w:p w14:paraId="74CE2E3F" w14:textId="77777777" w:rsidR="000A22A9" w:rsidRDefault="000A22A9">
      <w:pPr>
        <w:tabs>
          <w:tab w:val="clear" w:pos="567"/>
        </w:tabs>
      </w:pPr>
    </w:p>
    <w:p w14:paraId="24D10ED0" w14:textId="77777777" w:rsidR="000A22A9" w:rsidRDefault="000A22A9">
      <w:pPr>
        <w:tabs>
          <w:tab w:val="clear" w:pos="567"/>
        </w:tabs>
      </w:pPr>
    </w:p>
    <w:p w14:paraId="03321902" w14:textId="2E537664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  <w:highlight w:val="lightGray"/>
        </w:rPr>
      </w:pPr>
      <w:r>
        <w:rPr>
          <w:b/>
        </w:rPr>
        <w:t>4.</w:t>
      </w:r>
      <w:r>
        <w:rPr>
          <w:b/>
        </w:rPr>
        <w:tab/>
        <w:t>ČÍSLO ŠARŽE</w:t>
      </w:r>
    </w:p>
    <w:p w14:paraId="33F6143B" w14:textId="77777777" w:rsidR="000A22A9" w:rsidRDefault="000A22A9">
      <w:pPr>
        <w:keepNext/>
        <w:tabs>
          <w:tab w:val="clear" w:pos="567"/>
        </w:tabs>
        <w:ind w:right="113"/>
        <w:rPr>
          <w:i/>
        </w:rPr>
      </w:pPr>
    </w:p>
    <w:p w14:paraId="0272DF40" w14:textId="77777777" w:rsidR="000A22A9" w:rsidRDefault="003A2761">
      <w:pPr>
        <w:tabs>
          <w:tab w:val="clear" w:pos="567"/>
        </w:tabs>
        <w:ind w:right="113"/>
      </w:pPr>
      <w:r>
        <w:t>Lot</w:t>
      </w:r>
    </w:p>
    <w:p w14:paraId="0BEB4D21" w14:textId="77777777" w:rsidR="000A22A9" w:rsidRDefault="000A22A9">
      <w:pPr>
        <w:tabs>
          <w:tab w:val="clear" w:pos="567"/>
        </w:tabs>
        <w:ind w:right="113"/>
      </w:pPr>
    </w:p>
    <w:p w14:paraId="5CFAAB47" w14:textId="77777777" w:rsidR="000A22A9" w:rsidRDefault="000A22A9">
      <w:pPr>
        <w:tabs>
          <w:tab w:val="clear" w:pos="567"/>
        </w:tabs>
        <w:ind w:right="113"/>
      </w:pPr>
    </w:p>
    <w:p w14:paraId="1789ADC9" w14:textId="52F19F43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  <w:highlight w:val="lightGray"/>
        </w:rPr>
      </w:pPr>
      <w:r>
        <w:rPr>
          <w:b/>
        </w:rPr>
        <w:t>5.</w:t>
      </w:r>
      <w:r>
        <w:rPr>
          <w:b/>
        </w:rPr>
        <w:tab/>
        <w:t>OBSAH UDANÝ JAKO HMOTNOST, OBJEM NEBO POČET</w:t>
      </w:r>
    </w:p>
    <w:p w14:paraId="17DCAAE6" w14:textId="77777777" w:rsidR="000A22A9" w:rsidRDefault="000A22A9">
      <w:pPr>
        <w:keepNext/>
        <w:tabs>
          <w:tab w:val="clear" w:pos="567"/>
        </w:tabs>
        <w:ind w:right="113"/>
      </w:pPr>
    </w:p>
    <w:p w14:paraId="0794F9D9" w14:textId="7D28CBFF" w:rsidR="000A22A9" w:rsidRDefault="006C3EC9">
      <w:pPr>
        <w:tabs>
          <w:tab w:val="clear" w:pos="567"/>
        </w:tabs>
        <w:ind w:right="113"/>
      </w:pPr>
      <w:r>
        <w:t>120 mg/</w:t>
      </w:r>
      <w:r w:rsidR="003A2761">
        <w:t>1,7 ml</w:t>
      </w:r>
    </w:p>
    <w:p w14:paraId="7941A776" w14:textId="77777777" w:rsidR="000A22A9" w:rsidRDefault="000A22A9">
      <w:pPr>
        <w:tabs>
          <w:tab w:val="clear" w:pos="567"/>
        </w:tabs>
        <w:ind w:right="113"/>
      </w:pPr>
    </w:p>
    <w:p w14:paraId="66C24B75" w14:textId="77777777" w:rsidR="000A22A9" w:rsidRDefault="000A22A9">
      <w:pPr>
        <w:tabs>
          <w:tab w:val="clear" w:pos="567"/>
        </w:tabs>
        <w:ind w:right="113"/>
      </w:pPr>
    </w:p>
    <w:p w14:paraId="46D5AF6E" w14:textId="1A77AB61" w:rsidR="000A22A9" w:rsidRDefault="003A27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outlineLvl w:val="0"/>
        <w:rPr>
          <w:b/>
          <w:highlight w:val="lightGray"/>
        </w:rPr>
      </w:pPr>
      <w:r>
        <w:rPr>
          <w:b/>
        </w:rPr>
        <w:t>6.</w:t>
      </w:r>
      <w:r>
        <w:rPr>
          <w:b/>
        </w:rPr>
        <w:tab/>
        <w:t>JINÉ</w:t>
      </w:r>
    </w:p>
    <w:p w14:paraId="0EB7E655" w14:textId="77777777" w:rsidR="000A22A9" w:rsidRDefault="000A22A9">
      <w:pPr>
        <w:keepNext/>
        <w:tabs>
          <w:tab w:val="clear" w:pos="567"/>
        </w:tabs>
      </w:pPr>
    </w:p>
    <w:p w14:paraId="7FBC66E0" w14:textId="030BDF9F" w:rsidR="000A22A9" w:rsidRDefault="00B965ED">
      <w:pPr>
        <w:tabs>
          <w:tab w:val="clear" w:pos="567"/>
        </w:tabs>
        <w:jc w:val="center"/>
      </w:pPr>
      <w:r>
        <w:br w:type="page"/>
      </w:r>
    </w:p>
    <w:p w14:paraId="79C38F2A" w14:textId="77777777" w:rsidR="000A22A9" w:rsidRDefault="000A22A9">
      <w:pPr>
        <w:tabs>
          <w:tab w:val="clear" w:pos="567"/>
        </w:tabs>
        <w:jc w:val="center"/>
      </w:pPr>
    </w:p>
    <w:p w14:paraId="3569178B" w14:textId="77777777" w:rsidR="00AD1C43" w:rsidRDefault="00AD1C43">
      <w:pPr>
        <w:tabs>
          <w:tab w:val="clear" w:pos="567"/>
        </w:tabs>
        <w:jc w:val="center"/>
      </w:pPr>
    </w:p>
    <w:p w14:paraId="5E584A4C" w14:textId="77777777" w:rsidR="000A22A9" w:rsidRDefault="000A22A9">
      <w:pPr>
        <w:tabs>
          <w:tab w:val="clear" w:pos="567"/>
        </w:tabs>
        <w:jc w:val="center"/>
      </w:pPr>
    </w:p>
    <w:p w14:paraId="7C27322D" w14:textId="77777777" w:rsidR="000A22A9" w:rsidRDefault="000A22A9">
      <w:pPr>
        <w:tabs>
          <w:tab w:val="clear" w:pos="567"/>
        </w:tabs>
        <w:jc w:val="center"/>
      </w:pPr>
    </w:p>
    <w:p w14:paraId="06BCF01F" w14:textId="77777777" w:rsidR="000A22A9" w:rsidRDefault="000A22A9">
      <w:pPr>
        <w:tabs>
          <w:tab w:val="clear" w:pos="567"/>
        </w:tabs>
        <w:jc w:val="center"/>
      </w:pPr>
    </w:p>
    <w:p w14:paraId="19548DD6" w14:textId="77777777" w:rsidR="000A22A9" w:rsidRDefault="000A22A9">
      <w:pPr>
        <w:tabs>
          <w:tab w:val="clear" w:pos="567"/>
        </w:tabs>
        <w:jc w:val="center"/>
      </w:pPr>
    </w:p>
    <w:p w14:paraId="5BD20389" w14:textId="77777777" w:rsidR="000A22A9" w:rsidRDefault="000A22A9">
      <w:pPr>
        <w:tabs>
          <w:tab w:val="clear" w:pos="567"/>
        </w:tabs>
        <w:jc w:val="center"/>
      </w:pPr>
    </w:p>
    <w:p w14:paraId="22DE92D6" w14:textId="77777777" w:rsidR="000A22A9" w:rsidRDefault="000A22A9">
      <w:pPr>
        <w:tabs>
          <w:tab w:val="clear" w:pos="567"/>
        </w:tabs>
        <w:jc w:val="center"/>
      </w:pPr>
    </w:p>
    <w:p w14:paraId="4FB3DD14" w14:textId="77777777" w:rsidR="000A22A9" w:rsidRDefault="000A22A9">
      <w:pPr>
        <w:tabs>
          <w:tab w:val="clear" w:pos="567"/>
        </w:tabs>
        <w:jc w:val="center"/>
      </w:pPr>
    </w:p>
    <w:p w14:paraId="42353117" w14:textId="77777777" w:rsidR="000A22A9" w:rsidRDefault="000A22A9">
      <w:pPr>
        <w:tabs>
          <w:tab w:val="clear" w:pos="567"/>
        </w:tabs>
        <w:jc w:val="center"/>
      </w:pPr>
    </w:p>
    <w:p w14:paraId="0DA91D9E" w14:textId="77777777" w:rsidR="000A22A9" w:rsidRDefault="000A22A9">
      <w:pPr>
        <w:tabs>
          <w:tab w:val="clear" w:pos="567"/>
        </w:tabs>
        <w:jc w:val="center"/>
      </w:pPr>
    </w:p>
    <w:p w14:paraId="2BE1FD35" w14:textId="77777777" w:rsidR="000A22A9" w:rsidRDefault="000A22A9">
      <w:pPr>
        <w:tabs>
          <w:tab w:val="clear" w:pos="567"/>
        </w:tabs>
        <w:jc w:val="center"/>
      </w:pPr>
    </w:p>
    <w:p w14:paraId="17BBA6AF" w14:textId="77777777" w:rsidR="000A22A9" w:rsidRDefault="000A22A9">
      <w:pPr>
        <w:tabs>
          <w:tab w:val="clear" w:pos="567"/>
        </w:tabs>
        <w:jc w:val="center"/>
      </w:pPr>
    </w:p>
    <w:p w14:paraId="14F6458B" w14:textId="77777777" w:rsidR="000A22A9" w:rsidRDefault="000A22A9">
      <w:pPr>
        <w:tabs>
          <w:tab w:val="clear" w:pos="567"/>
        </w:tabs>
        <w:jc w:val="center"/>
      </w:pPr>
    </w:p>
    <w:p w14:paraId="46D6A14A" w14:textId="77777777" w:rsidR="000A22A9" w:rsidRDefault="000A22A9">
      <w:pPr>
        <w:tabs>
          <w:tab w:val="clear" w:pos="567"/>
        </w:tabs>
        <w:jc w:val="center"/>
      </w:pPr>
    </w:p>
    <w:p w14:paraId="32F66BC6" w14:textId="77777777" w:rsidR="000A22A9" w:rsidRDefault="000A22A9">
      <w:pPr>
        <w:tabs>
          <w:tab w:val="clear" w:pos="567"/>
        </w:tabs>
        <w:jc w:val="center"/>
      </w:pPr>
    </w:p>
    <w:p w14:paraId="3291673E" w14:textId="77777777" w:rsidR="000A22A9" w:rsidRDefault="000A22A9">
      <w:pPr>
        <w:tabs>
          <w:tab w:val="clear" w:pos="567"/>
        </w:tabs>
        <w:jc w:val="center"/>
      </w:pPr>
    </w:p>
    <w:p w14:paraId="0F3286F9" w14:textId="77777777" w:rsidR="000A22A9" w:rsidRDefault="000A22A9">
      <w:pPr>
        <w:tabs>
          <w:tab w:val="clear" w:pos="567"/>
        </w:tabs>
        <w:jc w:val="center"/>
      </w:pPr>
    </w:p>
    <w:p w14:paraId="2070C2F2" w14:textId="77777777" w:rsidR="000A22A9" w:rsidRDefault="000A22A9">
      <w:pPr>
        <w:tabs>
          <w:tab w:val="clear" w:pos="567"/>
        </w:tabs>
        <w:jc w:val="center"/>
      </w:pPr>
    </w:p>
    <w:p w14:paraId="20F37224" w14:textId="77777777" w:rsidR="000A22A9" w:rsidRDefault="000A22A9">
      <w:pPr>
        <w:tabs>
          <w:tab w:val="clear" w:pos="567"/>
        </w:tabs>
        <w:jc w:val="center"/>
      </w:pPr>
    </w:p>
    <w:p w14:paraId="108787A9" w14:textId="77777777" w:rsidR="00405BC2" w:rsidRDefault="00405BC2">
      <w:pPr>
        <w:tabs>
          <w:tab w:val="clear" w:pos="567"/>
        </w:tabs>
        <w:jc w:val="center"/>
      </w:pPr>
    </w:p>
    <w:p w14:paraId="60BF751E" w14:textId="77777777" w:rsidR="00405BC2" w:rsidRDefault="00405BC2">
      <w:pPr>
        <w:tabs>
          <w:tab w:val="clear" w:pos="567"/>
        </w:tabs>
        <w:jc w:val="center"/>
      </w:pPr>
    </w:p>
    <w:p w14:paraId="366E99B5" w14:textId="18A1571A" w:rsidR="000A22A9" w:rsidRDefault="003A2761">
      <w:pPr>
        <w:pStyle w:val="TitleA"/>
      </w:pPr>
      <w:r>
        <w:t>B. PŘÍBALOVÁ INFORMACE</w:t>
      </w:r>
    </w:p>
    <w:p w14:paraId="4C0B8B4C" w14:textId="77777777" w:rsidR="000A22A9" w:rsidRDefault="000A22A9">
      <w:pPr>
        <w:tabs>
          <w:tab w:val="clear" w:pos="567"/>
        </w:tabs>
        <w:jc w:val="center"/>
      </w:pPr>
    </w:p>
    <w:p w14:paraId="71EBB494" w14:textId="4D62831E" w:rsidR="000A22A9" w:rsidRDefault="003A2761" w:rsidP="00AB7137">
      <w:pPr>
        <w:keepNext/>
        <w:tabs>
          <w:tab w:val="clear" w:pos="567"/>
        </w:tabs>
        <w:jc w:val="center"/>
        <w:outlineLvl w:val="0"/>
        <w:rPr>
          <w:b/>
        </w:rPr>
      </w:pPr>
      <w:r>
        <w:br w:type="page"/>
      </w:r>
      <w:r>
        <w:rPr>
          <w:b/>
        </w:rPr>
        <w:lastRenderedPageBreak/>
        <w:t xml:space="preserve">Příbalová informace: informace pro </w:t>
      </w:r>
      <w:r w:rsidR="001B28FE">
        <w:rPr>
          <w:b/>
        </w:rPr>
        <w:t>pacienta</w:t>
      </w:r>
    </w:p>
    <w:p w14:paraId="7A7B8706" w14:textId="77777777" w:rsidR="000A22A9" w:rsidRDefault="000A22A9" w:rsidP="00AB7137">
      <w:pPr>
        <w:keepNext/>
        <w:tabs>
          <w:tab w:val="clear" w:pos="567"/>
        </w:tabs>
        <w:jc w:val="center"/>
        <w:outlineLvl w:val="0"/>
        <w:rPr>
          <w:b/>
        </w:rPr>
      </w:pPr>
    </w:p>
    <w:p w14:paraId="5A1CD6F0" w14:textId="798E77F4" w:rsidR="000A22A9" w:rsidRPr="00AB7137" w:rsidRDefault="0011676E" w:rsidP="00AB7137">
      <w:pPr>
        <w:pStyle w:val="Stylebold"/>
        <w:keepNext/>
        <w:jc w:val="center"/>
      </w:pPr>
      <w:r>
        <w:t>Osenvelt</w:t>
      </w:r>
      <w:r w:rsidR="003A2761">
        <w:t xml:space="preserve"> 120 mg injekční roztok</w:t>
      </w:r>
    </w:p>
    <w:p w14:paraId="6FF7FBB8" w14:textId="574CF85A" w:rsidR="000A22A9" w:rsidRDefault="003A2761">
      <w:pPr>
        <w:jc w:val="center"/>
      </w:pPr>
      <w:r>
        <w:t>denosumab</w:t>
      </w:r>
    </w:p>
    <w:p w14:paraId="1780BC81" w14:textId="77777777" w:rsidR="000A22A9" w:rsidRDefault="000A22A9">
      <w:pPr>
        <w:tabs>
          <w:tab w:val="clear" w:pos="567"/>
        </w:tabs>
        <w:jc w:val="center"/>
      </w:pPr>
    </w:p>
    <w:p w14:paraId="70316E87" w14:textId="6D849D99" w:rsidR="0011676E" w:rsidRPr="0041389A" w:rsidRDefault="002C3C1F">
      <w:pPr>
        <w:tabs>
          <w:tab w:val="clear" w:pos="567"/>
        </w:tabs>
        <w:suppressAutoHyphens/>
      </w:pPr>
      <w:r>
        <w:rPr>
          <w:noProof/>
        </w:rPr>
        <w:drawing>
          <wp:inline distT="0" distB="0" distL="0" distR="0" wp14:anchorId="1DCEAFCA" wp14:editId="3023EE95">
            <wp:extent cx="182880" cy="18288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76E" w:rsidRPr="0041389A">
        <w:t>Tento přípravek podléhá dalšímu sledování. To umožní rychlé získání nových informací o bezpečnosti. Můžete přispět tím, že nahlásíte jakékoli nežádoucí účinky, které se u Vás vyskytnou. Jak hlásit nežádoucí účinky je popsáno v závěru bodu</w:t>
      </w:r>
      <w:r w:rsidR="0041389A">
        <w:t> </w:t>
      </w:r>
      <w:r w:rsidR="0011676E" w:rsidRPr="0041389A">
        <w:t>4.</w:t>
      </w:r>
    </w:p>
    <w:p w14:paraId="09187460" w14:textId="77777777" w:rsidR="0011676E" w:rsidRPr="0041389A" w:rsidRDefault="0011676E">
      <w:pPr>
        <w:tabs>
          <w:tab w:val="clear" w:pos="567"/>
        </w:tabs>
        <w:suppressAutoHyphens/>
        <w:rPr>
          <w:bCs/>
        </w:rPr>
      </w:pPr>
    </w:p>
    <w:p w14:paraId="40CC61AD" w14:textId="0DC63CD5" w:rsidR="000A22A9" w:rsidRDefault="003A2761">
      <w:pPr>
        <w:tabs>
          <w:tab w:val="clear" w:pos="567"/>
        </w:tabs>
        <w:suppressAutoHyphens/>
      </w:pPr>
      <w:r>
        <w:rPr>
          <w:b/>
        </w:rPr>
        <w:t>Přečtěte si pozorně celou tuto příbalovou informaci dříve, než začnete tento přípravek používat, protože obsahuje pro Vás důležité údaje.</w:t>
      </w:r>
    </w:p>
    <w:p w14:paraId="7BCC0841" w14:textId="77777777" w:rsidR="000A22A9" w:rsidRDefault="003A2761">
      <w:pPr>
        <w:keepNext/>
        <w:numPr>
          <w:ilvl w:val="0"/>
          <w:numId w:val="3"/>
        </w:numPr>
        <w:tabs>
          <w:tab w:val="clear" w:pos="567"/>
        </w:tabs>
        <w:ind w:left="567" w:hanging="567"/>
      </w:pPr>
      <w:r>
        <w:t>Ponechte si příbalovou informaci pro případ, že si ji budete potřebovat přečíst znovu.</w:t>
      </w:r>
    </w:p>
    <w:p w14:paraId="5D65A0B8" w14:textId="77777777" w:rsidR="000A22A9" w:rsidRDefault="003A2761">
      <w:pPr>
        <w:numPr>
          <w:ilvl w:val="0"/>
          <w:numId w:val="3"/>
        </w:numPr>
        <w:tabs>
          <w:tab w:val="clear" w:pos="567"/>
        </w:tabs>
        <w:ind w:left="567" w:hanging="567"/>
      </w:pPr>
      <w:r>
        <w:t>Máte-li jakékoli další otázky, zeptejte se svého lékaře, lékárníka nebo zdravotní sestry.</w:t>
      </w:r>
    </w:p>
    <w:p w14:paraId="1ED39D78" w14:textId="77777777" w:rsidR="000A22A9" w:rsidRDefault="003A2761">
      <w:pPr>
        <w:numPr>
          <w:ilvl w:val="0"/>
          <w:numId w:val="3"/>
        </w:numPr>
        <w:tabs>
          <w:tab w:val="clear" w:pos="567"/>
        </w:tabs>
        <w:ind w:left="567" w:hanging="567"/>
      </w:pPr>
      <w:r>
        <w:t>Tento přípravek byl předepsán výhradně Vám. Nedávejte jej žádné další osobě. Mohl by jí ublížit, a to i tehdy, má-li stejné známky onemocnění jako Vy.</w:t>
      </w:r>
    </w:p>
    <w:p w14:paraId="374CCA47" w14:textId="77777777" w:rsidR="000A22A9" w:rsidRDefault="003A2761">
      <w:pPr>
        <w:keepNext/>
        <w:numPr>
          <w:ilvl w:val="0"/>
          <w:numId w:val="3"/>
        </w:numPr>
        <w:tabs>
          <w:tab w:val="clear" w:pos="567"/>
        </w:tabs>
        <w:ind w:left="567" w:hanging="567"/>
      </w:pPr>
      <w:r>
        <w:t>Pokud se u Vás vyskytne kterýkoli z nežádoucích účinků, sdělte to svému lékaři, lékárníkovi nebo zdravotní sestře. Stejně postupujte v případě jakýchkoli nežádoucích účinků, které nejsou uvedeny v této příbalové informaci. Viz bod 4.</w:t>
      </w:r>
    </w:p>
    <w:p w14:paraId="17F8DCCA" w14:textId="699CB763" w:rsidR="000A22A9" w:rsidRDefault="003A2761">
      <w:pPr>
        <w:numPr>
          <w:ilvl w:val="0"/>
          <w:numId w:val="3"/>
        </w:numPr>
        <w:tabs>
          <w:tab w:val="clear" w:pos="567"/>
        </w:tabs>
        <w:ind w:left="567" w:hanging="567"/>
      </w:pPr>
      <w:r>
        <w:t xml:space="preserve">Lékař Vám dá kartu pacienta, která obsahuje důležité bezpečnostní informace, které potřebujete vědět před léčbou a během léčby přípravkem </w:t>
      </w:r>
      <w:r w:rsidR="0011676E">
        <w:t>Osenvelt</w:t>
      </w:r>
      <w:r>
        <w:t>.</w:t>
      </w:r>
    </w:p>
    <w:p w14:paraId="0AC1053A" w14:textId="77777777" w:rsidR="000A22A9" w:rsidRDefault="000A22A9">
      <w:pPr>
        <w:tabs>
          <w:tab w:val="clear" w:pos="567"/>
        </w:tabs>
        <w:ind w:right="-2"/>
      </w:pPr>
    </w:p>
    <w:p w14:paraId="29F24210" w14:textId="1C9BA923" w:rsidR="000A22A9" w:rsidRDefault="003A2761">
      <w:pPr>
        <w:keepNext/>
        <w:numPr>
          <w:ilvl w:val="12"/>
          <w:numId w:val="0"/>
        </w:numPr>
        <w:tabs>
          <w:tab w:val="clear" w:pos="567"/>
        </w:tabs>
        <w:outlineLvl w:val="0"/>
      </w:pPr>
      <w:r>
        <w:rPr>
          <w:b/>
        </w:rPr>
        <w:t>Co naleznete v této příbalové informaci</w:t>
      </w:r>
    </w:p>
    <w:p w14:paraId="4DDD17EF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  <w:ind w:right="-2"/>
        <w:outlineLvl w:val="0"/>
      </w:pPr>
    </w:p>
    <w:p w14:paraId="35EC078A" w14:textId="30DBD5CA" w:rsidR="000A22A9" w:rsidRDefault="003A2761">
      <w:pPr>
        <w:numPr>
          <w:ilvl w:val="0"/>
          <w:numId w:val="26"/>
        </w:numPr>
        <w:ind w:left="567" w:hanging="567"/>
      </w:pPr>
      <w:r>
        <w:t xml:space="preserve">Co je přípravek </w:t>
      </w:r>
      <w:r w:rsidR="0011676E">
        <w:t>Osenvelt</w:t>
      </w:r>
      <w:r>
        <w:t xml:space="preserve"> a k čemu se používá</w:t>
      </w:r>
    </w:p>
    <w:p w14:paraId="3AE9F932" w14:textId="7CA574C1" w:rsidR="000A22A9" w:rsidRDefault="003A2761">
      <w:pPr>
        <w:numPr>
          <w:ilvl w:val="0"/>
          <w:numId w:val="26"/>
        </w:numPr>
        <w:ind w:left="567" w:hanging="567"/>
      </w:pPr>
      <w:r>
        <w:t xml:space="preserve">Čemu musíte věnovat pozornost, než začnete přípravek </w:t>
      </w:r>
      <w:r w:rsidR="0011676E">
        <w:t>Osenvelt</w:t>
      </w:r>
      <w:r>
        <w:t xml:space="preserve"> používat</w:t>
      </w:r>
    </w:p>
    <w:p w14:paraId="3D09D89E" w14:textId="727D102A" w:rsidR="000A22A9" w:rsidRDefault="003A2761">
      <w:pPr>
        <w:numPr>
          <w:ilvl w:val="0"/>
          <w:numId w:val="26"/>
        </w:numPr>
        <w:ind w:left="567" w:hanging="567"/>
      </w:pPr>
      <w:r>
        <w:t xml:space="preserve">Jak se přípravek </w:t>
      </w:r>
      <w:r w:rsidR="0011676E">
        <w:t>Osenvelt</w:t>
      </w:r>
      <w:r>
        <w:t xml:space="preserve"> používá</w:t>
      </w:r>
    </w:p>
    <w:p w14:paraId="3DC7FCFD" w14:textId="77777777" w:rsidR="000A22A9" w:rsidRDefault="003A2761">
      <w:pPr>
        <w:numPr>
          <w:ilvl w:val="0"/>
          <w:numId w:val="26"/>
        </w:numPr>
        <w:ind w:left="567" w:hanging="567"/>
      </w:pPr>
      <w:r>
        <w:t>Možné nežádoucí účinky</w:t>
      </w:r>
    </w:p>
    <w:p w14:paraId="3C415CB6" w14:textId="42E2056E" w:rsidR="000A22A9" w:rsidRDefault="003A2761" w:rsidP="002F6ACF">
      <w:pPr>
        <w:keepNext/>
        <w:numPr>
          <w:ilvl w:val="0"/>
          <w:numId w:val="26"/>
        </w:numPr>
        <w:ind w:left="567" w:hanging="567"/>
      </w:pPr>
      <w:r>
        <w:t xml:space="preserve">Jak přípravek </w:t>
      </w:r>
      <w:r w:rsidR="0011676E">
        <w:t>Osenvelt</w:t>
      </w:r>
      <w:r>
        <w:t xml:space="preserve"> uchovávat</w:t>
      </w:r>
    </w:p>
    <w:p w14:paraId="328E940D" w14:textId="77777777" w:rsidR="000A22A9" w:rsidRDefault="003A2761">
      <w:pPr>
        <w:numPr>
          <w:ilvl w:val="0"/>
          <w:numId w:val="26"/>
        </w:numPr>
        <w:ind w:left="567" w:hanging="567"/>
      </w:pPr>
      <w:r>
        <w:t>Obsah balení a další informace</w:t>
      </w:r>
    </w:p>
    <w:p w14:paraId="22D279B6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7F93FD6D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6B6E3548" w14:textId="73F735A2" w:rsidR="000A22A9" w:rsidRDefault="003A2761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  <w:t xml:space="preserve">Co je přípravek </w:t>
      </w:r>
      <w:r w:rsidR="0011676E" w:rsidRPr="0041389A">
        <w:rPr>
          <w:b/>
          <w:bCs/>
        </w:rPr>
        <w:t>Osenvelt</w:t>
      </w:r>
      <w:r>
        <w:rPr>
          <w:b/>
        </w:rPr>
        <w:t xml:space="preserve"> a k čemu se používá</w:t>
      </w:r>
    </w:p>
    <w:p w14:paraId="7DFF0091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</w:pPr>
    </w:p>
    <w:p w14:paraId="3AC5ACCB" w14:textId="6DD17E89" w:rsidR="000A22A9" w:rsidRDefault="003A2761">
      <w:r>
        <w:t xml:space="preserve">Přípravek </w:t>
      </w:r>
      <w:r w:rsidR="0011676E">
        <w:t>Osenvelt</w:t>
      </w:r>
      <w:r>
        <w:t xml:space="preserve"> obsahuje denosumab, bílkovinu (monoklonální protilátku), která zpomaluje odbourávání kosti způsobené šířením zhoubného nádoru do kosti (kostní metastáza) nebo </w:t>
      </w:r>
      <w:r w:rsidRPr="00BD471B">
        <w:t>velkobuněčným kostním nádorem.</w:t>
      </w:r>
    </w:p>
    <w:p w14:paraId="4C82B3CC" w14:textId="77777777" w:rsidR="000A22A9" w:rsidRDefault="000A22A9">
      <w:pPr>
        <w:numPr>
          <w:ilvl w:val="12"/>
          <w:numId w:val="0"/>
        </w:numPr>
        <w:tabs>
          <w:tab w:val="clear" w:pos="567"/>
        </w:tabs>
        <w:rPr>
          <w:rFonts w:eastAsia="MS Mincho"/>
          <w:szCs w:val="22"/>
          <w:lang w:eastAsia="ja-JP"/>
        </w:rPr>
      </w:pPr>
    </w:p>
    <w:p w14:paraId="4D3880F6" w14:textId="18F0432F" w:rsidR="000A22A9" w:rsidRDefault="003A2761">
      <w:pPr>
        <w:rPr>
          <w:bCs/>
          <w:iCs/>
          <w:szCs w:val="22"/>
        </w:rPr>
      </w:pPr>
      <w:r>
        <w:t xml:space="preserve">Přípravek </w:t>
      </w:r>
      <w:r w:rsidR="0011676E">
        <w:t>Osenvelt</w:t>
      </w:r>
      <w:r>
        <w:t xml:space="preserve"> se používá u dospělých pacientů s pokročilým zhoubným nádorovým onemocněním k prevenci závažných komplikací způsobených kostními metastázami (např. zlomeniny, útlak míchy nebo stavy vyžadující léčbu ozařováním nebo operaci).</w:t>
      </w:r>
    </w:p>
    <w:p w14:paraId="0BB82DC5" w14:textId="77777777" w:rsidR="000A22A9" w:rsidRDefault="000A22A9">
      <w:pPr>
        <w:rPr>
          <w:bCs/>
          <w:iCs/>
          <w:szCs w:val="22"/>
        </w:rPr>
      </w:pPr>
    </w:p>
    <w:p w14:paraId="33C08E39" w14:textId="544E2DD3" w:rsidR="000A22A9" w:rsidRDefault="003A2761">
      <w:pPr>
        <w:rPr>
          <w:szCs w:val="22"/>
        </w:rPr>
      </w:pPr>
      <w:r>
        <w:t xml:space="preserve">Přípravek </w:t>
      </w:r>
      <w:r w:rsidR="0011676E">
        <w:t>Osenvelt</w:t>
      </w:r>
      <w:r>
        <w:t xml:space="preserve"> se také používá u dospělých a dospívajících s ukončeným růstem kostí k léčbě velkobuněčného kostního nádoru, který není možné léčit chirurgicky nebo kde není chirurgický </w:t>
      </w:r>
      <w:r w:rsidR="001B28FE">
        <w:t xml:space="preserve">výkon </w:t>
      </w:r>
      <w:r>
        <w:t>nejlepší možností.</w:t>
      </w:r>
    </w:p>
    <w:p w14:paraId="7D1CE843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59073E16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05E5B3A1" w14:textId="5640E9FE" w:rsidR="000A22A9" w:rsidRDefault="003A2761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2.</w:t>
      </w:r>
      <w:r>
        <w:rPr>
          <w:b/>
        </w:rPr>
        <w:tab/>
        <w:t xml:space="preserve">Čemu musíte věnovat pozornost, než začnete přípravek </w:t>
      </w:r>
      <w:r w:rsidR="0011676E" w:rsidRPr="0041389A">
        <w:rPr>
          <w:b/>
          <w:bCs/>
        </w:rPr>
        <w:t>Osenvelt</w:t>
      </w:r>
      <w:r>
        <w:rPr>
          <w:b/>
        </w:rPr>
        <w:t xml:space="preserve"> používat</w:t>
      </w:r>
    </w:p>
    <w:p w14:paraId="5828CE9A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  <w:ind w:right="-2"/>
      </w:pPr>
    </w:p>
    <w:p w14:paraId="308ABCBE" w14:textId="135D9629" w:rsidR="000A22A9" w:rsidRDefault="003A2761" w:rsidP="002F6ACF">
      <w:pPr>
        <w:keepNext/>
        <w:rPr>
          <w:b/>
        </w:rPr>
      </w:pPr>
      <w:r>
        <w:rPr>
          <w:b/>
        </w:rPr>
        <w:t xml:space="preserve">Nepoužívejte přípravek </w:t>
      </w:r>
      <w:r w:rsidR="0011676E" w:rsidRPr="0041389A">
        <w:rPr>
          <w:b/>
          <w:bCs/>
        </w:rPr>
        <w:t>Osenvelt</w:t>
      </w:r>
    </w:p>
    <w:p w14:paraId="557793D9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  <w:outlineLvl w:val="0"/>
        <w:rPr>
          <w:b/>
        </w:rPr>
      </w:pPr>
    </w:p>
    <w:p w14:paraId="676FC8F7" w14:textId="77777777" w:rsidR="000A22A9" w:rsidRDefault="003A2761">
      <w:pPr>
        <w:numPr>
          <w:ilvl w:val="0"/>
          <w:numId w:val="27"/>
        </w:numPr>
        <w:ind w:left="567" w:hanging="567"/>
      </w:pPr>
      <w:r>
        <w:t>jestliže jste alergický(á) na denosumab nebo na kteroukoli další složku tohoto přípravku (uvedenou v bodě 6).</w:t>
      </w:r>
    </w:p>
    <w:p w14:paraId="467DA377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5CF4F01C" w14:textId="0856510E" w:rsidR="000A22A9" w:rsidRDefault="001B28FE">
      <w:pPr>
        <w:numPr>
          <w:ilvl w:val="12"/>
          <w:numId w:val="0"/>
        </w:numPr>
        <w:tabs>
          <w:tab w:val="clear" w:pos="567"/>
        </w:tabs>
      </w:pPr>
      <w:r>
        <w:t>L</w:t>
      </w:r>
      <w:r w:rsidR="003A2761">
        <w:t xml:space="preserve">ékař Vám nepodá přípravek </w:t>
      </w:r>
      <w:r w:rsidR="0011676E">
        <w:t>Osenvelt</w:t>
      </w:r>
      <w:r w:rsidR="003A2761">
        <w:t>, pokud máte velmi nízkou hladinu vápníku v krvi, která není léčena.</w:t>
      </w:r>
    </w:p>
    <w:p w14:paraId="3BAC40E2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5A41E85B" w14:textId="7270355D" w:rsidR="000A22A9" w:rsidRDefault="001B28FE">
      <w:pPr>
        <w:numPr>
          <w:ilvl w:val="12"/>
          <w:numId w:val="0"/>
        </w:numPr>
        <w:tabs>
          <w:tab w:val="clear" w:pos="567"/>
        </w:tabs>
      </w:pPr>
      <w:r>
        <w:lastRenderedPageBreak/>
        <w:t>L</w:t>
      </w:r>
      <w:r w:rsidR="003A2761">
        <w:t xml:space="preserve">ékař Vám nepodá přípravek </w:t>
      </w:r>
      <w:r w:rsidR="0011676E">
        <w:t>Osenvelt</w:t>
      </w:r>
      <w:r w:rsidR="003A2761">
        <w:t>, pokud mát</w:t>
      </w:r>
      <w:r w:rsidR="003A2761" w:rsidRPr="00BD471B">
        <w:t xml:space="preserve">e nezhojené rány po stomatologickém nebo chirurgickém </w:t>
      </w:r>
      <w:r w:rsidRPr="00BD471B">
        <w:t>výkonu</w:t>
      </w:r>
      <w:r w:rsidR="003A2761" w:rsidRPr="00BD471B">
        <w:t xml:space="preserve"> v ústech.</w:t>
      </w:r>
    </w:p>
    <w:p w14:paraId="2D7BC520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00461CD8" w14:textId="3DF202C7" w:rsidR="000A22A9" w:rsidRDefault="003A2761">
      <w:pPr>
        <w:keepNext/>
        <w:numPr>
          <w:ilvl w:val="12"/>
          <w:numId w:val="0"/>
        </w:numPr>
        <w:tabs>
          <w:tab w:val="clear" w:pos="567"/>
        </w:tabs>
        <w:ind w:right="-2"/>
        <w:outlineLvl w:val="0"/>
        <w:rPr>
          <w:b/>
        </w:rPr>
      </w:pPr>
      <w:r>
        <w:rPr>
          <w:b/>
        </w:rPr>
        <w:t>Upozornění a opatření</w:t>
      </w:r>
    </w:p>
    <w:p w14:paraId="1CCD3122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  <w:outlineLvl w:val="0"/>
      </w:pPr>
    </w:p>
    <w:p w14:paraId="06E2B4B5" w14:textId="55BC223A" w:rsidR="000A22A9" w:rsidRDefault="003A2761">
      <w:pPr>
        <w:keepNext/>
        <w:numPr>
          <w:ilvl w:val="12"/>
          <w:numId w:val="0"/>
        </w:numPr>
        <w:tabs>
          <w:tab w:val="clear" w:pos="567"/>
        </w:tabs>
        <w:outlineLvl w:val="0"/>
        <w:rPr>
          <w:b/>
        </w:rPr>
      </w:pPr>
      <w:r>
        <w:rPr>
          <w:b/>
        </w:rPr>
        <w:t xml:space="preserve">Před použitím přípravku </w:t>
      </w:r>
      <w:r w:rsidR="0011676E" w:rsidRPr="0041389A">
        <w:rPr>
          <w:b/>
          <w:bCs/>
        </w:rPr>
        <w:t>Osenvelt</w:t>
      </w:r>
      <w:r>
        <w:rPr>
          <w:b/>
        </w:rPr>
        <w:t xml:space="preserve"> se poraďte se svým lékařem.</w:t>
      </w:r>
    </w:p>
    <w:p w14:paraId="423B2CF7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</w:pPr>
    </w:p>
    <w:p w14:paraId="7338D5D2" w14:textId="77777777" w:rsidR="000A22A9" w:rsidRPr="00BD471B" w:rsidRDefault="003A2761">
      <w:pPr>
        <w:keepNext/>
        <w:numPr>
          <w:ilvl w:val="12"/>
          <w:numId w:val="0"/>
        </w:numPr>
        <w:tabs>
          <w:tab w:val="clear" w:pos="567"/>
        </w:tabs>
        <w:rPr>
          <w:u w:val="single"/>
        </w:rPr>
      </w:pPr>
      <w:r w:rsidRPr="00BD471B">
        <w:rPr>
          <w:u w:val="single"/>
        </w:rPr>
        <w:t>Užívání vápníku a vitaminu D</w:t>
      </w:r>
    </w:p>
    <w:p w14:paraId="666FCE2D" w14:textId="385B0FCD" w:rsidR="000A22A9" w:rsidRDefault="003A2761">
      <w:pPr>
        <w:tabs>
          <w:tab w:val="clear" w:pos="567"/>
        </w:tabs>
        <w:autoSpaceDE w:val="0"/>
        <w:autoSpaceDN w:val="0"/>
        <w:adjustRightInd w:val="0"/>
      </w:pPr>
      <w:r w:rsidRPr="00BD471B">
        <w:t xml:space="preserve">Při léčbě přípravkem </w:t>
      </w:r>
      <w:r w:rsidR="0011676E" w:rsidRPr="00BD471B">
        <w:t>Osenvelt</w:t>
      </w:r>
      <w:r w:rsidRPr="00BD471B">
        <w:t xml:space="preserve"> </w:t>
      </w:r>
      <w:r w:rsidR="008E7ECD" w:rsidRPr="00BD471B">
        <w:t>máte</w:t>
      </w:r>
      <w:r w:rsidRPr="00BD471B">
        <w:t xml:space="preserve"> užívat vápník a vitamin D, pokud nemáte vysokou hladinu vápníku v krvi. </w:t>
      </w:r>
      <w:r w:rsidR="008E7ECD" w:rsidRPr="00BD471B">
        <w:t>L</w:t>
      </w:r>
      <w:r w:rsidRPr="00BD471B">
        <w:t>ékař</w:t>
      </w:r>
      <w:r>
        <w:t xml:space="preserve"> se s Vámi domluví na jejich užívání. Máte-li nízkou hladinu vápníku v krvi, lékař Vám může vápník předepsat ještě před zahájením léčby přípravkem </w:t>
      </w:r>
      <w:r w:rsidR="0011676E">
        <w:t>Osenvelt</w:t>
      </w:r>
      <w:r>
        <w:t>.</w:t>
      </w:r>
    </w:p>
    <w:p w14:paraId="6A457BF9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06B1E151" w14:textId="77777777" w:rsidR="000A22A9" w:rsidRDefault="003A2761">
      <w:pPr>
        <w:keepNext/>
        <w:numPr>
          <w:ilvl w:val="12"/>
          <w:numId w:val="0"/>
        </w:numPr>
        <w:tabs>
          <w:tab w:val="clear" w:pos="567"/>
        </w:tabs>
        <w:rPr>
          <w:u w:val="single"/>
        </w:rPr>
      </w:pPr>
      <w:r>
        <w:rPr>
          <w:u w:val="single"/>
        </w:rPr>
        <w:t>Nízká hladina vápníku v krvi</w:t>
      </w:r>
    </w:p>
    <w:p w14:paraId="711D9C71" w14:textId="193DFD3E" w:rsidR="000A22A9" w:rsidRDefault="003A2761">
      <w:pPr>
        <w:numPr>
          <w:ilvl w:val="12"/>
          <w:numId w:val="0"/>
        </w:numPr>
        <w:tabs>
          <w:tab w:val="clear" w:pos="567"/>
        </w:tabs>
      </w:pPr>
      <w:r>
        <w:t xml:space="preserve">Informujte ihned svého lékaře, pokud se u Vás při léčbě přípravkem </w:t>
      </w:r>
      <w:r w:rsidR="0011676E">
        <w:t>Osenvelt</w:t>
      </w:r>
      <w:r>
        <w:t xml:space="preserve"> objeví </w:t>
      </w:r>
      <w:r w:rsidR="00BD471B">
        <w:t xml:space="preserve">svalové </w:t>
      </w:r>
      <w:r w:rsidR="008E7ECD" w:rsidRPr="00BD471B">
        <w:t>stahy</w:t>
      </w:r>
      <w:r w:rsidRPr="00BD471B">
        <w:t>, záškuby</w:t>
      </w:r>
      <w:r>
        <w:t xml:space="preserve"> nebo křeče a/nebo necitlivost či brnění v prstech na rukou, nohou nebo kolem úst a/nebo záchvaty</w:t>
      </w:r>
      <w:r w:rsidR="008E7ECD">
        <w:t xml:space="preserve"> křečí</w:t>
      </w:r>
      <w:r w:rsidR="00E923ED">
        <w:t xml:space="preserve"> (epileptické záchvaty)</w:t>
      </w:r>
      <w:r>
        <w:t xml:space="preserve">, zmatenost a ztráta vědomí. </w:t>
      </w:r>
      <w:r w:rsidR="008E7ECD">
        <w:t>Můžete mít</w:t>
      </w:r>
      <w:r>
        <w:t xml:space="preserve"> nízkou hladinu vápníku v krvi.</w:t>
      </w:r>
    </w:p>
    <w:p w14:paraId="180787D9" w14:textId="77777777" w:rsidR="000A22A9" w:rsidRDefault="000A22A9">
      <w:pPr>
        <w:tabs>
          <w:tab w:val="clear" w:pos="567"/>
        </w:tabs>
        <w:autoSpaceDE w:val="0"/>
        <w:autoSpaceDN w:val="0"/>
        <w:adjustRightInd w:val="0"/>
      </w:pPr>
    </w:p>
    <w:p w14:paraId="73F35FC7" w14:textId="77777777" w:rsidR="000A22A9" w:rsidRDefault="003A2761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Porucha funkce ledvin</w:t>
      </w:r>
    </w:p>
    <w:p w14:paraId="5AAE4E3A" w14:textId="77777777" w:rsidR="000A22A9" w:rsidRDefault="003A2761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>
        <w:t>Informujte svého lékaře, pokud máte nebo jste někdy měl(a) závažné potíže s ledvinami, selhání ledvin nebo jste potřeboval(a) dialýzu. Jedná se o stavy, které mohou zvyšovat riziko nízké hladiny vápníku v krvi, obzvlášť pokud neužíváte vápník.</w:t>
      </w:r>
    </w:p>
    <w:p w14:paraId="6BFBE780" w14:textId="77777777" w:rsidR="000A22A9" w:rsidRDefault="000A22A9">
      <w:pPr>
        <w:tabs>
          <w:tab w:val="clear" w:pos="567"/>
        </w:tabs>
        <w:autoSpaceDE w:val="0"/>
        <w:autoSpaceDN w:val="0"/>
        <w:adjustRightInd w:val="0"/>
      </w:pPr>
    </w:p>
    <w:p w14:paraId="39ED10F0" w14:textId="114C18FB" w:rsidR="000A22A9" w:rsidRDefault="003A2761">
      <w:pPr>
        <w:keepNext/>
        <w:tabs>
          <w:tab w:val="clear" w:pos="567"/>
        </w:tabs>
        <w:rPr>
          <w:rFonts w:eastAsia="SimSun"/>
          <w:szCs w:val="22"/>
        </w:rPr>
      </w:pPr>
      <w:r>
        <w:rPr>
          <w:u w:val="single"/>
        </w:rPr>
        <w:t xml:space="preserve">Potíže s ústy, zuby </w:t>
      </w:r>
      <w:r w:rsidR="00E923ED">
        <w:rPr>
          <w:u w:val="single"/>
        </w:rPr>
        <w:t>nebo</w:t>
      </w:r>
      <w:r>
        <w:rPr>
          <w:u w:val="single"/>
        </w:rPr>
        <w:t xml:space="preserve"> čelist</w:t>
      </w:r>
      <w:r w:rsidR="00E923ED">
        <w:rPr>
          <w:u w:val="single"/>
        </w:rPr>
        <w:t>í</w:t>
      </w:r>
    </w:p>
    <w:p w14:paraId="56AF8F58" w14:textId="2C17B39E" w:rsidR="000A22A9" w:rsidRDefault="003A2761">
      <w:pPr>
        <w:tabs>
          <w:tab w:val="clear" w:pos="567"/>
        </w:tabs>
        <w:rPr>
          <w:rFonts w:eastAsia="SimSun"/>
          <w:szCs w:val="22"/>
        </w:rPr>
      </w:pPr>
      <w:r>
        <w:t>U pacientů</w:t>
      </w:r>
      <w:r w:rsidR="008E7ECD">
        <w:t>, kteří dostávají injekce</w:t>
      </w:r>
      <w:r>
        <w:t xml:space="preserve"> </w:t>
      </w:r>
      <w:r w:rsidR="00921E69">
        <w:t>denosumabu</w:t>
      </w:r>
      <w:r>
        <w:t xml:space="preserve"> </w:t>
      </w:r>
      <w:r w:rsidR="008E7ECD">
        <w:t>k</w:t>
      </w:r>
      <w:r>
        <w:t xml:space="preserve"> léčb</w:t>
      </w:r>
      <w:r w:rsidR="008E7ECD">
        <w:t>ě</w:t>
      </w:r>
      <w:r>
        <w:t xml:space="preserve"> stavů spojených s nádorovým onemocněním byl často (může postihnout až 1 z 10 pacientů) hlášen nežádoucí účinek nazývaný osteonekróza čelisti (poškození kosti v čelisti). Osteonekróza čelisti se může rovněž vyskytnout po ukončení léčby.</w:t>
      </w:r>
    </w:p>
    <w:p w14:paraId="281AF9BD" w14:textId="77777777" w:rsidR="000A22A9" w:rsidRDefault="000A22A9">
      <w:pPr>
        <w:tabs>
          <w:tab w:val="clear" w:pos="567"/>
        </w:tabs>
        <w:rPr>
          <w:rFonts w:eastAsia="SimSun"/>
          <w:szCs w:val="22"/>
          <w:lang w:eastAsia="en-GB"/>
        </w:rPr>
      </w:pPr>
    </w:p>
    <w:p w14:paraId="2DEB882D" w14:textId="458F86F8" w:rsidR="000A22A9" w:rsidRDefault="003A2761" w:rsidP="004F749C">
      <w:pPr>
        <w:keepNext/>
        <w:tabs>
          <w:tab w:val="clear" w:pos="567"/>
        </w:tabs>
        <w:rPr>
          <w:rFonts w:eastAsia="SimSun"/>
          <w:szCs w:val="22"/>
        </w:rPr>
      </w:pPr>
      <w:r>
        <w:t xml:space="preserve">Je důležité pokusit se vzniku osteonekrózy čelisti zabránit, protože může být bolestivá a její léčba může být složitá. Aby se snížilo riziko vzniku osteonekrózy čelisti, </w:t>
      </w:r>
      <w:r w:rsidR="008E7ECD">
        <w:t>dodržujte</w:t>
      </w:r>
      <w:r>
        <w:t xml:space="preserve"> tato opatření:</w:t>
      </w:r>
    </w:p>
    <w:p w14:paraId="3FD3E8E2" w14:textId="77777777" w:rsidR="000A22A9" w:rsidRDefault="000A22A9" w:rsidP="004F749C">
      <w:pPr>
        <w:keepNext/>
        <w:tabs>
          <w:tab w:val="clear" w:pos="567"/>
        </w:tabs>
        <w:rPr>
          <w:rFonts w:eastAsia="SimSun"/>
          <w:szCs w:val="22"/>
          <w:lang w:eastAsia="en-GB"/>
        </w:rPr>
      </w:pPr>
    </w:p>
    <w:p w14:paraId="3F9A0B54" w14:textId="2F6715D9" w:rsidR="000A22A9" w:rsidRDefault="003A2761" w:rsidP="004F749C">
      <w:pPr>
        <w:numPr>
          <w:ilvl w:val="0"/>
          <w:numId w:val="22"/>
        </w:numPr>
        <w:ind w:left="567" w:hanging="567"/>
        <w:rPr>
          <w:rFonts w:eastAsia="SimSun"/>
          <w:szCs w:val="22"/>
        </w:rPr>
      </w:pPr>
      <w:r>
        <w:t xml:space="preserve">Před zahájením léčby řekněte svému lékaři / zdravotní sestře (zdravotnickému pracovníkovi) pokud máte problémy v ústech nebo se zuby. Lékař odloží zahájení léčby, pokud máte nezhojené rány po </w:t>
      </w:r>
      <w:r w:rsidRPr="005B2550">
        <w:t xml:space="preserve">stomatologickém nebo chirurgickém </w:t>
      </w:r>
      <w:r w:rsidR="008E7ECD" w:rsidRPr="005B2550">
        <w:t>výkonu</w:t>
      </w:r>
      <w:r w:rsidR="00BD471B">
        <w:t xml:space="preserve"> v </w:t>
      </w:r>
      <w:r w:rsidR="00E0180B">
        <w:t>ústech</w:t>
      </w:r>
      <w:r>
        <w:t xml:space="preserve">. Lékař Vám může doporučit, abyste před zahájením léčby přípravkem </w:t>
      </w:r>
      <w:r w:rsidR="0011676E">
        <w:t>Osenvelt</w:t>
      </w:r>
      <w:r>
        <w:t xml:space="preserve"> podstoupil(a) zubní prohlídku.</w:t>
      </w:r>
    </w:p>
    <w:p w14:paraId="13B17E91" w14:textId="0E4CEA27" w:rsidR="000A22A9" w:rsidRDefault="003A2761">
      <w:pPr>
        <w:numPr>
          <w:ilvl w:val="0"/>
          <w:numId w:val="22"/>
        </w:numPr>
        <w:ind w:left="567" w:hanging="567"/>
        <w:rPr>
          <w:rFonts w:eastAsia="SimSun"/>
          <w:szCs w:val="22"/>
        </w:rPr>
      </w:pPr>
      <w:r>
        <w:t xml:space="preserve">Při léčbě přípravkem </w:t>
      </w:r>
      <w:r w:rsidR="00705546">
        <w:t>Osenvelt</w:t>
      </w:r>
      <w:r>
        <w:t xml:space="preserve"> je důležité pečlivě dodržovat hygienu dutiny ústní a pravidelně chodit na zubní prohlídky. Pokud máte zubní protézu, ujistěte se, že dobře sedí.</w:t>
      </w:r>
    </w:p>
    <w:p w14:paraId="1B514D7B" w14:textId="37BFA459" w:rsidR="000A22A9" w:rsidRDefault="003A2761">
      <w:pPr>
        <w:keepNext/>
        <w:numPr>
          <w:ilvl w:val="0"/>
          <w:numId w:val="22"/>
        </w:numPr>
        <w:ind w:left="567" w:hanging="567"/>
        <w:rPr>
          <w:rFonts w:eastAsia="SimSun"/>
          <w:szCs w:val="22"/>
        </w:rPr>
      </w:pPr>
      <w:r>
        <w:t xml:space="preserve">Jestliže se aktuálně léčíte u zubaře nebo pokud se chystáte podstoupit stomatologický </w:t>
      </w:r>
      <w:r w:rsidR="008E7ECD">
        <w:t>výkon</w:t>
      </w:r>
      <w:r>
        <w:t xml:space="preserve"> (např. vytržení zubu), informujte o tom svého lékaře a sdělte svému zubaři, že jste léčen(a) přípravkem </w:t>
      </w:r>
      <w:r w:rsidR="0011676E">
        <w:t>Osenvelt</w:t>
      </w:r>
      <w:r>
        <w:t>.</w:t>
      </w:r>
    </w:p>
    <w:p w14:paraId="19162221" w14:textId="6EA42832" w:rsidR="000A22A9" w:rsidRDefault="003A2761">
      <w:pPr>
        <w:numPr>
          <w:ilvl w:val="0"/>
          <w:numId w:val="22"/>
        </w:numPr>
        <w:ind w:left="567" w:hanging="567"/>
        <w:rPr>
          <w:rFonts w:eastAsia="SimSun"/>
          <w:szCs w:val="22"/>
        </w:rPr>
      </w:pPr>
      <w:r>
        <w:t xml:space="preserve">Kontaktujte </w:t>
      </w:r>
      <w:r w:rsidR="008E7ECD">
        <w:t>okamžitě</w:t>
      </w:r>
      <w:r>
        <w:t xml:space="preserve"> svého lékaře a zubaře, pokud se u Vás objeví potíže v ústech nebo se zuby, jako je například vypadnutí zubu, bolest či otok, nehojící se vředy či výtok, protože to mohou být </w:t>
      </w:r>
      <w:r w:rsidR="008E7ECD">
        <w:t>známky</w:t>
      </w:r>
      <w:r>
        <w:t xml:space="preserve"> osteonekrózy čelisti.</w:t>
      </w:r>
    </w:p>
    <w:p w14:paraId="0128198B" w14:textId="77777777" w:rsidR="000A22A9" w:rsidRDefault="000A22A9">
      <w:pPr>
        <w:tabs>
          <w:tab w:val="clear" w:pos="567"/>
        </w:tabs>
        <w:rPr>
          <w:b/>
        </w:rPr>
      </w:pPr>
    </w:p>
    <w:p w14:paraId="7A689CE5" w14:textId="20BDF64F" w:rsidR="000A22A9" w:rsidRDefault="003A2761">
      <w:r w:rsidRPr="00E0180B">
        <w:t xml:space="preserve">Pacienti léčení chemoterapií a/nebo radioterapií, užívající kortikosteroidy nebo antiangiogenní přípravky (používané </w:t>
      </w:r>
      <w:r w:rsidR="008E7ECD" w:rsidRPr="00E0180B">
        <w:t>k</w:t>
      </w:r>
      <w:r w:rsidRPr="00E0180B">
        <w:t xml:space="preserve"> léčb</w:t>
      </w:r>
      <w:r w:rsidR="008E7ECD" w:rsidRPr="00E0180B">
        <w:t>ě</w:t>
      </w:r>
      <w:r w:rsidRPr="00E0180B">
        <w:t xml:space="preserve"> nádorových onemocnění</w:t>
      </w:r>
      <w:r>
        <w:t xml:space="preserve">), podstupující stomatologický </w:t>
      </w:r>
      <w:r w:rsidR="00E0180B" w:rsidRPr="00E0180B">
        <w:t>zákrok</w:t>
      </w:r>
      <w:r w:rsidRPr="00E0180B">
        <w:t>,</w:t>
      </w:r>
      <w:r>
        <w:t xml:space="preserve"> pacienti bez pravidelné stomatologické péče, </w:t>
      </w:r>
      <w:r w:rsidR="008E7ECD">
        <w:t>s onemocněním dásní nebo</w:t>
      </w:r>
      <w:r>
        <w:t xml:space="preserve"> kuřáci, mohou být ve zvýšené míře ohroženi vznikem osteonekrózy čelisti.</w:t>
      </w:r>
    </w:p>
    <w:p w14:paraId="1A57EE43" w14:textId="77777777" w:rsidR="000A22A9" w:rsidRDefault="000A22A9">
      <w:pPr>
        <w:tabs>
          <w:tab w:val="clear" w:pos="567"/>
        </w:tabs>
        <w:rPr>
          <w:rFonts w:eastAsia="SimSun"/>
          <w:szCs w:val="22"/>
          <w:lang w:eastAsia="en-GB"/>
        </w:rPr>
      </w:pPr>
    </w:p>
    <w:p w14:paraId="3A5C431A" w14:textId="3C0E54D6" w:rsidR="000A22A9" w:rsidRDefault="008E7ECD">
      <w:pPr>
        <w:keepNext/>
        <w:autoSpaceDE w:val="0"/>
        <w:autoSpaceDN w:val="0"/>
        <w:adjustRightInd w:val="0"/>
        <w:rPr>
          <w:szCs w:val="22"/>
        </w:rPr>
      </w:pPr>
      <w:r>
        <w:rPr>
          <w:u w:val="single"/>
        </w:rPr>
        <w:t>Atypické</w:t>
      </w:r>
      <w:r w:rsidR="003A2761">
        <w:rPr>
          <w:u w:val="single"/>
        </w:rPr>
        <w:t xml:space="preserve"> zlomeniny stehenní kosti</w:t>
      </w:r>
    </w:p>
    <w:p w14:paraId="00871038" w14:textId="4E10BD6D" w:rsidR="000A22A9" w:rsidRDefault="003A2761">
      <w:pPr>
        <w:autoSpaceDE w:val="0"/>
        <w:autoSpaceDN w:val="0"/>
        <w:adjustRightInd w:val="0"/>
      </w:pPr>
      <w:r>
        <w:t xml:space="preserve">Při léčbě </w:t>
      </w:r>
      <w:r w:rsidR="0011676E" w:rsidRPr="009A3C79">
        <w:t>denosumab</w:t>
      </w:r>
      <w:r w:rsidR="0011676E">
        <w:t xml:space="preserve">em </w:t>
      </w:r>
      <w:r>
        <w:t xml:space="preserve">se u některých pacientů vyskytly </w:t>
      </w:r>
      <w:r w:rsidR="008E7ECD">
        <w:t>atypické</w:t>
      </w:r>
      <w:r>
        <w:t xml:space="preserve"> zlomeniny stehenní kosti. Pokud se u Vás vyskytne nová nebo neobvyklá bolest v oblasti kyčle, třísla nebo stehna, kontaktujte svého lékaře.</w:t>
      </w:r>
    </w:p>
    <w:p w14:paraId="5885EAAA" w14:textId="77777777" w:rsidR="000A22A9" w:rsidRDefault="000A22A9">
      <w:pPr>
        <w:autoSpaceDE w:val="0"/>
        <w:autoSpaceDN w:val="0"/>
        <w:adjustRightInd w:val="0"/>
        <w:rPr>
          <w:szCs w:val="22"/>
        </w:rPr>
      </w:pPr>
    </w:p>
    <w:p w14:paraId="2488700D" w14:textId="733FE94B" w:rsidR="000A22A9" w:rsidRDefault="003A2761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lastRenderedPageBreak/>
        <w:t xml:space="preserve">Vysoké hladiny vápníku v krvi po ukončení léčby </w:t>
      </w:r>
      <w:r w:rsidR="0011676E" w:rsidRPr="003A10C0">
        <w:rPr>
          <w:u w:val="single"/>
        </w:rPr>
        <w:t>denosumabem</w:t>
      </w:r>
    </w:p>
    <w:p w14:paraId="213F5E11" w14:textId="75E5D542" w:rsidR="000A22A9" w:rsidRDefault="003A2761">
      <w:pPr>
        <w:tabs>
          <w:tab w:val="clear" w:pos="567"/>
        </w:tabs>
        <w:autoSpaceDE w:val="0"/>
        <w:autoSpaceDN w:val="0"/>
        <w:adjustRightInd w:val="0"/>
      </w:pPr>
      <w:r>
        <w:t xml:space="preserve">U některých pacientů s velkobuněčným kostním nádorem byly týdny až měsíce po ukončení léčby zjištěny vysoké hladiny vápníku v krvi. Lékař bude po ukončení léčby přípravkem </w:t>
      </w:r>
      <w:r w:rsidR="0011676E">
        <w:t>Osenvelt</w:t>
      </w:r>
      <w:r>
        <w:t xml:space="preserve"> u Vás sledovat známky a příznaky vysoké hladiny vápníku.</w:t>
      </w:r>
    </w:p>
    <w:p w14:paraId="1708869F" w14:textId="77777777" w:rsidR="000A22A9" w:rsidRDefault="000A22A9">
      <w:pPr>
        <w:tabs>
          <w:tab w:val="clear" w:pos="567"/>
        </w:tabs>
        <w:autoSpaceDE w:val="0"/>
        <w:autoSpaceDN w:val="0"/>
        <w:adjustRightInd w:val="0"/>
      </w:pPr>
    </w:p>
    <w:p w14:paraId="3D215070" w14:textId="77777777" w:rsidR="000A22A9" w:rsidRDefault="003A2761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Děti a dospívající</w:t>
      </w:r>
    </w:p>
    <w:p w14:paraId="20908915" w14:textId="329EEB53" w:rsidR="000A22A9" w:rsidRDefault="003A2761">
      <w:pPr>
        <w:numPr>
          <w:ilvl w:val="12"/>
          <w:numId w:val="0"/>
        </w:numPr>
        <w:tabs>
          <w:tab w:val="clear" w:pos="567"/>
        </w:tabs>
      </w:pPr>
      <w:r>
        <w:t xml:space="preserve">Přípravek </w:t>
      </w:r>
      <w:r w:rsidR="0011676E">
        <w:t>Osenvelt</w:t>
      </w:r>
      <w:r>
        <w:t xml:space="preserve"> se nedoporučuje podávat pacientům mladším 18 let s výjimkou dospívajících s velkobuněčným kostním nádorem, jejichž kosti již přestaly růst. Podávání přípravku </w:t>
      </w:r>
      <w:r w:rsidR="0011676E">
        <w:t>Osenvelt</w:t>
      </w:r>
      <w:r>
        <w:t xml:space="preserve"> dětem a dospívajícím s jinými nádorovými onemocněními, která se rozšířila do kostí, nebylo </w:t>
      </w:r>
      <w:r w:rsidR="00F676A8">
        <w:t>hodnoceno</w:t>
      </w:r>
      <w:r>
        <w:t>.</w:t>
      </w:r>
    </w:p>
    <w:p w14:paraId="63E7A765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</w:p>
    <w:p w14:paraId="490DB372" w14:textId="36444C83" w:rsidR="000A22A9" w:rsidRDefault="003A2761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 xml:space="preserve">Další léčivé přípravky a přípravek </w:t>
      </w:r>
      <w:r w:rsidR="0011676E" w:rsidRPr="005644B3">
        <w:rPr>
          <w:b/>
          <w:bCs/>
        </w:rPr>
        <w:t>Osenvelt</w:t>
      </w:r>
    </w:p>
    <w:p w14:paraId="6A704345" w14:textId="77777777" w:rsidR="000A22A9" w:rsidRDefault="003A2761" w:rsidP="004F749C">
      <w:pPr>
        <w:keepNext/>
        <w:numPr>
          <w:ilvl w:val="12"/>
          <w:numId w:val="0"/>
        </w:numPr>
      </w:pPr>
      <w:r>
        <w:t>Informujte svého lékaře nebo lékárníka o všech lécích, které užíváte, které jste v nedávné době užíval(a) nebo které možná budete užívat. To zahrnuje i léky dostupné bez lékařského předpisu. Je obzvláště důležité, abyste svého lékaře informoval(a), pokud užíváte</w:t>
      </w:r>
    </w:p>
    <w:p w14:paraId="6FD1917E" w14:textId="77777777" w:rsidR="000A22A9" w:rsidRDefault="003A2761">
      <w:pPr>
        <w:keepNext/>
        <w:numPr>
          <w:ilvl w:val="0"/>
          <w:numId w:val="6"/>
        </w:numPr>
        <w:ind w:left="567" w:right="-2" w:hanging="567"/>
      </w:pPr>
      <w:r>
        <w:t>jiný přípravek obsahující denosumab</w:t>
      </w:r>
    </w:p>
    <w:p w14:paraId="55C79066" w14:textId="77777777" w:rsidR="000A22A9" w:rsidRDefault="003A2761">
      <w:pPr>
        <w:numPr>
          <w:ilvl w:val="0"/>
          <w:numId w:val="6"/>
        </w:numPr>
        <w:ind w:left="567" w:right="-2" w:hanging="567"/>
      </w:pPr>
      <w:r>
        <w:t>bisfosfonáty</w:t>
      </w:r>
    </w:p>
    <w:p w14:paraId="63FB7C2F" w14:textId="77777777" w:rsidR="000A22A9" w:rsidRDefault="000A22A9">
      <w:pPr>
        <w:numPr>
          <w:ilvl w:val="12"/>
          <w:numId w:val="0"/>
        </w:numPr>
        <w:ind w:right="-2"/>
      </w:pPr>
    </w:p>
    <w:p w14:paraId="41D7FCD4" w14:textId="2C74D5BC" w:rsidR="000A22A9" w:rsidRDefault="003A2761">
      <w:pPr>
        <w:numPr>
          <w:ilvl w:val="12"/>
          <w:numId w:val="0"/>
        </w:numPr>
        <w:ind w:right="-2"/>
      </w:pPr>
      <w:r>
        <w:t xml:space="preserve">Přípravek </w:t>
      </w:r>
      <w:r w:rsidR="00081067">
        <w:t>Osenvelt</w:t>
      </w:r>
      <w:r>
        <w:t xml:space="preserve"> se nesmí používat současně s jinými léčivými přípravky obsahujícími denosumab nebo bisfosfonáty.</w:t>
      </w:r>
    </w:p>
    <w:p w14:paraId="160B1E1F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438F3B37" w14:textId="1EA8D661" w:rsidR="000A22A9" w:rsidRDefault="003A2761">
      <w:pPr>
        <w:keepNext/>
        <w:numPr>
          <w:ilvl w:val="12"/>
          <w:numId w:val="0"/>
        </w:numPr>
        <w:tabs>
          <w:tab w:val="clear" w:pos="567"/>
        </w:tabs>
        <w:outlineLvl w:val="0"/>
        <w:rPr>
          <w:b/>
        </w:rPr>
      </w:pPr>
      <w:r>
        <w:rPr>
          <w:b/>
        </w:rPr>
        <w:t>Těhotenství a kojení</w:t>
      </w:r>
    </w:p>
    <w:p w14:paraId="63B3E768" w14:textId="15B69297" w:rsidR="000A22A9" w:rsidRDefault="003A2761">
      <w:r>
        <w:t xml:space="preserve">Přípravek </w:t>
      </w:r>
      <w:r w:rsidR="00081067">
        <w:t>Osenvelt</w:t>
      </w:r>
      <w:r>
        <w:t xml:space="preserve"> nebyl </w:t>
      </w:r>
      <w:r w:rsidR="008E7ECD">
        <w:t>hodnocen</w:t>
      </w:r>
      <w:r>
        <w:t xml:space="preserve"> u těhotných žen. Je důležité, abyste svého lékaře informovala, pokud jste těhotná, domníváte se, že můžete být těhotná, nebo plánujete otěhotnět. Přípravek </w:t>
      </w:r>
      <w:r w:rsidR="00081067">
        <w:t>Osenvelt</w:t>
      </w:r>
      <w:r>
        <w:t xml:space="preserve"> se nedoporučuje podávat těhotným ženám. </w:t>
      </w:r>
      <w:r w:rsidRPr="00E0180B">
        <w:t>Ženy v</w:t>
      </w:r>
      <w:r w:rsidR="00DF3251" w:rsidRPr="000C0C60">
        <w:t>e</w:t>
      </w:r>
      <w:r w:rsidRPr="00E0180B">
        <w:t xml:space="preserve"> věku</w:t>
      </w:r>
      <w:r w:rsidR="00DF3251" w:rsidRPr="000C0C60">
        <w:t>, kdy mohou otěhotnět,</w:t>
      </w:r>
      <w:r w:rsidRPr="00E0180B">
        <w:t xml:space="preserve"> musí při</w:t>
      </w:r>
      <w:r>
        <w:t xml:space="preserve"> léčbě přípravkem </w:t>
      </w:r>
      <w:r w:rsidR="00081067">
        <w:t>Osenvelt</w:t>
      </w:r>
      <w:r>
        <w:t xml:space="preserve"> a minimálně po dobu 5 měsíců po ukončení léčby přípravkem </w:t>
      </w:r>
      <w:r w:rsidR="00081067">
        <w:t>Osenvelt</w:t>
      </w:r>
      <w:r>
        <w:t xml:space="preserve"> používat účinnou metodu antikoncepce.</w:t>
      </w:r>
    </w:p>
    <w:p w14:paraId="07C163C4" w14:textId="77777777" w:rsidR="000A22A9" w:rsidRDefault="000A22A9">
      <w:pPr>
        <w:pStyle w:val="lbltxt"/>
        <w:ind w:right="-1"/>
        <w:rPr>
          <w:szCs w:val="22"/>
        </w:rPr>
      </w:pPr>
    </w:p>
    <w:p w14:paraId="211D07A8" w14:textId="1822709E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t xml:space="preserve">Pokud při léčbě přípravkem </w:t>
      </w:r>
      <w:r w:rsidR="00081067">
        <w:t>Osenvelt</w:t>
      </w:r>
      <w:r>
        <w:t xml:space="preserve"> nebo v období kratším než 5 měsíců po ukončení léčby přípravkem </w:t>
      </w:r>
      <w:r w:rsidR="00081067">
        <w:t>Osenvelt</w:t>
      </w:r>
      <w:r>
        <w:t xml:space="preserve"> otěhotníte, informujte svého lékaře.</w:t>
      </w:r>
    </w:p>
    <w:p w14:paraId="71BB8D5F" w14:textId="77777777" w:rsidR="000A22A9" w:rsidRDefault="000A22A9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432B7171" w14:textId="31A15F5C" w:rsidR="000A22A9" w:rsidRDefault="003A2761">
      <w:pPr>
        <w:pStyle w:val="lbltxt"/>
        <w:rPr>
          <w:szCs w:val="22"/>
        </w:rPr>
      </w:pPr>
      <w:r>
        <w:t xml:space="preserve">Není známo, zda se přípravek </w:t>
      </w:r>
      <w:r w:rsidR="00081067">
        <w:t>Osenvelt</w:t>
      </w:r>
      <w:r>
        <w:t xml:space="preserve"> vylučuje do mateřského mléka. Je důležité, abyste svého lékaře informovala, pokud kojíte nebo se chystáte kojit. </w:t>
      </w:r>
      <w:r w:rsidR="008E7ECD">
        <w:t>L</w:t>
      </w:r>
      <w:r>
        <w:t xml:space="preserve">ékař Vám pomůže se rozhodnout, zda přestat kojit nebo ukončit léčbu přípravkem </w:t>
      </w:r>
      <w:r w:rsidR="00081067">
        <w:t>Osenvelt</w:t>
      </w:r>
      <w:r>
        <w:t xml:space="preserve">. Je třeba zvážit přínos kojení pro dítě a přínos léčby přípravkem </w:t>
      </w:r>
      <w:r w:rsidR="00081067">
        <w:t>Osenvelt</w:t>
      </w:r>
      <w:r>
        <w:t xml:space="preserve"> pro matku.</w:t>
      </w:r>
    </w:p>
    <w:p w14:paraId="74ABE6AC" w14:textId="77777777" w:rsidR="000A22A9" w:rsidRDefault="000A22A9">
      <w:pPr>
        <w:pStyle w:val="lbltxt"/>
        <w:rPr>
          <w:szCs w:val="22"/>
        </w:rPr>
      </w:pPr>
    </w:p>
    <w:p w14:paraId="01BD4089" w14:textId="7C4714FE" w:rsidR="000A22A9" w:rsidRDefault="003A2761">
      <w:pPr>
        <w:autoSpaceDE w:val="0"/>
        <w:autoSpaceDN w:val="0"/>
        <w:adjustRightInd w:val="0"/>
        <w:rPr>
          <w:szCs w:val="22"/>
        </w:rPr>
      </w:pPr>
      <w:r>
        <w:t xml:space="preserve">Pokud při léčbě přípravkem </w:t>
      </w:r>
      <w:r w:rsidR="00081067">
        <w:t>Osenvelt</w:t>
      </w:r>
      <w:r>
        <w:t xml:space="preserve"> kojíte, informujte svého lékaře.</w:t>
      </w:r>
    </w:p>
    <w:p w14:paraId="5461788C" w14:textId="77777777" w:rsidR="000A22A9" w:rsidRDefault="000A22A9">
      <w:pPr>
        <w:pStyle w:val="lbltxt"/>
        <w:ind w:right="-1"/>
      </w:pPr>
    </w:p>
    <w:p w14:paraId="3A5A7638" w14:textId="77777777" w:rsidR="000A22A9" w:rsidRDefault="003A2761">
      <w:pPr>
        <w:numPr>
          <w:ilvl w:val="12"/>
          <w:numId w:val="0"/>
        </w:numPr>
      </w:pPr>
      <w:r>
        <w:t>Poraďte se se svým lékařem nebo lékárníkem dříve, než začnete užívat jakýkoliv lék.</w:t>
      </w:r>
    </w:p>
    <w:p w14:paraId="3B760747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  <w:outlineLvl w:val="0"/>
        <w:rPr>
          <w:b/>
        </w:rPr>
      </w:pPr>
    </w:p>
    <w:p w14:paraId="3A020CD4" w14:textId="1F6A646D" w:rsidR="000A22A9" w:rsidRDefault="003A2761">
      <w:pPr>
        <w:keepNext/>
        <w:numPr>
          <w:ilvl w:val="12"/>
          <w:numId w:val="0"/>
        </w:numPr>
        <w:tabs>
          <w:tab w:val="clear" w:pos="567"/>
        </w:tabs>
        <w:ind w:right="-2"/>
        <w:outlineLvl w:val="0"/>
      </w:pPr>
      <w:r>
        <w:rPr>
          <w:b/>
        </w:rPr>
        <w:t>Řízení dopravních prostředků a obsluha strojů</w:t>
      </w:r>
    </w:p>
    <w:p w14:paraId="1C1217F3" w14:textId="5C99F67C" w:rsidR="000A22A9" w:rsidRDefault="003A2761">
      <w:pPr>
        <w:numPr>
          <w:ilvl w:val="12"/>
          <w:numId w:val="0"/>
        </w:numPr>
      </w:pPr>
      <w:r>
        <w:t xml:space="preserve">Přípravek </w:t>
      </w:r>
      <w:r w:rsidR="00081067">
        <w:t>Osenvelt</w:t>
      </w:r>
      <w:r>
        <w:t xml:space="preserve"> nemá žádný nebo má zanedbatelný vliv na schopnost řídit nebo obsluhovat stroje.</w:t>
      </w:r>
    </w:p>
    <w:p w14:paraId="7D2D8231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55E8857D" w14:textId="1991CC70" w:rsidR="000A22A9" w:rsidRDefault="00081067">
      <w:pPr>
        <w:pStyle w:val="lbltxt"/>
        <w:keepNext/>
        <w:rPr>
          <w:b/>
        </w:rPr>
      </w:pPr>
      <w:r w:rsidRPr="005644B3">
        <w:rPr>
          <w:b/>
          <w:bCs/>
        </w:rPr>
        <w:t>Osenvelt</w:t>
      </w:r>
      <w:r w:rsidR="003A2761">
        <w:rPr>
          <w:b/>
        </w:rPr>
        <w:t xml:space="preserve"> obsahuje sorbitol</w:t>
      </w:r>
      <w:r>
        <w:rPr>
          <w:b/>
        </w:rPr>
        <w:t xml:space="preserve"> (E 420)</w:t>
      </w:r>
    </w:p>
    <w:p w14:paraId="71D38BC1" w14:textId="2D66B2D2" w:rsidR="000A22A9" w:rsidRDefault="003A2761">
      <w:pPr>
        <w:pStyle w:val="lbltxt"/>
      </w:pPr>
      <w:r>
        <w:t xml:space="preserve">Tento léčivý přípravek obsahuje </w:t>
      </w:r>
      <w:r w:rsidR="00081067">
        <w:t>79,9</w:t>
      </w:r>
      <w:r>
        <w:t> mg sorbitolu v jedné injekční lahvičce.</w:t>
      </w:r>
    </w:p>
    <w:p w14:paraId="5BA569E4" w14:textId="77777777" w:rsidR="000A22A9" w:rsidRDefault="000A22A9">
      <w:pPr>
        <w:pStyle w:val="lbltxt"/>
      </w:pPr>
    </w:p>
    <w:p w14:paraId="73DC4217" w14:textId="57E6DCCF" w:rsidR="000A22A9" w:rsidRDefault="00081067">
      <w:pPr>
        <w:keepNext/>
        <w:autoSpaceDE w:val="0"/>
        <w:autoSpaceDN w:val="0"/>
        <w:adjustRightInd w:val="0"/>
        <w:rPr>
          <w:b/>
          <w:szCs w:val="22"/>
        </w:rPr>
      </w:pPr>
      <w:r w:rsidRPr="005644B3">
        <w:rPr>
          <w:b/>
          <w:bCs/>
        </w:rPr>
        <w:t>Osenvelt</w:t>
      </w:r>
      <w:r w:rsidR="003A2761">
        <w:rPr>
          <w:b/>
        </w:rPr>
        <w:t xml:space="preserve"> obsahuje sodík</w:t>
      </w:r>
    </w:p>
    <w:p w14:paraId="33B45B7E" w14:textId="2E972316" w:rsidR="000A22A9" w:rsidRDefault="003A2761">
      <w:pPr>
        <w:autoSpaceDE w:val="0"/>
        <w:autoSpaceDN w:val="0"/>
        <w:adjustRightInd w:val="0"/>
      </w:pPr>
      <w:r>
        <w:t>Tento léčivý přípravek obsahuje méně než 1 mmol (23 mg) sodíku v jedné dávce (120 mg), to znamená, že je v podstatě „bez sodíku“.</w:t>
      </w:r>
    </w:p>
    <w:p w14:paraId="56235155" w14:textId="77777777" w:rsidR="009D4B58" w:rsidRDefault="009D4B58">
      <w:pPr>
        <w:autoSpaceDE w:val="0"/>
        <w:autoSpaceDN w:val="0"/>
        <w:adjustRightInd w:val="0"/>
      </w:pPr>
    </w:p>
    <w:p w14:paraId="01DB5F6B" w14:textId="6596931A" w:rsidR="009D4B58" w:rsidRPr="005644B3" w:rsidRDefault="009D4B58" w:rsidP="005644B3">
      <w:pPr>
        <w:keepNext/>
        <w:autoSpaceDE w:val="0"/>
        <w:autoSpaceDN w:val="0"/>
        <w:adjustRightInd w:val="0"/>
        <w:rPr>
          <w:b/>
          <w:bCs/>
        </w:rPr>
      </w:pPr>
      <w:r w:rsidRPr="004B64FC">
        <w:rPr>
          <w:b/>
          <w:bCs/>
        </w:rPr>
        <w:t>Osenvelt obsahuje polysorbát</w:t>
      </w:r>
      <w:r w:rsidR="005644B3" w:rsidRPr="004B64FC">
        <w:rPr>
          <w:b/>
          <w:bCs/>
        </w:rPr>
        <w:t> </w:t>
      </w:r>
      <w:r w:rsidRPr="004B64FC">
        <w:rPr>
          <w:b/>
          <w:bCs/>
        </w:rPr>
        <w:t>20</w:t>
      </w:r>
      <w:r w:rsidRPr="005644B3">
        <w:rPr>
          <w:b/>
          <w:bCs/>
        </w:rPr>
        <w:t xml:space="preserve"> (E</w:t>
      </w:r>
      <w:r w:rsidR="005644B3">
        <w:rPr>
          <w:b/>
          <w:bCs/>
        </w:rPr>
        <w:t> </w:t>
      </w:r>
      <w:r w:rsidRPr="005644B3">
        <w:rPr>
          <w:b/>
          <w:bCs/>
        </w:rPr>
        <w:t>432)</w:t>
      </w:r>
    </w:p>
    <w:p w14:paraId="24707E95" w14:textId="4A9BC28F" w:rsidR="009D4B58" w:rsidRDefault="009D4B58" w:rsidP="005644B3">
      <w:pPr>
        <w:autoSpaceDE w:val="0"/>
        <w:autoSpaceDN w:val="0"/>
        <w:adjustRightInd w:val="0"/>
        <w:rPr>
          <w:szCs w:val="22"/>
        </w:rPr>
      </w:pPr>
      <w:r>
        <w:t xml:space="preserve">Tento léčivý přípravek obsahuje 0,17 mg polysorbátu 20 v jedné injekční lahvičce, což odpovídá 0,1 mg/ml. Polysorbáty mohou způsobit alergické reakce. </w:t>
      </w:r>
      <w:r w:rsidRPr="001155FD">
        <w:t>Informujte svého lékaře, pokud máte jakékoli alergie.</w:t>
      </w:r>
    </w:p>
    <w:p w14:paraId="2926C60B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4F886298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3E3B4FD0" w14:textId="7B41FB7C" w:rsidR="000A22A9" w:rsidRDefault="003A2761" w:rsidP="00DC11C5">
      <w:pPr>
        <w:tabs>
          <w:tab w:val="clear" w:pos="567"/>
        </w:tabs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 xml:space="preserve">Jak se přípravek </w:t>
      </w:r>
      <w:r w:rsidR="009D4B58">
        <w:rPr>
          <w:b/>
        </w:rPr>
        <w:t xml:space="preserve">Osenvelt </w:t>
      </w:r>
      <w:r>
        <w:rPr>
          <w:b/>
        </w:rPr>
        <w:t>používá</w:t>
      </w:r>
    </w:p>
    <w:p w14:paraId="0471BC4D" w14:textId="77777777" w:rsidR="000A22A9" w:rsidRDefault="000A22A9" w:rsidP="00DC11C5">
      <w:pPr>
        <w:tabs>
          <w:tab w:val="clear" w:pos="567"/>
        </w:tabs>
      </w:pPr>
    </w:p>
    <w:p w14:paraId="1A51925E" w14:textId="2D59C467" w:rsidR="000A22A9" w:rsidRDefault="003A2761" w:rsidP="00DC11C5">
      <w:pPr>
        <w:numPr>
          <w:ilvl w:val="12"/>
          <w:numId w:val="0"/>
        </w:numPr>
        <w:rPr>
          <w:szCs w:val="22"/>
        </w:rPr>
      </w:pPr>
      <w:r>
        <w:lastRenderedPageBreak/>
        <w:t xml:space="preserve">Za podání přípravku </w:t>
      </w:r>
      <w:r w:rsidR="009D4B58">
        <w:t>Osenvelt</w:t>
      </w:r>
      <w:r>
        <w:t xml:space="preserve"> zodpovídá zdravotnický pracovník.</w:t>
      </w:r>
    </w:p>
    <w:p w14:paraId="4668E30F" w14:textId="77777777" w:rsidR="000A22A9" w:rsidRDefault="000A22A9" w:rsidP="00DC11C5">
      <w:pPr>
        <w:numPr>
          <w:ilvl w:val="12"/>
          <w:numId w:val="0"/>
        </w:numPr>
        <w:rPr>
          <w:szCs w:val="22"/>
        </w:rPr>
      </w:pPr>
    </w:p>
    <w:p w14:paraId="40DB9828" w14:textId="3B98564E" w:rsidR="000A22A9" w:rsidRDefault="003A2761" w:rsidP="00DC11C5">
      <w:pPr>
        <w:numPr>
          <w:ilvl w:val="12"/>
          <w:numId w:val="0"/>
        </w:numPr>
        <w:rPr>
          <w:szCs w:val="22"/>
        </w:rPr>
      </w:pPr>
      <w:r>
        <w:t xml:space="preserve">Doporučená dávka přípravku </w:t>
      </w:r>
      <w:r w:rsidR="009D4B58">
        <w:t>Osenvelt</w:t>
      </w:r>
      <w:r>
        <w:t xml:space="preserve"> je 120 mg, podává se jednou za 4 týdny ve formě </w:t>
      </w:r>
      <w:r w:rsidRPr="00E0180B">
        <w:t>jednorázové</w:t>
      </w:r>
      <w:r>
        <w:t xml:space="preserve"> podkožní (subkutánní) injekce do stehna, břicha nebo horní části paže. Pokud se léčíte s velkobuněčným kostním nádorem, dostanete další dávku 1 týden a 2 týdny po první dávce.</w:t>
      </w:r>
    </w:p>
    <w:p w14:paraId="43690AFA" w14:textId="77777777" w:rsidR="000A22A9" w:rsidRDefault="000A22A9">
      <w:pPr>
        <w:numPr>
          <w:ilvl w:val="12"/>
          <w:numId w:val="0"/>
        </w:numPr>
        <w:rPr>
          <w:szCs w:val="22"/>
        </w:rPr>
      </w:pPr>
    </w:p>
    <w:p w14:paraId="2FD6E77F" w14:textId="77777777" w:rsidR="000A22A9" w:rsidRDefault="003A2761">
      <w:pPr>
        <w:numPr>
          <w:ilvl w:val="12"/>
          <w:numId w:val="0"/>
        </w:numPr>
        <w:rPr>
          <w:bCs/>
          <w:szCs w:val="22"/>
        </w:rPr>
      </w:pPr>
      <w:r>
        <w:t>Přípravkem netřepejte.</w:t>
      </w:r>
    </w:p>
    <w:p w14:paraId="627BC256" w14:textId="77777777" w:rsidR="000A22A9" w:rsidRDefault="000A22A9">
      <w:pPr>
        <w:numPr>
          <w:ilvl w:val="12"/>
          <w:numId w:val="0"/>
        </w:numPr>
        <w:rPr>
          <w:szCs w:val="22"/>
        </w:rPr>
      </w:pPr>
    </w:p>
    <w:p w14:paraId="274ACEBA" w14:textId="3F8296C7" w:rsidR="000A22A9" w:rsidRDefault="003A2761">
      <w:r>
        <w:t xml:space="preserve">Při léčbě přípravkem </w:t>
      </w:r>
      <w:r w:rsidR="009D4B58">
        <w:t>Osenvelt</w:t>
      </w:r>
      <w:r>
        <w:t xml:space="preserve"> </w:t>
      </w:r>
      <w:r w:rsidR="00DF0C7D">
        <w:t>máte</w:t>
      </w:r>
      <w:r>
        <w:t xml:space="preserve"> užívat také vápník a vitamin D, </w:t>
      </w:r>
      <w:r w:rsidRPr="00E0180B">
        <w:t>pokud nemáte nadbytek vápníku</w:t>
      </w:r>
      <w:r>
        <w:t xml:space="preserve"> v krvi. </w:t>
      </w:r>
      <w:r w:rsidR="00DF0C7D">
        <w:t>L</w:t>
      </w:r>
      <w:r>
        <w:t>ékař se s Vámi domluví na jejich užívání.</w:t>
      </w:r>
    </w:p>
    <w:p w14:paraId="05724DB6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50750FB0" w14:textId="05654189" w:rsidR="000A22A9" w:rsidRDefault="003A2761">
      <w:pPr>
        <w:pStyle w:val="ab"/>
        <w:rPr>
          <w:rStyle w:val="aa"/>
          <w:sz w:val="22"/>
          <w:szCs w:val="22"/>
        </w:rPr>
      </w:pPr>
      <w:r>
        <w:rPr>
          <w:sz w:val="22"/>
        </w:rPr>
        <w:t xml:space="preserve">Máte-li jakékoli další otázky týkající se </w:t>
      </w:r>
      <w:r w:rsidR="00DF0C7D">
        <w:rPr>
          <w:sz w:val="22"/>
        </w:rPr>
        <w:t>po</w:t>
      </w:r>
      <w:r>
        <w:rPr>
          <w:sz w:val="22"/>
        </w:rPr>
        <w:t>užívání tohoto přípravku, zeptejte se svého lékaře, lékárníka nebo zdravotní sestry.</w:t>
      </w:r>
    </w:p>
    <w:p w14:paraId="35E7C667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17B333BD" w14:textId="77777777" w:rsidR="000A22A9" w:rsidRDefault="000A22A9">
      <w:pPr>
        <w:numPr>
          <w:ilvl w:val="12"/>
          <w:numId w:val="0"/>
        </w:numPr>
        <w:tabs>
          <w:tab w:val="clear" w:pos="567"/>
        </w:tabs>
      </w:pPr>
    </w:p>
    <w:p w14:paraId="50D496BA" w14:textId="77777777" w:rsidR="000A22A9" w:rsidRDefault="003A2761">
      <w:pPr>
        <w:keepNext/>
        <w:tabs>
          <w:tab w:val="clear" w:pos="567"/>
        </w:tabs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  <w:t>Možné nežádoucí účinky</w:t>
      </w:r>
    </w:p>
    <w:p w14:paraId="06A738D6" w14:textId="77777777" w:rsidR="000A22A9" w:rsidRDefault="000A22A9">
      <w:pPr>
        <w:keepNext/>
        <w:tabs>
          <w:tab w:val="clear" w:pos="567"/>
        </w:tabs>
        <w:rPr>
          <w:b/>
        </w:rPr>
      </w:pPr>
    </w:p>
    <w:p w14:paraId="583C265C" w14:textId="77777777" w:rsidR="000A22A9" w:rsidRDefault="003A2761">
      <w:pPr>
        <w:numPr>
          <w:ilvl w:val="12"/>
          <w:numId w:val="0"/>
        </w:numPr>
        <w:tabs>
          <w:tab w:val="clear" w:pos="567"/>
        </w:tabs>
      </w:pPr>
      <w:r>
        <w:t>Podobně jako všechny léky, může mít i tento přípravek nežádoucí účinky, které se ale nemusí vyskytnout u každého.</w:t>
      </w:r>
    </w:p>
    <w:p w14:paraId="16986F3E" w14:textId="77777777" w:rsidR="000A22A9" w:rsidRDefault="000A22A9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70F04C80" w14:textId="4DFD4BEF" w:rsidR="000A22A9" w:rsidRDefault="003A2761">
      <w:pPr>
        <w:keepNext/>
        <w:tabs>
          <w:tab w:val="clear" w:pos="567"/>
        </w:tabs>
        <w:rPr>
          <w:szCs w:val="22"/>
        </w:rPr>
      </w:pPr>
      <w:r>
        <w:rPr>
          <w:b/>
        </w:rPr>
        <w:t xml:space="preserve">Informujte </w:t>
      </w:r>
      <w:r w:rsidR="008E7ECD">
        <w:rPr>
          <w:b/>
        </w:rPr>
        <w:t>okamžitě</w:t>
      </w:r>
      <w:r>
        <w:rPr>
          <w:b/>
        </w:rPr>
        <w:t xml:space="preserve"> svého lékaře</w:t>
      </w:r>
      <w:r>
        <w:t xml:space="preserve">, pokud se u Vás při léčbě přípravkem </w:t>
      </w:r>
      <w:r w:rsidR="009D4B58">
        <w:t>Osenvelt</w:t>
      </w:r>
      <w:r>
        <w:t xml:space="preserve"> objeví </w:t>
      </w:r>
      <w:r w:rsidR="008E7ECD">
        <w:t>kter</w:t>
      </w:r>
      <w:r w:rsidR="00F478DA">
        <w:t>ý</w:t>
      </w:r>
      <w:r w:rsidR="008E7ECD">
        <w:t>koli</w:t>
      </w:r>
      <w:r>
        <w:t xml:space="preserve"> z těchto příznaků (mohou postihnout více než 1 z 10 pacientů):</w:t>
      </w:r>
    </w:p>
    <w:p w14:paraId="4DB3C66E" w14:textId="14F7E4C3" w:rsidR="000A22A9" w:rsidRDefault="00E0180B">
      <w:pPr>
        <w:numPr>
          <w:ilvl w:val="0"/>
          <w:numId w:val="5"/>
        </w:numPr>
        <w:tabs>
          <w:tab w:val="clear" w:pos="567"/>
        </w:tabs>
        <w:ind w:left="567" w:right="-2" w:hanging="567"/>
        <w:rPr>
          <w:szCs w:val="22"/>
        </w:rPr>
      </w:pPr>
      <w:r w:rsidRPr="000C0C60">
        <w:t xml:space="preserve">svalové </w:t>
      </w:r>
      <w:r w:rsidR="00F478DA" w:rsidRPr="00E0180B">
        <w:t>sta</w:t>
      </w:r>
      <w:r w:rsidRPr="000C0C60">
        <w:t>hy</w:t>
      </w:r>
      <w:r w:rsidR="003A2761" w:rsidRPr="00E0180B">
        <w:t>, záškuby</w:t>
      </w:r>
      <w:r w:rsidR="003A2761">
        <w:t xml:space="preserve">, </w:t>
      </w:r>
      <w:r>
        <w:t>nebo</w:t>
      </w:r>
      <w:r w:rsidR="003A2761">
        <w:t xml:space="preserve"> křeče, necitlivost či brnění v prstech na rukou, nohou nebo kolem úst a/nebo záchvaty</w:t>
      </w:r>
      <w:r w:rsidR="00F478DA">
        <w:t xml:space="preserve"> křečí</w:t>
      </w:r>
      <w:r w:rsidR="00DF3251">
        <w:t xml:space="preserve"> (epileptické záchvaty)</w:t>
      </w:r>
      <w:r w:rsidR="003A2761">
        <w:t xml:space="preserve">, zmatenost nebo ztráta vědomí. </w:t>
      </w:r>
      <w:r w:rsidR="00F478DA">
        <w:t>M</w:t>
      </w:r>
      <w:r w:rsidR="003A2761">
        <w:t xml:space="preserve">ohou </w:t>
      </w:r>
      <w:r w:rsidR="00F478DA">
        <w:t xml:space="preserve">to </w:t>
      </w:r>
      <w:r w:rsidR="003A2761">
        <w:t xml:space="preserve">být </w:t>
      </w:r>
      <w:r w:rsidR="00F478DA">
        <w:t xml:space="preserve">známky </w:t>
      </w:r>
      <w:r w:rsidR="003A2761">
        <w:t xml:space="preserve">nízké hladiny vápníku v krvi. Nízká hladina vápníku v krvi může vést ke změně srdečního rytmu, nazývané </w:t>
      </w:r>
      <w:r w:rsidR="003A2761" w:rsidRPr="00E0180B">
        <w:t xml:space="preserve">prodloužení </w:t>
      </w:r>
      <w:r w:rsidR="00DF3251" w:rsidRPr="00E0180B">
        <w:t xml:space="preserve">intervalu </w:t>
      </w:r>
      <w:r w:rsidR="003A2761" w:rsidRPr="00E0180B">
        <w:t>QT, které</w:t>
      </w:r>
      <w:r w:rsidR="003A2761">
        <w:t xml:space="preserve"> lze pozorovat na elektrokardiogramu (EKG).</w:t>
      </w:r>
    </w:p>
    <w:p w14:paraId="04D05496" w14:textId="77777777" w:rsidR="000A22A9" w:rsidRDefault="000A22A9">
      <w:pPr>
        <w:tabs>
          <w:tab w:val="clear" w:pos="567"/>
        </w:tabs>
        <w:ind w:right="-2"/>
        <w:rPr>
          <w:szCs w:val="22"/>
        </w:rPr>
      </w:pPr>
    </w:p>
    <w:p w14:paraId="4749C42D" w14:textId="050FC471" w:rsidR="000A22A9" w:rsidRDefault="003A2761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b/>
        </w:rPr>
        <w:t xml:space="preserve">Informujte </w:t>
      </w:r>
      <w:r w:rsidR="008E7ECD">
        <w:rPr>
          <w:b/>
        </w:rPr>
        <w:t>okamžitě</w:t>
      </w:r>
      <w:r>
        <w:rPr>
          <w:b/>
        </w:rPr>
        <w:t xml:space="preserve"> svého lékaře a zubaře, </w:t>
      </w:r>
      <w:r>
        <w:t xml:space="preserve">pokud se u Vás při léčbě přípravkem </w:t>
      </w:r>
      <w:r w:rsidR="009D4B58">
        <w:t>Osenvelt</w:t>
      </w:r>
      <w:r>
        <w:t xml:space="preserve"> nebo po ukončení léčby vyskytnou </w:t>
      </w:r>
      <w:r w:rsidR="008E7ECD">
        <w:t>kterékoli</w:t>
      </w:r>
      <w:r>
        <w:t xml:space="preserve"> z těchto příznaků (mohou postihnout až 1 z 10 pacientů):</w:t>
      </w:r>
    </w:p>
    <w:p w14:paraId="73F7C956" w14:textId="77777777" w:rsidR="000A22A9" w:rsidRDefault="003A2761" w:rsidP="004F749C">
      <w:pPr>
        <w:numPr>
          <w:ilvl w:val="0"/>
          <w:numId w:val="5"/>
        </w:numPr>
        <w:tabs>
          <w:tab w:val="clear" w:pos="567"/>
        </w:tabs>
        <w:ind w:left="567" w:hanging="567"/>
        <w:rPr>
          <w:szCs w:val="22"/>
        </w:rPr>
      </w:pPr>
      <w:r>
        <w:t xml:space="preserve">neustupující bolest v ústech a/nebo čelisti a/nebo otok nebo nehojící se vřed v ústech nebo čelisti, výtok, </w:t>
      </w:r>
      <w:r w:rsidRPr="005B2550">
        <w:t>necitlivost nebo pocit tíhy čelisti, nebo uvolnění zubu mohou</w:t>
      </w:r>
      <w:r>
        <w:t xml:space="preserve"> být známkou poškození kosti čelisti (tzv. osteonekróza).</w:t>
      </w:r>
    </w:p>
    <w:p w14:paraId="03F3E407" w14:textId="77777777" w:rsidR="000A22A9" w:rsidRDefault="000A22A9" w:rsidP="004F749C">
      <w:pPr>
        <w:pStyle w:val="lbltxt"/>
        <w:rPr>
          <w:b/>
          <w:szCs w:val="22"/>
        </w:rPr>
      </w:pPr>
    </w:p>
    <w:p w14:paraId="3E7F96B7" w14:textId="77777777" w:rsidR="000A22A9" w:rsidRDefault="003A2761">
      <w:pPr>
        <w:keepNext/>
        <w:tabs>
          <w:tab w:val="clear" w:pos="567"/>
        </w:tabs>
        <w:autoSpaceDE w:val="0"/>
        <w:autoSpaceDN w:val="0"/>
        <w:adjustRightInd w:val="0"/>
        <w:rPr>
          <w:b/>
          <w:bCs/>
          <w:szCs w:val="22"/>
        </w:rPr>
      </w:pPr>
      <w:r>
        <w:rPr>
          <w:b/>
        </w:rPr>
        <w:t>Velmi časté nežádoucí účinky</w:t>
      </w:r>
      <w:r>
        <w:t xml:space="preserve"> (mohou postihnout více než 1 z 10 pacientů):</w:t>
      </w:r>
    </w:p>
    <w:p w14:paraId="3FC5D0D5" w14:textId="77777777" w:rsidR="000A22A9" w:rsidRDefault="003A2761" w:rsidP="004F749C">
      <w:pPr>
        <w:numPr>
          <w:ilvl w:val="0"/>
          <w:numId w:val="4"/>
        </w:numPr>
        <w:tabs>
          <w:tab w:val="clear" w:pos="567"/>
          <w:tab w:val="clear" w:pos="720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bolest kostí, kloubů a/nebo svalů, která je někdy závažná,</w:t>
      </w:r>
    </w:p>
    <w:p w14:paraId="22E959DE" w14:textId="77777777" w:rsidR="000A22A9" w:rsidRDefault="003A2761">
      <w:pPr>
        <w:keepNext/>
        <w:numPr>
          <w:ilvl w:val="0"/>
          <w:numId w:val="4"/>
        </w:numPr>
        <w:tabs>
          <w:tab w:val="clear" w:pos="567"/>
          <w:tab w:val="clear" w:pos="720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dušnost,</w:t>
      </w:r>
    </w:p>
    <w:p w14:paraId="6D294EFF" w14:textId="77777777" w:rsidR="000A22A9" w:rsidRDefault="003A2761">
      <w:pPr>
        <w:numPr>
          <w:ilvl w:val="0"/>
          <w:numId w:val="4"/>
        </w:numPr>
        <w:tabs>
          <w:tab w:val="clear" w:pos="567"/>
          <w:tab w:val="clear" w:pos="720"/>
        </w:tabs>
        <w:autoSpaceDE w:val="0"/>
        <w:autoSpaceDN w:val="0"/>
        <w:adjustRightInd w:val="0"/>
        <w:ind w:left="567" w:hanging="567"/>
        <w:rPr>
          <w:b/>
          <w:bCs/>
          <w:szCs w:val="22"/>
        </w:rPr>
      </w:pPr>
      <w:r>
        <w:t>průjem.</w:t>
      </w:r>
    </w:p>
    <w:p w14:paraId="64C87310" w14:textId="77777777" w:rsidR="000A22A9" w:rsidRDefault="000A22A9">
      <w:pPr>
        <w:keepNext/>
        <w:tabs>
          <w:tab w:val="clear" w:pos="567"/>
        </w:tabs>
        <w:autoSpaceDE w:val="0"/>
        <w:autoSpaceDN w:val="0"/>
        <w:adjustRightInd w:val="0"/>
        <w:rPr>
          <w:b/>
          <w:bCs/>
        </w:rPr>
      </w:pPr>
    </w:p>
    <w:p w14:paraId="78F31256" w14:textId="77777777" w:rsidR="000A22A9" w:rsidRDefault="003A2761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  <w:r>
        <w:rPr>
          <w:b/>
        </w:rPr>
        <w:t>Časté nežádoucí účinky</w:t>
      </w:r>
      <w:r>
        <w:t xml:space="preserve"> (mohou postihnout až 1 z 10 pacientů):</w:t>
      </w:r>
    </w:p>
    <w:p w14:paraId="2013722B" w14:textId="396FD72F" w:rsidR="000A22A9" w:rsidRDefault="003A2761" w:rsidP="004F749C">
      <w:pPr>
        <w:numPr>
          <w:ilvl w:val="0"/>
          <w:numId w:val="4"/>
        </w:numPr>
        <w:tabs>
          <w:tab w:val="clear" w:pos="567"/>
          <w:tab w:val="clear" w:pos="720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nízká hladina fosforu v krvi (hypofosfat</w:t>
      </w:r>
      <w:r w:rsidR="008E7ECD">
        <w:t>e</w:t>
      </w:r>
      <w:r>
        <w:t>mie),</w:t>
      </w:r>
    </w:p>
    <w:p w14:paraId="250F9817" w14:textId="77777777" w:rsidR="000A22A9" w:rsidRDefault="003A2761" w:rsidP="004F749C">
      <w:pPr>
        <w:numPr>
          <w:ilvl w:val="0"/>
          <w:numId w:val="4"/>
        </w:numPr>
        <w:tabs>
          <w:tab w:val="clear" w:pos="567"/>
          <w:tab w:val="clear" w:pos="720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vypadnutí zubu,</w:t>
      </w:r>
    </w:p>
    <w:p w14:paraId="624A743C" w14:textId="77777777" w:rsidR="000A22A9" w:rsidRDefault="003A2761" w:rsidP="004F749C">
      <w:pPr>
        <w:keepNext/>
        <w:numPr>
          <w:ilvl w:val="0"/>
          <w:numId w:val="4"/>
        </w:numPr>
        <w:tabs>
          <w:tab w:val="clear" w:pos="567"/>
          <w:tab w:val="clear" w:pos="720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nadměrné pocení,</w:t>
      </w:r>
    </w:p>
    <w:p w14:paraId="5D59FF61" w14:textId="46F0299F" w:rsidR="000A22A9" w:rsidRPr="005B2550" w:rsidRDefault="003A2761" w:rsidP="004F749C">
      <w:pPr>
        <w:numPr>
          <w:ilvl w:val="0"/>
          <w:numId w:val="4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</w:pPr>
      <w:r w:rsidRPr="005B2550">
        <w:t>u pacientů s pokročilým nádorovým onemocněním</w:t>
      </w:r>
      <w:r w:rsidR="005B2550">
        <w:t>:</w:t>
      </w:r>
      <w:r w:rsidRPr="005B2550">
        <w:t xml:space="preserve"> vznik další formy rakoviny.</w:t>
      </w:r>
    </w:p>
    <w:p w14:paraId="60A7276B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ind w:firstLine="567"/>
        <w:rPr>
          <w:b/>
          <w:bCs/>
          <w:szCs w:val="22"/>
        </w:rPr>
      </w:pPr>
    </w:p>
    <w:p w14:paraId="07A02564" w14:textId="77777777" w:rsidR="000A22A9" w:rsidRDefault="003A2761">
      <w:pPr>
        <w:keepNext/>
        <w:tabs>
          <w:tab w:val="clear" w:pos="567"/>
        </w:tabs>
        <w:autoSpaceDE w:val="0"/>
        <w:autoSpaceDN w:val="0"/>
        <w:adjustRightInd w:val="0"/>
        <w:rPr>
          <w:bCs/>
          <w:szCs w:val="22"/>
        </w:rPr>
      </w:pPr>
      <w:r>
        <w:rPr>
          <w:b/>
        </w:rPr>
        <w:t>Méně časté nežádoucí účinky</w:t>
      </w:r>
      <w:r>
        <w:t xml:space="preserve"> (mohou postihnout až 1 ze 100 pacientů):</w:t>
      </w:r>
    </w:p>
    <w:p w14:paraId="25C727ED" w14:textId="77777777" w:rsidR="000A22A9" w:rsidRDefault="003A2761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vysoké hladiny vápníku v krvi (hyperkalcemie) po ukončení léčby u pacientů s velkobuněčným kostním nádorem,</w:t>
      </w:r>
    </w:p>
    <w:p w14:paraId="64536438" w14:textId="77777777" w:rsidR="000A22A9" w:rsidRDefault="003A2761" w:rsidP="004F749C">
      <w:pPr>
        <w:keepNext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nová nebo neobvyklá bolest v oblasti kyčle, třísla nebo stehna (může to být časný příznak možné zlomeniny stehenní kosti),</w:t>
      </w:r>
    </w:p>
    <w:p w14:paraId="6E38B03A" w14:textId="77777777" w:rsidR="000A22A9" w:rsidRDefault="003A2761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ind w:left="567" w:hanging="567"/>
      </w:pPr>
      <w:r>
        <w:t>vyrážka, která se může objevit na kůži, nebo vředy v ústech (lichenoidní erupce způsobené léky).</w:t>
      </w:r>
    </w:p>
    <w:p w14:paraId="0FCD92E4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rPr>
          <w:b/>
        </w:rPr>
      </w:pPr>
    </w:p>
    <w:p w14:paraId="5C88E501" w14:textId="77777777" w:rsidR="000A22A9" w:rsidRDefault="003A2761">
      <w:pPr>
        <w:keepNext/>
        <w:tabs>
          <w:tab w:val="clear" w:pos="567"/>
        </w:tabs>
        <w:autoSpaceDE w:val="0"/>
        <w:autoSpaceDN w:val="0"/>
        <w:adjustRightInd w:val="0"/>
      </w:pPr>
      <w:r>
        <w:rPr>
          <w:b/>
        </w:rPr>
        <w:lastRenderedPageBreak/>
        <w:t>Vzácné nežádoucí účinky</w:t>
      </w:r>
      <w:r>
        <w:t xml:space="preserve"> (mohou postihnout až 1 z 1 000 pacientů):</w:t>
      </w:r>
    </w:p>
    <w:p w14:paraId="0AC64FB4" w14:textId="129EE70A" w:rsidR="000A22A9" w:rsidRDefault="003A2761" w:rsidP="004F749C">
      <w:pPr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>
        <w:t>alergické reakce (např. síp</w:t>
      </w:r>
      <w:r w:rsidR="008E7ECD">
        <w:t>ot</w:t>
      </w:r>
      <w:r>
        <w:t xml:space="preserve"> </w:t>
      </w:r>
      <w:r w:rsidRPr="005B2550">
        <w:t>nebo dechové obtíže;</w:t>
      </w:r>
      <w:r>
        <w:t xml:space="preserve"> otok obličeje, rtů, jazyka, hrdla nebo jiných částí těla; vyrážka, svědění nebo výsev kopřivky na kůži). Ve vzácných případech mohou být alergické reakce závažné.</w:t>
      </w:r>
    </w:p>
    <w:p w14:paraId="74EC54ED" w14:textId="77777777" w:rsidR="000A22A9" w:rsidRDefault="000A22A9" w:rsidP="004F749C">
      <w:pPr>
        <w:tabs>
          <w:tab w:val="clear" w:pos="567"/>
        </w:tabs>
        <w:rPr>
          <w:b/>
        </w:rPr>
      </w:pPr>
    </w:p>
    <w:p w14:paraId="2982EC34" w14:textId="7512309D" w:rsidR="000A22A9" w:rsidRDefault="003A2761">
      <w:pPr>
        <w:keepNext/>
        <w:tabs>
          <w:tab w:val="clear" w:pos="567"/>
        </w:tabs>
      </w:pPr>
      <w:r>
        <w:rPr>
          <w:b/>
        </w:rPr>
        <w:t>Není známo</w:t>
      </w:r>
      <w:r>
        <w:t xml:space="preserve"> (z dostupných údajů nelze </w:t>
      </w:r>
      <w:r w:rsidR="008E7ECD">
        <w:t>frekvenci</w:t>
      </w:r>
      <w:r>
        <w:t xml:space="preserve"> určit):</w:t>
      </w:r>
    </w:p>
    <w:p w14:paraId="1EAC5425" w14:textId="55DFE9E6" w:rsidR="000A22A9" w:rsidRDefault="003A2761">
      <w:pPr>
        <w:numPr>
          <w:ilvl w:val="0"/>
          <w:numId w:val="23"/>
        </w:numPr>
      </w:pPr>
      <w:r>
        <w:t>Poraďte se se svým lékařem, pokud máte bolest ucha, výtok z ucha a/nebo infekci ucha. M</w:t>
      </w:r>
      <w:r w:rsidR="008E7ECD">
        <w:t>ůže</w:t>
      </w:r>
      <w:r>
        <w:t xml:space="preserve"> se jednat o známky poškození kosti v uchu.</w:t>
      </w:r>
    </w:p>
    <w:p w14:paraId="5424CD55" w14:textId="77777777" w:rsidR="000A22A9" w:rsidRDefault="000A22A9">
      <w:pPr>
        <w:tabs>
          <w:tab w:val="clear" w:pos="567"/>
        </w:tabs>
        <w:autoSpaceDE w:val="0"/>
        <w:autoSpaceDN w:val="0"/>
        <w:adjustRightInd w:val="0"/>
        <w:ind w:left="360"/>
      </w:pPr>
    </w:p>
    <w:p w14:paraId="22E61112" w14:textId="109B27CC" w:rsidR="000A22A9" w:rsidRDefault="003A2761">
      <w:pPr>
        <w:keepNext/>
        <w:numPr>
          <w:ilvl w:val="12"/>
          <w:numId w:val="0"/>
        </w:numPr>
        <w:outlineLvl w:val="0"/>
        <w:rPr>
          <w:b/>
          <w:szCs w:val="22"/>
        </w:rPr>
      </w:pPr>
      <w:r>
        <w:rPr>
          <w:b/>
        </w:rPr>
        <w:t>Hlášení nežádoucích účinků</w:t>
      </w:r>
    </w:p>
    <w:p w14:paraId="6F29952F" w14:textId="4B1644C9" w:rsidR="000A22A9" w:rsidRDefault="003A2761" w:rsidP="002F6ACF">
      <w:pPr>
        <w:pStyle w:val="BodytextAgency"/>
        <w:spacing w:after="0" w:line="240" w:lineRule="auto"/>
        <w:rPr>
          <w:rFonts w:eastAsia="PMingLiU"/>
          <w:szCs w:val="20"/>
        </w:rPr>
      </w:pPr>
      <w:r>
        <w:t xml:space="preserve">Pokud se u Vás vyskytne kterýkoli z nežádoucích účinků, sdělte to svému lékaři, lékárníkovi nebo zdravotní sestře. Stejně postupujte v případě jakýchkoli nežádoucích účinků, které nejsou uvedeny v této příbalové informaci. Nežádoucí účinky můžete hlásit také přímo prostřednictvím </w:t>
      </w:r>
      <w:r>
        <w:rPr>
          <w:highlight w:val="lightGray"/>
        </w:rPr>
        <w:t>národního systému hlášení nežádoucích účinků uvedeného v </w:t>
      </w:r>
      <w:hyperlink r:id="rId17" w:history="1">
        <w:r>
          <w:rPr>
            <w:rStyle w:val="ad"/>
            <w:highlight w:val="lightGray"/>
          </w:rPr>
          <w:t>Dodatku V</w:t>
        </w:r>
      </w:hyperlink>
      <w:r>
        <w:t>. Nahlášením nežádoucích účinků můžete přispět k získání více informací o bezpečnosti tohoto přípravku.</w:t>
      </w:r>
    </w:p>
    <w:p w14:paraId="294D2E60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10F8EDEC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38CC306E" w14:textId="00830171" w:rsidR="000A22A9" w:rsidRDefault="003A2761">
      <w:pPr>
        <w:keepNext/>
        <w:numPr>
          <w:ilvl w:val="12"/>
          <w:numId w:val="0"/>
        </w:numPr>
        <w:tabs>
          <w:tab w:val="clear" w:pos="567"/>
        </w:tabs>
        <w:ind w:left="567" w:hanging="567"/>
      </w:pPr>
      <w:r>
        <w:rPr>
          <w:b/>
        </w:rPr>
        <w:t>5.</w:t>
      </w:r>
      <w:r>
        <w:rPr>
          <w:b/>
        </w:rPr>
        <w:tab/>
        <w:t xml:space="preserve">Jak přípravek </w:t>
      </w:r>
      <w:r w:rsidR="009D4B58" w:rsidRPr="005644B3">
        <w:rPr>
          <w:b/>
          <w:bCs/>
        </w:rPr>
        <w:t>Osenvelt</w:t>
      </w:r>
      <w:r>
        <w:rPr>
          <w:b/>
        </w:rPr>
        <w:t xml:space="preserve"> uchovávat</w:t>
      </w:r>
    </w:p>
    <w:p w14:paraId="0C6AC08F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</w:pPr>
    </w:p>
    <w:p w14:paraId="7669E432" w14:textId="77777777" w:rsidR="000A22A9" w:rsidRDefault="003A2761">
      <w:pPr>
        <w:numPr>
          <w:ilvl w:val="12"/>
          <w:numId w:val="0"/>
        </w:numPr>
        <w:tabs>
          <w:tab w:val="clear" w:pos="567"/>
        </w:tabs>
        <w:ind w:right="-2"/>
      </w:pPr>
      <w:r>
        <w:t>Uchovávejte tento přípravek mimo dohled a dosah dětí.</w:t>
      </w:r>
    </w:p>
    <w:p w14:paraId="57643F7C" w14:textId="77777777" w:rsidR="000A22A9" w:rsidRDefault="000A22A9">
      <w:pPr>
        <w:numPr>
          <w:ilvl w:val="12"/>
          <w:numId w:val="0"/>
        </w:numPr>
        <w:ind w:right="-2"/>
      </w:pPr>
    </w:p>
    <w:p w14:paraId="3BE4527C" w14:textId="77777777" w:rsidR="000A22A9" w:rsidRDefault="003A2761">
      <w:pPr>
        <w:autoSpaceDE w:val="0"/>
        <w:autoSpaceDN w:val="0"/>
        <w:adjustRightInd w:val="0"/>
        <w:ind w:right="-1"/>
        <w:rPr>
          <w:bCs/>
          <w:szCs w:val="22"/>
        </w:rPr>
      </w:pPr>
      <w:r>
        <w:t>Nepoužívejte tento přípravek po uplynutí doby použitelnosti uvedené na štítku a krabičce za EXP. Doba použitelnosti se vztahuje k poslednímu dni uvedeného měsíce.</w:t>
      </w:r>
    </w:p>
    <w:p w14:paraId="413D421A" w14:textId="77777777" w:rsidR="000A22A9" w:rsidRDefault="000A22A9">
      <w:pPr>
        <w:autoSpaceDE w:val="0"/>
        <w:autoSpaceDN w:val="0"/>
        <w:adjustRightInd w:val="0"/>
        <w:ind w:right="-1"/>
        <w:rPr>
          <w:bCs/>
          <w:szCs w:val="22"/>
        </w:rPr>
      </w:pPr>
    </w:p>
    <w:p w14:paraId="661DBE3A" w14:textId="77777777" w:rsidR="000A22A9" w:rsidRDefault="003A2761">
      <w:r>
        <w:t>Uchovávejte v chladničce (2 °C – 8 °C).</w:t>
      </w:r>
    </w:p>
    <w:p w14:paraId="1E17AEA9" w14:textId="77777777" w:rsidR="000A22A9" w:rsidRDefault="003A2761">
      <w:pPr>
        <w:autoSpaceDE w:val="0"/>
        <w:autoSpaceDN w:val="0"/>
        <w:adjustRightInd w:val="0"/>
        <w:ind w:right="-1"/>
        <w:rPr>
          <w:bCs/>
          <w:szCs w:val="22"/>
        </w:rPr>
      </w:pPr>
      <w:r>
        <w:t>Chraňte před mrazem.</w:t>
      </w:r>
    </w:p>
    <w:p w14:paraId="0D9438FA" w14:textId="43325D97" w:rsidR="000A22A9" w:rsidRDefault="002539B2">
      <w:pPr>
        <w:autoSpaceDE w:val="0"/>
        <w:autoSpaceDN w:val="0"/>
        <w:adjustRightInd w:val="0"/>
        <w:ind w:right="-1"/>
        <w:rPr>
          <w:bCs/>
          <w:szCs w:val="22"/>
        </w:rPr>
      </w:pPr>
      <w:r w:rsidRPr="002539B2">
        <w:rPr>
          <w:bCs/>
          <w:szCs w:val="22"/>
        </w:rPr>
        <w:t>Injekční lahvičku uchovávejte v</w:t>
      </w:r>
      <w:r w:rsidR="008E7ECD">
        <w:rPr>
          <w:bCs/>
          <w:szCs w:val="22"/>
        </w:rPr>
        <w:t xml:space="preserve"> krabičce</w:t>
      </w:r>
      <w:r w:rsidRPr="002539B2">
        <w:rPr>
          <w:bCs/>
          <w:szCs w:val="22"/>
        </w:rPr>
        <w:t>, aby byl přípravek chráněn před světlem.</w:t>
      </w:r>
    </w:p>
    <w:p w14:paraId="0A5A8F69" w14:textId="77777777" w:rsidR="000A22A9" w:rsidRDefault="000A22A9">
      <w:pPr>
        <w:numPr>
          <w:ilvl w:val="12"/>
          <w:numId w:val="0"/>
        </w:numPr>
        <w:ind w:right="-2"/>
      </w:pPr>
    </w:p>
    <w:p w14:paraId="3D86B86D" w14:textId="28A006E3" w:rsidR="00064F9F" w:rsidRDefault="00CA42FC" w:rsidP="00064F9F">
      <w:pPr>
        <w:numPr>
          <w:ilvl w:val="12"/>
          <w:numId w:val="0"/>
        </w:numPr>
        <w:tabs>
          <w:tab w:val="clear" w:pos="567"/>
        </w:tabs>
        <w:ind w:right="-2"/>
        <w:rPr>
          <w:ins w:id="23" w:author="만든 이"/>
        </w:rPr>
      </w:pPr>
      <w:ins w:id="24" w:author="만든 이">
        <w:r>
          <w:t>Injekční l</w:t>
        </w:r>
        <w:del w:id="25" w:author="만든 이">
          <w:r w:rsidR="00064F9F" w:rsidDel="00CA42FC">
            <w:delText>L</w:delText>
          </w:r>
        </w:del>
        <w:r w:rsidR="00064F9F">
          <w:t xml:space="preserve">ahvičku můžete po vyjmutí z chladničky nechat před podáním </w:t>
        </w:r>
        <w:del w:id="26" w:author="만든 이">
          <w:r w:rsidR="00064F9F" w:rsidDel="00CA42FC">
            <w:delText>přípravku</w:delText>
          </w:r>
        </w:del>
        <w:r>
          <w:t>injekce</w:t>
        </w:r>
        <w:r w:rsidR="00064F9F">
          <w:t xml:space="preserve"> dosáhnout pokojové teploty (do 30 °C). Podání injekce pak bude příjemnější. Jakmile necháte lahvičku dosáhnout pokojové teploty (do 30 °C), může být uchovávána při pokojové teplotě po jedno období </w:t>
        </w:r>
        <w:r w:rsidR="00F75943">
          <w:t xml:space="preserve">v délce </w:t>
        </w:r>
        <w:r w:rsidR="00064F9F">
          <w:t xml:space="preserve">až 63 dní, které ale nepřesahuje původní dobu použitelnosti. V případě potřeby může být </w:t>
        </w:r>
        <w:r w:rsidR="00F75943">
          <w:t xml:space="preserve">injekční </w:t>
        </w:r>
        <w:r w:rsidR="00064F9F">
          <w:t xml:space="preserve">lahvička během těchto 63 dní jednou vrácena do chladničky a uchovávána </w:t>
        </w:r>
        <w:del w:id="27" w:author="만든 이">
          <w:r w:rsidR="00064F9F" w:rsidDel="00CA42FC">
            <w:delText>tam</w:delText>
          </w:r>
        </w:del>
        <w:r>
          <w:t>v chladničce</w:t>
        </w:r>
        <w:r w:rsidR="00064F9F">
          <w:t xml:space="preserve"> až do původní doby použitelnosti.</w:t>
        </w:r>
      </w:ins>
    </w:p>
    <w:p w14:paraId="745DFF91" w14:textId="77777777" w:rsidR="00064F9F" w:rsidRDefault="00064F9F" w:rsidP="00064F9F">
      <w:pPr>
        <w:numPr>
          <w:ilvl w:val="12"/>
          <w:numId w:val="0"/>
        </w:numPr>
        <w:tabs>
          <w:tab w:val="clear" w:pos="567"/>
        </w:tabs>
        <w:ind w:right="-2"/>
        <w:rPr>
          <w:ins w:id="28" w:author="만든 이"/>
        </w:rPr>
      </w:pPr>
    </w:p>
    <w:p w14:paraId="4F3C78A6" w14:textId="75D18E22" w:rsidR="000A22A9" w:rsidRDefault="00CA42FC" w:rsidP="00064F9F">
      <w:pPr>
        <w:numPr>
          <w:ilvl w:val="12"/>
          <w:numId w:val="0"/>
        </w:numPr>
        <w:tabs>
          <w:tab w:val="clear" w:pos="567"/>
        </w:tabs>
        <w:ind w:right="-2"/>
      </w:pPr>
      <w:ins w:id="29" w:author="만든 이">
        <w:r>
          <w:t>Injekční l</w:t>
        </w:r>
        <w:del w:id="30" w:author="만든 이">
          <w:r w:rsidR="00064F9F" w:rsidDel="00CA42FC">
            <w:delText>L</w:delText>
          </w:r>
        </w:del>
        <w:r w:rsidR="00064F9F">
          <w:t xml:space="preserve">ahvičku zlikvidujte, pokud není použita během jednoho období 63 dní </w:t>
        </w:r>
        <w:r w:rsidR="00F75943">
          <w:t xml:space="preserve">při uchovávání </w:t>
        </w:r>
        <w:r w:rsidR="00064F9F">
          <w:t>mimo chladničku nebo do původní doby použitelnosti, podle toho, co nastane dříve.</w:t>
        </w:r>
      </w:ins>
      <w:del w:id="31" w:author="만든 이">
        <w:r w:rsidR="003A2761" w:rsidRPr="005B2550" w:rsidDel="00064F9F">
          <w:delText>Injekční lahvičk</w:delText>
        </w:r>
        <w:r w:rsidR="00BD2D91" w:rsidDel="00064F9F">
          <w:delText>a</w:delText>
        </w:r>
        <w:r w:rsidR="003A2761" w:rsidRPr="005B2550" w:rsidDel="00064F9F">
          <w:delText xml:space="preserve"> může</w:delText>
        </w:r>
        <w:r w:rsidR="00BD2D91" w:rsidDel="00064F9F">
          <w:delText xml:space="preserve"> být </w:delText>
        </w:r>
        <w:r w:rsidR="003A2761" w:rsidRPr="005B2550" w:rsidDel="00064F9F">
          <w:delText xml:space="preserve">před podáním přípravku </w:delText>
        </w:r>
        <w:r w:rsidR="00BD2D91" w:rsidDel="00064F9F">
          <w:delText xml:space="preserve">ponechána mimo chladničku, aby </w:delText>
        </w:r>
        <w:r w:rsidR="008E7ECD" w:rsidRPr="005B2550" w:rsidDel="00064F9F">
          <w:delText>dosáh</w:delText>
        </w:r>
        <w:r w:rsidR="00BD2D91" w:rsidDel="00064F9F">
          <w:delText>la</w:delText>
        </w:r>
        <w:r w:rsidR="003A2761" w:rsidRPr="005B2550" w:rsidDel="00064F9F">
          <w:delText xml:space="preserve"> pokojov</w:delText>
        </w:r>
        <w:r w:rsidR="008E7ECD" w:rsidRPr="005B2550" w:rsidDel="00064F9F">
          <w:delText>é</w:delText>
        </w:r>
        <w:r w:rsidR="003A2761" w:rsidRPr="005B2550" w:rsidDel="00064F9F">
          <w:delText xml:space="preserve"> teplot</w:delText>
        </w:r>
        <w:r w:rsidR="008E7ECD" w:rsidRPr="005B2550" w:rsidDel="00064F9F">
          <w:delText>y</w:delText>
        </w:r>
        <w:r w:rsidR="003A2761" w:rsidRPr="005B2550" w:rsidDel="00064F9F">
          <w:delText xml:space="preserve"> (do 25 °C). Podání injekce je pak příjemnější. Jakmile</w:delText>
        </w:r>
        <w:r w:rsidR="003A2761" w:rsidDel="00064F9F">
          <w:delText xml:space="preserve"> injekční lahvičk</w:delText>
        </w:r>
        <w:r w:rsidR="00091B77" w:rsidDel="00064F9F">
          <w:delText>a</w:delText>
        </w:r>
        <w:r w:rsidR="003A2761" w:rsidDel="00064F9F">
          <w:delText xml:space="preserve"> </w:delText>
        </w:r>
        <w:r w:rsidR="008E7ECD" w:rsidDel="00064F9F">
          <w:delText xml:space="preserve">dosáhne </w:delText>
        </w:r>
        <w:r w:rsidR="003A2761" w:rsidDel="00064F9F">
          <w:delText>pokojové teplot</w:delText>
        </w:r>
        <w:r w:rsidR="008E7ECD" w:rsidDel="00064F9F">
          <w:delText>y</w:delText>
        </w:r>
        <w:r w:rsidR="003A2761" w:rsidDel="00064F9F">
          <w:delText xml:space="preserve"> (25 °C), nevracejte ji </w:delText>
        </w:r>
        <w:r w:rsidR="00F478DA" w:rsidDel="00064F9F">
          <w:delText xml:space="preserve">zpět </w:delText>
        </w:r>
        <w:r w:rsidR="003A2761" w:rsidDel="00064F9F">
          <w:delText>do chladničky</w:delText>
        </w:r>
        <w:r w:rsidR="008E7ECD" w:rsidDel="00064F9F">
          <w:delText>,</w:delText>
        </w:r>
        <w:r w:rsidR="003A2761" w:rsidDel="00064F9F">
          <w:delText> musí</w:delText>
        </w:r>
        <w:r w:rsidR="00091B77" w:rsidDel="00064F9F">
          <w:delText xml:space="preserve"> být</w:delText>
        </w:r>
        <w:r w:rsidR="003A2761" w:rsidDel="00064F9F">
          <w:delText xml:space="preserve"> </w:delText>
        </w:r>
        <w:r w:rsidR="00DF0C7D" w:rsidDel="00064F9F">
          <w:delText xml:space="preserve">použita </w:delText>
        </w:r>
        <w:r w:rsidR="00091B77" w:rsidDel="00064F9F">
          <w:delText>do</w:delText>
        </w:r>
        <w:r w:rsidR="003A2761" w:rsidDel="00064F9F">
          <w:delText xml:space="preserve"> 30 dní.</w:delText>
        </w:r>
      </w:del>
    </w:p>
    <w:p w14:paraId="5DED5969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758BFA91" w14:textId="77777777" w:rsidR="000A22A9" w:rsidRDefault="003A2761">
      <w:pPr>
        <w:numPr>
          <w:ilvl w:val="12"/>
          <w:numId w:val="0"/>
        </w:numPr>
        <w:tabs>
          <w:tab w:val="clear" w:pos="567"/>
        </w:tabs>
        <w:ind w:right="-2"/>
      </w:pPr>
      <w:r>
        <w:t>Nevyhazujte žádné léčivé přípravky do odpadních vod nebo domácího odpadu. Zeptejte se svého lékárníka, jak naložit s přípravky, které již nepoužíváte. Tato opatření pomáhají chránit životní prostředí.</w:t>
      </w:r>
    </w:p>
    <w:p w14:paraId="16187C52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44662224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1D389C71" w14:textId="77777777" w:rsidR="000A22A9" w:rsidRDefault="003A2761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Obsah balení a další informace</w:t>
      </w:r>
    </w:p>
    <w:p w14:paraId="1FD65AF8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</w:pPr>
    </w:p>
    <w:p w14:paraId="487389B8" w14:textId="6351C317" w:rsidR="000A22A9" w:rsidRDefault="003A2761" w:rsidP="00EA1154">
      <w:pPr>
        <w:keepNext/>
        <w:rPr>
          <w:u w:val="single"/>
        </w:rPr>
      </w:pPr>
      <w:r>
        <w:rPr>
          <w:b/>
        </w:rPr>
        <w:t xml:space="preserve">Co přípravek </w:t>
      </w:r>
      <w:r w:rsidR="009D4B58" w:rsidRPr="005644B3">
        <w:rPr>
          <w:b/>
          <w:bCs/>
        </w:rPr>
        <w:t>Osenvelt</w:t>
      </w:r>
      <w:r>
        <w:rPr>
          <w:b/>
        </w:rPr>
        <w:t xml:space="preserve"> obsahuje</w:t>
      </w:r>
    </w:p>
    <w:p w14:paraId="13773DF9" w14:textId="29198B9C" w:rsidR="000A22A9" w:rsidRDefault="003A2761" w:rsidP="004F749C">
      <w:pPr>
        <w:keepNext/>
        <w:numPr>
          <w:ilvl w:val="0"/>
          <w:numId w:val="28"/>
        </w:numPr>
        <w:tabs>
          <w:tab w:val="clear" w:pos="567"/>
        </w:tabs>
        <w:ind w:left="567" w:hanging="567"/>
      </w:pPr>
      <w:r>
        <w:t>Léčivou látkou je denosumab. Jedna injekční lahvička obsahuje 120 mg denosumabu v 1,7 ml roztoku (odpovídá 70 mg/ml).</w:t>
      </w:r>
    </w:p>
    <w:p w14:paraId="60914309" w14:textId="5E28E8A6" w:rsidR="000A22A9" w:rsidRDefault="003A2761">
      <w:pPr>
        <w:numPr>
          <w:ilvl w:val="0"/>
          <w:numId w:val="28"/>
        </w:numPr>
        <w:tabs>
          <w:tab w:val="clear" w:pos="567"/>
        </w:tabs>
        <w:ind w:left="567" w:hanging="567"/>
      </w:pPr>
      <w:r>
        <w:t xml:space="preserve">Dalšími pomocnými látkami jsou kyselina octová, </w:t>
      </w:r>
      <w:r w:rsidR="009D4B58">
        <w:t>t</w:t>
      </w:r>
      <w:r w:rsidR="005925D9">
        <w:t>r</w:t>
      </w:r>
      <w:r w:rsidR="009D4B58">
        <w:t xml:space="preserve">ihydrát </w:t>
      </w:r>
      <w:r w:rsidR="004B64FC">
        <w:t>natrium-acetátu</w:t>
      </w:r>
      <w:r>
        <w:t>, sorbitol (E</w:t>
      </w:r>
      <w:r w:rsidR="001B28FE">
        <w:t xml:space="preserve"> </w:t>
      </w:r>
      <w:r>
        <w:t>420), polysorbát 20</w:t>
      </w:r>
      <w:r w:rsidR="005925D9">
        <w:t xml:space="preserve"> (E</w:t>
      </w:r>
      <w:r w:rsidR="00FD080B">
        <w:t> </w:t>
      </w:r>
      <w:r w:rsidR="005925D9">
        <w:t>432)</w:t>
      </w:r>
      <w:r>
        <w:t xml:space="preserve"> a voda pro injekci.</w:t>
      </w:r>
    </w:p>
    <w:p w14:paraId="3FC59858" w14:textId="77777777" w:rsidR="000A22A9" w:rsidRDefault="000A22A9">
      <w:pPr>
        <w:tabs>
          <w:tab w:val="clear" w:pos="567"/>
        </w:tabs>
        <w:ind w:right="-2"/>
      </w:pPr>
    </w:p>
    <w:p w14:paraId="1A724D46" w14:textId="7669F929" w:rsidR="000A22A9" w:rsidRDefault="003A2761">
      <w:pPr>
        <w:keepNext/>
        <w:rPr>
          <w:b/>
        </w:rPr>
      </w:pPr>
      <w:r>
        <w:rPr>
          <w:b/>
        </w:rPr>
        <w:t xml:space="preserve">Jak přípravek </w:t>
      </w:r>
      <w:r w:rsidR="005925D9" w:rsidRPr="005644B3">
        <w:rPr>
          <w:b/>
          <w:bCs/>
        </w:rPr>
        <w:t>Osenvelt</w:t>
      </w:r>
      <w:r>
        <w:rPr>
          <w:b/>
        </w:rPr>
        <w:t xml:space="preserve"> vypadá a co obsahuje toto balení</w:t>
      </w:r>
    </w:p>
    <w:p w14:paraId="00A654AD" w14:textId="13A32239" w:rsidR="000A22A9" w:rsidRDefault="005925D9">
      <w:pPr>
        <w:autoSpaceDE w:val="0"/>
        <w:autoSpaceDN w:val="0"/>
        <w:adjustRightInd w:val="0"/>
      </w:pPr>
      <w:r w:rsidRPr="005B2550">
        <w:t>Osenvelt</w:t>
      </w:r>
      <w:r w:rsidR="003A2761" w:rsidRPr="005B2550">
        <w:t xml:space="preserve"> je injekční roztok (injekce).</w:t>
      </w:r>
    </w:p>
    <w:p w14:paraId="080B2BAC" w14:textId="77777777" w:rsidR="000A22A9" w:rsidRDefault="000A22A9">
      <w:pPr>
        <w:autoSpaceDE w:val="0"/>
        <w:autoSpaceDN w:val="0"/>
        <w:adjustRightInd w:val="0"/>
      </w:pPr>
    </w:p>
    <w:p w14:paraId="6AFE9180" w14:textId="306166AE" w:rsidR="000A22A9" w:rsidRDefault="005925D9">
      <w:pPr>
        <w:numPr>
          <w:ilvl w:val="12"/>
          <w:numId w:val="0"/>
        </w:numPr>
        <w:tabs>
          <w:tab w:val="clear" w:pos="567"/>
        </w:tabs>
      </w:pPr>
      <w:r>
        <w:t>Osenvelt</w:t>
      </w:r>
      <w:r w:rsidR="003A2761">
        <w:t xml:space="preserve"> je čirý, bezbarvý až </w:t>
      </w:r>
      <w:r w:rsidR="00206400">
        <w:t>světle</w:t>
      </w:r>
      <w:r>
        <w:t xml:space="preserve"> žlutý</w:t>
      </w:r>
      <w:r w:rsidR="003A2761">
        <w:t xml:space="preserve"> injekční roztok</w:t>
      </w:r>
      <w:r>
        <w:t>.</w:t>
      </w:r>
    </w:p>
    <w:p w14:paraId="5046EDD4" w14:textId="77777777" w:rsidR="000A22A9" w:rsidRDefault="000A22A9">
      <w:pPr>
        <w:autoSpaceDE w:val="0"/>
        <w:autoSpaceDN w:val="0"/>
        <w:adjustRightInd w:val="0"/>
      </w:pPr>
    </w:p>
    <w:p w14:paraId="4C1EB93E" w14:textId="30DE2BC5" w:rsidR="000A22A9" w:rsidRDefault="003A2761">
      <w:pPr>
        <w:autoSpaceDE w:val="0"/>
        <w:autoSpaceDN w:val="0"/>
        <w:adjustRightInd w:val="0"/>
      </w:pPr>
      <w:r>
        <w:t xml:space="preserve">Balení obsahuje jednu, tři nebo čtyři injekční lahvičky </w:t>
      </w:r>
      <w:r w:rsidR="00091B77">
        <w:t>k</w:t>
      </w:r>
      <w:r>
        <w:t xml:space="preserve"> jednorázové</w:t>
      </w:r>
      <w:r w:rsidR="00091B77">
        <w:t>mu</w:t>
      </w:r>
      <w:r>
        <w:t xml:space="preserve"> použití.</w:t>
      </w:r>
    </w:p>
    <w:p w14:paraId="51B54BCD" w14:textId="77777777" w:rsidR="000A22A9" w:rsidRDefault="003A2761">
      <w:pPr>
        <w:autoSpaceDE w:val="0"/>
        <w:autoSpaceDN w:val="0"/>
        <w:adjustRightInd w:val="0"/>
        <w:rPr>
          <w:rFonts w:eastAsia="MS Mincho"/>
          <w:szCs w:val="22"/>
        </w:rPr>
      </w:pPr>
      <w:r>
        <w:lastRenderedPageBreak/>
        <w:t>Na trhu nemusí být všechny velikosti balení.</w:t>
      </w:r>
    </w:p>
    <w:p w14:paraId="3329CDDE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6F24F681" w14:textId="77777777" w:rsidR="000A22A9" w:rsidRPr="00F66886" w:rsidRDefault="003A2761">
      <w:pPr>
        <w:pStyle w:val="lbltxt"/>
        <w:keepNext/>
        <w:rPr>
          <w:b/>
          <w:bCs/>
        </w:rPr>
      </w:pPr>
      <w:r w:rsidRPr="00EA1154">
        <w:rPr>
          <w:b/>
        </w:rPr>
        <w:t>Držitel rozhodnutí o registraci</w:t>
      </w:r>
    </w:p>
    <w:p w14:paraId="415D54F0" w14:textId="77777777" w:rsidR="005925D9" w:rsidRPr="00EA1154" w:rsidRDefault="005925D9" w:rsidP="005925D9">
      <w:pPr>
        <w:keepNext/>
      </w:pPr>
      <w:r w:rsidRPr="00EA1154">
        <w:t>Celltrion Healthcare Hungary Kft.</w:t>
      </w:r>
    </w:p>
    <w:p w14:paraId="349060A4" w14:textId="678F8A68" w:rsidR="005925D9" w:rsidRPr="00294495" w:rsidRDefault="005925D9" w:rsidP="005925D9">
      <w:pPr>
        <w:keepNext/>
        <w:rPr>
          <w:rFonts w:eastAsia="맑은 고딕"/>
          <w:lang w:eastAsia="ko-KR"/>
          <w:rPrChange w:id="32" w:author="만든 이">
            <w:rPr/>
          </w:rPrChange>
        </w:rPr>
      </w:pPr>
      <w:r w:rsidRPr="00EA1154">
        <w:t>1062 Budapest</w:t>
      </w:r>
      <w:ins w:id="33" w:author="만든 이">
        <w:r w:rsidR="000506CC">
          <w:rPr>
            <w:rFonts w:eastAsia="맑은 고딕" w:hint="eastAsia"/>
            <w:lang w:eastAsia="ko-KR"/>
          </w:rPr>
          <w:t>,</w:t>
        </w:r>
      </w:ins>
    </w:p>
    <w:p w14:paraId="21D84B2C" w14:textId="77777777" w:rsidR="005925D9" w:rsidRPr="00EA1154" w:rsidRDefault="005925D9" w:rsidP="005925D9">
      <w:pPr>
        <w:keepNext/>
      </w:pPr>
      <w:r w:rsidRPr="00EA1154">
        <w:t>Váci út 1-3. WestEnd Office Building B torony</w:t>
      </w:r>
    </w:p>
    <w:p w14:paraId="4F99D39D" w14:textId="65BC989D" w:rsidR="005925D9" w:rsidRPr="00F66886" w:rsidRDefault="005925D9" w:rsidP="005925D9">
      <w:pPr>
        <w:pStyle w:val="lbltxt"/>
        <w:keepNext/>
      </w:pPr>
      <w:r w:rsidRPr="00EA1154">
        <w:t>Maďarsko</w:t>
      </w:r>
    </w:p>
    <w:p w14:paraId="416C97AC" w14:textId="77777777" w:rsidR="000A22A9" w:rsidRPr="00EA1154" w:rsidRDefault="000A22A9">
      <w:pPr>
        <w:pStyle w:val="lbltxt"/>
      </w:pPr>
    </w:p>
    <w:p w14:paraId="7E03836A" w14:textId="77777777" w:rsidR="000A22A9" w:rsidRPr="00EA1154" w:rsidRDefault="003A2761">
      <w:pPr>
        <w:pStyle w:val="lbltxt"/>
        <w:keepNext/>
        <w:rPr>
          <w:b/>
        </w:rPr>
      </w:pPr>
      <w:r w:rsidRPr="00EA1154">
        <w:rPr>
          <w:b/>
        </w:rPr>
        <w:t>Výrobce</w:t>
      </w:r>
    </w:p>
    <w:p w14:paraId="0B02E5D5" w14:textId="77777777" w:rsidR="005925D9" w:rsidRPr="00EA1154" w:rsidRDefault="005925D9" w:rsidP="005925D9">
      <w:pPr>
        <w:keepNext/>
      </w:pPr>
      <w:r w:rsidRPr="00EA1154">
        <w:t>Nuvisan France S.A.R.L</w:t>
      </w:r>
    </w:p>
    <w:p w14:paraId="0937DB79" w14:textId="77777777" w:rsidR="005925D9" w:rsidRPr="00EA1154" w:rsidRDefault="005925D9" w:rsidP="005925D9">
      <w:pPr>
        <w:keepNext/>
      </w:pPr>
      <w:r w:rsidRPr="00EA1154">
        <w:t>2400 Route des Colles,</w:t>
      </w:r>
    </w:p>
    <w:p w14:paraId="3EEB622F" w14:textId="332E5BF7" w:rsidR="005925D9" w:rsidRPr="00EA1154" w:rsidRDefault="000506CC" w:rsidP="005925D9">
      <w:pPr>
        <w:keepNext/>
      </w:pPr>
      <w:ins w:id="34" w:author="만든 이">
        <w:r w:rsidRPr="00EA1154">
          <w:t>06410</w:t>
        </w:r>
        <w:r>
          <w:rPr>
            <w:rFonts w:eastAsia="맑은 고딕" w:hint="eastAsia"/>
            <w:lang w:eastAsia="ko-KR"/>
          </w:rPr>
          <w:t xml:space="preserve"> </w:t>
        </w:r>
      </w:ins>
      <w:r w:rsidR="005925D9" w:rsidRPr="00EA1154">
        <w:t xml:space="preserve">Biot, </w:t>
      </w:r>
      <w:del w:id="35" w:author="만든 이">
        <w:r w:rsidR="005925D9" w:rsidRPr="00EA1154" w:rsidDel="000506CC">
          <w:delText>06410</w:delText>
        </w:r>
      </w:del>
    </w:p>
    <w:p w14:paraId="78FD4A57" w14:textId="12DFFD49" w:rsidR="005925D9" w:rsidRDefault="005925D9" w:rsidP="005925D9">
      <w:pPr>
        <w:keepNext/>
        <w:numPr>
          <w:ilvl w:val="12"/>
          <w:numId w:val="0"/>
        </w:numPr>
        <w:ind w:right="-2"/>
      </w:pPr>
      <w:r w:rsidRPr="00EA1154">
        <w:t>Francie</w:t>
      </w:r>
    </w:p>
    <w:p w14:paraId="00AA09E4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164A167E" w14:textId="77777777" w:rsidR="000A22A9" w:rsidRPr="002F1524" w:rsidRDefault="003A2761">
      <w:pPr>
        <w:keepNext/>
      </w:pPr>
      <w:r w:rsidRPr="00F82C59">
        <w:rPr>
          <w:b/>
        </w:rPr>
        <w:t>Výrobce</w:t>
      </w:r>
    </w:p>
    <w:p w14:paraId="1F659498" w14:textId="77777777" w:rsidR="005925D9" w:rsidRPr="00F82C59" w:rsidRDefault="005925D9" w:rsidP="005925D9">
      <w:pPr>
        <w:keepNext/>
      </w:pPr>
      <w:r w:rsidRPr="00F82C59">
        <w:t>Midas Pharma GmbH</w:t>
      </w:r>
    </w:p>
    <w:p w14:paraId="1702551A" w14:textId="74C70680" w:rsidR="005925D9" w:rsidRPr="00F82C59" w:rsidRDefault="005925D9" w:rsidP="005925D9">
      <w:pPr>
        <w:keepNext/>
      </w:pPr>
      <w:r w:rsidRPr="00F82C59">
        <w:t>Rheinstrasse 49, West,</w:t>
      </w:r>
    </w:p>
    <w:p w14:paraId="4F877DAB" w14:textId="1BCB818E" w:rsidR="005925D9" w:rsidRPr="00F82C59" w:rsidRDefault="000506CC" w:rsidP="005925D9">
      <w:pPr>
        <w:keepNext/>
      </w:pPr>
      <w:ins w:id="36" w:author="만든 이">
        <w:r w:rsidRPr="00F82C59">
          <w:t>55218</w:t>
        </w:r>
        <w:r>
          <w:rPr>
            <w:rFonts w:eastAsia="맑은 고딕" w:hint="eastAsia"/>
            <w:lang w:eastAsia="ko-KR"/>
          </w:rPr>
          <w:t xml:space="preserve"> </w:t>
        </w:r>
      </w:ins>
      <w:r w:rsidR="005925D9" w:rsidRPr="00F82C59">
        <w:t xml:space="preserve">Ingelheim Am Rhein, </w:t>
      </w:r>
    </w:p>
    <w:p w14:paraId="1BECDDF1" w14:textId="4ABAE3EB" w:rsidR="005925D9" w:rsidRPr="00F82C59" w:rsidRDefault="005925D9" w:rsidP="005925D9">
      <w:pPr>
        <w:keepNext/>
      </w:pPr>
      <w:r w:rsidRPr="00F82C59">
        <w:t xml:space="preserve">Rhineland-Palatinate, </w:t>
      </w:r>
      <w:del w:id="37" w:author="만든 이">
        <w:r w:rsidRPr="00F82C59" w:rsidDel="000506CC">
          <w:delText>55218</w:delText>
        </w:r>
      </w:del>
    </w:p>
    <w:p w14:paraId="690B31B4" w14:textId="1E9E48CE" w:rsidR="005925D9" w:rsidRPr="00F82C59" w:rsidRDefault="005925D9" w:rsidP="005925D9">
      <w:r w:rsidRPr="00F82C59">
        <w:t>Německo</w:t>
      </w:r>
    </w:p>
    <w:p w14:paraId="6D78EBCD" w14:textId="77777777" w:rsidR="00D303A0" w:rsidRPr="00F82C59" w:rsidRDefault="00D303A0" w:rsidP="005925D9"/>
    <w:p w14:paraId="2EE6DCD2" w14:textId="28EC275B" w:rsidR="005925D9" w:rsidRPr="00F82C59" w:rsidRDefault="00F56DB9" w:rsidP="005925D9">
      <w:pPr>
        <w:keepNext/>
        <w:rPr>
          <w:b/>
          <w:bCs/>
        </w:rPr>
      </w:pPr>
      <w:r w:rsidRPr="00F82C59">
        <w:rPr>
          <w:b/>
          <w:bCs/>
        </w:rPr>
        <w:t>Výrobce</w:t>
      </w:r>
    </w:p>
    <w:p w14:paraId="69B235E2" w14:textId="77777777" w:rsidR="005925D9" w:rsidRPr="00F82C59" w:rsidRDefault="005925D9" w:rsidP="005925D9">
      <w:pPr>
        <w:keepNext/>
      </w:pPr>
      <w:r w:rsidRPr="00F82C59">
        <w:t>Kymos S.L.</w:t>
      </w:r>
    </w:p>
    <w:p w14:paraId="74CA17E2" w14:textId="77777777" w:rsidR="005925D9" w:rsidRPr="00F82C59" w:rsidRDefault="005925D9" w:rsidP="005925D9">
      <w:pPr>
        <w:keepNext/>
      </w:pPr>
      <w:r w:rsidRPr="00F82C59">
        <w:t>Ronda de Can Fatjó, 7B</w:t>
      </w:r>
    </w:p>
    <w:p w14:paraId="080331D1" w14:textId="77777777" w:rsidR="005925D9" w:rsidRPr="00F82C59" w:rsidRDefault="005925D9" w:rsidP="005925D9">
      <w:pPr>
        <w:keepNext/>
      </w:pPr>
      <w:r w:rsidRPr="00F82C59">
        <w:t>Parc Tecnològic del Vallès,</w:t>
      </w:r>
    </w:p>
    <w:p w14:paraId="7D9AC403" w14:textId="77777777" w:rsidR="005925D9" w:rsidRPr="00F82C59" w:rsidRDefault="005925D9" w:rsidP="005925D9">
      <w:pPr>
        <w:keepNext/>
      </w:pPr>
      <w:r w:rsidRPr="00F82C59">
        <w:t xml:space="preserve">Cerdanyola del Vallès, </w:t>
      </w:r>
    </w:p>
    <w:p w14:paraId="355EA3EC" w14:textId="53D3F8E6" w:rsidR="005925D9" w:rsidRPr="00F82C59" w:rsidRDefault="000506CC" w:rsidP="005925D9">
      <w:pPr>
        <w:keepNext/>
      </w:pPr>
      <w:ins w:id="38" w:author="만든 이">
        <w:r w:rsidRPr="00F82C59">
          <w:t>08290</w:t>
        </w:r>
        <w:r>
          <w:rPr>
            <w:rFonts w:eastAsia="맑은 고딕" w:hint="eastAsia"/>
            <w:lang w:eastAsia="ko-KR"/>
          </w:rPr>
          <w:t xml:space="preserve"> </w:t>
        </w:r>
      </w:ins>
      <w:r w:rsidR="005925D9" w:rsidRPr="00F82C59">
        <w:t xml:space="preserve">Barcelona, </w:t>
      </w:r>
      <w:del w:id="39" w:author="만든 이">
        <w:r w:rsidR="005925D9" w:rsidRPr="00F82C59" w:rsidDel="000506CC">
          <w:delText>08290</w:delText>
        </w:r>
      </w:del>
    </w:p>
    <w:p w14:paraId="437F6B3E" w14:textId="59BC8B85" w:rsidR="005925D9" w:rsidRPr="00F82C59" w:rsidRDefault="005925D9" w:rsidP="00F2042B">
      <w:pPr>
        <w:pStyle w:val="lbltxt"/>
      </w:pPr>
      <w:r w:rsidRPr="00F82C59">
        <w:t>Španělsko</w:t>
      </w:r>
    </w:p>
    <w:p w14:paraId="1CE4C247" w14:textId="77777777" w:rsidR="000A22A9" w:rsidRDefault="000A22A9">
      <w:pPr>
        <w:numPr>
          <w:ilvl w:val="12"/>
          <w:numId w:val="0"/>
        </w:numPr>
        <w:tabs>
          <w:tab w:val="clear" w:pos="567"/>
        </w:tabs>
        <w:ind w:right="-2"/>
      </w:pPr>
    </w:p>
    <w:p w14:paraId="0EFDD88A" w14:textId="77777777" w:rsidR="000A22A9" w:rsidRDefault="003A2761">
      <w:pPr>
        <w:keepNext/>
        <w:numPr>
          <w:ilvl w:val="12"/>
          <w:numId w:val="0"/>
        </w:numPr>
        <w:tabs>
          <w:tab w:val="clear" w:pos="567"/>
        </w:tabs>
        <w:ind w:right="-2"/>
      </w:pPr>
      <w:r>
        <w:t>Další informace o tomto přípravku získáte u místního zástupce držitele rozhodnutí o registraci:</w:t>
      </w:r>
    </w:p>
    <w:p w14:paraId="3B68E932" w14:textId="77777777" w:rsidR="000A22A9" w:rsidRDefault="000A22A9">
      <w:pPr>
        <w:keepNext/>
        <w:ind w:right="-1"/>
        <w:rPr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3B2C20" w:rsidRPr="003B2C20" w14:paraId="2495E4C7" w14:textId="77777777" w:rsidTr="00527191">
        <w:trPr>
          <w:trHeight w:val="1078"/>
        </w:trPr>
        <w:tc>
          <w:tcPr>
            <w:tcW w:w="4678" w:type="dxa"/>
          </w:tcPr>
          <w:p w14:paraId="208C4223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België/Belgique/Belgien</w:t>
            </w:r>
          </w:p>
          <w:p w14:paraId="3FD1FFF9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Belgium BVBA </w:t>
            </w:r>
          </w:p>
          <w:p w14:paraId="7655C35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Tél/Tel: +32 1528 7418</w:t>
            </w:r>
          </w:p>
          <w:p w14:paraId="53335F7B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ind w:right="34"/>
              <w:rPr>
                <w:rFonts w:eastAsia="Times New Roman"/>
                <w:noProof/>
                <w:szCs w:val="22"/>
                <w:lang w:val="en-US"/>
              </w:rPr>
            </w:pPr>
            <w:hyperlink r:id="rId18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BEinfo@celltrionhc.com</w:t>
              </w:r>
            </w:hyperlink>
          </w:p>
          <w:p w14:paraId="74E2D629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ind w:right="34"/>
              <w:rPr>
                <w:rFonts w:eastAsia="Times New Roman"/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D3ED2FD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Lietuva</w:t>
            </w:r>
          </w:p>
          <w:p w14:paraId="2E31038F" w14:textId="3E541D75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Hungary Kft.</w:t>
            </w:r>
          </w:p>
          <w:p w14:paraId="29626203" w14:textId="3BFAE30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</w:t>
            </w:r>
            <w:r w:rsidRPr="003B2C20">
              <w:rPr>
                <w:rFonts w:eastAsia="맑은 고딕" w:hint="eastAsia"/>
                <w:noProof/>
                <w:szCs w:val="22"/>
                <w:lang w:val="en-US" w:eastAsia="ko-KR"/>
              </w:rPr>
              <w:t xml:space="preserve"> </w:t>
            </w:r>
            <w:r w:rsidRPr="003B2C20">
              <w:rPr>
                <w:rFonts w:eastAsia="Times New Roman"/>
                <w:noProof/>
                <w:szCs w:val="22"/>
                <w:lang w:val="en-US"/>
              </w:rPr>
              <w:t>36 1 231 0493</w:t>
            </w:r>
          </w:p>
          <w:p w14:paraId="3E56D77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it-IT"/>
              </w:rPr>
            </w:pPr>
          </w:p>
        </w:tc>
      </w:tr>
      <w:tr w:rsidR="003B2C20" w:rsidRPr="003B2C20" w14:paraId="26D1F8A3" w14:textId="77777777" w:rsidTr="00527191">
        <w:trPr>
          <w:trHeight w:val="927"/>
        </w:trPr>
        <w:tc>
          <w:tcPr>
            <w:tcW w:w="4678" w:type="dxa"/>
          </w:tcPr>
          <w:p w14:paraId="25765E4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b/>
                <w:bCs/>
                <w:szCs w:val="22"/>
                <w:lang w:val="it-IT"/>
              </w:rPr>
            </w:pPr>
            <w:proofErr w:type="spellStart"/>
            <w:r w:rsidRPr="003B2C20">
              <w:rPr>
                <w:rFonts w:eastAsia="Times New Roman"/>
                <w:b/>
                <w:bCs/>
                <w:szCs w:val="22"/>
                <w:lang w:val="en-US"/>
              </w:rPr>
              <w:t>България</w:t>
            </w:r>
            <w:proofErr w:type="spellEnd"/>
          </w:p>
          <w:p w14:paraId="490B247A" w14:textId="22E44EFF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Hungary Kft.</w:t>
            </w:r>
          </w:p>
          <w:p w14:paraId="4B834AFD" w14:textId="2BB7631B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Teл.: +36 1 231 0493</w:t>
            </w:r>
          </w:p>
          <w:p w14:paraId="06E0B09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GB"/>
              </w:rPr>
            </w:pPr>
          </w:p>
        </w:tc>
        <w:tc>
          <w:tcPr>
            <w:tcW w:w="4678" w:type="dxa"/>
          </w:tcPr>
          <w:p w14:paraId="74E455AB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it-IT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it-IT"/>
              </w:rPr>
              <w:t>Luxembourg/Luxemburg</w:t>
            </w:r>
          </w:p>
          <w:p w14:paraId="76B76AC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de-DE"/>
              </w:rPr>
            </w:pPr>
            <w:r w:rsidRPr="003B2C20">
              <w:rPr>
                <w:rFonts w:eastAsia="Times New Roman"/>
                <w:noProof/>
                <w:szCs w:val="22"/>
                <w:lang w:val="de-DE"/>
              </w:rPr>
              <w:t xml:space="preserve">Celltrion Healthcare Belgium BVBA </w:t>
            </w:r>
          </w:p>
          <w:p w14:paraId="7587E5E6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Té</w:t>
            </w:r>
            <w:r w:rsidRPr="003B2C20">
              <w:rPr>
                <w:rFonts w:eastAsia="Times New Roman"/>
                <w:szCs w:val="22"/>
                <w:lang w:val="en-US"/>
              </w:rPr>
              <w:t>l/Tel: +32 1528 7418</w:t>
            </w:r>
          </w:p>
          <w:p w14:paraId="798B9CC4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SimSun"/>
                <w:color w:val="0000FF"/>
                <w:szCs w:val="22"/>
                <w:u w:val="single"/>
                <w:lang w:val="en-US" w:eastAsia="en-GB"/>
              </w:rPr>
            </w:pPr>
            <w:hyperlink r:id="rId19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BEinfo@celltrionhc.com</w:t>
              </w:r>
            </w:hyperlink>
          </w:p>
          <w:p w14:paraId="7C0A00EA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225BFC31" w14:textId="77777777" w:rsidTr="00527191">
        <w:trPr>
          <w:trHeight w:val="789"/>
        </w:trPr>
        <w:tc>
          <w:tcPr>
            <w:tcW w:w="4678" w:type="dxa"/>
          </w:tcPr>
          <w:p w14:paraId="603C40C8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sv-FI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sv-FI"/>
              </w:rPr>
              <w:t>Česká republika</w:t>
            </w:r>
          </w:p>
          <w:p w14:paraId="028E2202" w14:textId="3561CDD0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sv-FI"/>
              </w:rPr>
            </w:pPr>
            <w:r w:rsidRPr="003B2C20">
              <w:rPr>
                <w:rFonts w:eastAsia="Times New Roman"/>
                <w:noProof/>
                <w:szCs w:val="22"/>
                <w:lang w:val="sv-FI"/>
              </w:rPr>
              <w:t>Celltrion Healthcare Hungary Kft.</w:t>
            </w:r>
          </w:p>
          <w:p w14:paraId="21BB690A" w14:textId="04217796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+36 1 231 0493</w:t>
            </w:r>
          </w:p>
          <w:p w14:paraId="2DB974F6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EC8C10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Magyarország</w:t>
            </w:r>
          </w:p>
          <w:p w14:paraId="36A31F10" w14:textId="12F572DD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Hungary Kft.</w:t>
            </w:r>
          </w:p>
          <w:p w14:paraId="2AEB6EA6" w14:textId="6D4432B1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fr-FR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Tel.: +</w:t>
            </w:r>
            <w:r w:rsidRPr="003B2C20">
              <w:rPr>
                <w:rFonts w:eastAsia="맑은 고딕"/>
                <w:noProof/>
                <w:szCs w:val="22"/>
                <w:lang w:val="en-US" w:eastAsia="fr-FR"/>
              </w:rPr>
              <w:t>36 1 231 0493</w:t>
            </w:r>
          </w:p>
          <w:p w14:paraId="250094DF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07541837" w14:textId="77777777" w:rsidTr="00527191">
        <w:trPr>
          <w:trHeight w:val="1186"/>
        </w:trPr>
        <w:tc>
          <w:tcPr>
            <w:tcW w:w="4678" w:type="dxa"/>
          </w:tcPr>
          <w:p w14:paraId="3DE69AB9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Danmark</w:t>
            </w:r>
          </w:p>
          <w:p w14:paraId="52CA8A8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Denmark ApS </w:t>
            </w:r>
          </w:p>
          <w:p w14:paraId="3F30C597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Tlf.: +45 3535 2989</w:t>
            </w:r>
          </w:p>
          <w:p w14:paraId="4D191150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맑은 고딕"/>
                <w:noProof/>
                <w:szCs w:val="22"/>
                <w:lang w:val="en-US" w:eastAsia="ko-KR"/>
              </w:rPr>
            </w:pPr>
            <w:hyperlink r:id="rId20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contact_dk@celltrionhc.com</w:t>
              </w:r>
            </w:hyperlink>
          </w:p>
          <w:p w14:paraId="55BA13A3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맑은 고딕"/>
                <w:noProof/>
                <w:szCs w:val="22"/>
                <w:lang w:val="en-US" w:eastAsia="ko-KR"/>
              </w:rPr>
            </w:pPr>
          </w:p>
        </w:tc>
        <w:tc>
          <w:tcPr>
            <w:tcW w:w="4678" w:type="dxa"/>
          </w:tcPr>
          <w:p w14:paraId="5E902B6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Malta</w:t>
            </w:r>
          </w:p>
          <w:p w14:paraId="5BDF0548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Mint Health Ltd</w:t>
            </w:r>
          </w:p>
          <w:p w14:paraId="15DA91B2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GB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</w:t>
            </w:r>
            <w:r w:rsidRPr="003B2C20">
              <w:rPr>
                <w:rFonts w:eastAsia="Times New Roman"/>
                <w:szCs w:val="22"/>
                <w:lang w:val="en-US" w:eastAsia="en-GB"/>
              </w:rPr>
              <w:t>356 2093 9800</w:t>
            </w:r>
          </w:p>
          <w:p w14:paraId="7D141AC6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31409F84" w14:textId="77777777" w:rsidTr="00527191">
        <w:tc>
          <w:tcPr>
            <w:tcW w:w="4678" w:type="dxa"/>
          </w:tcPr>
          <w:p w14:paraId="4031BA3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de-DE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de-DE"/>
              </w:rPr>
              <w:t>Deutschland</w:t>
            </w:r>
          </w:p>
          <w:p w14:paraId="4EC2A235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de-DE"/>
              </w:rPr>
            </w:pPr>
            <w:r w:rsidRPr="003B2C20">
              <w:rPr>
                <w:rFonts w:eastAsia="Times New Roman"/>
                <w:noProof/>
                <w:szCs w:val="22"/>
                <w:lang w:val="de-DE"/>
              </w:rPr>
              <w:t>Celltrion Healthcare Deutschland GmbH</w:t>
            </w:r>
          </w:p>
          <w:p w14:paraId="1BD5A240" w14:textId="46BB6349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de-DE"/>
              </w:rPr>
            </w:pPr>
            <w:r w:rsidRPr="003B2C20">
              <w:rPr>
                <w:rFonts w:eastAsia="Times New Roman"/>
                <w:noProof/>
                <w:szCs w:val="22"/>
                <w:lang w:val="de-DE"/>
              </w:rPr>
              <w:t>Tel: +49 303 464 941 50</w:t>
            </w:r>
          </w:p>
          <w:p w14:paraId="6DBE204D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de-DE"/>
              </w:rPr>
            </w:pPr>
            <w:hyperlink r:id="rId21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de-DE"/>
                </w:rPr>
                <w:t>infoDE@celltrionhc.com</w:t>
              </w:r>
            </w:hyperlink>
          </w:p>
          <w:p w14:paraId="31EA2CE0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7FC84D6F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Nederland</w:t>
            </w:r>
          </w:p>
          <w:p w14:paraId="424FA72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Netherlands B.V. </w:t>
            </w:r>
          </w:p>
          <w:p w14:paraId="04CBE7D3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</w:t>
            </w:r>
            <w:r w:rsidRPr="003B2C20">
              <w:rPr>
                <w:rFonts w:eastAsia="Times New Roman"/>
                <w:szCs w:val="22"/>
                <w:lang w:val="en-US"/>
              </w:rPr>
              <w:t>31 20 888 7300</w:t>
            </w:r>
          </w:p>
          <w:p w14:paraId="1D8931AB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SimSun"/>
                <w:color w:val="0000FF"/>
                <w:szCs w:val="22"/>
                <w:u w:val="single"/>
                <w:lang w:val="en-US" w:eastAsia="en-GB"/>
              </w:rPr>
            </w:pPr>
            <w:hyperlink r:id="rId22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NLinfo@celltrionhc.com</w:t>
              </w:r>
            </w:hyperlink>
          </w:p>
          <w:p w14:paraId="33432073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06807B98" w14:textId="77777777" w:rsidTr="00527191">
        <w:trPr>
          <w:trHeight w:val="273"/>
        </w:trPr>
        <w:tc>
          <w:tcPr>
            <w:tcW w:w="4678" w:type="dxa"/>
          </w:tcPr>
          <w:p w14:paraId="17344639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b/>
                <w:bCs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bCs/>
                <w:noProof/>
                <w:szCs w:val="22"/>
                <w:lang w:val="en-US"/>
              </w:rPr>
              <w:t>Eesti</w:t>
            </w:r>
          </w:p>
          <w:p w14:paraId="4B76C62F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ko-KR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Hungary Kft. </w:t>
            </w:r>
          </w:p>
          <w:p w14:paraId="269DCBDF" w14:textId="77777777" w:rsidR="003B2C20" w:rsidRPr="00F82C59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ko-KR"/>
              </w:rPr>
            </w:pPr>
            <w:r w:rsidRPr="003B2C20">
              <w:rPr>
                <w:rFonts w:eastAsia="맑은 고딕"/>
                <w:noProof/>
                <w:szCs w:val="22"/>
                <w:lang w:val="en-US" w:eastAsia="ko-KR"/>
              </w:rPr>
              <w:lastRenderedPageBreak/>
              <w:t>Tel: +36 1 231 0493</w:t>
            </w:r>
          </w:p>
          <w:p w14:paraId="0EA2F8D7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hyperlink r:id="rId23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contact_fi@celltrionhc.com</w:t>
              </w:r>
            </w:hyperlink>
          </w:p>
          <w:p w14:paraId="1D3106E1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7CE1B71B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lastRenderedPageBreak/>
              <w:t>Norge</w:t>
            </w:r>
          </w:p>
          <w:p w14:paraId="7A3A910C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Norway AS</w:t>
            </w:r>
          </w:p>
          <w:p w14:paraId="33DB7E82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맑은 고딕"/>
                <w:noProof/>
                <w:szCs w:val="22"/>
                <w:lang w:val="en-US" w:eastAsia="ko-KR"/>
              </w:rPr>
            </w:pPr>
            <w:hyperlink r:id="rId24" w:history="1">
              <w:r w:rsidRPr="003B2C20">
                <w:rPr>
                  <w:rFonts w:eastAsia="Times New Roman"/>
                  <w:noProof/>
                  <w:color w:val="0000FF"/>
                  <w:szCs w:val="22"/>
                  <w:u w:val="single"/>
                  <w:lang w:val="en-US"/>
                </w:rPr>
                <w:t>contact_no@celltrionhc.com</w:t>
              </w:r>
            </w:hyperlink>
          </w:p>
          <w:p w14:paraId="06911287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맑은 고딕"/>
                <w:noProof/>
                <w:szCs w:val="22"/>
                <w:lang w:val="en-US" w:eastAsia="ko-KR"/>
              </w:rPr>
            </w:pPr>
          </w:p>
        </w:tc>
      </w:tr>
      <w:tr w:rsidR="003B2C20" w:rsidRPr="003B2C20" w14:paraId="64DBA7C1" w14:textId="77777777" w:rsidTr="00527191">
        <w:tc>
          <w:tcPr>
            <w:tcW w:w="4678" w:type="dxa"/>
          </w:tcPr>
          <w:p w14:paraId="0A1232B1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l-GR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l-GR"/>
              </w:rPr>
              <w:lastRenderedPageBreak/>
              <w:t>Ελλάδα</w:t>
            </w:r>
          </w:p>
          <w:p w14:paraId="772F53D0" w14:textId="77777777" w:rsidR="003B2C20" w:rsidRPr="00A040B1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</w:rPr>
            </w:pPr>
            <w:r w:rsidRPr="003B2C20">
              <w:rPr>
                <w:rFonts w:eastAsia="Times New Roman"/>
                <w:noProof/>
                <w:szCs w:val="22"/>
                <w:lang w:val="en-GB"/>
              </w:rPr>
              <w:t>ΒΙΑΝΕΞ</w:t>
            </w:r>
            <w:r w:rsidRPr="00A040B1">
              <w:rPr>
                <w:rFonts w:eastAsia="Times New Roman"/>
                <w:noProof/>
                <w:szCs w:val="22"/>
              </w:rPr>
              <w:t xml:space="preserve"> </w:t>
            </w:r>
            <w:r w:rsidRPr="003B2C20">
              <w:rPr>
                <w:rFonts w:eastAsia="Times New Roman"/>
                <w:noProof/>
                <w:szCs w:val="22"/>
                <w:lang w:val="en-GB"/>
              </w:rPr>
              <w:t>Α</w:t>
            </w:r>
            <w:r w:rsidRPr="00A040B1">
              <w:rPr>
                <w:rFonts w:eastAsia="Times New Roman"/>
                <w:noProof/>
                <w:szCs w:val="22"/>
              </w:rPr>
              <w:t>.</w:t>
            </w:r>
            <w:r w:rsidRPr="003B2C20">
              <w:rPr>
                <w:rFonts w:eastAsia="Times New Roman"/>
                <w:noProof/>
                <w:szCs w:val="22"/>
                <w:lang w:val="en-GB"/>
              </w:rPr>
              <w:t>Ε</w:t>
            </w:r>
            <w:r w:rsidRPr="00A040B1">
              <w:rPr>
                <w:rFonts w:eastAsia="Times New Roman"/>
                <w:noProof/>
                <w:szCs w:val="22"/>
              </w:rPr>
              <w:t>.</w:t>
            </w:r>
          </w:p>
          <w:p w14:paraId="6DAF5682" w14:textId="1DDCB5D2" w:rsidR="003B2C20" w:rsidRPr="00F82C59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GB" w:eastAsia="ko-KR"/>
              </w:rPr>
            </w:pPr>
            <w:r w:rsidRPr="003B2C20">
              <w:rPr>
                <w:rFonts w:eastAsia="Times New Roman"/>
                <w:noProof/>
                <w:szCs w:val="22"/>
                <w:lang w:val="en-GB"/>
              </w:rPr>
              <w:t>Τηλ: +30 210 8009111</w:t>
            </w:r>
          </w:p>
          <w:p w14:paraId="7A96B47B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l-GR"/>
              </w:rPr>
            </w:pPr>
          </w:p>
        </w:tc>
        <w:tc>
          <w:tcPr>
            <w:tcW w:w="4678" w:type="dxa"/>
          </w:tcPr>
          <w:p w14:paraId="0296CB3F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de-DE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de-DE"/>
              </w:rPr>
              <w:t>Österreich</w:t>
            </w:r>
          </w:p>
          <w:p w14:paraId="6DFFED66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pt-PT"/>
              </w:rPr>
            </w:pPr>
            <w:r w:rsidRPr="003B2C20">
              <w:rPr>
                <w:rFonts w:eastAsia="Times New Roman"/>
                <w:szCs w:val="22"/>
                <w:lang w:val="pt-PT"/>
              </w:rPr>
              <w:t>Astro-Pharma GmbH</w:t>
            </w:r>
          </w:p>
          <w:p w14:paraId="0E436722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pt-PT"/>
              </w:rPr>
            </w:pPr>
            <w:r w:rsidRPr="003B2C20">
              <w:rPr>
                <w:rFonts w:eastAsia="Times New Roman"/>
                <w:szCs w:val="22"/>
                <w:lang w:val="pt-PT"/>
              </w:rPr>
              <w:t>Tel: +43 1 97 99 860</w:t>
            </w:r>
          </w:p>
          <w:p w14:paraId="4AD83E52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szCs w:val="22"/>
                <w:lang w:val="pt-PT"/>
              </w:rPr>
            </w:pPr>
          </w:p>
        </w:tc>
      </w:tr>
      <w:tr w:rsidR="003B2C20" w:rsidRPr="003B2C20" w14:paraId="48208588" w14:textId="77777777" w:rsidTr="00527191">
        <w:tc>
          <w:tcPr>
            <w:tcW w:w="4678" w:type="dxa"/>
          </w:tcPr>
          <w:p w14:paraId="59BF7A64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  <w:tab w:val="left" w:pos="4536"/>
              </w:tabs>
              <w:suppressAutoHyphens/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s-ES_tradnl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s-ES_tradnl"/>
              </w:rPr>
              <w:t>España</w:t>
            </w:r>
          </w:p>
          <w:p w14:paraId="21C74205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pt-PT"/>
              </w:rPr>
            </w:pPr>
            <w:r w:rsidRPr="003B2C20">
              <w:rPr>
                <w:rFonts w:eastAsia="Times New Roman"/>
                <w:szCs w:val="22"/>
                <w:lang w:val="pt-PT"/>
              </w:rPr>
              <w:t>CELLTRION FARMACEUTICA (ESPAÑA) S.L</w:t>
            </w:r>
            <w:r w:rsidRPr="003B2C20">
              <w:rPr>
                <w:rFonts w:eastAsia="맑은 고딕" w:hint="eastAsia"/>
                <w:szCs w:val="22"/>
                <w:lang w:val="pt-PT" w:eastAsia="ko-KR"/>
              </w:rPr>
              <w:t>.</w:t>
            </w:r>
          </w:p>
          <w:p w14:paraId="743C7EAC" w14:textId="37380C03" w:rsidR="003B2C20" w:rsidRPr="00F82C59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szCs w:val="22"/>
                <w:lang w:val="pt-PT" w:eastAsia="ko-KR"/>
              </w:rPr>
            </w:pPr>
            <w:r w:rsidRPr="003B2C20">
              <w:rPr>
                <w:rFonts w:eastAsia="Times New Roman"/>
                <w:szCs w:val="22"/>
                <w:lang w:val="pt-PT"/>
              </w:rPr>
              <w:t>Tel: +34 910498478</w:t>
            </w:r>
          </w:p>
          <w:p w14:paraId="4FD489EA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맑은 고딕"/>
                <w:szCs w:val="22"/>
                <w:lang w:val="pt-PT" w:eastAsia="ko-KR"/>
              </w:rPr>
            </w:pPr>
            <w:hyperlink r:id="rId25" w:history="1">
              <w:r w:rsidRPr="003B2C20">
                <w:rPr>
                  <w:rFonts w:eastAsia="맑은 고딕"/>
                  <w:color w:val="0000FF"/>
                  <w:szCs w:val="22"/>
                  <w:u w:val="single"/>
                  <w:lang w:val="pt-PT" w:eastAsia="ko-KR"/>
                </w:rPr>
                <w:t>contact_es@celltrion.com</w:t>
              </w:r>
            </w:hyperlink>
          </w:p>
          <w:p w14:paraId="27BBB28C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맑은 고딕"/>
                <w:szCs w:val="22"/>
                <w:lang w:val="pt-PT" w:eastAsia="ko-KR"/>
              </w:rPr>
            </w:pPr>
          </w:p>
        </w:tc>
        <w:tc>
          <w:tcPr>
            <w:tcW w:w="4678" w:type="dxa"/>
          </w:tcPr>
          <w:p w14:paraId="66BD64D9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b/>
                <w:bCs/>
                <w:i/>
                <w:iCs/>
                <w:noProof/>
                <w:szCs w:val="22"/>
                <w:lang w:val="pl-PL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pl-PL"/>
              </w:rPr>
              <w:t>Polska</w:t>
            </w:r>
          </w:p>
          <w:p w14:paraId="0AD2B752" w14:textId="7C3196F1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sv-FI"/>
              </w:rPr>
            </w:pPr>
            <w:r w:rsidRPr="003B2C20">
              <w:rPr>
                <w:rFonts w:eastAsia="Times New Roman"/>
                <w:noProof/>
                <w:szCs w:val="22"/>
                <w:lang w:val="sv-FI"/>
              </w:rPr>
              <w:t>Celltrion Healthcare Hungary Kft.</w:t>
            </w:r>
          </w:p>
          <w:p w14:paraId="50CF7A23" w14:textId="1578A32D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Tel.: +36 1 231 0493</w:t>
            </w:r>
          </w:p>
          <w:p w14:paraId="428D7724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64CB321C" w14:textId="77777777" w:rsidTr="00527191">
        <w:tc>
          <w:tcPr>
            <w:tcW w:w="4678" w:type="dxa"/>
          </w:tcPr>
          <w:p w14:paraId="22AF8A00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  <w:tab w:val="left" w:pos="4536"/>
              </w:tabs>
              <w:suppressAutoHyphens/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France</w:t>
            </w:r>
          </w:p>
          <w:p w14:paraId="434DE270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France SAS</w:t>
            </w:r>
          </w:p>
          <w:p w14:paraId="1DF4C49F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GB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Tél: +33 (0)1 71 25 27 00</w:t>
            </w:r>
          </w:p>
          <w:p w14:paraId="5227CABF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B99EA0F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pt-PT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pt-PT"/>
              </w:rPr>
              <w:t>Portugal</w:t>
            </w:r>
          </w:p>
          <w:p w14:paraId="3AB53823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szCs w:val="22"/>
                <w:lang w:val="pt-PT"/>
              </w:rPr>
              <w:t xml:space="preserve">CELLTRION PORTUGAL, UNIPESSOAL LDA </w:t>
            </w:r>
            <w:r w:rsidRPr="003B2C20">
              <w:rPr>
                <w:rFonts w:eastAsia="Times New Roman"/>
                <w:szCs w:val="22"/>
                <w:lang w:val="pt-PT"/>
              </w:rPr>
              <w:br/>
            </w:r>
            <w:r w:rsidRPr="003B2C20">
              <w:rPr>
                <w:rFonts w:eastAsia="Times New Roman"/>
                <w:noProof/>
                <w:szCs w:val="22"/>
                <w:lang w:val="en-US"/>
              </w:rPr>
              <w:t>Tel: +351 21 936 8542</w:t>
            </w:r>
          </w:p>
          <w:p w14:paraId="553765C3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맑은 고딕"/>
                <w:noProof/>
                <w:szCs w:val="22"/>
                <w:lang w:val="pt-PT" w:eastAsia="ko-KR"/>
              </w:rPr>
            </w:pPr>
            <w:hyperlink r:id="rId26" w:history="1">
              <w:r w:rsidRPr="003B2C20">
                <w:rPr>
                  <w:rFonts w:eastAsia="Times New Roman"/>
                  <w:noProof/>
                  <w:color w:val="0000FF"/>
                  <w:szCs w:val="22"/>
                  <w:u w:val="single"/>
                  <w:lang w:val="pt-PT"/>
                </w:rPr>
                <w:t>contact_pt@celltrion.com</w:t>
              </w:r>
            </w:hyperlink>
          </w:p>
          <w:p w14:paraId="4947DBE1" w14:textId="77777777" w:rsidR="003B2C20" w:rsidRPr="00F82C59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맑은 고딕"/>
                <w:noProof/>
                <w:szCs w:val="22"/>
                <w:lang w:val="pt-PT" w:eastAsia="ko-KR"/>
              </w:rPr>
            </w:pPr>
          </w:p>
        </w:tc>
      </w:tr>
      <w:tr w:rsidR="003B2C20" w:rsidRPr="003B2C20" w14:paraId="284F2A7C" w14:textId="77777777" w:rsidTr="00527191">
        <w:tc>
          <w:tcPr>
            <w:tcW w:w="4678" w:type="dxa"/>
          </w:tcPr>
          <w:p w14:paraId="624E412C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szCs w:val="22"/>
                <w:lang w:val="sv-FI"/>
              </w:rPr>
            </w:pPr>
            <w:r w:rsidRPr="003B2C20">
              <w:rPr>
                <w:rFonts w:eastAsia="Times New Roman"/>
                <w:szCs w:val="22"/>
                <w:lang w:val="sv-FI"/>
              </w:rPr>
              <w:br w:type="page"/>
            </w:r>
            <w:r w:rsidRPr="003B2C20">
              <w:rPr>
                <w:rFonts w:eastAsia="Times New Roman"/>
                <w:b/>
                <w:szCs w:val="22"/>
                <w:lang w:val="sv-FI"/>
              </w:rPr>
              <w:t>Hrvatska</w:t>
            </w:r>
          </w:p>
          <w:p w14:paraId="6F272F7D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  <w:lang w:val="sv-FI"/>
              </w:rPr>
            </w:pPr>
            <w:r w:rsidRPr="003B2C20">
              <w:rPr>
                <w:rFonts w:eastAsia="Times New Roman"/>
                <w:szCs w:val="22"/>
                <w:lang w:val="sv-FI"/>
              </w:rPr>
              <w:t>Oktal Pharma d.o.o.</w:t>
            </w:r>
          </w:p>
          <w:p w14:paraId="4D55CDF0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GB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+385 1 6595 777</w:t>
            </w:r>
          </w:p>
          <w:p w14:paraId="6FCA5005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F6CB5DE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România</w:t>
            </w:r>
          </w:p>
          <w:p w14:paraId="4889EEC6" w14:textId="5018A022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Hungary Kft.</w:t>
            </w:r>
          </w:p>
          <w:p w14:paraId="6E99F5B2" w14:textId="5BC40753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+36 1 231 0493</w:t>
            </w:r>
          </w:p>
          <w:p w14:paraId="2373B0B7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79275AD4" w14:textId="77777777" w:rsidTr="00527191">
        <w:tc>
          <w:tcPr>
            <w:tcW w:w="4678" w:type="dxa"/>
          </w:tcPr>
          <w:p w14:paraId="001D8DE6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nb-NO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nb-NO"/>
              </w:rPr>
              <w:t>Ireland</w:t>
            </w:r>
          </w:p>
          <w:p w14:paraId="08D96289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Ireland Limited </w:t>
            </w:r>
          </w:p>
          <w:p w14:paraId="16A5DB2B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+353 1 223 4026</w:t>
            </w:r>
          </w:p>
          <w:p w14:paraId="73D5C7B7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hyperlink r:id="rId27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enquiry_ie@celltrionhc.com</w:t>
              </w:r>
            </w:hyperlink>
          </w:p>
          <w:p w14:paraId="6B5BB6E5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GB"/>
              </w:rPr>
            </w:pPr>
          </w:p>
        </w:tc>
        <w:tc>
          <w:tcPr>
            <w:tcW w:w="4678" w:type="dxa"/>
          </w:tcPr>
          <w:p w14:paraId="388457B8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Slovenija</w:t>
            </w:r>
          </w:p>
          <w:p w14:paraId="4825F04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OPH Oktal Pharma d.o.o.</w:t>
            </w:r>
          </w:p>
          <w:p w14:paraId="7280BE98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+386 1 519 29 22</w:t>
            </w:r>
          </w:p>
          <w:p w14:paraId="501CBA63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b/>
                <w:noProof/>
                <w:szCs w:val="22"/>
                <w:lang w:val="en-US"/>
              </w:rPr>
            </w:pPr>
          </w:p>
        </w:tc>
      </w:tr>
      <w:tr w:rsidR="003B2C20" w:rsidRPr="003B2C20" w14:paraId="1DE80E33" w14:textId="77777777" w:rsidTr="00527191">
        <w:tc>
          <w:tcPr>
            <w:tcW w:w="4678" w:type="dxa"/>
          </w:tcPr>
          <w:p w14:paraId="75D4624F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Ísland</w:t>
            </w:r>
          </w:p>
          <w:p w14:paraId="6FCC7518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ko-KR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Hungary Kft. </w:t>
            </w:r>
          </w:p>
          <w:p w14:paraId="11B5186D" w14:textId="77777777" w:rsidR="003B2C20" w:rsidRPr="00F82C59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ko-KR"/>
              </w:rPr>
            </w:pPr>
            <w:r w:rsidRPr="003B2C20">
              <w:rPr>
                <w:rFonts w:eastAsia="맑은 고딕"/>
                <w:noProof/>
                <w:szCs w:val="22"/>
                <w:lang w:val="en-US" w:eastAsia="ko-KR"/>
              </w:rPr>
              <w:t>Sími: +36 1 231 0493</w:t>
            </w:r>
          </w:p>
          <w:p w14:paraId="6B76C711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hyperlink r:id="rId28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contact_fi@celltrionhc.com</w:t>
              </w:r>
            </w:hyperlink>
          </w:p>
          <w:p w14:paraId="46BFBD3A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4CB4332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sv-FI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sv-FI"/>
              </w:rPr>
              <w:t>Slovenská republika</w:t>
            </w:r>
          </w:p>
          <w:p w14:paraId="44DDA8EF" w14:textId="0A59E63A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sv-FI"/>
              </w:rPr>
            </w:pPr>
            <w:r w:rsidRPr="003B2C20">
              <w:rPr>
                <w:rFonts w:eastAsia="Times New Roman"/>
                <w:noProof/>
                <w:szCs w:val="22"/>
                <w:lang w:val="sv-FI"/>
              </w:rPr>
              <w:t>Celltrion Healthcare Hungary Kft.</w:t>
            </w:r>
          </w:p>
          <w:p w14:paraId="06A6B584" w14:textId="35E20834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+36 1 231 0493</w:t>
            </w:r>
          </w:p>
          <w:p w14:paraId="448E308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b/>
                <w:noProof/>
                <w:color w:val="008000"/>
                <w:szCs w:val="22"/>
                <w:lang w:val="en-US"/>
              </w:rPr>
            </w:pPr>
          </w:p>
        </w:tc>
      </w:tr>
      <w:tr w:rsidR="003B2C20" w:rsidRPr="003B2C20" w14:paraId="61D58776" w14:textId="77777777" w:rsidTr="00527191">
        <w:tc>
          <w:tcPr>
            <w:tcW w:w="4678" w:type="dxa"/>
          </w:tcPr>
          <w:p w14:paraId="6A7570A0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it-IT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it-IT"/>
              </w:rPr>
              <w:t>Italia</w:t>
            </w:r>
          </w:p>
          <w:p w14:paraId="366E8982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Healthcare Italy S.R.L. </w:t>
            </w:r>
          </w:p>
          <w:p w14:paraId="499E22D5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Tel: +39 0247927040</w:t>
            </w:r>
          </w:p>
          <w:p w14:paraId="52AB20B7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SimSun"/>
                <w:color w:val="0000FF"/>
                <w:szCs w:val="22"/>
                <w:u w:val="single"/>
                <w:lang w:val="en-US" w:eastAsia="en-GB"/>
              </w:rPr>
            </w:pPr>
            <w:hyperlink r:id="rId29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celltrionhealthcare_italy@legalmail.it</w:t>
              </w:r>
            </w:hyperlink>
          </w:p>
          <w:p w14:paraId="0A12F66F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1484ADA9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  <w:tab w:val="left" w:pos="4536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GB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GB"/>
              </w:rPr>
              <w:t>Suomi/Finland</w:t>
            </w:r>
          </w:p>
          <w:p w14:paraId="4106DBC0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Finland Oy.</w:t>
            </w:r>
          </w:p>
          <w:p w14:paraId="3F2926CC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Puh/Tel: +358 29 170 7755</w:t>
            </w:r>
          </w:p>
          <w:p w14:paraId="28C235FB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  <w:hyperlink r:id="rId30" w:history="1">
              <w:r w:rsidRPr="003B2C20">
                <w:rPr>
                  <w:rFonts w:eastAsia="Times New Roman"/>
                  <w:color w:val="0000FF"/>
                  <w:szCs w:val="22"/>
                  <w:u w:val="single"/>
                  <w:lang w:val="en-US"/>
                </w:rPr>
                <w:t>contact_fi@celltrionhc.com</w:t>
              </w:r>
            </w:hyperlink>
          </w:p>
          <w:p w14:paraId="3D9D97CE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  <w:tr w:rsidR="003B2C20" w:rsidRPr="003B2C20" w14:paraId="70FB0AFE" w14:textId="77777777" w:rsidTr="00527191">
        <w:tc>
          <w:tcPr>
            <w:tcW w:w="4678" w:type="dxa"/>
          </w:tcPr>
          <w:p w14:paraId="57BA9A99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l-GR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l-GR"/>
              </w:rPr>
              <w:t>Κύπρος</w:t>
            </w:r>
          </w:p>
          <w:p w14:paraId="2CC9CC87" w14:textId="77777777" w:rsidR="003B2C20" w:rsidRPr="004F7923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</w:rPr>
            </w:pPr>
            <w:r w:rsidRPr="004F7923">
              <w:rPr>
                <w:rFonts w:eastAsia="Times New Roman"/>
                <w:noProof/>
                <w:szCs w:val="22"/>
              </w:rPr>
              <w:t>C.A. Papaellinas Ltd</w:t>
            </w:r>
          </w:p>
          <w:p w14:paraId="54B834ED" w14:textId="77777777" w:rsidR="003B2C20" w:rsidRPr="004F7923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Τηλ</w:t>
            </w:r>
            <w:r w:rsidRPr="004F7923">
              <w:rPr>
                <w:rFonts w:eastAsia="Times New Roman"/>
                <w:noProof/>
                <w:szCs w:val="22"/>
              </w:rPr>
              <w:t>: +357 22741741</w:t>
            </w:r>
          </w:p>
          <w:p w14:paraId="39D358CA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l-GR"/>
              </w:rPr>
            </w:pPr>
          </w:p>
        </w:tc>
        <w:tc>
          <w:tcPr>
            <w:tcW w:w="4678" w:type="dxa"/>
          </w:tcPr>
          <w:p w14:paraId="7C021E69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  <w:tab w:val="left" w:pos="4536"/>
              </w:tabs>
              <w:suppressAutoHyphens/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l-GR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Sverige</w:t>
            </w:r>
          </w:p>
          <w:p w14:paraId="7855AAF6" w14:textId="3B617128" w:rsid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ko-KR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 xml:space="preserve">Celltrion Sweden AB </w:t>
            </w:r>
          </w:p>
          <w:p w14:paraId="15B89B13" w14:textId="2311C79E" w:rsidR="004F7923" w:rsidRPr="004F7923" w:rsidRDefault="004F7923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맑은 고딕"/>
                <w:noProof/>
                <w:szCs w:val="22"/>
                <w:lang w:val="en-US" w:eastAsia="ko-KR"/>
              </w:rPr>
            </w:pPr>
            <w:r w:rsidRPr="004F7923">
              <w:rPr>
                <w:rFonts w:eastAsia="맑은 고딕"/>
                <w:noProof/>
                <w:szCs w:val="22"/>
                <w:lang w:val="en-US" w:eastAsia="ko-KR"/>
              </w:rPr>
              <w:t>Tel: +46 8 80 11 77</w:t>
            </w:r>
          </w:p>
          <w:p w14:paraId="098C9349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  <w:tab w:val="left" w:pos="4536"/>
              </w:tabs>
              <w:suppressAutoHyphens/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hyperlink r:id="rId31" w:history="1">
              <w:r w:rsidRPr="003B2C20">
                <w:rPr>
                  <w:rFonts w:eastAsia="Times New Roman" w:hint="eastAsia"/>
                  <w:noProof/>
                  <w:color w:val="0000FF"/>
                  <w:szCs w:val="22"/>
                  <w:u w:val="single"/>
                  <w:lang w:val="en-US"/>
                </w:rPr>
                <w:t>contact_se@celltrionhc.com</w:t>
              </w:r>
            </w:hyperlink>
          </w:p>
        </w:tc>
      </w:tr>
      <w:tr w:rsidR="003B2C20" w:rsidRPr="003B2C20" w14:paraId="7A76CF66" w14:textId="77777777" w:rsidTr="00527191">
        <w:tc>
          <w:tcPr>
            <w:tcW w:w="4678" w:type="dxa"/>
          </w:tcPr>
          <w:p w14:paraId="69E1AA4E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b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b/>
                <w:noProof/>
                <w:szCs w:val="22"/>
                <w:lang w:val="en-US"/>
              </w:rPr>
              <w:t>Latvija</w:t>
            </w:r>
          </w:p>
          <w:p w14:paraId="114F723E" w14:textId="243EE333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Times New Roman"/>
                <w:noProof/>
                <w:szCs w:val="22"/>
                <w:lang w:val="en-US"/>
              </w:rPr>
              <w:t>Celltrion Healthcare Hungary Kft.</w:t>
            </w:r>
          </w:p>
          <w:p w14:paraId="2FDE6A53" w14:textId="1B9EE2F0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val="en-US"/>
              </w:rPr>
            </w:pPr>
            <w:r w:rsidRPr="003B2C20">
              <w:rPr>
                <w:rFonts w:eastAsia="맑은 고딕" w:hint="eastAsia"/>
                <w:noProof/>
                <w:szCs w:val="22"/>
                <w:lang w:val="en-US" w:eastAsia="ko-KR"/>
              </w:rPr>
              <w:t>Tel</w:t>
            </w:r>
            <w:r w:rsidRPr="003B2C20">
              <w:rPr>
                <w:rFonts w:eastAsia="Times New Roman"/>
                <w:noProof/>
                <w:szCs w:val="22"/>
                <w:lang w:val="en-US"/>
              </w:rPr>
              <w:t>: +36 1 231 0493</w:t>
            </w:r>
          </w:p>
          <w:p w14:paraId="02A1B5AB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pt-PT"/>
              </w:rPr>
            </w:pPr>
          </w:p>
          <w:p w14:paraId="10C3077D" w14:textId="77777777" w:rsidR="003B2C20" w:rsidRPr="003B2C20" w:rsidRDefault="003B2C20" w:rsidP="003B2C20">
            <w:pPr>
              <w:widowControl w:val="0"/>
              <w:tabs>
                <w:tab w:val="clear" w:pos="567"/>
                <w:tab w:val="left" w:pos="-720"/>
              </w:tabs>
              <w:suppressAutoHyphens/>
              <w:autoSpaceDE w:val="0"/>
              <w:autoSpaceDN w:val="0"/>
              <w:rPr>
                <w:rFonts w:eastAsia="Times New Roman"/>
                <w:noProof/>
                <w:szCs w:val="22"/>
                <w:lang w:val="pt-PT"/>
              </w:rPr>
            </w:pPr>
          </w:p>
        </w:tc>
        <w:tc>
          <w:tcPr>
            <w:tcW w:w="4678" w:type="dxa"/>
          </w:tcPr>
          <w:p w14:paraId="2502F9E4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  <w:p w14:paraId="7E396223" w14:textId="77777777" w:rsidR="003B2C20" w:rsidRPr="003B2C20" w:rsidRDefault="003B2C20" w:rsidP="003B2C20">
            <w:pPr>
              <w:widowControl w:val="0"/>
              <w:tabs>
                <w:tab w:val="clear" w:pos="567"/>
              </w:tabs>
              <w:autoSpaceDE w:val="0"/>
              <w:autoSpaceDN w:val="0"/>
              <w:rPr>
                <w:rFonts w:eastAsia="Times New Roman"/>
                <w:noProof/>
                <w:szCs w:val="22"/>
                <w:lang w:val="en-US"/>
              </w:rPr>
            </w:pPr>
          </w:p>
        </w:tc>
      </w:tr>
    </w:tbl>
    <w:p w14:paraId="46D659C8" w14:textId="77777777" w:rsidR="00F41C75" w:rsidRDefault="00F41C75">
      <w:pPr>
        <w:keepNext/>
        <w:numPr>
          <w:ilvl w:val="12"/>
          <w:numId w:val="0"/>
        </w:numPr>
        <w:tabs>
          <w:tab w:val="clear" w:pos="567"/>
        </w:tabs>
        <w:ind w:right="-2"/>
        <w:outlineLvl w:val="0"/>
        <w:rPr>
          <w:b/>
        </w:rPr>
      </w:pPr>
    </w:p>
    <w:p w14:paraId="1ABB3AB9" w14:textId="77777777" w:rsidR="00F41C75" w:rsidRDefault="00F41C75">
      <w:pPr>
        <w:tabs>
          <w:tab w:val="clear" w:pos="567"/>
        </w:tabs>
        <w:rPr>
          <w:b/>
        </w:rPr>
      </w:pPr>
      <w:r>
        <w:rPr>
          <w:b/>
        </w:rPr>
        <w:br w:type="page"/>
      </w:r>
    </w:p>
    <w:p w14:paraId="2AC2A2B9" w14:textId="283F2D57" w:rsidR="000A22A9" w:rsidRDefault="003A2761">
      <w:pPr>
        <w:keepNext/>
        <w:numPr>
          <w:ilvl w:val="12"/>
          <w:numId w:val="0"/>
        </w:numPr>
        <w:tabs>
          <w:tab w:val="clear" w:pos="567"/>
        </w:tabs>
        <w:ind w:right="-2"/>
        <w:outlineLvl w:val="0"/>
      </w:pPr>
      <w:r>
        <w:rPr>
          <w:b/>
        </w:rPr>
        <w:lastRenderedPageBreak/>
        <w:t>Tato příbalová informace byla naposledy revidována</w:t>
      </w:r>
    </w:p>
    <w:p w14:paraId="07E958F8" w14:textId="77777777" w:rsidR="000A22A9" w:rsidRDefault="000A22A9">
      <w:pPr>
        <w:keepNext/>
        <w:numPr>
          <w:ilvl w:val="12"/>
          <w:numId w:val="0"/>
        </w:numPr>
        <w:tabs>
          <w:tab w:val="clear" w:pos="567"/>
        </w:tabs>
        <w:ind w:right="-2"/>
      </w:pPr>
    </w:p>
    <w:p w14:paraId="3EDB6F73" w14:textId="1688FD38" w:rsidR="00A34273" w:rsidRDefault="003A2761">
      <w:r>
        <w:t xml:space="preserve">Podrobné informace o tomto léčivém přípravku jsou k dispozici na webových stránkách Evropské agentury pro léčivé přípravky na adrese </w:t>
      </w:r>
      <w:hyperlink r:id="rId32" w:history="1">
        <w:r w:rsidR="005301B7" w:rsidRPr="005301B7">
          <w:rPr>
            <w:rStyle w:val="ad"/>
          </w:rPr>
          <w:t>https://www.ema.europa.eu</w:t>
        </w:r>
      </w:hyperlink>
      <w:r w:rsidR="007A2794">
        <w:t>.</w:t>
      </w:r>
    </w:p>
    <w:p w14:paraId="3535B188" w14:textId="77777777" w:rsidR="004B3DF9" w:rsidRDefault="004B3DF9"/>
    <w:p w14:paraId="57EDC67E" w14:textId="77777777" w:rsidR="000A22A9" w:rsidRDefault="003A2761">
      <w:r>
        <w:t>---------------------------------------------------------------------------------------------------------------------------</w:t>
      </w:r>
    </w:p>
    <w:p w14:paraId="57E4B29A" w14:textId="77777777" w:rsidR="000A22A9" w:rsidRDefault="000A22A9"/>
    <w:p w14:paraId="7BA4AE2F" w14:textId="77777777" w:rsidR="000A22A9" w:rsidRDefault="003A2761">
      <w:pPr>
        <w:keepNext/>
        <w:rPr>
          <w:b/>
        </w:rPr>
      </w:pPr>
      <w:r>
        <w:rPr>
          <w:b/>
        </w:rPr>
        <w:t>Následující informace je určena pouze pro zdravotnické pracovníky:</w:t>
      </w:r>
    </w:p>
    <w:p w14:paraId="77BB4505" w14:textId="77777777" w:rsidR="000A22A9" w:rsidRDefault="000A22A9">
      <w:pPr>
        <w:keepNext/>
      </w:pPr>
    </w:p>
    <w:p w14:paraId="5323D110" w14:textId="7951AF91" w:rsidR="000A22A9" w:rsidRDefault="003A2761" w:rsidP="004F749C">
      <w:pPr>
        <w:numPr>
          <w:ilvl w:val="0"/>
          <w:numId w:val="25"/>
        </w:numPr>
      </w:pPr>
      <w:r>
        <w:t xml:space="preserve">Roztok přípravku </w:t>
      </w:r>
      <w:r w:rsidR="005301B7">
        <w:t xml:space="preserve">Osenvelt </w:t>
      </w:r>
      <w:r>
        <w:t xml:space="preserve">před podáním pečlivě vizuálně zkontrolujte. Roztok nepodávejte, pokud </w:t>
      </w:r>
      <w:r w:rsidR="005301B7">
        <w:t xml:space="preserve">obsahuje viditelné částice nebo </w:t>
      </w:r>
      <w:r w:rsidR="00206400">
        <w:t xml:space="preserve">je </w:t>
      </w:r>
      <w:r>
        <w:t xml:space="preserve">zakalen </w:t>
      </w:r>
      <w:r w:rsidR="005301B7">
        <w:t xml:space="preserve">nebo </w:t>
      </w:r>
      <w:r>
        <w:t>má odlišnou barvu.</w:t>
      </w:r>
    </w:p>
    <w:p w14:paraId="37C8C719" w14:textId="77777777" w:rsidR="000A22A9" w:rsidRDefault="003A2761">
      <w:pPr>
        <w:numPr>
          <w:ilvl w:val="0"/>
          <w:numId w:val="25"/>
        </w:numPr>
      </w:pPr>
      <w:r>
        <w:t>Přípravkem netřepejte.</w:t>
      </w:r>
    </w:p>
    <w:p w14:paraId="2C8AEDE3" w14:textId="2CBA837A" w:rsidR="000A22A9" w:rsidRDefault="003A2761">
      <w:pPr>
        <w:numPr>
          <w:ilvl w:val="0"/>
          <w:numId w:val="25"/>
        </w:numPr>
      </w:pPr>
      <w:r>
        <w:t xml:space="preserve">Abyste předešli nepříjemným pocitům v místě vpichu, nechte injekční lahvičku před podáním přípravku </w:t>
      </w:r>
      <w:r w:rsidR="001B28FE">
        <w:t>dosáhnout</w:t>
      </w:r>
      <w:r>
        <w:t xml:space="preserve"> pokojov</w:t>
      </w:r>
      <w:r w:rsidR="001B28FE">
        <w:t>é</w:t>
      </w:r>
      <w:r>
        <w:t xml:space="preserve"> teplot</w:t>
      </w:r>
      <w:r w:rsidR="001B28FE">
        <w:t>y</w:t>
      </w:r>
      <w:r>
        <w:t xml:space="preserve"> (do </w:t>
      </w:r>
      <w:ins w:id="40" w:author="만든 이">
        <w:r w:rsidR="000B03CC">
          <w:rPr>
            <w:rFonts w:eastAsia="맑은 고딕" w:hint="eastAsia"/>
            <w:lang w:eastAsia="ko-KR"/>
          </w:rPr>
          <w:t>30</w:t>
        </w:r>
      </w:ins>
      <w:del w:id="41" w:author="만든 이">
        <w:r w:rsidDel="000B03CC">
          <w:delText>25</w:delText>
        </w:r>
      </w:del>
      <w:r>
        <w:t> °C) a roztok aplikujte pomalu.</w:t>
      </w:r>
    </w:p>
    <w:p w14:paraId="68D4F534" w14:textId="4E556E3F" w:rsidR="000A22A9" w:rsidRDefault="004B64FC" w:rsidP="004F749C">
      <w:pPr>
        <w:numPr>
          <w:ilvl w:val="0"/>
          <w:numId w:val="25"/>
        </w:numPr>
      </w:pPr>
      <w:r>
        <w:t>A</w:t>
      </w:r>
      <w:r w:rsidR="003A2761">
        <w:t>plik</w:t>
      </w:r>
      <w:r>
        <w:t>ujte</w:t>
      </w:r>
      <w:r w:rsidR="003A2761">
        <w:t xml:space="preserve"> celý obsah injekční lahvičky.</w:t>
      </w:r>
    </w:p>
    <w:p w14:paraId="4CCFC0A1" w14:textId="77777777" w:rsidR="000A22A9" w:rsidRDefault="003A2761">
      <w:pPr>
        <w:keepNext/>
        <w:numPr>
          <w:ilvl w:val="0"/>
          <w:numId w:val="25"/>
        </w:numPr>
      </w:pPr>
      <w:r>
        <w:t>Pro podání denosumabu se doporučuje použít injekční jehlu 27 gauge.</w:t>
      </w:r>
    </w:p>
    <w:p w14:paraId="591DBA2D" w14:textId="77777777" w:rsidR="000A22A9" w:rsidRDefault="003A2761" w:rsidP="004F749C">
      <w:pPr>
        <w:numPr>
          <w:ilvl w:val="0"/>
          <w:numId w:val="25"/>
        </w:numPr>
      </w:pPr>
      <w:r>
        <w:t xml:space="preserve">Injekční </w:t>
      </w:r>
      <w:r w:rsidRPr="005B2550">
        <w:t>lahvička nemá být</w:t>
      </w:r>
      <w:r>
        <w:t xml:space="preserve"> opakovaně propichována.</w:t>
      </w:r>
    </w:p>
    <w:p w14:paraId="647C3A72" w14:textId="77777777" w:rsidR="000A22A9" w:rsidRDefault="000A22A9"/>
    <w:p w14:paraId="0CDB090D" w14:textId="3D866AF1" w:rsidR="000A22A9" w:rsidRDefault="003A2761">
      <w:r>
        <w:t>Veškerý nepoužitý přípravek nebo odpad musí být zlikvidován v souladu s místními požadavky.</w:t>
      </w:r>
    </w:p>
    <w:p w14:paraId="053A14B2" w14:textId="3DA16A69" w:rsidR="004F749C" w:rsidRPr="00EA1154" w:rsidRDefault="004F749C" w:rsidP="00EA1154">
      <w:pPr>
        <w:pStyle w:val="Stylebold"/>
        <w:keepNext/>
        <w:rPr>
          <w:b w:val="0"/>
          <w:bCs/>
          <w:szCs w:val="22"/>
        </w:rPr>
      </w:pPr>
    </w:p>
    <w:p w14:paraId="0E36D45E" w14:textId="5D7363C7" w:rsidR="0099547D" w:rsidRPr="004F749C" w:rsidRDefault="0099547D" w:rsidP="00EA1154">
      <w:pPr>
        <w:keepNext/>
        <w:keepLines/>
        <w:rPr>
          <w:szCs w:val="22"/>
        </w:rPr>
      </w:pPr>
    </w:p>
    <w:sectPr w:rsidR="0099547D" w:rsidRPr="004F749C">
      <w:footerReference w:type="default" r:id="rId33"/>
      <w:headerReference w:type="first" r:id="rId34"/>
      <w:footerReference w:type="first" r:id="rId3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37547" w14:textId="77777777" w:rsidR="001C5E20" w:rsidRDefault="001C5E20">
      <w:r>
        <w:separator/>
      </w:r>
    </w:p>
  </w:endnote>
  <w:endnote w:type="continuationSeparator" w:id="0">
    <w:p w14:paraId="258D98A2" w14:textId="77777777" w:rsidR="001C5E20" w:rsidRDefault="001C5E20">
      <w:r>
        <w:continuationSeparator/>
      </w:r>
    </w:p>
  </w:endnote>
  <w:endnote w:type="continuationNotice" w:id="1">
    <w:p w14:paraId="64FF700B" w14:textId="77777777" w:rsidR="001C5E20" w:rsidRDefault="001C5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3BB2" w14:textId="77777777" w:rsidR="000A22A9" w:rsidRDefault="003A2761">
    <w:pPr>
      <w:pStyle w:val="a6"/>
      <w:tabs>
        <w:tab w:val="clear" w:pos="8930"/>
        <w:tab w:val="right" w:pos="8931"/>
      </w:tabs>
      <w:ind w:right="96"/>
      <w:jc w:val="center"/>
      <w:rPr>
        <w:rFonts w:ascii="Arial" w:hAnsi="Arial"/>
      </w:rPr>
    </w:pPr>
    <w:r>
      <w:fldChar w:fldCharType="begin"/>
    </w:r>
    <w:r>
      <w:instrText xml:space="preserve"> EQ </w:instrText>
    </w:r>
    <w:r>
      <w:fldChar w:fldCharType="end"/>
    </w:r>
    <w:r>
      <w:rPr>
        <w:rStyle w:val="a7"/>
        <w:rFonts w:ascii="Arial" w:hAnsi="Arial" w:cs="Arial"/>
      </w:rPr>
      <w:fldChar w:fldCharType="begin"/>
    </w:r>
    <w:r>
      <w:rPr>
        <w:rStyle w:val="a7"/>
        <w:rFonts w:ascii="Arial" w:hAnsi="Arial" w:cs="Arial"/>
      </w:rPr>
      <w:instrText xml:space="preserve">PAGE  </w:instrText>
    </w:r>
    <w:r>
      <w:rPr>
        <w:rStyle w:val="a7"/>
        <w:rFonts w:ascii="Arial" w:hAnsi="Arial" w:cs="Arial"/>
      </w:rPr>
      <w:fldChar w:fldCharType="separate"/>
    </w:r>
    <w:r w:rsidR="006254D6">
      <w:rPr>
        <w:rStyle w:val="a7"/>
        <w:rFonts w:ascii="Arial" w:hAnsi="Arial" w:cs="Arial"/>
        <w:noProof/>
      </w:rPr>
      <w:t>39</w:t>
    </w:r>
    <w:r>
      <w:rPr>
        <w:rStyle w:val="a7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E0C7" w14:textId="77777777" w:rsidR="000A22A9" w:rsidRDefault="003A2761">
    <w:pPr>
      <w:pStyle w:val="a6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a7"/>
        <w:rFonts w:ascii="Arial" w:hAnsi="Arial" w:cs="Arial"/>
      </w:rPr>
      <w:fldChar w:fldCharType="begin"/>
    </w:r>
    <w:r>
      <w:rPr>
        <w:rStyle w:val="a7"/>
        <w:rFonts w:ascii="Arial" w:hAnsi="Arial" w:cs="Arial"/>
      </w:rPr>
      <w:instrText xml:space="preserve">PAGE  </w:instrText>
    </w:r>
    <w:r>
      <w:rPr>
        <w:rStyle w:val="a7"/>
        <w:rFonts w:ascii="Arial" w:hAnsi="Arial" w:cs="Arial"/>
      </w:rPr>
      <w:fldChar w:fldCharType="separate"/>
    </w:r>
    <w:r>
      <w:rPr>
        <w:rStyle w:val="a7"/>
        <w:rFonts w:ascii="Arial" w:hAnsi="Arial" w:cs="Arial"/>
      </w:rPr>
      <w:t>1</w:t>
    </w:r>
    <w:r>
      <w:rPr>
        <w:rStyle w:val="a7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351ED" w14:textId="77777777" w:rsidR="001C5E20" w:rsidRDefault="001C5E20">
      <w:r>
        <w:separator/>
      </w:r>
    </w:p>
  </w:footnote>
  <w:footnote w:type="continuationSeparator" w:id="0">
    <w:p w14:paraId="30D94F21" w14:textId="77777777" w:rsidR="001C5E20" w:rsidRDefault="001C5E20">
      <w:r>
        <w:continuationSeparator/>
      </w:r>
    </w:p>
  </w:footnote>
  <w:footnote w:type="continuationNotice" w:id="1">
    <w:p w14:paraId="4D085B99" w14:textId="77777777" w:rsidR="001C5E20" w:rsidRDefault="001C5E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4252" w14:textId="77777777" w:rsidR="000A22A9" w:rsidRDefault="000A22A9">
    <w:pPr>
      <w:widowControl w:val="0"/>
      <w:tabs>
        <w:tab w:val="clear" w:pos="567"/>
      </w:tabs>
      <w:rPr>
        <w:rFonts w:ascii="Arial" w:hAnsi="Arial" w:cs="Arial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BT_1000x858px" style="width:15.55pt;height:13.75pt;visibility:visible;mso-wrap-style:square" o:bullet="t">
        <v:imagedata r:id="rId1" o:title="BT_1000x858px"/>
      </v:shape>
    </w:pict>
  </w:numPicBullet>
  <w:abstractNum w:abstractNumId="0" w15:restartNumberingAfterBreak="0">
    <w:nsid w:val="FFFFFF7C"/>
    <w:multiLevelType w:val="singleLevel"/>
    <w:tmpl w:val="0D3635A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9ADAD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66631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7203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F0CD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68ADE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C8C16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48299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C6813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4875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10304C0"/>
    <w:multiLevelType w:val="hybridMultilevel"/>
    <w:tmpl w:val="EE1423F8"/>
    <w:lvl w:ilvl="0" w:tplc="E8385EA6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56B67"/>
    <w:multiLevelType w:val="hybridMultilevel"/>
    <w:tmpl w:val="455C5348"/>
    <w:lvl w:ilvl="0" w:tplc="C18EF3C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5" w15:restartNumberingAfterBreak="0">
    <w:nsid w:val="25E745CA"/>
    <w:multiLevelType w:val="hybridMultilevel"/>
    <w:tmpl w:val="30BE549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024B17"/>
    <w:multiLevelType w:val="hybridMultilevel"/>
    <w:tmpl w:val="FC04F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21463"/>
    <w:multiLevelType w:val="singleLevel"/>
    <w:tmpl w:val="2C7009F4"/>
    <w:lvl w:ilvl="0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B1323FA"/>
    <w:multiLevelType w:val="hybridMultilevel"/>
    <w:tmpl w:val="EE1423F8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F210F"/>
    <w:multiLevelType w:val="hybridMultilevel"/>
    <w:tmpl w:val="0F185534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9552C"/>
    <w:multiLevelType w:val="hybridMultilevel"/>
    <w:tmpl w:val="9616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23E5B"/>
    <w:multiLevelType w:val="hybridMultilevel"/>
    <w:tmpl w:val="BAEED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22D65"/>
    <w:multiLevelType w:val="hybridMultilevel"/>
    <w:tmpl w:val="8F26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1140B"/>
    <w:multiLevelType w:val="singleLevel"/>
    <w:tmpl w:val="ADECB4E4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4" w15:restartNumberingAfterBreak="0">
    <w:nsid w:val="43E32B8E"/>
    <w:multiLevelType w:val="hybridMultilevel"/>
    <w:tmpl w:val="29809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504C8A"/>
    <w:multiLevelType w:val="hybridMultilevel"/>
    <w:tmpl w:val="1B76013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10FE5"/>
    <w:multiLevelType w:val="hybridMultilevel"/>
    <w:tmpl w:val="03BED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07BBA"/>
    <w:multiLevelType w:val="hybridMultilevel"/>
    <w:tmpl w:val="B0C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12CC1"/>
    <w:multiLevelType w:val="hybridMultilevel"/>
    <w:tmpl w:val="1CD6C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E3738"/>
    <w:multiLevelType w:val="hybridMultilevel"/>
    <w:tmpl w:val="E8107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70F1E"/>
    <w:multiLevelType w:val="hybridMultilevel"/>
    <w:tmpl w:val="F99A3FF8"/>
    <w:lvl w:ilvl="0" w:tplc="9AAEAA5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71009"/>
    <w:multiLevelType w:val="hybridMultilevel"/>
    <w:tmpl w:val="D1789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594014">
    <w:abstractNumId w:val="14"/>
  </w:num>
  <w:num w:numId="2" w16cid:durableId="603734900">
    <w:abstractNumId w:val="17"/>
  </w:num>
  <w:num w:numId="3" w16cid:durableId="372458745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928" w:hanging="360"/>
        </w:pPr>
      </w:lvl>
    </w:lvlOverride>
  </w:num>
  <w:num w:numId="4" w16cid:durableId="1970620796">
    <w:abstractNumId w:val="26"/>
  </w:num>
  <w:num w:numId="5" w16cid:durableId="641614785">
    <w:abstractNumId w:val="27"/>
  </w:num>
  <w:num w:numId="6" w16cid:durableId="1210994045">
    <w:abstractNumId w:val="21"/>
  </w:num>
  <w:num w:numId="7" w16cid:durableId="1379546674">
    <w:abstractNumId w:val="9"/>
  </w:num>
  <w:num w:numId="8" w16cid:durableId="933519191">
    <w:abstractNumId w:val="7"/>
  </w:num>
  <w:num w:numId="9" w16cid:durableId="300575041">
    <w:abstractNumId w:val="6"/>
  </w:num>
  <w:num w:numId="10" w16cid:durableId="1982886375">
    <w:abstractNumId w:val="5"/>
  </w:num>
  <w:num w:numId="11" w16cid:durableId="5909659">
    <w:abstractNumId w:val="4"/>
  </w:num>
  <w:num w:numId="12" w16cid:durableId="880018628">
    <w:abstractNumId w:val="8"/>
  </w:num>
  <w:num w:numId="13" w16cid:durableId="422843659">
    <w:abstractNumId w:val="3"/>
  </w:num>
  <w:num w:numId="14" w16cid:durableId="1150243867">
    <w:abstractNumId w:val="2"/>
  </w:num>
  <w:num w:numId="15" w16cid:durableId="888958245">
    <w:abstractNumId w:val="1"/>
  </w:num>
  <w:num w:numId="16" w16cid:durableId="1873876915">
    <w:abstractNumId w:val="0"/>
  </w:num>
  <w:num w:numId="17" w16cid:durableId="1732653250">
    <w:abstractNumId w:val="22"/>
  </w:num>
  <w:num w:numId="18" w16cid:durableId="785583162">
    <w:abstractNumId w:val="13"/>
  </w:num>
  <w:num w:numId="19" w16cid:durableId="1694456216">
    <w:abstractNumId w:val="30"/>
  </w:num>
  <w:num w:numId="20" w16cid:durableId="2052880706">
    <w:abstractNumId w:val="23"/>
  </w:num>
  <w:num w:numId="21" w16cid:durableId="1150830811">
    <w:abstractNumId w:val="24"/>
  </w:num>
  <w:num w:numId="22" w16cid:durableId="200438529">
    <w:abstractNumId w:val="28"/>
  </w:num>
  <w:num w:numId="23" w16cid:durableId="695158243">
    <w:abstractNumId w:val="31"/>
  </w:num>
  <w:num w:numId="24" w16cid:durableId="1228999530">
    <w:abstractNumId w:val="29"/>
  </w:num>
  <w:num w:numId="25" w16cid:durableId="216473499">
    <w:abstractNumId w:val="12"/>
  </w:num>
  <w:num w:numId="26" w16cid:durableId="849490411">
    <w:abstractNumId w:val="11"/>
  </w:num>
  <w:num w:numId="27" w16cid:durableId="1221553243">
    <w:abstractNumId w:val="25"/>
  </w:num>
  <w:num w:numId="28" w16cid:durableId="957644586">
    <w:abstractNumId w:val="15"/>
  </w:num>
  <w:num w:numId="29" w16cid:durableId="938558830">
    <w:abstractNumId w:val="19"/>
  </w:num>
  <w:num w:numId="30" w16cid:durableId="1767309516">
    <w:abstractNumId w:val="32"/>
  </w:num>
  <w:num w:numId="31" w16cid:durableId="1831435479">
    <w:abstractNumId w:val="16"/>
  </w:num>
  <w:num w:numId="32" w16cid:durableId="294651718">
    <w:abstractNumId w:val="18"/>
  </w:num>
  <w:num w:numId="33" w16cid:durableId="2060595330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bordersDoNotSurroundHeader/>
  <w:bordersDoNotSurroundFooter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sv-SE" w:vendorID="64" w:dllVersion="0" w:nlCheck="1" w:checkStyle="0"/>
  <w:activeWritingStyle w:appName="MSWord" w:lang="en-IN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IN" w:vendorID="64" w:dllVersion="4096" w:nlCheck="1" w:checkStyle="0"/>
  <w:activeWritingStyle w:appName="MSWord" w:lang="fr-FR" w:vendorID="64" w:dllVersion="4096" w:nlCheck="1" w:checkStyle="0"/>
  <w:activeWritingStyle w:appName="MSWord" w:lang="cs-CZ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s-ES_tradnl" w:vendorID="64" w:dllVersion="0" w:nlCheck="1" w:checkStyle="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nb-NO" w:vendorID="666" w:dllVersion="513" w:checkStyle="1"/>
  <w:activeWritingStyle w:appName="MSWord" w:lang="pt-PT" w:vendorID="13" w:dllVersion="513" w:checkStyle="1"/>
  <w:activeWritingStyle w:appName="MSWord" w:lang="fi-FI" w:vendorID="666" w:dllVersion="513" w:checkStyle="1"/>
  <w:activeWritingStyle w:appName="MSWord" w:lang="nl-NL" w:vendorID="1" w:dllVersion="512" w:checkStyle="1"/>
  <w:activeWritingStyle w:appName="MSWord" w:lang="pt-BR" w:vendorID="1" w:dllVersion="513" w:checkStyle="1"/>
  <w:activeWritingStyle w:appName="MSWord" w:lang="da-DK" w:vendorID="666" w:dllVersion="513" w:checkStyle="1"/>
  <w:activeWritingStyle w:appName="MSWord" w:lang="ru-RU" w:vendorID="1" w:dllVersion="512" w:checkStyle="1"/>
  <w:activeWritingStyle w:appName="MSWord" w:lang="da-DK" w:vendorID="22" w:dllVersion="513" w:checkStyle="1"/>
  <w:activeWritingStyle w:appName="MSWord" w:lang="sv-SE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086a8db-c91d-4b17-897c-646a1991c764" w:val=" "/>
    <w:docVar w:name="VAULT_ND_02877ea3-1632-4dc0-b659-33a81f1c688a" w:val=" "/>
    <w:docVar w:name="VAULT_ND_08a5a800-a916-4792-b47d-3518082a4c7b" w:val=" "/>
    <w:docVar w:name="vault_nd_09075e7d-6006-4af6-9764-568a98ad3975" w:val=" "/>
    <w:docVar w:name="VAULT_ND_0f6385ec-2836-4a64-a329-2b4833a27236" w:val=" "/>
    <w:docVar w:name="VAULT_ND_138c09be-3cfa-4a2e-aa48-3c3620796e8e" w:val=" "/>
    <w:docVar w:name="vault_nd_13cbef9a-f08f-4675-8264-d134421ed1ba" w:val=" "/>
    <w:docVar w:name="VAULT_ND_1c95e99a-ae07-4e32-9531-d68d9c571b78" w:val=" "/>
    <w:docVar w:name="VAULT_ND_222cc0d6-ba4f-4944-9026-b02e138a77cf" w:val=" "/>
    <w:docVar w:name="VAULT_ND_27cf0bfe-bfd7-4a85-8246-5b9f0f66f397" w:val=" "/>
    <w:docVar w:name="VAULT_ND_28c39e03-9a4c-4182-ad7d-f9cfd81b44ed" w:val=" "/>
    <w:docVar w:name="vault_nd_2e2056b4-7fd1-4a36-98a9-3de39d244ae4" w:val=" "/>
    <w:docVar w:name="VAULT_ND_2f380d1c-2280-4057-a37b-1bcab97934fd" w:val=" "/>
    <w:docVar w:name="VAULT_ND_30307fc7-09b8-4bfd-87cc-baff1c5bb526" w:val=" "/>
    <w:docVar w:name="VAULT_ND_3170e97a-4bbd-43b5-ae0d-691fc3e8c75b" w:val=" "/>
    <w:docVar w:name="vault_nd_3430f0a3-d637-4bd3-9e5b-c5d80ff0cdb0" w:val=" "/>
    <w:docVar w:name="vault_nd_36f23f09-fd26-4279-b2b6-0afd68f5f4eb" w:val=" "/>
    <w:docVar w:name="vault_nd_3b753006-2e37-4d23-b239-00612c885dba" w:val=" "/>
    <w:docVar w:name="VAULT_ND_3c304f51-7a89-455d-941c-74fe73079543" w:val=" "/>
    <w:docVar w:name="VAULT_ND_3d5e8f82-2278-4b05-ac26-d60d9f417cc8" w:val=" "/>
    <w:docVar w:name="VAULT_ND_495a9323-dc9a-4738-ab2d-fa87eba41ff3" w:val=" "/>
    <w:docVar w:name="vault_nd_49a3a290-8704-46f2-99df-f32c39fdb237" w:val=" "/>
    <w:docVar w:name="vault_nd_4a96f9a7-6632-439b-8a14-e1d2e8fad5da" w:val=" "/>
    <w:docVar w:name="VAULT_ND_551f14c9-b463-430f-a72e-c8063a52b3af" w:val=" "/>
    <w:docVar w:name="VAULT_ND_5557e0c5-db94-4f80-9df2-071c25bbc3ca" w:val=" "/>
    <w:docVar w:name="vault_nd_5641bade-0efe-4070-8032-048faa627918" w:val=" "/>
    <w:docVar w:name="VAULT_ND_6296e4b8-659d-4341-be54-abd0efedc94c" w:val=" "/>
    <w:docVar w:name="VAULT_ND_69304552-346b-42db-826d-c1f80345fcdb" w:val=" "/>
    <w:docVar w:name="VAULT_ND_6b6c557a-6bee-40f5-bca4-8b0a3f5bb3cb" w:val=" "/>
    <w:docVar w:name="VAULT_ND_6c6d9ff4-6504-4feb-972c-b953f2656991" w:val=" "/>
    <w:docVar w:name="VAULT_ND_6f3d99ab-b215-4384-94da-347c564c696c" w:val=" "/>
    <w:docVar w:name="vault_nd_6f41e998-c4ac-41a7-bbd7-a3e7ca27620f" w:val=" "/>
    <w:docVar w:name="VAULT_ND_73a4e42c-70f2-4493-af48-7475004b4a80" w:val=" "/>
    <w:docVar w:name="vault_nd_79caff2d-8d40-4d32-82cb-f11c3cf8b2c8" w:val=" "/>
    <w:docVar w:name="VAULT_ND_7cbe8163-d83d-40d7-b5b4-22e15278728a" w:val=" "/>
    <w:docVar w:name="vault_nd_7f350d00-24ed-47da-955e-c0979f3d2a48" w:val=" "/>
    <w:docVar w:name="vault_nd_89c411a2-7a81-435a-b87e-ac40e5cb5e6d" w:val=" "/>
    <w:docVar w:name="VAULT_ND_8f3fa6a1-2026-46a3-ab33-24ed36865a6a" w:val=" "/>
    <w:docVar w:name="VAULT_ND_9140fcca-62be-498b-857c-54ea78e1f40c" w:val=" "/>
    <w:docVar w:name="VAULT_ND_923767b1-88eb-4fb6-b306-eef024ae4e68" w:val=" "/>
    <w:docVar w:name="VAULT_ND_93c6805a-d46b-4069-aec6-a0cf9088d60a" w:val=" "/>
    <w:docVar w:name="vault_nd_95c0729a-13ef-4fb7-b0fd-97d7a325d83f" w:val=" "/>
    <w:docVar w:name="vault_nd_966a6cba-91cd-4c6a-b7fc-86b2dea579fb" w:val=" "/>
    <w:docVar w:name="VAULT_ND_9690597e-4248-4b42-a6da-3d9d61d1ccc8" w:val=" "/>
    <w:docVar w:name="vault_nd_98f0ea6b-f11f-43a4-9c69-57c93c0ceaed" w:val=" "/>
    <w:docVar w:name="VAULT_ND_a0038fd1-164e-42fb-a2c3-9cd2a4fd3711" w:val=" "/>
    <w:docVar w:name="VAULT_ND_a1e6e023-b63d-415c-b6f0-fd21f4bfc90d" w:val=" "/>
    <w:docVar w:name="vault_nd_a24c4c6c-b06f-4c25-9e36-4fdf40f54274" w:val=" "/>
    <w:docVar w:name="VAULT_ND_a37ce795-e7f1-4d42-a6b4-68e615cc77d4" w:val=" "/>
    <w:docVar w:name="vault_nd_a50b5f53-fc5b-4585-8f88-530b1f4a57c0" w:val=" "/>
    <w:docVar w:name="VAULT_ND_a6321c63-8f3e-4e46-8ce3-2758c6412c17" w:val=" "/>
    <w:docVar w:name="VAULT_ND_aacdb6e3-ece4-425f-8e46-04985cc557dd" w:val=" "/>
    <w:docVar w:name="VAULT_ND_aede9778-505f-4b42-9c87-3d4f2c7ff115" w:val=" "/>
    <w:docVar w:name="VAULT_ND_b380f131-30bf-48a8-b5d0-fe4ef542541d" w:val=" "/>
    <w:docVar w:name="VAULT_ND_b61b4c44-81ad-4db4-9487-6961ad87ecea" w:val=" "/>
    <w:docVar w:name="VAULT_ND_b893fc93-6d77-4d63-8c36-38a0b73ee766" w:val=" "/>
    <w:docVar w:name="VAULT_ND_b8de593a-7b34-4f82-9bb4-6252557bb0a1" w:val=" "/>
    <w:docVar w:name="VAULT_ND_babbc658-c7ce-4a4f-9290-6f6a7d334641" w:val=" "/>
    <w:docVar w:name="vault_nd_bc80339d-c8ad-4bb9-823f-77168133a26e" w:val=" "/>
    <w:docVar w:name="VAULT_ND_c26590cb-2f8c-4413-ab10-ee17b6c194dc" w:val=" "/>
    <w:docVar w:name="VAULT_ND_c3464421-cca9-4c23-905b-edfceba9b678" w:val=" "/>
    <w:docVar w:name="vault_nd_c5ae12e5-afd6-4833-a8f8-1eb3c6a98300" w:val=" "/>
    <w:docVar w:name="VAULT_ND_cc910bcc-5942-448b-83be-deb1b363e5bf" w:val=" "/>
    <w:docVar w:name="vault_nd_cd6dfe2a-b333-4b0b-acf6-c1eaa9283796" w:val=" "/>
    <w:docVar w:name="vault_nd_da28a141-5875-4c66-963e-ce26bbc99e1c" w:val=" "/>
    <w:docVar w:name="VAULT_ND_dbca3ebd-b280-417e-906c-8781477ad4af" w:val=" "/>
    <w:docVar w:name="VAULT_ND_debf51a3-ad43-47d3-82d6-b4b9214d3f0f" w:val=" "/>
    <w:docVar w:name="vault_nd_dfefbf80-5d5f-41de-b8a1-be9581d22ffc" w:val=" "/>
    <w:docVar w:name="vault_nd_e3b57b28-6034-40d1-981d-cf722b24a334" w:val=" "/>
    <w:docVar w:name="vault_nd_e3e873bb-e3b0-4afa-8356-4a9210738a5f" w:val=" "/>
    <w:docVar w:name="vault_nd_e458c731-fe74-4d6c-8985-10b0bcdf7066" w:val=" "/>
    <w:docVar w:name="vault_nd_e8bc3562-8f83-47b6-9f37-46e2d58404aa" w:val=" "/>
    <w:docVar w:name="VAULT_ND_eb67b8ed-a250-4b53-a530-5758294f071b" w:val=" "/>
    <w:docVar w:name="vault_nd_ebefe427-632a-4338-91fd-89742e617eff" w:val=" "/>
    <w:docVar w:name="vault_nd_efeaf689-55f2-42e5-9613-7cb4459cfe41" w:val=" "/>
    <w:docVar w:name="vault_nd_f4ceafcf-6473-43d9-9c44-bb935431844c" w:val=" "/>
    <w:docVar w:name="VAULT_ND_f9a517d6-7194-4c12-a6d7-267a8d404ca1" w:val=" "/>
    <w:docVar w:name="vault_nd_f9abd9e2-73b6-4ae9-9511-56d022fd4c35" w:val=" "/>
    <w:docVar w:name="VAULT_ND_fb428f7a-f4bd-4640-b470-11a55d5cb8a4" w:val=" "/>
    <w:docVar w:name="VAULT_ND_fbd2d644-3909-4565-b10b-8418f6a46839" w:val=" "/>
    <w:docVar w:name="Version" w:val="0"/>
  </w:docVars>
  <w:rsids>
    <w:rsidRoot w:val="003729C2"/>
    <w:rsid w:val="0000076D"/>
    <w:rsid w:val="000009DF"/>
    <w:rsid w:val="00002791"/>
    <w:rsid w:val="0000322B"/>
    <w:rsid w:val="00003C68"/>
    <w:rsid w:val="00003FE6"/>
    <w:rsid w:val="00004A23"/>
    <w:rsid w:val="00004B6E"/>
    <w:rsid w:val="00005FF3"/>
    <w:rsid w:val="000061B9"/>
    <w:rsid w:val="00007689"/>
    <w:rsid w:val="0001113C"/>
    <w:rsid w:val="00011569"/>
    <w:rsid w:val="00012137"/>
    <w:rsid w:val="00014DAD"/>
    <w:rsid w:val="00015376"/>
    <w:rsid w:val="000156BF"/>
    <w:rsid w:val="0001613A"/>
    <w:rsid w:val="00016170"/>
    <w:rsid w:val="00016452"/>
    <w:rsid w:val="00016875"/>
    <w:rsid w:val="000205AA"/>
    <w:rsid w:val="00020675"/>
    <w:rsid w:val="000214A0"/>
    <w:rsid w:val="00021B53"/>
    <w:rsid w:val="00022D18"/>
    <w:rsid w:val="00023AEC"/>
    <w:rsid w:val="0002476D"/>
    <w:rsid w:val="00025B94"/>
    <w:rsid w:val="000262AD"/>
    <w:rsid w:val="000263E9"/>
    <w:rsid w:val="0003073C"/>
    <w:rsid w:val="00031387"/>
    <w:rsid w:val="0003144F"/>
    <w:rsid w:val="000315D2"/>
    <w:rsid w:val="00032FD7"/>
    <w:rsid w:val="00032FEE"/>
    <w:rsid w:val="00033D9E"/>
    <w:rsid w:val="0003411C"/>
    <w:rsid w:val="00034B1F"/>
    <w:rsid w:val="00034B2A"/>
    <w:rsid w:val="00036E63"/>
    <w:rsid w:val="00037A02"/>
    <w:rsid w:val="000401B5"/>
    <w:rsid w:val="00042B57"/>
    <w:rsid w:val="00043D46"/>
    <w:rsid w:val="00046BE7"/>
    <w:rsid w:val="00046EA7"/>
    <w:rsid w:val="0004718B"/>
    <w:rsid w:val="000478E7"/>
    <w:rsid w:val="000506CC"/>
    <w:rsid w:val="00050AF3"/>
    <w:rsid w:val="00051214"/>
    <w:rsid w:val="00051860"/>
    <w:rsid w:val="00052B91"/>
    <w:rsid w:val="00053C50"/>
    <w:rsid w:val="00054CF2"/>
    <w:rsid w:val="000550FA"/>
    <w:rsid w:val="00055405"/>
    <w:rsid w:val="00056516"/>
    <w:rsid w:val="00056724"/>
    <w:rsid w:val="000569BE"/>
    <w:rsid w:val="0006062B"/>
    <w:rsid w:val="00061DAB"/>
    <w:rsid w:val="000621FC"/>
    <w:rsid w:val="00063ED6"/>
    <w:rsid w:val="00063FA6"/>
    <w:rsid w:val="000643EB"/>
    <w:rsid w:val="0006455B"/>
    <w:rsid w:val="000649A2"/>
    <w:rsid w:val="00064F9F"/>
    <w:rsid w:val="000669BE"/>
    <w:rsid w:val="0006736E"/>
    <w:rsid w:val="000703B8"/>
    <w:rsid w:val="00070888"/>
    <w:rsid w:val="00071C29"/>
    <w:rsid w:val="00074584"/>
    <w:rsid w:val="00075676"/>
    <w:rsid w:val="00076049"/>
    <w:rsid w:val="00076650"/>
    <w:rsid w:val="00077221"/>
    <w:rsid w:val="0007775C"/>
    <w:rsid w:val="000777CB"/>
    <w:rsid w:val="00077B29"/>
    <w:rsid w:val="000800FF"/>
    <w:rsid w:val="00080BB0"/>
    <w:rsid w:val="00080DF5"/>
    <w:rsid w:val="00081067"/>
    <w:rsid w:val="000815FA"/>
    <w:rsid w:val="00083745"/>
    <w:rsid w:val="00084050"/>
    <w:rsid w:val="00084FE4"/>
    <w:rsid w:val="0008528F"/>
    <w:rsid w:val="00085331"/>
    <w:rsid w:val="00085724"/>
    <w:rsid w:val="000872C5"/>
    <w:rsid w:val="00087FAA"/>
    <w:rsid w:val="00090222"/>
    <w:rsid w:val="00090750"/>
    <w:rsid w:val="00091B77"/>
    <w:rsid w:val="00092DA4"/>
    <w:rsid w:val="00093674"/>
    <w:rsid w:val="00095589"/>
    <w:rsid w:val="00096725"/>
    <w:rsid w:val="000A05FB"/>
    <w:rsid w:val="000A0E5A"/>
    <w:rsid w:val="000A118E"/>
    <w:rsid w:val="000A1688"/>
    <w:rsid w:val="000A22A9"/>
    <w:rsid w:val="000A3B08"/>
    <w:rsid w:val="000A67AF"/>
    <w:rsid w:val="000B02E0"/>
    <w:rsid w:val="000B03CC"/>
    <w:rsid w:val="000B093D"/>
    <w:rsid w:val="000B1B2A"/>
    <w:rsid w:val="000B253F"/>
    <w:rsid w:val="000B2C5D"/>
    <w:rsid w:val="000B2DE6"/>
    <w:rsid w:val="000B2FFB"/>
    <w:rsid w:val="000B33B5"/>
    <w:rsid w:val="000B48BB"/>
    <w:rsid w:val="000B5839"/>
    <w:rsid w:val="000B6F51"/>
    <w:rsid w:val="000B6FFB"/>
    <w:rsid w:val="000C0C60"/>
    <w:rsid w:val="000C17EE"/>
    <w:rsid w:val="000C2780"/>
    <w:rsid w:val="000C2F7E"/>
    <w:rsid w:val="000C3999"/>
    <w:rsid w:val="000C75CA"/>
    <w:rsid w:val="000C7620"/>
    <w:rsid w:val="000D0D13"/>
    <w:rsid w:val="000D17A2"/>
    <w:rsid w:val="000D30BA"/>
    <w:rsid w:val="000D30F8"/>
    <w:rsid w:val="000D44F6"/>
    <w:rsid w:val="000D516F"/>
    <w:rsid w:val="000D56A0"/>
    <w:rsid w:val="000D5762"/>
    <w:rsid w:val="000D5A70"/>
    <w:rsid w:val="000D5CA6"/>
    <w:rsid w:val="000E04D8"/>
    <w:rsid w:val="000E06A9"/>
    <w:rsid w:val="000E0722"/>
    <w:rsid w:val="000E2AC6"/>
    <w:rsid w:val="000E3486"/>
    <w:rsid w:val="000E35CF"/>
    <w:rsid w:val="000E39E9"/>
    <w:rsid w:val="000E5DE7"/>
    <w:rsid w:val="000E5DED"/>
    <w:rsid w:val="000E5F78"/>
    <w:rsid w:val="000E61AE"/>
    <w:rsid w:val="000E62DF"/>
    <w:rsid w:val="000E7FCC"/>
    <w:rsid w:val="000F1472"/>
    <w:rsid w:val="000F1A58"/>
    <w:rsid w:val="000F2780"/>
    <w:rsid w:val="000F2AA8"/>
    <w:rsid w:val="000F2B56"/>
    <w:rsid w:val="000F2E0B"/>
    <w:rsid w:val="000F45A6"/>
    <w:rsid w:val="000F471E"/>
    <w:rsid w:val="000F4C1C"/>
    <w:rsid w:val="000F5B63"/>
    <w:rsid w:val="000F5CAB"/>
    <w:rsid w:val="000F5F98"/>
    <w:rsid w:val="000F63EC"/>
    <w:rsid w:val="000F66A6"/>
    <w:rsid w:val="000F6D57"/>
    <w:rsid w:val="000F709C"/>
    <w:rsid w:val="000F7D5A"/>
    <w:rsid w:val="001000A5"/>
    <w:rsid w:val="001005E3"/>
    <w:rsid w:val="001020C9"/>
    <w:rsid w:val="0010241C"/>
    <w:rsid w:val="001024FF"/>
    <w:rsid w:val="001025B0"/>
    <w:rsid w:val="001037FD"/>
    <w:rsid w:val="0010394D"/>
    <w:rsid w:val="00105B0E"/>
    <w:rsid w:val="00105C63"/>
    <w:rsid w:val="00105D6D"/>
    <w:rsid w:val="00106425"/>
    <w:rsid w:val="00106F44"/>
    <w:rsid w:val="00107063"/>
    <w:rsid w:val="00107F7B"/>
    <w:rsid w:val="00110C5C"/>
    <w:rsid w:val="00112B76"/>
    <w:rsid w:val="00113387"/>
    <w:rsid w:val="0011367E"/>
    <w:rsid w:val="00113B57"/>
    <w:rsid w:val="0011430C"/>
    <w:rsid w:val="001155FD"/>
    <w:rsid w:val="00115804"/>
    <w:rsid w:val="00115FAE"/>
    <w:rsid w:val="0011676E"/>
    <w:rsid w:val="00117DAE"/>
    <w:rsid w:val="00122036"/>
    <w:rsid w:val="001223D8"/>
    <w:rsid w:val="00122464"/>
    <w:rsid w:val="001230A3"/>
    <w:rsid w:val="00123388"/>
    <w:rsid w:val="00123CF2"/>
    <w:rsid w:val="001245D4"/>
    <w:rsid w:val="00124972"/>
    <w:rsid w:val="001277BC"/>
    <w:rsid w:val="00130881"/>
    <w:rsid w:val="001328BC"/>
    <w:rsid w:val="00134B39"/>
    <w:rsid w:val="00134C0F"/>
    <w:rsid w:val="00134F12"/>
    <w:rsid w:val="00136302"/>
    <w:rsid w:val="00137420"/>
    <w:rsid w:val="001377DE"/>
    <w:rsid w:val="00140547"/>
    <w:rsid w:val="00141D9D"/>
    <w:rsid w:val="00142C30"/>
    <w:rsid w:val="00142FB9"/>
    <w:rsid w:val="00143408"/>
    <w:rsid w:val="0014559C"/>
    <w:rsid w:val="001462C8"/>
    <w:rsid w:val="0014677F"/>
    <w:rsid w:val="00146DAB"/>
    <w:rsid w:val="00146F73"/>
    <w:rsid w:val="00150620"/>
    <w:rsid w:val="00150AC2"/>
    <w:rsid w:val="00151BC6"/>
    <w:rsid w:val="00151DBB"/>
    <w:rsid w:val="0015225F"/>
    <w:rsid w:val="001537FA"/>
    <w:rsid w:val="00154AEF"/>
    <w:rsid w:val="00154ECC"/>
    <w:rsid w:val="0015543F"/>
    <w:rsid w:val="00156072"/>
    <w:rsid w:val="00156CCC"/>
    <w:rsid w:val="00157D8A"/>
    <w:rsid w:val="00160966"/>
    <w:rsid w:val="001612D6"/>
    <w:rsid w:val="0016178A"/>
    <w:rsid w:val="00162BFF"/>
    <w:rsid w:val="00163C6C"/>
    <w:rsid w:val="00165377"/>
    <w:rsid w:val="00165D43"/>
    <w:rsid w:val="001661A6"/>
    <w:rsid w:val="001672A1"/>
    <w:rsid w:val="001674D1"/>
    <w:rsid w:val="00167946"/>
    <w:rsid w:val="00170118"/>
    <w:rsid w:val="0017030F"/>
    <w:rsid w:val="00172527"/>
    <w:rsid w:val="00173228"/>
    <w:rsid w:val="001733F2"/>
    <w:rsid w:val="001740E6"/>
    <w:rsid w:val="0017475C"/>
    <w:rsid w:val="00180E17"/>
    <w:rsid w:val="00181249"/>
    <w:rsid w:val="00182E9D"/>
    <w:rsid w:val="0018446D"/>
    <w:rsid w:val="00184F17"/>
    <w:rsid w:val="001861BC"/>
    <w:rsid w:val="00186203"/>
    <w:rsid w:val="00186781"/>
    <w:rsid w:val="00186929"/>
    <w:rsid w:val="00186BFD"/>
    <w:rsid w:val="00186CC5"/>
    <w:rsid w:val="00186FA6"/>
    <w:rsid w:val="0018791C"/>
    <w:rsid w:val="0018795C"/>
    <w:rsid w:val="00187A23"/>
    <w:rsid w:val="00190535"/>
    <w:rsid w:val="001918BF"/>
    <w:rsid w:val="0019315C"/>
    <w:rsid w:val="0019388F"/>
    <w:rsid w:val="00193E2C"/>
    <w:rsid w:val="0019470D"/>
    <w:rsid w:val="00195C85"/>
    <w:rsid w:val="00196703"/>
    <w:rsid w:val="00196E3B"/>
    <w:rsid w:val="00197992"/>
    <w:rsid w:val="001A09FD"/>
    <w:rsid w:val="001A28DE"/>
    <w:rsid w:val="001A34E9"/>
    <w:rsid w:val="001A3879"/>
    <w:rsid w:val="001A43D1"/>
    <w:rsid w:val="001A4675"/>
    <w:rsid w:val="001A4798"/>
    <w:rsid w:val="001A55F3"/>
    <w:rsid w:val="001A5A81"/>
    <w:rsid w:val="001B089C"/>
    <w:rsid w:val="001B10D8"/>
    <w:rsid w:val="001B28FE"/>
    <w:rsid w:val="001B2EDA"/>
    <w:rsid w:val="001B37D6"/>
    <w:rsid w:val="001B47C8"/>
    <w:rsid w:val="001B4F0E"/>
    <w:rsid w:val="001B5EE8"/>
    <w:rsid w:val="001B650A"/>
    <w:rsid w:val="001C00B1"/>
    <w:rsid w:val="001C03E7"/>
    <w:rsid w:val="001C1039"/>
    <w:rsid w:val="001C46AB"/>
    <w:rsid w:val="001C4FEF"/>
    <w:rsid w:val="001C54BD"/>
    <w:rsid w:val="001C5D50"/>
    <w:rsid w:val="001C5E20"/>
    <w:rsid w:val="001C7434"/>
    <w:rsid w:val="001C74C2"/>
    <w:rsid w:val="001C758B"/>
    <w:rsid w:val="001C7617"/>
    <w:rsid w:val="001C7653"/>
    <w:rsid w:val="001D0C6D"/>
    <w:rsid w:val="001D1407"/>
    <w:rsid w:val="001D18BD"/>
    <w:rsid w:val="001D4432"/>
    <w:rsid w:val="001D4DD6"/>
    <w:rsid w:val="001D599B"/>
    <w:rsid w:val="001D6018"/>
    <w:rsid w:val="001D76BA"/>
    <w:rsid w:val="001E0AFA"/>
    <w:rsid w:val="001E2134"/>
    <w:rsid w:val="001E751C"/>
    <w:rsid w:val="001F1A51"/>
    <w:rsid w:val="001F2061"/>
    <w:rsid w:val="001F2409"/>
    <w:rsid w:val="001F246D"/>
    <w:rsid w:val="001F2A37"/>
    <w:rsid w:val="001F2F35"/>
    <w:rsid w:val="001F2FDB"/>
    <w:rsid w:val="001F3F4B"/>
    <w:rsid w:val="001F5173"/>
    <w:rsid w:val="001F5C2B"/>
    <w:rsid w:val="001F7125"/>
    <w:rsid w:val="00200F04"/>
    <w:rsid w:val="00202070"/>
    <w:rsid w:val="00202E2D"/>
    <w:rsid w:val="0020523C"/>
    <w:rsid w:val="0020629B"/>
    <w:rsid w:val="0020638E"/>
    <w:rsid w:val="002063F2"/>
    <w:rsid w:val="00206400"/>
    <w:rsid w:val="00206AD6"/>
    <w:rsid w:val="00206DB4"/>
    <w:rsid w:val="00206E03"/>
    <w:rsid w:val="00207C48"/>
    <w:rsid w:val="002133AC"/>
    <w:rsid w:val="00213A15"/>
    <w:rsid w:val="00213E0B"/>
    <w:rsid w:val="00213E8D"/>
    <w:rsid w:val="00216964"/>
    <w:rsid w:val="00216E88"/>
    <w:rsid w:val="0021773E"/>
    <w:rsid w:val="00217A7C"/>
    <w:rsid w:val="002200AE"/>
    <w:rsid w:val="002203E0"/>
    <w:rsid w:val="002207C0"/>
    <w:rsid w:val="002210E7"/>
    <w:rsid w:val="00221338"/>
    <w:rsid w:val="0022166C"/>
    <w:rsid w:val="00221C6F"/>
    <w:rsid w:val="002232ED"/>
    <w:rsid w:val="0022463E"/>
    <w:rsid w:val="00224BFA"/>
    <w:rsid w:val="00226A6A"/>
    <w:rsid w:val="00226B7A"/>
    <w:rsid w:val="00226D4F"/>
    <w:rsid w:val="00227190"/>
    <w:rsid w:val="00227262"/>
    <w:rsid w:val="0022727C"/>
    <w:rsid w:val="00233545"/>
    <w:rsid w:val="002345BE"/>
    <w:rsid w:val="00234654"/>
    <w:rsid w:val="002349C9"/>
    <w:rsid w:val="00234EB9"/>
    <w:rsid w:val="00235988"/>
    <w:rsid w:val="002375FC"/>
    <w:rsid w:val="00237F4C"/>
    <w:rsid w:val="002402E8"/>
    <w:rsid w:val="00241168"/>
    <w:rsid w:val="002417D6"/>
    <w:rsid w:val="00241C50"/>
    <w:rsid w:val="00242813"/>
    <w:rsid w:val="00242CB7"/>
    <w:rsid w:val="00243042"/>
    <w:rsid w:val="00244266"/>
    <w:rsid w:val="00244ED4"/>
    <w:rsid w:val="00245576"/>
    <w:rsid w:val="002459E1"/>
    <w:rsid w:val="0024679A"/>
    <w:rsid w:val="00246FA6"/>
    <w:rsid w:val="00250232"/>
    <w:rsid w:val="0025072E"/>
    <w:rsid w:val="00250EA7"/>
    <w:rsid w:val="00251FC2"/>
    <w:rsid w:val="00252EF0"/>
    <w:rsid w:val="002539B2"/>
    <w:rsid w:val="002540E0"/>
    <w:rsid w:val="00254495"/>
    <w:rsid w:val="00254731"/>
    <w:rsid w:val="00255750"/>
    <w:rsid w:val="00256256"/>
    <w:rsid w:val="0025629D"/>
    <w:rsid w:val="002573D0"/>
    <w:rsid w:val="002575B6"/>
    <w:rsid w:val="002575D9"/>
    <w:rsid w:val="002600E7"/>
    <w:rsid w:val="0026193D"/>
    <w:rsid w:val="0026299E"/>
    <w:rsid w:val="00262EC2"/>
    <w:rsid w:val="00264AAE"/>
    <w:rsid w:val="00264CDF"/>
    <w:rsid w:val="002677AF"/>
    <w:rsid w:val="00270F39"/>
    <w:rsid w:val="0027131B"/>
    <w:rsid w:val="002715D6"/>
    <w:rsid w:val="002719E9"/>
    <w:rsid w:val="00271A21"/>
    <w:rsid w:val="00272B45"/>
    <w:rsid w:val="00272B52"/>
    <w:rsid w:val="002754CF"/>
    <w:rsid w:val="00275634"/>
    <w:rsid w:val="002758B5"/>
    <w:rsid w:val="0027618A"/>
    <w:rsid w:val="002763C1"/>
    <w:rsid w:val="00276AD6"/>
    <w:rsid w:val="00276EE2"/>
    <w:rsid w:val="00276F45"/>
    <w:rsid w:val="002822D2"/>
    <w:rsid w:val="0028305A"/>
    <w:rsid w:val="00285D60"/>
    <w:rsid w:val="002869B2"/>
    <w:rsid w:val="00290D42"/>
    <w:rsid w:val="00290DB9"/>
    <w:rsid w:val="00290F6C"/>
    <w:rsid w:val="00292872"/>
    <w:rsid w:val="0029359D"/>
    <w:rsid w:val="0029400E"/>
    <w:rsid w:val="00294495"/>
    <w:rsid w:val="00294576"/>
    <w:rsid w:val="00294DDB"/>
    <w:rsid w:val="00294EE1"/>
    <w:rsid w:val="00294F2A"/>
    <w:rsid w:val="0029775C"/>
    <w:rsid w:val="00297AB4"/>
    <w:rsid w:val="002A0BF4"/>
    <w:rsid w:val="002A1973"/>
    <w:rsid w:val="002A1F4A"/>
    <w:rsid w:val="002A3441"/>
    <w:rsid w:val="002A3463"/>
    <w:rsid w:val="002A4606"/>
    <w:rsid w:val="002A54B8"/>
    <w:rsid w:val="002A550E"/>
    <w:rsid w:val="002A6025"/>
    <w:rsid w:val="002A6E2E"/>
    <w:rsid w:val="002A793D"/>
    <w:rsid w:val="002B03FF"/>
    <w:rsid w:val="002B0A02"/>
    <w:rsid w:val="002B16C1"/>
    <w:rsid w:val="002B2480"/>
    <w:rsid w:val="002B3407"/>
    <w:rsid w:val="002B3CF5"/>
    <w:rsid w:val="002B3FB8"/>
    <w:rsid w:val="002B455B"/>
    <w:rsid w:val="002B4A1F"/>
    <w:rsid w:val="002B566A"/>
    <w:rsid w:val="002B7906"/>
    <w:rsid w:val="002B7A08"/>
    <w:rsid w:val="002C1531"/>
    <w:rsid w:val="002C1EEC"/>
    <w:rsid w:val="002C2DE7"/>
    <w:rsid w:val="002C3AF1"/>
    <w:rsid w:val="002C3C1F"/>
    <w:rsid w:val="002C3F5B"/>
    <w:rsid w:val="002C3FCD"/>
    <w:rsid w:val="002C46D5"/>
    <w:rsid w:val="002C5AAD"/>
    <w:rsid w:val="002C5B25"/>
    <w:rsid w:val="002C5CD0"/>
    <w:rsid w:val="002C5FF1"/>
    <w:rsid w:val="002C63FF"/>
    <w:rsid w:val="002C734E"/>
    <w:rsid w:val="002D15CB"/>
    <w:rsid w:val="002D167F"/>
    <w:rsid w:val="002D3DE7"/>
    <w:rsid w:val="002D5E6A"/>
    <w:rsid w:val="002D6029"/>
    <w:rsid w:val="002D60FC"/>
    <w:rsid w:val="002D6946"/>
    <w:rsid w:val="002D7750"/>
    <w:rsid w:val="002D79E9"/>
    <w:rsid w:val="002E00E3"/>
    <w:rsid w:val="002E0763"/>
    <w:rsid w:val="002E0CD4"/>
    <w:rsid w:val="002E0D95"/>
    <w:rsid w:val="002E1C67"/>
    <w:rsid w:val="002E1D36"/>
    <w:rsid w:val="002E3DB1"/>
    <w:rsid w:val="002E3FAE"/>
    <w:rsid w:val="002E4B27"/>
    <w:rsid w:val="002E4EF2"/>
    <w:rsid w:val="002E6551"/>
    <w:rsid w:val="002E66A8"/>
    <w:rsid w:val="002F0776"/>
    <w:rsid w:val="002F1264"/>
    <w:rsid w:val="002F1524"/>
    <w:rsid w:val="002F1ACC"/>
    <w:rsid w:val="002F2813"/>
    <w:rsid w:val="002F2BF5"/>
    <w:rsid w:val="002F3AB0"/>
    <w:rsid w:val="002F3D84"/>
    <w:rsid w:val="002F45FF"/>
    <w:rsid w:val="002F5064"/>
    <w:rsid w:val="002F5344"/>
    <w:rsid w:val="002F580B"/>
    <w:rsid w:val="002F649B"/>
    <w:rsid w:val="002F6ACF"/>
    <w:rsid w:val="002F6E92"/>
    <w:rsid w:val="002F77DF"/>
    <w:rsid w:val="0030104E"/>
    <w:rsid w:val="003017CE"/>
    <w:rsid w:val="00301DD8"/>
    <w:rsid w:val="00301E16"/>
    <w:rsid w:val="00301E65"/>
    <w:rsid w:val="0030206A"/>
    <w:rsid w:val="003022E0"/>
    <w:rsid w:val="00303FE5"/>
    <w:rsid w:val="00304628"/>
    <w:rsid w:val="0030507D"/>
    <w:rsid w:val="0030535F"/>
    <w:rsid w:val="00305E99"/>
    <w:rsid w:val="003061CE"/>
    <w:rsid w:val="00306638"/>
    <w:rsid w:val="00307864"/>
    <w:rsid w:val="00310223"/>
    <w:rsid w:val="003104F9"/>
    <w:rsid w:val="0031184C"/>
    <w:rsid w:val="00311B8A"/>
    <w:rsid w:val="00313920"/>
    <w:rsid w:val="00313BA2"/>
    <w:rsid w:val="00314E11"/>
    <w:rsid w:val="003155C9"/>
    <w:rsid w:val="00315664"/>
    <w:rsid w:val="00316966"/>
    <w:rsid w:val="00317E46"/>
    <w:rsid w:val="00320DD9"/>
    <w:rsid w:val="00320FD7"/>
    <w:rsid w:val="003237FE"/>
    <w:rsid w:val="00324911"/>
    <w:rsid w:val="00325E4E"/>
    <w:rsid w:val="0032616C"/>
    <w:rsid w:val="003270E4"/>
    <w:rsid w:val="0032725A"/>
    <w:rsid w:val="003311BB"/>
    <w:rsid w:val="00333797"/>
    <w:rsid w:val="00334FA1"/>
    <w:rsid w:val="003350A0"/>
    <w:rsid w:val="003361E3"/>
    <w:rsid w:val="0033623A"/>
    <w:rsid w:val="00336FCF"/>
    <w:rsid w:val="00337160"/>
    <w:rsid w:val="00340A58"/>
    <w:rsid w:val="00342518"/>
    <w:rsid w:val="00342BC6"/>
    <w:rsid w:val="00342D45"/>
    <w:rsid w:val="0034338B"/>
    <w:rsid w:val="0034489E"/>
    <w:rsid w:val="003454A7"/>
    <w:rsid w:val="00345AE1"/>
    <w:rsid w:val="00345F83"/>
    <w:rsid w:val="00346D9C"/>
    <w:rsid w:val="003479AC"/>
    <w:rsid w:val="0035342C"/>
    <w:rsid w:val="00353469"/>
    <w:rsid w:val="00353722"/>
    <w:rsid w:val="00353EE5"/>
    <w:rsid w:val="00354FEF"/>
    <w:rsid w:val="00355AA7"/>
    <w:rsid w:val="00355B06"/>
    <w:rsid w:val="003569E5"/>
    <w:rsid w:val="003576DE"/>
    <w:rsid w:val="0036010B"/>
    <w:rsid w:val="0036194F"/>
    <w:rsid w:val="00362BDC"/>
    <w:rsid w:val="0036580D"/>
    <w:rsid w:val="00365BCC"/>
    <w:rsid w:val="00366219"/>
    <w:rsid w:val="00366638"/>
    <w:rsid w:val="00367F6F"/>
    <w:rsid w:val="00370AF4"/>
    <w:rsid w:val="00370B1E"/>
    <w:rsid w:val="00370CD1"/>
    <w:rsid w:val="00370D49"/>
    <w:rsid w:val="003710E9"/>
    <w:rsid w:val="00371439"/>
    <w:rsid w:val="003717E4"/>
    <w:rsid w:val="00372304"/>
    <w:rsid w:val="003729C2"/>
    <w:rsid w:val="00372C6E"/>
    <w:rsid w:val="003737DB"/>
    <w:rsid w:val="003743D3"/>
    <w:rsid w:val="003748C9"/>
    <w:rsid w:val="00374BB6"/>
    <w:rsid w:val="00374F30"/>
    <w:rsid w:val="00375241"/>
    <w:rsid w:val="0037549A"/>
    <w:rsid w:val="00380C56"/>
    <w:rsid w:val="00381685"/>
    <w:rsid w:val="00381C22"/>
    <w:rsid w:val="00381E1A"/>
    <w:rsid w:val="003823AD"/>
    <w:rsid w:val="00382EF7"/>
    <w:rsid w:val="00383079"/>
    <w:rsid w:val="00384137"/>
    <w:rsid w:val="00384AEB"/>
    <w:rsid w:val="00385232"/>
    <w:rsid w:val="003852FB"/>
    <w:rsid w:val="0038591A"/>
    <w:rsid w:val="00385E10"/>
    <w:rsid w:val="00386767"/>
    <w:rsid w:val="00386FDB"/>
    <w:rsid w:val="0038769B"/>
    <w:rsid w:val="00387B31"/>
    <w:rsid w:val="00391DEB"/>
    <w:rsid w:val="00392A23"/>
    <w:rsid w:val="00392D06"/>
    <w:rsid w:val="0039325D"/>
    <w:rsid w:val="003948A0"/>
    <w:rsid w:val="003950C1"/>
    <w:rsid w:val="0039685B"/>
    <w:rsid w:val="00396A06"/>
    <w:rsid w:val="00396A82"/>
    <w:rsid w:val="00396EF4"/>
    <w:rsid w:val="0039710F"/>
    <w:rsid w:val="003A0770"/>
    <w:rsid w:val="003A10C0"/>
    <w:rsid w:val="003A1641"/>
    <w:rsid w:val="003A18B1"/>
    <w:rsid w:val="003A2761"/>
    <w:rsid w:val="003A2A9F"/>
    <w:rsid w:val="003A33BC"/>
    <w:rsid w:val="003A3573"/>
    <w:rsid w:val="003A607E"/>
    <w:rsid w:val="003A7024"/>
    <w:rsid w:val="003B078C"/>
    <w:rsid w:val="003B09CC"/>
    <w:rsid w:val="003B1CF6"/>
    <w:rsid w:val="003B1DE3"/>
    <w:rsid w:val="003B1F76"/>
    <w:rsid w:val="003B2C20"/>
    <w:rsid w:val="003B3495"/>
    <w:rsid w:val="003B5AEC"/>
    <w:rsid w:val="003B5AF1"/>
    <w:rsid w:val="003B5EAF"/>
    <w:rsid w:val="003B5FFE"/>
    <w:rsid w:val="003B706D"/>
    <w:rsid w:val="003C070D"/>
    <w:rsid w:val="003C1B12"/>
    <w:rsid w:val="003C3595"/>
    <w:rsid w:val="003C36BF"/>
    <w:rsid w:val="003C3E29"/>
    <w:rsid w:val="003C41C2"/>
    <w:rsid w:val="003C4419"/>
    <w:rsid w:val="003C4F95"/>
    <w:rsid w:val="003C674B"/>
    <w:rsid w:val="003C6DA6"/>
    <w:rsid w:val="003C706A"/>
    <w:rsid w:val="003C7BF8"/>
    <w:rsid w:val="003D0088"/>
    <w:rsid w:val="003D055D"/>
    <w:rsid w:val="003D0A9E"/>
    <w:rsid w:val="003D215B"/>
    <w:rsid w:val="003D2725"/>
    <w:rsid w:val="003D3AA0"/>
    <w:rsid w:val="003D4620"/>
    <w:rsid w:val="003D4D00"/>
    <w:rsid w:val="003D5EBC"/>
    <w:rsid w:val="003D7395"/>
    <w:rsid w:val="003E1582"/>
    <w:rsid w:val="003E15C4"/>
    <w:rsid w:val="003E1842"/>
    <w:rsid w:val="003E39AF"/>
    <w:rsid w:val="003E47CC"/>
    <w:rsid w:val="003E54E1"/>
    <w:rsid w:val="003E569C"/>
    <w:rsid w:val="003F1E35"/>
    <w:rsid w:val="003F2B89"/>
    <w:rsid w:val="003F3E71"/>
    <w:rsid w:val="003F4D22"/>
    <w:rsid w:val="003F6D37"/>
    <w:rsid w:val="003F6E17"/>
    <w:rsid w:val="003F753D"/>
    <w:rsid w:val="00401294"/>
    <w:rsid w:val="0040192F"/>
    <w:rsid w:val="00403114"/>
    <w:rsid w:val="00403C29"/>
    <w:rsid w:val="004046DD"/>
    <w:rsid w:val="004048D7"/>
    <w:rsid w:val="00404CCA"/>
    <w:rsid w:val="00405682"/>
    <w:rsid w:val="00405BC2"/>
    <w:rsid w:val="0040647D"/>
    <w:rsid w:val="00407DE8"/>
    <w:rsid w:val="00407FAA"/>
    <w:rsid w:val="00410462"/>
    <w:rsid w:val="00410D6B"/>
    <w:rsid w:val="004124F8"/>
    <w:rsid w:val="0041389A"/>
    <w:rsid w:val="00415790"/>
    <w:rsid w:val="004159DD"/>
    <w:rsid w:val="00415AA1"/>
    <w:rsid w:val="00416DEB"/>
    <w:rsid w:val="00417D52"/>
    <w:rsid w:val="00417F62"/>
    <w:rsid w:val="0042036F"/>
    <w:rsid w:val="0042142F"/>
    <w:rsid w:val="00421AC5"/>
    <w:rsid w:val="004221B9"/>
    <w:rsid w:val="00422441"/>
    <w:rsid w:val="0042252F"/>
    <w:rsid w:val="00422A7F"/>
    <w:rsid w:val="00422D83"/>
    <w:rsid w:val="004236C3"/>
    <w:rsid w:val="00423C2B"/>
    <w:rsid w:val="004244B4"/>
    <w:rsid w:val="00424A4A"/>
    <w:rsid w:val="00424D1A"/>
    <w:rsid w:val="004250E4"/>
    <w:rsid w:val="00425244"/>
    <w:rsid w:val="00425D47"/>
    <w:rsid w:val="00425E39"/>
    <w:rsid w:val="00426968"/>
    <w:rsid w:val="00427DC5"/>
    <w:rsid w:val="00430173"/>
    <w:rsid w:val="00431520"/>
    <w:rsid w:val="00432094"/>
    <w:rsid w:val="004342AB"/>
    <w:rsid w:val="00434355"/>
    <w:rsid w:val="004343ED"/>
    <w:rsid w:val="0043457B"/>
    <w:rsid w:val="0043716B"/>
    <w:rsid w:val="0044146D"/>
    <w:rsid w:val="004418B7"/>
    <w:rsid w:val="004425AF"/>
    <w:rsid w:val="00442B51"/>
    <w:rsid w:val="00443511"/>
    <w:rsid w:val="00443585"/>
    <w:rsid w:val="004439B0"/>
    <w:rsid w:val="00443DF6"/>
    <w:rsid w:val="00444D07"/>
    <w:rsid w:val="00445141"/>
    <w:rsid w:val="00446CA5"/>
    <w:rsid w:val="00450A9F"/>
    <w:rsid w:val="00450B4D"/>
    <w:rsid w:val="00450D1F"/>
    <w:rsid w:val="004516D7"/>
    <w:rsid w:val="0045269C"/>
    <w:rsid w:val="004526C4"/>
    <w:rsid w:val="00452D61"/>
    <w:rsid w:val="004531E1"/>
    <w:rsid w:val="0045371A"/>
    <w:rsid w:val="004543BD"/>
    <w:rsid w:val="00454A6C"/>
    <w:rsid w:val="00455016"/>
    <w:rsid w:val="00456217"/>
    <w:rsid w:val="004563CA"/>
    <w:rsid w:val="00457118"/>
    <w:rsid w:val="00460A80"/>
    <w:rsid w:val="0046104A"/>
    <w:rsid w:val="00461E4F"/>
    <w:rsid w:val="00462218"/>
    <w:rsid w:val="00462B32"/>
    <w:rsid w:val="004636D6"/>
    <w:rsid w:val="00464A87"/>
    <w:rsid w:val="0046602F"/>
    <w:rsid w:val="0046663F"/>
    <w:rsid w:val="004666FB"/>
    <w:rsid w:val="004678F6"/>
    <w:rsid w:val="00467EC6"/>
    <w:rsid w:val="00474709"/>
    <w:rsid w:val="00474BE0"/>
    <w:rsid w:val="00474C5E"/>
    <w:rsid w:val="004754BD"/>
    <w:rsid w:val="00475608"/>
    <w:rsid w:val="00475938"/>
    <w:rsid w:val="00476216"/>
    <w:rsid w:val="004773F5"/>
    <w:rsid w:val="00480FA8"/>
    <w:rsid w:val="00481791"/>
    <w:rsid w:val="00481B2B"/>
    <w:rsid w:val="004821A0"/>
    <w:rsid w:val="00483AD0"/>
    <w:rsid w:val="00483F42"/>
    <w:rsid w:val="00484340"/>
    <w:rsid w:val="0048476D"/>
    <w:rsid w:val="004852ED"/>
    <w:rsid w:val="00485997"/>
    <w:rsid w:val="004866AD"/>
    <w:rsid w:val="00486A6E"/>
    <w:rsid w:val="00486C8B"/>
    <w:rsid w:val="00491420"/>
    <w:rsid w:val="0049213E"/>
    <w:rsid w:val="00492FCF"/>
    <w:rsid w:val="00493374"/>
    <w:rsid w:val="00493D0E"/>
    <w:rsid w:val="00494435"/>
    <w:rsid w:val="00495961"/>
    <w:rsid w:val="00495E07"/>
    <w:rsid w:val="004964DC"/>
    <w:rsid w:val="0049673B"/>
    <w:rsid w:val="00497444"/>
    <w:rsid w:val="004974AA"/>
    <w:rsid w:val="00497D7E"/>
    <w:rsid w:val="004A0EBC"/>
    <w:rsid w:val="004A0F7D"/>
    <w:rsid w:val="004A1EC4"/>
    <w:rsid w:val="004A2444"/>
    <w:rsid w:val="004A2A8F"/>
    <w:rsid w:val="004A33EF"/>
    <w:rsid w:val="004A46C8"/>
    <w:rsid w:val="004A4D8B"/>
    <w:rsid w:val="004A51E6"/>
    <w:rsid w:val="004A523F"/>
    <w:rsid w:val="004A5820"/>
    <w:rsid w:val="004A5DA4"/>
    <w:rsid w:val="004A7923"/>
    <w:rsid w:val="004A7E70"/>
    <w:rsid w:val="004B15BD"/>
    <w:rsid w:val="004B1AB1"/>
    <w:rsid w:val="004B20B1"/>
    <w:rsid w:val="004B253B"/>
    <w:rsid w:val="004B2D39"/>
    <w:rsid w:val="004B341E"/>
    <w:rsid w:val="004B3B8C"/>
    <w:rsid w:val="004B3DF9"/>
    <w:rsid w:val="004B46FC"/>
    <w:rsid w:val="004B54E6"/>
    <w:rsid w:val="004B5677"/>
    <w:rsid w:val="004B5734"/>
    <w:rsid w:val="004B5CD4"/>
    <w:rsid w:val="004B64FC"/>
    <w:rsid w:val="004B6607"/>
    <w:rsid w:val="004B6A2C"/>
    <w:rsid w:val="004B6F72"/>
    <w:rsid w:val="004B7762"/>
    <w:rsid w:val="004C042F"/>
    <w:rsid w:val="004C191F"/>
    <w:rsid w:val="004C1BC5"/>
    <w:rsid w:val="004C1F5B"/>
    <w:rsid w:val="004C3401"/>
    <w:rsid w:val="004C4773"/>
    <w:rsid w:val="004C5B1B"/>
    <w:rsid w:val="004C62B4"/>
    <w:rsid w:val="004C6EEF"/>
    <w:rsid w:val="004D1F5E"/>
    <w:rsid w:val="004D43AC"/>
    <w:rsid w:val="004D445B"/>
    <w:rsid w:val="004D5C3F"/>
    <w:rsid w:val="004D6351"/>
    <w:rsid w:val="004D6877"/>
    <w:rsid w:val="004D6967"/>
    <w:rsid w:val="004D6A51"/>
    <w:rsid w:val="004D76AD"/>
    <w:rsid w:val="004D7B79"/>
    <w:rsid w:val="004E02EC"/>
    <w:rsid w:val="004E06ED"/>
    <w:rsid w:val="004E1FC1"/>
    <w:rsid w:val="004E20C9"/>
    <w:rsid w:val="004E23DA"/>
    <w:rsid w:val="004E37CE"/>
    <w:rsid w:val="004E51E0"/>
    <w:rsid w:val="004E70CE"/>
    <w:rsid w:val="004E7D98"/>
    <w:rsid w:val="004F0DF8"/>
    <w:rsid w:val="004F18B2"/>
    <w:rsid w:val="004F1E21"/>
    <w:rsid w:val="004F236B"/>
    <w:rsid w:val="004F4237"/>
    <w:rsid w:val="004F4F1C"/>
    <w:rsid w:val="004F6671"/>
    <w:rsid w:val="004F6EF3"/>
    <w:rsid w:val="004F749C"/>
    <w:rsid w:val="004F7923"/>
    <w:rsid w:val="00500353"/>
    <w:rsid w:val="005007B8"/>
    <w:rsid w:val="0050455C"/>
    <w:rsid w:val="005060FE"/>
    <w:rsid w:val="0050764B"/>
    <w:rsid w:val="00510622"/>
    <w:rsid w:val="00510E1B"/>
    <w:rsid w:val="005120B9"/>
    <w:rsid w:val="00512867"/>
    <w:rsid w:val="00512E98"/>
    <w:rsid w:val="00513774"/>
    <w:rsid w:val="00515298"/>
    <w:rsid w:val="005152B9"/>
    <w:rsid w:val="005155D1"/>
    <w:rsid w:val="0051568D"/>
    <w:rsid w:val="00516FDC"/>
    <w:rsid w:val="005173E3"/>
    <w:rsid w:val="005178E4"/>
    <w:rsid w:val="00517F7D"/>
    <w:rsid w:val="00520C4F"/>
    <w:rsid w:val="00521814"/>
    <w:rsid w:val="00521874"/>
    <w:rsid w:val="00522DFD"/>
    <w:rsid w:val="00524A3B"/>
    <w:rsid w:val="005253E2"/>
    <w:rsid w:val="0052549D"/>
    <w:rsid w:val="0052580F"/>
    <w:rsid w:val="00525EBA"/>
    <w:rsid w:val="00526A51"/>
    <w:rsid w:val="00526CB9"/>
    <w:rsid w:val="005301B7"/>
    <w:rsid w:val="0053197F"/>
    <w:rsid w:val="00532812"/>
    <w:rsid w:val="00532C0B"/>
    <w:rsid w:val="00532EF3"/>
    <w:rsid w:val="00534C02"/>
    <w:rsid w:val="005375D9"/>
    <w:rsid w:val="00537B75"/>
    <w:rsid w:val="00540FF3"/>
    <w:rsid w:val="00541FAD"/>
    <w:rsid w:val="00543EF0"/>
    <w:rsid w:val="00544489"/>
    <w:rsid w:val="00545636"/>
    <w:rsid w:val="00545C3C"/>
    <w:rsid w:val="00545CBB"/>
    <w:rsid w:val="00546B77"/>
    <w:rsid w:val="00546FA4"/>
    <w:rsid w:val="005503F5"/>
    <w:rsid w:val="00551750"/>
    <w:rsid w:val="005517EC"/>
    <w:rsid w:val="00553EBA"/>
    <w:rsid w:val="00553F24"/>
    <w:rsid w:val="00554214"/>
    <w:rsid w:val="00554A3D"/>
    <w:rsid w:val="0055546F"/>
    <w:rsid w:val="00556D22"/>
    <w:rsid w:val="00556F94"/>
    <w:rsid w:val="005571FC"/>
    <w:rsid w:val="0055762F"/>
    <w:rsid w:val="00557638"/>
    <w:rsid w:val="00557EE3"/>
    <w:rsid w:val="0056103F"/>
    <w:rsid w:val="005616DD"/>
    <w:rsid w:val="005618A2"/>
    <w:rsid w:val="00561DBF"/>
    <w:rsid w:val="00562690"/>
    <w:rsid w:val="00563334"/>
    <w:rsid w:val="00563BF5"/>
    <w:rsid w:val="00564042"/>
    <w:rsid w:val="005644B3"/>
    <w:rsid w:val="00564806"/>
    <w:rsid w:val="00564B22"/>
    <w:rsid w:val="00565AAE"/>
    <w:rsid w:val="00565DB7"/>
    <w:rsid w:val="00566531"/>
    <w:rsid w:val="00566854"/>
    <w:rsid w:val="00573D5B"/>
    <w:rsid w:val="00574D63"/>
    <w:rsid w:val="00574E8B"/>
    <w:rsid w:val="00576257"/>
    <w:rsid w:val="005765D5"/>
    <w:rsid w:val="00577B8D"/>
    <w:rsid w:val="00581FAE"/>
    <w:rsid w:val="00583ABC"/>
    <w:rsid w:val="00583CA3"/>
    <w:rsid w:val="00584ECD"/>
    <w:rsid w:val="005850AC"/>
    <w:rsid w:val="00585C3F"/>
    <w:rsid w:val="00586053"/>
    <w:rsid w:val="00586753"/>
    <w:rsid w:val="00586B0F"/>
    <w:rsid w:val="00586BE5"/>
    <w:rsid w:val="00586DB9"/>
    <w:rsid w:val="00587777"/>
    <w:rsid w:val="00587E68"/>
    <w:rsid w:val="00590AAD"/>
    <w:rsid w:val="00591B9D"/>
    <w:rsid w:val="005925D9"/>
    <w:rsid w:val="00592ABC"/>
    <w:rsid w:val="00592EC6"/>
    <w:rsid w:val="00593773"/>
    <w:rsid w:val="00593C1D"/>
    <w:rsid w:val="005948C3"/>
    <w:rsid w:val="00595670"/>
    <w:rsid w:val="00595D8F"/>
    <w:rsid w:val="00595E8C"/>
    <w:rsid w:val="00596500"/>
    <w:rsid w:val="005A027C"/>
    <w:rsid w:val="005A052B"/>
    <w:rsid w:val="005A0CB5"/>
    <w:rsid w:val="005A0DBA"/>
    <w:rsid w:val="005A0E50"/>
    <w:rsid w:val="005A146D"/>
    <w:rsid w:val="005A24B2"/>
    <w:rsid w:val="005A3B8B"/>
    <w:rsid w:val="005A40CA"/>
    <w:rsid w:val="005A4440"/>
    <w:rsid w:val="005A4DAB"/>
    <w:rsid w:val="005A4EA8"/>
    <w:rsid w:val="005A5185"/>
    <w:rsid w:val="005A554E"/>
    <w:rsid w:val="005A55E1"/>
    <w:rsid w:val="005A5B43"/>
    <w:rsid w:val="005A6C18"/>
    <w:rsid w:val="005A7C49"/>
    <w:rsid w:val="005B025A"/>
    <w:rsid w:val="005B0906"/>
    <w:rsid w:val="005B1643"/>
    <w:rsid w:val="005B1EF5"/>
    <w:rsid w:val="005B2550"/>
    <w:rsid w:val="005B397D"/>
    <w:rsid w:val="005B3D79"/>
    <w:rsid w:val="005B4B44"/>
    <w:rsid w:val="005B7D44"/>
    <w:rsid w:val="005C08E0"/>
    <w:rsid w:val="005C10B8"/>
    <w:rsid w:val="005C1822"/>
    <w:rsid w:val="005C192B"/>
    <w:rsid w:val="005C1B44"/>
    <w:rsid w:val="005C2EB2"/>
    <w:rsid w:val="005C3D02"/>
    <w:rsid w:val="005C467A"/>
    <w:rsid w:val="005C575D"/>
    <w:rsid w:val="005C626F"/>
    <w:rsid w:val="005C7281"/>
    <w:rsid w:val="005C7A89"/>
    <w:rsid w:val="005C7F2B"/>
    <w:rsid w:val="005D01CF"/>
    <w:rsid w:val="005D17B7"/>
    <w:rsid w:val="005D3CA6"/>
    <w:rsid w:val="005D3CC7"/>
    <w:rsid w:val="005D5882"/>
    <w:rsid w:val="005D702D"/>
    <w:rsid w:val="005D771F"/>
    <w:rsid w:val="005D7B08"/>
    <w:rsid w:val="005E0670"/>
    <w:rsid w:val="005E16F8"/>
    <w:rsid w:val="005E1ECD"/>
    <w:rsid w:val="005E217F"/>
    <w:rsid w:val="005E34F4"/>
    <w:rsid w:val="005E4103"/>
    <w:rsid w:val="005E48A3"/>
    <w:rsid w:val="005E4C99"/>
    <w:rsid w:val="005E5F85"/>
    <w:rsid w:val="005F0BA7"/>
    <w:rsid w:val="005F15EF"/>
    <w:rsid w:val="005F1BDC"/>
    <w:rsid w:val="005F284B"/>
    <w:rsid w:val="005F331C"/>
    <w:rsid w:val="005F3FCF"/>
    <w:rsid w:val="005F47DE"/>
    <w:rsid w:val="005F5CE9"/>
    <w:rsid w:val="005F6372"/>
    <w:rsid w:val="005F7975"/>
    <w:rsid w:val="00600A32"/>
    <w:rsid w:val="00600AA4"/>
    <w:rsid w:val="00600E1A"/>
    <w:rsid w:val="00601F8F"/>
    <w:rsid w:val="00604749"/>
    <w:rsid w:val="00605E04"/>
    <w:rsid w:val="00606D38"/>
    <w:rsid w:val="0060728D"/>
    <w:rsid w:val="006107B2"/>
    <w:rsid w:val="00610F5E"/>
    <w:rsid w:val="006115D6"/>
    <w:rsid w:val="0061272A"/>
    <w:rsid w:val="00613548"/>
    <w:rsid w:val="00613AFC"/>
    <w:rsid w:val="00614FA7"/>
    <w:rsid w:val="0061667F"/>
    <w:rsid w:val="0061742C"/>
    <w:rsid w:val="00617D39"/>
    <w:rsid w:val="00620305"/>
    <w:rsid w:val="006207A5"/>
    <w:rsid w:val="00621532"/>
    <w:rsid w:val="00622040"/>
    <w:rsid w:val="00623446"/>
    <w:rsid w:val="0062371F"/>
    <w:rsid w:val="00624B9A"/>
    <w:rsid w:val="00624C93"/>
    <w:rsid w:val="00625191"/>
    <w:rsid w:val="006254D6"/>
    <w:rsid w:val="00625844"/>
    <w:rsid w:val="006259EF"/>
    <w:rsid w:val="006278FF"/>
    <w:rsid w:val="00627B45"/>
    <w:rsid w:val="00630C6E"/>
    <w:rsid w:val="00632503"/>
    <w:rsid w:val="006336D2"/>
    <w:rsid w:val="006348AF"/>
    <w:rsid w:val="00634DB3"/>
    <w:rsid w:val="00635B9D"/>
    <w:rsid w:val="00640583"/>
    <w:rsid w:val="00640FAA"/>
    <w:rsid w:val="00641B09"/>
    <w:rsid w:val="0064210C"/>
    <w:rsid w:val="00642376"/>
    <w:rsid w:val="00642F15"/>
    <w:rsid w:val="00643830"/>
    <w:rsid w:val="00643FB1"/>
    <w:rsid w:val="00645340"/>
    <w:rsid w:val="00647463"/>
    <w:rsid w:val="00650669"/>
    <w:rsid w:val="00650CF1"/>
    <w:rsid w:val="00652506"/>
    <w:rsid w:val="00654B76"/>
    <w:rsid w:val="00654EA1"/>
    <w:rsid w:val="0065582C"/>
    <w:rsid w:val="006562B9"/>
    <w:rsid w:val="00657A4B"/>
    <w:rsid w:val="0066075A"/>
    <w:rsid w:val="00660BEC"/>
    <w:rsid w:val="00664452"/>
    <w:rsid w:val="00665202"/>
    <w:rsid w:val="00665558"/>
    <w:rsid w:val="006678E4"/>
    <w:rsid w:val="00667EFD"/>
    <w:rsid w:val="006704B1"/>
    <w:rsid w:val="006716B8"/>
    <w:rsid w:val="00672132"/>
    <w:rsid w:val="00672921"/>
    <w:rsid w:val="00672E67"/>
    <w:rsid w:val="006737AB"/>
    <w:rsid w:val="0067415F"/>
    <w:rsid w:val="00675472"/>
    <w:rsid w:val="00675601"/>
    <w:rsid w:val="00675922"/>
    <w:rsid w:val="00676053"/>
    <w:rsid w:val="006775DC"/>
    <w:rsid w:val="00677BF0"/>
    <w:rsid w:val="00677ED4"/>
    <w:rsid w:val="00680428"/>
    <w:rsid w:val="00680862"/>
    <w:rsid w:val="00680D58"/>
    <w:rsid w:val="00681EDB"/>
    <w:rsid w:val="00682A03"/>
    <w:rsid w:val="00682ADB"/>
    <w:rsid w:val="00684A91"/>
    <w:rsid w:val="006857A9"/>
    <w:rsid w:val="006859CA"/>
    <w:rsid w:val="00685F00"/>
    <w:rsid w:val="00685F5E"/>
    <w:rsid w:val="00687C8D"/>
    <w:rsid w:val="0069000A"/>
    <w:rsid w:val="006901DC"/>
    <w:rsid w:val="00690726"/>
    <w:rsid w:val="00690B5C"/>
    <w:rsid w:val="00691088"/>
    <w:rsid w:val="00693007"/>
    <w:rsid w:val="0069556B"/>
    <w:rsid w:val="00695A37"/>
    <w:rsid w:val="0069643E"/>
    <w:rsid w:val="006965B9"/>
    <w:rsid w:val="006A311E"/>
    <w:rsid w:val="006A357A"/>
    <w:rsid w:val="006A3BAF"/>
    <w:rsid w:val="006A4384"/>
    <w:rsid w:val="006A66C3"/>
    <w:rsid w:val="006A6F5C"/>
    <w:rsid w:val="006A7075"/>
    <w:rsid w:val="006A7D22"/>
    <w:rsid w:val="006A7E36"/>
    <w:rsid w:val="006B08BF"/>
    <w:rsid w:val="006B0FC7"/>
    <w:rsid w:val="006B2EB1"/>
    <w:rsid w:val="006B314D"/>
    <w:rsid w:val="006B33C0"/>
    <w:rsid w:val="006B36DF"/>
    <w:rsid w:val="006B380C"/>
    <w:rsid w:val="006B3C6B"/>
    <w:rsid w:val="006B3D0E"/>
    <w:rsid w:val="006B4D13"/>
    <w:rsid w:val="006B556D"/>
    <w:rsid w:val="006B744C"/>
    <w:rsid w:val="006B7CC0"/>
    <w:rsid w:val="006B7EC9"/>
    <w:rsid w:val="006C09BD"/>
    <w:rsid w:val="006C162E"/>
    <w:rsid w:val="006C1CD7"/>
    <w:rsid w:val="006C2BC0"/>
    <w:rsid w:val="006C3EC9"/>
    <w:rsid w:val="006C409C"/>
    <w:rsid w:val="006C4F28"/>
    <w:rsid w:val="006C53E9"/>
    <w:rsid w:val="006C6151"/>
    <w:rsid w:val="006C7181"/>
    <w:rsid w:val="006C7B10"/>
    <w:rsid w:val="006D0611"/>
    <w:rsid w:val="006D1231"/>
    <w:rsid w:val="006D17C0"/>
    <w:rsid w:val="006D4140"/>
    <w:rsid w:val="006D44E6"/>
    <w:rsid w:val="006D4E2E"/>
    <w:rsid w:val="006D6073"/>
    <w:rsid w:val="006D6534"/>
    <w:rsid w:val="006D7D23"/>
    <w:rsid w:val="006E0338"/>
    <w:rsid w:val="006E08E9"/>
    <w:rsid w:val="006E0A9F"/>
    <w:rsid w:val="006E2CB0"/>
    <w:rsid w:val="006E31B9"/>
    <w:rsid w:val="006E3401"/>
    <w:rsid w:val="006E3C31"/>
    <w:rsid w:val="006E3C80"/>
    <w:rsid w:val="006E4295"/>
    <w:rsid w:val="006E5090"/>
    <w:rsid w:val="006E525E"/>
    <w:rsid w:val="006E5A0F"/>
    <w:rsid w:val="006E752F"/>
    <w:rsid w:val="006F160F"/>
    <w:rsid w:val="006F331D"/>
    <w:rsid w:val="006F3EFC"/>
    <w:rsid w:val="006F4724"/>
    <w:rsid w:val="006F4FB1"/>
    <w:rsid w:val="006F5801"/>
    <w:rsid w:val="006F7846"/>
    <w:rsid w:val="006F7CF9"/>
    <w:rsid w:val="006F7E6F"/>
    <w:rsid w:val="00701C49"/>
    <w:rsid w:val="00701CB3"/>
    <w:rsid w:val="00701CE7"/>
    <w:rsid w:val="00702196"/>
    <w:rsid w:val="00703081"/>
    <w:rsid w:val="00704069"/>
    <w:rsid w:val="00704828"/>
    <w:rsid w:val="00705546"/>
    <w:rsid w:val="00706973"/>
    <w:rsid w:val="00706D5F"/>
    <w:rsid w:val="00707BF8"/>
    <w:rsid w:val="00712181"/>
    <w:rsid w:val="007122D2"/>
    <w:rsid w:val="0071331F"/>
    <w:rsid w:val="00713A6D"/>
    <w:rsid w:val="007140D3"/>
    <w:rsid w:val="00714886"/>
    <w:rsid w:val="00714F9E"/>
    <w:rsid w:val="007156C4"/>
    <w:rsid w:val="00715730"/>
    <w:rsid w:val="00716112"/>
    <w:rsid w:val="00717233"/>
    <w:rsid w:val="0071799C"/>
    <w:rsid w:val="00717CA5"/>
    <w:rsid w:val="007208B5"/>
    <w:rsid w:val="007211AF"/>
    <w:rsid w:val="007211F7"/>
    <w:rsid w:val="00721CCB"/>
    <w:rsid w:val="00721E22"/>
    <w:rsid w:val="007226BC"/>
    <w:rsid w:val="007226E9"/>
    <w:rsid w:val="00724681"/>
    <w:rsid w:val="00724689"/>
    <w:rsid w:val="0072473F"/>
    <w:rsid w:val="007250C3"/>
    <w:rsid w:val="00725ACE"/>
    <w:rsid w:val="00725BD2"/>
    <w:rsid w:val="00725DAE"/>
    <w:rsid w:val="007263DF"/>
    <w:rsid w:val="007269A5"/>
    <w:rsid w:val="00726B99"/>
    <w:rsid w:val="00730EBE"/>
    <w:rsid w:val="00730FCB"/>
    <w:rsid w:val="00733102"/>
    <w:rsid w:val="0073435D"/>
    <w:rsid w:val="0073543E"/>
    <w:rsid w:val="007357FF"/>
    <w:rsid w:val="007366D7"/>
    <w:rsid w:val="007405CE"/>
    <w:rsid w:val="00740974"/>
    <w:rsid w:val="00740ABF"/>
    <w:rsid w:val="0074172F"/>
    <w:rsid w:val="007418EB"/>
    <w:rsid w:val="00741C8A"/>
    <w:rsid w:val="007439A6"/>
    <w:rsid w:val="00744F79"/>
    <w:rsid w:val="00745E83"/>
    <w:rsid w:val="00746733"/>
    <w:rsid w:val="00747CFE"/>
    <w:rsid w:val="00752ADF"/>
    <w:rsid w:val="00753C3E"/>
    <w:rsid w:val="00754069"/>
    <w:rsid w:val="0075407C"/>
    <w:rsid w:val="007540B4"/>
    <w:rsid w:val="00757914"/>
    <w:rsid w:val="0076046E"/>
    <w:rsid w:val="00760903"/>
    <w:rsid w:val="00761316"/>
    <w:rsid w:val="007621E4"/>
    <w:rsid w:val="00762BFB"/>
    <w:rsid w:val="00762F49"/>
    <w:rsid w:val="00764AB8"/>
    <w:rsid w:val="007656E6"/>
    <w:rsid w:val="00765BBB"/>
    <w:rsid w:val="007668B6"/>
    <w:rsid w:val="007669C0"/>
    <w:rsid w:val="00767637"/>
    <w:rsid w:val="00767F5E"/>
    <w:rsid w:val="007700EC"/>
    <w:rsid w:val="00770DFE"/>
    <w:rsid w:val="007718C3"/>
    <w:rsid w:val="007719BA"/>
    <w:rsid w:val="00771BA0"/>
    <w:rsid w:val="00772997"/>
    <w:rsid w:val="00772F51"/>
    <w:rsid w:val="00773501"/>
    <w:rsid w:val="007743EE"/>
    <w:rsid w:val="007748D0"/>
    <w:rsid w:val="00774BF7"/>
    <w:rsid w:val="00775390"/>
    <w:rsid w:val="00775C47"/>
    <w:rsid w:val="0077634F"/>
    <w:rsid w:val="0077699A"/>
    <w:rsid w:val="00776A44"/>
    <w:rsid w:val="007772C8"/>
    <w:rsid w:val="007778B8"/>
    <w:rsid w:val="00777EF9"/>
    <w:rsid w:val="00783D4C"/>
    <w:rsid w:val="007857F2"/>
    <w:rsid w:val="00785D30"/>
    <w:rsid w:val="00786587"/>
    <w:rsid w:val="007869C6"/>
    <w:rsid w:val="0078733B"/>
    <w:rsid w:val="0078733C"/>
    <w:rsid w:val="00787E78"/>
    <w:rsid w:val="00790847"/>
    <w:rsid w:val="00790870"/>
    <w:rsid w:val="00790A1B"/>
    <w:rsid w:val="0079228C"/>
    <w:rsid w:val="007926D0"/>
    <w:rsid w:val="00793056"/>
    <w:rsid w:val="007938EA"/>
    <w:rsid w:val="0079466E"/>
    <w:rsid w:val="00794D6B"/>
    <w:rsid w:val="007953B9"/>
    <w:rsid w:val="00795D72"/>
    <w:rsid w:val="00796694"/>
    <w:rsid w:val="00796DDB"/>
    <w:rsid w:val="00796FD8"/>
    <w:rsid w:val="007A0BF3"/>
    <w:rsid w:val="007A21EE"/>
    <w:rsid w:val="007A2794"/>
    <w:rsid w:val="007A298F"/>
    <w:rsid w:val="007A3920"/>
    <w:rsid w:val="007A3DE0"/>
    <w:rsid w:val="007A3F49"/>
    <w:rsid w:val="007A5706"/>
    <w:rsid w:val="007A5757"/>
    <w:rsid w:val="007A7203"/>
    <w:rsid w:val="007B050F"/>
    <w:rsid w:val="007B116D"/>
    <w:rsid w:val="007B2C2B"/>
    <w:rsid w:val="007B3364"/>
    <w:rsid w:val="007B51B8"/>
    <w:rsid w:val="007B524B"/>
    <w:rsid w:val="007B535C"/>
    <w:rsid w:val="007B62A5"/>
    <w:rsid w:val="007B6DC6"/>
    <w:rsid w:val="007B6EDD"/>
    <w:rsid w:val="007B7D26"/>
    <w:rsid w:val="007C018A"/>
    <w:rsid w:val="007C0640"/>
    <w:rsid w:val="007C1C69"/>
    <w:rsid w:val="007C1D3E"/>
    <w:rsid w:val="007C1E93"/>
    <w:rsid w:val="007C438A"/>
    <w:rsid w:val="007C4890"/>
    <w:rsid w:val="007C4A62"/>
    <w:rsid w:val="007C4F7E"/>
    <w:rsid w:val="007C5C7B"/>
    <w:rsid w:val="007C6124"/>
    <w:rsid w:val="007C65C1"/>
    <w:rsid w:val="007C75B3"/>
    <w:rsid w:val="007D0058"/>
    <w:rsid w:val="007D0A48"/>
    <w:rsid w:val="007D0CEC"/>
    <w:rsid w:val="007D13B9"/>
    <w:rsid w:val="007D141D"/>
    <w:rsid w:val="007D146F"/>
    <w:rsid w:val="007D24B6"/>
    <w:rsid w:val="007D3F08"/>
    <w:rsid w:val="007D4263"/>
    <w:rsid w:val="007D6AC3"/>
    <w:rsid w:val="007E05CC"/>
    <w:rsid w:val="007E13C5"/>
    <w:rsid w:val="007E1FF1"/>
    <w:rsid w:val="007E54BA"/>
    <w:rsid w:val="007E774B"/>
    <w:rsid w:val="007E79BF"/>
    <w:rsid w:val="007F01F3"/>
    <w:rsid w:val="007F035E"/>
    <w:rsid w:val="007F062F"/>
    <w:rsid w:val="007F1E52"/>
    <w:rsid w:val="007F22AC"/>
    <w:rsid w:val="007F2BEB"/>
    <w:rsid w:val="007F3C97"/>
    <w:rsid w:val="007F4085"/>
    <w:rsid w:val="007F4280"/>
    <w:rsid w:val="007F5B39"/>
    <w:rsid w:val="007F6F4C"/>
    <w:rsid w:val="007F6FED"/>
    <w:rsid w:val="007F76D3"/>
    <w:rsid w:val="00800386"/>
    <w:rsid w:val="00800B80"/>
    <w:rsid w:val="008013A2"/>
    <w:rsid w:val="0080366A"/>
    <w:rsid w:val="00803CB8"/>
    <w:rsid w:val="008050DD"/>
    <w:rsid w:val="008053D6"/>
    <w:rsid w:val="00805787"/>
    <w:rsid w:val="00805D65"/>
    <w:rsid w:val="00805F17"/>
    <w:rsid w:val="008065A9"/>
    <w:rsid w:val="00810281"/>
    <w:rsid w:val="008103E5"/>
    <w:rsid w:val="00810663"/>
    <w:rsid w:val="00810946"/>
    <w:rsid w:val="0081152B"/>
    <w:rsid w:val="0081229F"/>
    <w:rsid w:val="00812532"/>
    <w:rsid w:val="00812E3A"/>
    <w:rsid w:val="0081370C"/>
    <w:rsid w:val="00814207"/>
    <w:rsid w:val="00814FEE"/>
    <w:rsid w:val="0081513E"/>
    <w:rsid w:val="00815D83"/>
    <w:rsid w:val="008162CD"/>
    <w:rsid w:val="008165EA"/>
    <w:rsid w:val="008205DE"/>
    <w:rsid w:val="00821A3C"/>
    <w:rsid w:val="008228FB"/>
    <w:rsid w:val="00822B3C"/>
    <w:rsid w:val="00823E85"/>
    <w:rsid w:val="00824C9E"/>
    <w:rsid w:val="00825C6D"/>
    <w:rsid w:val="00826BC7"/>
    <w:rsid w:val="00827D3A"/>
    <w:rsid w:val="00830495"/>
    <w:rsid w:val="00831A95"/>
    <w:rsid w:val="00831FCA"/>
    <w:rsid w:val="00832403"/>
    <w:rsid w:val="008329D4"/>
    <w:rsid w:val="00832EF0"/>
    <w:rsid w:val="0083384F"/>
    <w:rsid w:val="00834418"/>
    <w:rsid w:val="008375ED"/>
    <w:rsid w:val="00841C4B"/>
    <w:rsid w:val="00842517"/>
    <w:rsid w:val="008439E0"/>
    <w:rsid w:val="0084411D"/>
    <w:rsid w:val="00844616"/>
    <w:rsid w:val="00844879"/>
    <w:rsid w:val="0084489D"/>
    <w:rsid w:val="008455B9"/>
    <w:rsid w:val="008515F2"/>
    <w:rsid w:val="00851B8A"/>
    <w:rsid w:val="00852096"/>
    <w:rsid w:val="008558A7"/>
    <w:rsid w:val="00857C19"/>
    <w:rsid w:val="00857E9E"/>
    <w:rsid w:val="00857EF5"/>
    <w:rsid w:val="0086194D"/>
    <w:rsid w:val="00862405"/>
    <w:rsid w:val="008624F6"/>
    <w:rsid w:val="008629C5"/>
    <w:rsid w:val="00863641"/>
    <w:rsid w:val="008639AB"/>
    <w:rsid w:val="00864877"/>
    <w:rsid w:val="00866FA2"/>
    <w:rsid w:val="00867476"/>
    <w:rsid w:val="0086788F"/>
    <w:rsid w:val="00867E0C"/>
    <w:rsid w:val="008700C7"/>
    <w:rsid w:val="00871402"/>
    <w:rsid w:val="0087185C"/>
    <w:rsid w:val="0087215C"/>
    <w:rsid w:val="00875A88"/>
    <w:rsid w:val="00875B53"/>
    <w:rsid w:val="008805E1"/>
    <w:rsid w:val="008814A9"/>
    <w:rsid w:val="008815E1"/>
    <w:rsid w:val="00881B29"/>
    <w:rsid w:val="00882230"/>
    <w:rsid w:val="00890099"/>
    <w:rsid w:val="008930F1"/>
    <w:rsid w:val="008940B2"/>
    <w:rsid w:val="00894DF9"/>
    <w:rsid w:val="00895579"/>
    <w:rsid w:val="00895596"/>
    <w:rsid w:val="0089575E"/>
    <w:rsid w:val="008963B9"/>
    <w:rsid w:val="008964E9"/>
    <w:rsid w:val="00896B89"/>
    <w:rsid w:val="008A0ADB"/>
    <w:rsid w:val="008A12EF"/>
    <w:rsid w:val="008A298E"/>
    <w:rsid w:val="008A4109"/>
    <w:rsid w:val="008A41F0"/>
    <w:rsid w:val="008A4419"/>
    <w:rsid w:val="008A4851"/>
    <w:rsid w:val="008A4ABD"/>
    <w:rsid w:val="008A4F2C"/>
    <w:rsid w:val="008A5452"/>
    <w:rsid w:val="008A5959"/>
    <w:rsid w:val="008A5AB0"/>
    <w:rsid w:val="008A655C"/>
    <w:rsid w:val="008B02DA"/>
    <w:rsid w:val="008B04DB"/>
    <w:rsid w:val="008B18E2"/>
    <w:rsid w:val="008B1C5B"/>
    <w:rsid w:val="008B2682"/>
    <w:rsid w:val="008B2ABD"/>
    <w:rsid w:val="008B57E4"/>
    <w:rsid w:val="008B6E69"/>
    <w:rsid w:val="008B7F83"/>
    <w:rsid w:val="008C0673"/>
    <w:rsid w:val="008C15CF"/>
    <w:rsid w:val="008C16F8"/>
    <w:rsid w:val="008C3C2D"/>
    <w:rsid w:val="008C494F"/>
    <w:rsid w:val="008C5BFC"/>
    <w:rsid w:val="008C5EB3"/>
    <w:rsid w:val="008C6B62"/>
    <w:rsid w:val="008C76CA"/>
    <w:rsid w:val="008D01A5"/>
    <w:rsid w:val="008D0891"/>
    <w:rsid w:val="008D10DB"/>
    <w:rsid w:val="008D3A3D"/>
    <w:rsid w:val="008D3E5C"/>
    <w:rsid w:val="008D43D7"/>
    <w:rsid w:val="008D4438"/>
    <w:rsid w:val="008D462D"/>
    <w:rsid w:val="008D4D15"/>
    <w:rsid w:val="008D7E42"/>
    <w:rsid w:val="008E1425"/>
    <w:rsid w:val="008E1BFB"/>
    <w:rsid w:val="008E20F2"/>
    <w:rsid w:val="008E2C06"/>
    <w:rsid w:val="008E2D5F"/>
    <w:rsid w:val="008E4DFE"/>
    <w:rsid w:val="008E548F"/>
    <w:rsid w:val="008E6B9C"/>
    <w:rsid w:val="008E7ECD"/>
    <w:rsid w:val="008F1B35"/>
    <w:rsid w:val="008F2DE1"/>
    <w:rsid w:val="008F41CD"/>
    <w:rsid w:val="008F460F"/>
    <w:rsid w:val="008F5672"/>
    <w:rsid w:val="008F5950"/>
    <w:rsid w:val="008F7040"/>
    <w:rsid w:val="009000B6"/>
    <w:rsid w:val="009022DE"/>
    <w:rsid w:val="009048B0"/>
    <w:rsid w:val="00905837"/>
    <w:rsid w:val="00906831"/>
    <w:rsid w:val="00906989"/>
    <w:rsid w:val="00906BE6"/>
    <w:rsid w:val="00907C68"/>
    <w:rsid w:val="00907D6B"/>
    <w:rsid w:val="0091114B"/>
    <w:rsid w:val="009112E9"/>
    <w:rsid w:val="00911A9F"/>
    <w:rsid w:val="0091276B"/>
    <w:rsid w:val="00912DEA"/>
    <w:rsid w:val="0091303B"/>
    <w:rsid w:val="009130F1"/>
    <w:rsid w:val="009142BE"/>
    <w:rsid w:val="00914474"/>
    <w:rsid w:val="00914804"/>
    <w:rsid w:val="00914902"/>
    <w:rsid w:val="00915E08"/>
    <w:rsid w:val="00916677"/>
    <w:rsid w:val="00916F47"/>
    <w:rsid w:val="009170E8"/>
    <w:rsid w:val="009171CF"/>
    <w:rsid w:val="009172BA"/>
    <w:rsid w:val="00917A15"/>
    <w:rsid w:val="00920A35"/>
    <w:rsid w:val="00921E69"/>
    <w:rsid w:val="009223B0"/>
    <w:rsid w:val="00922843"/>
    <w:rsid w:val="00922D10"/>
    <w:rsid w:val="009237FF"/>
    <w:rsid w:val="00923A5C"/>
    <w:rsid w:val="00924584"/>
    <w:rsid w:val="0092533D"/>
    <w:rsid w:val="00925A02"/>
    <w:rsid w:val="00926C93"/>
    <w:rsid w:val="00927946"/>
    <w:rsid w:val="00927C5B"/>
    <w:rsid w:val="00930503"/>
    <w:rsid w:val="00931413"/>
    <w:rsid w:val="00932704"/>
    <w:rsid w:val="00933735"/>
    <w:rsid w:val="00933BE1"/>
    <w:rsid w:val="00933EA6"/>
    <w:rsid w:val="009358F1"/>
    <w:rsid w:val="00936506"/>
    <w:rsid w:val="00937007"/>
    <w:rsid w:val="00942A7F"/>
    <w:rsid w:val="00942AEE"/>
    <w:rsid w:val="00942DE2"/>
    <w:rsid w:val="00942F77"/>
    <w:rsid w:val="00945B08"/>
    <w:rsid w:val="0094627C"/>
    <w:rsid w:val="00946BF4"/>
    <w:rsid w:val="009502AB"/>
    <w:rsid w:val="00951D9E"/>
    <w:rsid w:val="00953314"/>
    <w:rsid w:val="00953D98"/>
    <w:rsid w:val="00955581"/>
    <w:rsid w:val="00955D3E"/>
    <w:rsid w:val="009572C5"/>
    <w:rsid w:val="00961EA7"/>
    <w:rsid w:val="0096220D"/>
    <w:rsid w:val="00962CBB"/>
    <w:rsid w:val="0096386A"/>
    <w:rsid w:val="00964740"/>
    <w:rsid w:val="00965500"/>
    <w:rsid w:val="00965BD6"/>
    <w:rsid w:val="00966414"/>
    <w:rsid w:val="009667B5"/>
    <w:rsid w:val="00967917"/>
    <w:rsid w:val="0097096B"/>
    <w:rsid w:val="0097196D"/>
    <w:rsid w:val="0097322F"/>
    <w:rsid w:val="00974331"/>
    <w:rsid w:val="00974B9B"/>
    <w:rsid w:val="00976F5A"/>
    <w:rsid w:val="009772A1"/>
    <w:rsid w:val="00981F54"/>
    <w:rsid w:val="009821CB"/>
    <w:rsid w:val="009843BA"/>
    <w:rsid w:val="00984F96"/>
    <w:rsid w:val="0098651F"/>
    <w:rsid w:val="00986C26"/>
    <w:rsid w:val="00987237"/>
    <w:rsid w:val="009912A0"/>
    <w:rsid w:val="0099480D"/>
    <w:rsid w:val="00994C3D"/>
    <w:rsid w:val="0099547D"/>
    <w:rsid w:val="00996D72"/>
    <w:rsid w:val="00997033"/>
    <w:rsid w:val="009A061D"/>
    <w:rsid w:val="009A0993"/>
    <w:rsid w:val="009A165F"/>
    <w:rsid w:val="009A27D0"/>
    <w:rsid w:val="009A2ABC"/>
    <w:rsid w:val="009A31DB"/>
    <w:rsid w:val="009A3B1E"/>
    <w:rsid w:val="009A4D50"/>
    <w:rsid w:val="009A583E"/>
    <w:rsid w:val="009B09FE"/>
    <w:rsid w:val="009B0F27"/>
    <w:rsid w:val="009B1380"/>
    <w:rsid w:val="009B1F49"/>
    <w:rsid w:val="009B2902"/>
    <w:rsid w:val="009B295B"/>
    <w:rsid w:val="009B2F9C"/>
    <w:rsid w:val="009B3432"/>
    <w:rsid w:val="009B4040"/>
    <w:rsid w:val="009B4FA8"/>
    <w:rsid w:val="009B60BB"/>
    <w:rsid w:val="009B60DA"/>
    <w:rsid w:val="009B6581"/>
    <w:rsid w:val="009B67B5"/>
    <w:rsid w:val="009B75CD"/>
    <w:rsid w:val="009B782C"/>
    <w:rsid w:val="009C17B9"/>
    <w:rsid w:val="009C255C"/>
    <w:rsid w:val="009C4BB7"/>
    <w:rsid w:val="009C4C49"/>
    <w:rsid w:val="009C4E59"/>
    <w:rsid w:val="009C53AE"/>
    <w:rsid w:val="009C5607"/>
    <w:rsid w:val="009C6BD1"/>
    <w:rsid w:val="009C7C16"/>
    <w:rsid w:val="009C7FDF"/>
    <w:rsid w:val="009D0403"/>
    <w:rsid w:val="009D0A89"/>
    <w:rsid w:val="009D0EC2"/>
    <w:rsid w:val="009D2E95"/>
    <w:rsid w:val="009D47CB"/>
    <w:rsid w:val="009D4B58"/>
    <w:rsid w:val="009D4FC4"/>
    <w:rsid w:val="009D6332"/>
    <w:rsid w:val="009D6D76"/>
    <w:rsid w:val="009D730C"/>
    <w:rsid w:val="009E070D"/>
    <w:rsid w:val="009E08D2"/>
    <w:rsid w:val="009E11C3"/>
    <w:rsid w:val="009E1845"/>
    <w:rsid w:val="009E201B"/>
    <w:rsid w:val="009E23BB"/>
    <w:rsid w:val="009E2D4C"/>
    <w:rsid w:val="009E325B"/>
    <w:rsid w:val="009E43E5"/>
    <w:rsid w:val="009E69BA"/>
    <w:rsid w:val="009E7C21"/>
    <w:rsid w:val="009F01E6"/>
    <w:rsid w:val="009F067C"/>
    <w:rsid w:val="009F06DF"/>
    <w:rsid w:val="009F1BC6"/>
    <w:rsid w:val="009F2494"/>
    <w:rsid w:val="009F321C"/>
    <w:rsid w:val="009F35E5"/>
    <w:rsid w:val="009F4B50"/>
    <w:rsid w:val="009F7502"/>
    <w:rsid w:val="009F7D77"/>
    <w:rsid w:val="00A0291E"/>
    <w:rsid w:val="00A040B1"/>
    <w:rsid w:val="00A04E16"/>
    <w:rsid w:val="00A06837"/>
    <w:rsid w:val="00A06B42"/>
    <w:rsid w:val="00A07113"/>
    <w:rsid w:val="00A07470"/>
    <w:rsid w:val="00A11050"/>
    <w:rsid w:val="00A11203"/>
    <w:rsid w:val="00A1158F"/>
    <w:rsid w:val="00A11D83"/>
    <w:rsid w:val="00A11D88"/>
    <w:rsid w:val="00A12CE7"/>
    <w:rsid w:val="00A12F91"/>
    <w:rsid w:val="00A12FDB"/>
    <w:rsid w:val="00A13F19"/>
    <w:rsid w:val="00A1406A"/>
    <w:rsid w:val="00A14B8B"/>
    <w:rsid w:val="00A14DAD"/>
    <w:rsid w:val="00A161F9"/>
    <w:rsid w:val="00A1646E"/>
    <w:rsid w:val="00A16C7F"/>
    <w:rsid w:val="00A17FCD"/>
    <w:rsid w:val="00A20041"/>
    <w:rsid w:val="00A2074B"/>
    <w:rsid w:val="00A207B6"/>
    <w:rsid w:val="00A20895"/>
    <w:rsid w:val="00A20D68"/>
    <w:rsid w:val="00A21078"/>
    <w:rsid w:val="00A22DC3"/>
    <w:rsid w:val="00A22E17"/>
    <w:rsid w:val="00A232F5"/>
    <w:rsid w:val="00A24565"/>
    <w:rsid w:val="00A253B2"/>
    <w:rsid w:val="00A25624"/>
    <w:rsid w:val="00A26CB5"/>
    <w:rsid w:val="00A27C66"/>
    <w:rsid w:val="00A30F1A"/>
    <w:rsid w:val="00A31892"/>
    <w:rsid w:val="00A31ACC"/>
    <w:rsid w:val="00A32EC1"/>
    <w:rsid w:val="00A34273"/>
    <w:rsid w:val="00A34EE9"/>
    <w:rsid w:val="00A34EF5"/>
    <w:rsid w:val="00A34EF6"/>
    <w:rsid w:val="00A3580C"/>
    <w:rsid w:val="00A36E0C"/>
    <w:rsid w:val="00A372F1"/>
    <w:rsid w:val="00A401B2"/>
    <w:rsid w:val="00A40BE5"/>
    <w:rsid w:val="00A41012"/>
    <w:rsid w:val="00A41447"/>
    <w:rsid w:val="00A421EF"/>
    <w:rsid w:val="00A437C3"/>
    <w:rsid w:val="00A43B46"/>
    <w:rsid w:val="00A4482E"/>
    <w:rsid w:val="00A44C43"/>
    <w:rsid w:val="00A44E30"/>
    <w:rsid w:val="00A46393"/>
    <w:rsid w:val="00A46D6A"/>
    <w:rsid w:val="00A52451"/>
    <w:rsid w:val="00A52C1F"/>
    <w:rsid w:val="00A546AD"/>
    <w:rsid w:val="00A55BCC"/>
    <w:rsid w:val="00A60323"/>
    <w:rsid w:val="00A60A2A"/>
    <w:rsid w:val="00A613FC"/>
    <w:rsid w:val="00A6151C"/>
    <w:rsid w:val="00A61675"/>
    <w:rsid w:val="00A628CD"/>
    <w:rsid w:val="00A62FD3"/>
    <w:rsid w:val="00A63A1D"/>
    <w:rsid w:val="00A64ECA"/>
    <w:rsid w:val="00A65ACE"/>
    <w:rsid w:val="00A66408"/>
    <w:rsid w:val="00A6706C"/>
    <w:rsid w:val="00A679AA"/>
    <w:rsid w:val="00A712A2"/>
    <w:rsid w:val="00A7177E"/>
    <w:rsid w:val="00A729B3"/>
    <w:rsid w:val="00A72C75"/>
    <w:rsid w:val="00A73ABF"/>
    <w:rsid w:val="00A7419B"/>
    <w:rsid w:val="00A75F47"/>
    <w:rsid w:val="00A76CF7"/>
    <w:rsid w:val="00A80DC7"/>
    <w:rsid w:val="00A811ED"/>
    <w:rsid w:val="00A81850"/>
    <w:rsid w:val="00A82A9D"/>
    <w:rsid w:val="00A83BB2"/>
    <w:rsid w:val="00A8465C"/>
    <w:rsid w:val="00A84AF6"/>
    <w:rsid w:val="00A85C32"/>
    <w:rsid w:val="00A8617C"/>
    <w:rsid w:val="00A86AAA"/>
    <w:rsid w:val="00A8711F"/>
    <w:rsid w:val="00A875CA"/>
    <w:rsid w:val="00A879CF"/>
    <w:rsid w:val="00A87CA1"/>
    <w:rsid w:val="00A9095C"/>
    <w:rsid w:val="00A91CE4"/>
    <w:rsid w:val="00A91F54"/>
    <w:rsid w:val="00A92B38"/>
    <w:rsid w:val="00A93B4B"/>
    <w:rsid w:val="00A93FEB"/>
    <w:rsid w:val="00A955B1"/>
    <w:rsid w:val="00A95BD7"/>
    <w:rsid w:val="00A95CFC"/>
    <w:rsid w:val="00A95D86"/>
    <w:rsid w:val="00A96249"/>
    <w:rsid w:val="00A96613"/>
    <w:rsid w:val="00A9736E"/>
    <w:rsid w:val="00A974E7"/>
    <w:rsid w:val="00AA008A"/>
    <w:rsid w:val="00AA07AF"/>
    <w:rsid w:val="00AA0C00"/>
    <w:rsid w:val="00AA0DF8"/>
    <w:rsid w:val="00AA1472"/>
    <w:rsid w:val="00AA5BBF"/>
    <w:rsid w:val="00AA6DB7"/>
    <w:rsid w:val="00AA71EF"/>
    <w:rsid w:val="00AA7CE7"/>
    <w:rsid w:val="00AB06E1"/>
    <w:rsid w:val="00AB072A"/>
    <w:rsid w:val="00AB18C8"/>
    <w:rsid w:val="00AB1B88"/>
    <w:rsid w:val="00AB20AB"/>
    <w:rsid w:val="00AB3FF8"/>
    <w:rsid w:val="00AB4DAF"/>
    <w:rsid w:val="00AB4FB9"/>
    <w:rsid w:val="00AB5023"/>
    <w:rsid w:val="00AB5871"/>
    <w:rsid w:val="00AB5ECC"/>
    <w:rsid w:val="00AB65E4"/>
    <w:rsid w:val="00AB684E"/>
    <w:rsid w:val="00AB6A9B"/>
    <w:rsid w:val="00AB7137"/>
    <w:rsid w:val="00AB7200"/>
    <w:rsid w:val="00AB763F"/>
    <w:rsid w:val="00AC06E8"/>
    <w:rsid w:val="00AC21EB"/>
    <w:rsid w:val="00AC2B0F"/>
    <w:rsid w:val="00AC3003"/>
    <w:rsid w:val="00AC3600"/>
    <w:rsid w:val="00AC4614"/>
    <w:rsid w:val="00AC49A0"/>
    <w:rsid w:val="00AC4D41"/>
    <w:rsid w:val="00AC6AEA"/>
    <w:rsid w:val="00AC79DE"/>
    <w:rsid w:val="00AD133E"/>
    <w:rsid w:val="00AD1C43"/>
    <w:rsid w:val="00AD27FA"/>
    <w:rsid w:val="00AD2CA2"/>
    <w:rsid w:val="00AD2F63"/>
    <w:rsid w:val="00AD379F"/>
    <w:rsid w:val="00AD3D56"/>
    <w:rsid w:val="00AD3F89"/>
    <w:rsid w:val="00AD40CE"/>
    <w:rsid w:val="00AD45F4"/>
    <w:rsid w:val="00AD5E15"/>
    <w:rsid w:val="00AD6718"/>
    <w:rsid w:val="00AD7F11"/>
    <w:rsid w:val="00AE13B1"/>
    <w:rsid w:val="00AE1674"/>
    <w:rsid w:val="00AE18BD"/>
    <w:rsid w:val="00AE220C"/>
    <w:rsid w:val="00AE2598"/>
    <w:rsid w:val="00AE2F19"/>
    <w:rsid w:val="00AE46AA"/>
    <w:rsid w:val="00AE5A11"/>
    <w:rsid w:val="00AE65C1"/>
    <w:rsid w:val="00AF1185"/>
    <w:rsid w:val="00AF127C"/>
    <w:rsid w:val="00AF1591"/>
    <w:rsid w:val="00AF31C8"/>
    <w:rsid w:val="00AF3348"/>
    <w:rsid w:val="00AF418D"/>
    <w:rsid w:val="00AF4699"/>
    <w:rsid w:val="00AF4A7E"/>
    <w:rsid w:val="00AF51CF"/>
    <w:rsid w:val="00AF552E"/>
    <w:rsid w:val="00AF61B0"/>
    <w:rsid w:val="00B00CE3"/>
    <w:rsid w:val="00B01E3B"/>
    <w:rsid w:val="00B02FCA"/>
    <w:rsid w:val="00B057AA"/>
    <w:rsid w:val="00B05D7A"/>
    <w:rsid w:val="00B05DA5"/>
    <w:rsid w:val="00B07B94"/>
    <w:rsid w:val="00B104FA"/>
    <w:rsid w:val="00B105A9"/>
    <w:rsid w:val="00B10EC3"/>
    <w:rsid w:val="00B11562"/>
    <w:rsid w:val="00B123D4"/>
    <w:rsid w:val="00B12886"/>
    <w:rsid w:val="00B129A6"/>
    <w:rsid w:val="00B134DC"/>
    <w:rsid w:val="00B14256"/>
    <w:rsid w:val="00B142C6"/>
    <w:rsid w:val="00B1484A"/>
    <w:rsid w:val="00B14D87"/>
    <w:rsid w:val="00B16080"/>
    <w:rsid w:val="00B16251"/>
    <w:rsid w:val="00B17912"/>
    <w:rsid w:val="00B17A6E"/>
    <w:rsid w:val="00B17E20"/>
    <w:rsid w:val="00B20D71"/>
    <w:rsid w:val="00B21BEF"/>
    <w:rsid w:val="00B2303D"/>
    <w:rsid w:val="00B250EF"/>
    <w:rsid w:val="00B30B80"/>
    <w:rsid w:val="00B32777"/>
    <w:rsid w:val="00B32DE9"/>
    <w:rsid w:val="00B33141"/>
    <w:rsid w:val="00B336A4"/>
    <w:rsid w:val="00B34759"/>
    <w:rsid w:val="00B34DE2"/>
    <w:rsid w:val="00B3708E"/>
    <w:rsid w:val="00B40E89"/>
    <w:rsid w:val="00B40FFF"/>
    <w:rsid w:val="00B42D57"/>
    <w:rsid w:val="00B43BAF"/>
    <w:rsid w:val="00B43BD3"/>
    <w:rsid w:val="00B45429"/>
    <w:rsid w:val="00B457A0"/>
    <w:rsid w:val="00B45F17"/>
    <w:rsid w:val="00B46C68"/>
    <w:rsid w:val="00B46C7A"/>
    <w:rsid w:val="00B50359"/>
    <w:rsid w:val="00B52BB5"/>
    <w:rsid w:val="00B52C0B"/>
    <w:rsid w:val="00B52ED1"/>
    <w:rsid w:val="00B532BF"/>
    <w:rsid w:val="00B55429"/>
    <w:rsid w:val="00B55B07"/>
    <w:rsid w:val="00B56761"/>
    <w:rsid w:val="00B5711E"/>
    <w:rsid w:val="00B60A8D"/>
    <w:rsid w:val="00B61911"/>
    <w:rsid w:val="00B633A0"/>
    <w:rsid w:val="00B6422E"/>
    <w:rsid w:val="00B643D5"/>
    <w:rsid w:val="00B64864"/>
    <w:rsid w:val="00B64E26"/>
    <w:rsid w:val="00B6554E"/>
    <w:rsid w:val="00B6691A"/>
    <w:rsid w:val="00B670ED"/>
    <w:rsid w:val="00B67336"/>
    <w:rsid w:val="00B6784C"/>
    <w:rsid w:val="00B70287"/>
    <w:rsid w:val="00B70F5D"/>
    <w:rsid w:val="00B713AE"/>
    <w:rsid w:val="00B716F5"/>
    <w:rsid w:val="00B71B56"/>
    <w:rsid w:val="00B73896"/>
    <w:rsid w:val="00B7398E"/>
    <w:rsid w:val="00B74D28"/>
    <w:rsid w:val="00B74DA6"/>
    <w:rsid w:val="00B74EFD"/>
    <w:rsid w:val="00B751A0"/>
    <w:rsid w:val="00B7541D"/>
    <w:rsid w:val="00B760E8"/>
    <w:rsid w:val="00B7661B"/>
    <w:rsid w:val="00B76E41"/>
    <w:rsid w:val="00B777E1"/>
    <w:rsid w:val="00B80366"/>
    <w:rsid w:val="00B81F07"/>
    <w:rsid w:val="00B82A0C"/>
    <w:rsid w:val="00B83CBA"/>
    <w:rsid w:val="00B85670"/>
    <w:rsid w:val="00B8759C"/>
    <w:rsid w:val="00B87E78"/>
    <w:rsid w:val="00B905A6"/>
    <w:rsid w:val="00B90863"/>
    <w:rsid w:val="00B90981"/>
    <w:rsid w:val="00B91163"/>
    <w:rsid w:val="00B919E4"/>
    <w:rsid w:val="00B92679"/>
    <w:rsid w:val="00B92D37"/>
    <w:rsid w:val="00B9336F"/>
    <w:rsid w:val="00B94315"/>
    <w:rsid w:val="00B94812"/>
    <w:rsid w:val="00B957E4"/>
    <w:rsid w:val="00B965ED"/>
    <w:rsid w:val="00B96DC2"/>
    <w:rsid w:val="00B979F4"/>
    <w:rsid w:val="00BA116C"/>
    <w:rsid w:val="00BA181B"/>
    <w:rsid w:val="00BA4574"/>
    <w:rsid w:val="00BA4C69"/>
    <w:rsid w:val="00BA5BC1"/>
    <w:rsid w:val="00BA5EEA"/>
    <w:rsid w:val="00BA5F59"/>
    <w:rsid w:val="00BA6495"/>
    <w:rsid w:val="00BA67F9"/>
    <w:rsid w:val="00BA6868"/>
    <w:rsid w:val="00BA6F5A"/>
    <w:rsid w:val="00BA7041"/>
    <w:rsid w:val="00BA7815"/>
    <w:rsid w:val="00BA7ACA"/>
    <w:rsid w:val="00BA7D41"/>
    <w:rsid w:val="00BB04FF"/>
    <w:rsid w:val="00BB051B"/>
    <w:rsid w:val="00BB0B9E"/>
    <w:rsid w:val="00BB1330"/>
    <w:rsid w:val="00BB160F"/>
    <w:rsid w:val="00BB1610"/>
    <w:rsid w:val="00BB1782"/>
    <w:rsid w:val="00BB27D0"/>
    <w:rsid w:val="00BB2A8E"/>
    <w:rsid w:val="00BB5698"/>
    <w:rsid w:val="00BB58E6"/>
    <w:rsid w:val="00BB5F42"/>
    <w:rsid w:val="00BC0867"/>
    <w:rsid w:val="00BC0B26"/>
    <w:rsid w:val="00BC0DE3"/>
    <w:rsid w:val="00BC3349"/>
    <w:rsid w:val="00BC46E1"/>
    <w:rsid w:val="00BC4AB4"/>
    <w:rsid w:val="00BC4CC1"/>
    <w:rsid w:val="00BC52C2"/>
    <w:rsid w:val="00BC586E"/>
    <w:rsid w:val="00BC6111"/>
    <w:rsid w:val="00BC6466"/>
    <w:rsid w:val="00BC6519"/>
    <w:rsid w:val="00BC6F49"/>
    <w:rsid w:val="00BC7725"/>
    <w:rsid w:val="00BC7D70"/>
    <w:rsid w:val="00BD1CFF"/>
    <w:rsid w:val="00BD1FB7"/>
    <w:rsid w:val="00BD2D91"/>
    <w:rsid w:val="00BD364D"/>
    <w:rsid w:val="00BD471B"/>
    <w:rsid w:val="00BD4B21"/>
    <w:rsid w:val="00BD701D"/>
    <w:rsid w:val="00BD75D9"/>
    <w:rsid w:val="00BD77F0"/>
    <w:rsid w:val="00BE1203"/>
    <w:rsid w:val="00BE491F"/>
    <w:rsid w:val="00BE4B15"/>
    <w:rsid w:val="00BE598B"/>
    <w:rsid w:val="00BE6AB5"/>
    <w:rsid w:val="00BE7BA5"/>
    <w:rsid w:val="00BE7D33"/>
    <w:rsid w:val="00BF040A"/>
    <w:rsid w:val="00BF0E6B"/>
    <w:rsid w:val="00BF25DF"/>
    <w:rsid w:val="00BF3333"/>
    <w:rsid w:val="00BF3A9B"/>
    <w:rsid w:val="00BF4DEA"/>
    <w:rsid w:val="00BF4DF6"/>
    <w:rsid w:val="00BF5928"/>
    <w:rsid w:val="00BF5963"/>
    <w:rsid w:val="00BF645B"/>
    <w:rsid w:val="00BF6A19"/>
    <w:rsid w:val="00BF700B"/>
    <w:rsid w:val="00BF70FE"/>
    <w:rsid w:val="00BF7561"/>
    <w:rsid w:val="00BF7E26"/>
    <w:rsid w:val="00C0045F"/>
    <w:rsid w:val="00C005C0"/>
    <w:rsid w:val="00C007ED"/>
    <w:rsid w:val="00C0229F"/>
    <w:rsid w:val="00C02378"/>
    <w:rsid w:val="00C02EA4"/>
    <w:rsid w:val="00C0374B"/>
    <w:rsid w:val="00C03858"/>
    <w:rsid w:val="00C0534F"/>
    <w:rsid w:val="00C055F8"/>
    <w:rsid w:val="00C05D71"/>
    <w:rsid w:val="00C06A8C"/>
    <w:rsid w:val="00C0705B"/>
    <w:rsid w:val="00C07762"/>
    <w:rsid w:val="00C10B26"/>
    <w:rsid w:val="00C10FCD"/>
    <w:rsid w:val="00C1245B"/>
    <w:rsid w:val="00C13F62"/>
    <w:rsid w:val="00C14E9C"/>
    <w:rsid w:val="00C17CF6"/>
    <w:rsid w:val="00C203A4"/>
    <w:rsid w:val="00C20DDE"/>
    <w:rsid w:val="00C235AC"/>
    <w:rsid w:val="00C240C6"/>
    <w:rsid w:val="00C24802"/>
    <w:rsid w:val="00C24983"/>
    <w:rsid w:val="00C254EC"/>
    <w:rsid w:val="00C256F6"/>
    <w:rsid w:val="00C30FA2"/>
    <w:rsid w:val="00C320F7"/>
    <w:rsid w:val="00C322CA"/>
    <w:rsid w:val="00C32685"/>
    <w:rsid w:val="00C3304C"/>
    <w:rsid w:val="00C33C98"/>
    <w:rsid w:val="00C33E76"/>
    <w:rsid w:val="00C33FDF"/>
    <w:rsid w:val="00C34889"/>
    <w:rsid w:val="00C35342"/>
    <w:rsid w:val="00C35C4D"/>
    <w:rsid w:val="00C36C06"/>
    <w:rsid w:val="00C37F53"/>
    <w:rsid w:val="00C40571"/>
    <w:rsid w:val="00C42C1F"/>
    <w:rsid w:val="00C42D4E"/>
    <w:rsid w:val="00C43A94"/>
    <w:rsid w:val="00C44E24"/>
    <w:rsid w:val="00C455C4"/>
    <w:rsid w:val="00C45A74"/>
    <w:rsid w:val="00C47B20"/>
    <w:rsid w:val="00C513CC"/>
    <w:rsid w:val="00C516E5"/>
    <w:rsid w:val="00C5249A"/>
    <w:rsid w:val="00C53EAC"/>
    <w:rsid w:val="00C54120"/>
    <w:rsid w:val="00C54B1F"/>
    <w:rsid w:val="00C56488"/>
    <w:rsid w:val="00C5652F"/>
    <w:rsid w:val="00C576AA"/>
    <w:rsid w:val="00C60A07"/>
    <w:rsid w:val="00C60E65"/>
    <w:rsid w:val="00C60E6A"/>
    <w:rsid w:val="00C611F4"/>
    <w:rsid w:val="00C6134A"/>
    <w:rsid w:val="00C61C8D"/>
    <w:rsid w:val="00C61CB5"/>
    <w:rsid w:val="00C62B19"/>
    <w:rsid w:val="00C62F25"/>
    <w:rsid w:val="00C643E9"/>
    <w:rsid w:val="00C65450"/>
    <w:rsid w:val="00C65A2F"/>
    <w:rsid w:val="00C70A2D"/>
    <w:rsid w:val="00C721FF"/>
    <w:rsid w:val="00C72F43"/>
    <w:rsid w:val="00C747AB"/>
    <w:rsid w:val="00C7557A"/>
    <w:rsid w:val="00C75ED7"/>
    <w:rsid w:val="00C773F6"/>
    <w:rsid w:val="00C77D08"/>
    <w:rsid w:val="00C80F01"/>
    <w:rsid w:val="00C82BE6"/>
    <w:rsid w:val="00C831C2"/>
    <w:rsid w:val="00C8339F"/>
    <w:rsid w:val="00C835F9"/>
    <w:rsid w:val="00C83963"/>
    <w:rsid w:val="00C84D2B"/>
    <w:rsid w:val="00C85137"/>
    <w:rsid w:val="00C85448"/>
    <w:rsid w:val="00C860EC"/>
    <w:rsid w:val="00C8630A"/>
    <w:rsid w:val="00C871E1"/>
    <w:rsid w:val="00C875D8"/>
    <w:rsid w:val="00C87BD0"/>
    <w:rsid w:val="00C93756"/>
    <w:rsid w:val="00C93EC1"/>
    <w:rsid w:val="00C955E6"/>
    <w:rsid w:val="00CA1B10"/>
    <w:rsid w:val="00CA3028"/>
    <w:rsid w:val="00CA32AD"/>
    <w:rsid w:val="00CA42FC"/>
    <w:rsid w:val="00CA45E1"/>
    <w:rsid w:val="00CA53C6"/>
    <w:rsid w:val="00CA6BF7"/>
    <w:rsid w:val="00CA70E8"/>
    <w:rsid w:val="00CA7A97"/>
    <w:rsid w:val="00CB02EF"/>
    <w:rsid w:val="00CB15DC"/>
    <w:rsid w:val="00CB16E4"/>
    <w:rsid w:val="00CB1777"/>
    <w:rsid w:val="00CB17E8"/>
    <w:rsid w:val="00CB19DE"/>
    <w:rsid w:val="00CB36B7"/>
    <w:rsid w:val="00CB37C7"/>
    <w:rsid w:val="00CB3BF5"/>
    <w:rsid w:val="00CB4029"/>
    <w:rsid w:val="00CB61A2"/>
    <w:rsid w:val="00CB6508"/>
    <w:rsid w:val="00CB6709"/>
    <w:rsid w:val="00CB7903"/>
    <w:rsid w:val="00CB7D5D"/>
    <w:rsid w:val="00CC0A98"/>
    <w:rsid w:val="00CC0DD4"/>
    <w:rsid w:val="00CC10BE"/>
    <w:rsid w:val="00CC14EA"/>
    <w:rsid w:val="00CC219B"/>
    <w:rsid w:val="00CC3157"/>
    <w:rsid w:val="00CC4CF8"/>
    <w:rsid w:val="00CC50D1"/>
    <w:rsid w:val="00CC51A8"/>
    <w:rsid w:val="00CC599C"/>
    <w:rsid w:val="00CC5D3D"/>
    <w:rsid w:val="00CC602B"/>
    <w:rsid w:val="00CC6D80"/>
    <w:rsid w:val="00CC74B7"/>
    <w:rsid w:val="00CC7D88"/>
    <w:rsid w:val="00CD1C2F"/>
    <w:rsid w:val="00CD3B9D"/>
    <w:rsid w:val="00CD4255"/>
    <w:rsid w:val="00CD4642"/>
    <w:rsid w:val="00CD57EB"/>
    <w:rsid w:val="00CD62E1"/>
    <w:rsid w:val="00CD67E6"/>
    <w:rsid w:val="00CD6C31"/>
    <w:rsid w:val="00CD7666"/>
    <w:rsid w:val="00CE0954"/>
    <w:rsid w:val="00CE1C9D"/>
    <w:rsid w:val="00CE356D"/>
    <w:rsid w:val="00CE35BC"/>
    <w:rsid w:val="00CE4847"/>
    <w:rsid w:val="00CE51AE"/>
    <w:rsid w:val="00CE55DF"/>
    <w:rsid w:val="00CF0553"/>
    <w:rsid w:val="00CF0CB4"/>
    <w:rsid w:val="00CF0D24"/>
    <w:rsid w:val="00CF15A3"/>
    <w:rsid w:val="00CF19F1"/>
    <w:rsid w:val="00CF38BA"/>
    <w:rsid w:val="00CF50BA"/>
    <w:rsid w:val="00CF5133"/>
    <w:rsid w:val="00CF59AB"/>
    <w:rsid w:val="00CF6077"/>
    <w:rsid w:val="00CF708D"/>
    <w:rsid w:val="00D006F5"/>
    <w:rsid w:val="00D04986"/>
    <w:rsid w:val="00D0678F"/>
    <w:rsid w:val="00D12506"/>
    <w:rsid w:val="00D12767"/>
    <w:rsid w:val="00D1282A"/>
    <w:rsid w:val="00D13BDC"/>
    <w:rsid w:val="00D144F5"/>
    <w:rsid w:val="00D15095"/>
    <w:rsid w:val="00D15C34"/>
    <w:rsid w:val="00D15D34"/>
    <w:rsid w:val="00D15E4E"/>
    <w:rsid w:val="00D169F8"/>
    <w:rsid w:val="00D1722B"/>
    <w:rsid w:val="00D17661"/>
    <w:rsid w:val="00D21A6B"/>
    <w:rsid w:val="00D21C92"/>
    <w:rsid w:val="00D2240A"/>
    <w:rsid w:val="00D228C6"/>
    <w:rsid w:val="00D228D6"/>
    <w:rsid w:val="00D237CA"/>
    <w:rsid w:val="00D23950"/>
    <w:rsid w:val="00D241FB"/>
    <w:rsid w:val="00D243E6"/>
    <w:rsid w:val="00D2444A"/>
    <w:rsid w:val="00D24A80"/>
    <w:rsid w:val="00D24ABB"/>
    <w:rsid w:val="00D24F9E"/>
    <w:rsid w:val="00D2793A"/>
    <w:rsid w:val="00D303A0"/>
    <w:rsid w:val="00D31A8C"/>
    <w:rsid w:val="00D323A6"/>
    <w:rsid w:val="00D33424"/>
    <w:rsid w:val="00D33831"/>
    <w:rsid w:val="00D338B1"/>
    <w:rsid w:val="00D33B98"/>
    <w:rsid w:val="00D33EE3"/>
    <w:rsid w:val="00D34112"/>
    <w:rsid w:val="00D341AF"/>
    <w:rsid w:val="00D35AE0"/>
    <w:rsid w:val="00D35BF8"/>
    <w:rsid w:val="00D37159"/>
    <w:rsid w:val="00D37762"/>
    <w:rsid w:val="00D4025B"/>
    <w:rsid w:val="00D40551"/>
    <w:rsid w:val="00D40CDF"/>
    <w:rsid w:val="00D4264F"/>
    <w:rsid w:val="00D4287B"/>
    <w:rsid w:val="00D45992"/>
    <w:rsid w:val="00D45EC8"/>
    <w:rsid w:val="00D47323"/>
    <w:rsid w:val="00D479DA"/>
    <w:rsid w:val="00D51CE6"/>
    <w:rsid w:val="00D539EE"/>
    <w:rsid w:val="00D555F1"/>
    <w:rsid w:val="00D55712"/>
    <w:rsid w:val="00D56510"/>
    <w:rsid w:val="00D569BD"/>
    <w:rsid w:val="00D57320"/>
    <w:rsid w:val="00D573CA"/>
    <w:rsid w:val="00D5785F"/>
    <w:rsid w:val="00D579A7"/>
    <w:rsid w:val="00D57ACF"/>
    <w:rsid w:val="00D608D0"/>
    <w:rsid w:val="00D610DF"/>
    <w:rsid w:val="00D6156F"/>
    <w:rsid w:val="00D617CD"/>
    <w:rsid w:val="00D638E1"/>
    <w:rsid w:val="00D63EEA"/>
    <w:rsid w:val="00D64122"/>
    <w:rsid w:val="00D6436B"/>
    <w:rsid w:val="00D64AA4"/>
    <w:rsid w:val="00D64CEB"/>
    <w:rsid w:val="00D65E14"/>
    <w:rsid w:val="00D6608F"/>
    <w:rsid w:val="00D66284"/>
    <w:rsid w:val="00D67196"/>
    <w:rsid w:val="00D67A73"/>
    <w:rsid w:val="00D7000C"/>
    <w:rsid w:val="00D70346"/>
    <w:rsid w:val="00D71405"/>
    <w:rsid w:val="00D716CB"/>
    <w:rsid w:val="00D72A28"/>
    <w:rsid w:val="00D734EB"/>
    <w:rsid w:val="00D736FD"/>
    <w:rsid w:val="00D73898"/>
    <w:rsid w:val="00D73B49"/>
    <w:rsid w:val="00D74169"/>
    <w:rsid w:val="00D744D2"/>
    <w:rsid w:val="00D75116"/>
    <w:rsid w:val="00D75A6F"/>
    <w:rsid w:val="00D76D8A"/>
    <w:rsid w:val="00D77136"/>
    <w:rsid w:val="00D776D8"/>
    <w:rsid w:val="00D80C6C"/>
    <w:rsid w:val="00D81112"/>
    <w:rsid w:val="00D81254"/>
    <w:rsid w:val="00D820B0"/>
    <w:rsid w:val="00D83DBC"/>
    <w:rsid w:val="00D84762"/>
    <w:rsid w:val="00D84B8E"/>
    <w:rsid w:val="00D84F5B"/>
    <w:rsid w:val="00D851D3"/>
    <w:rsid w:val="00D877DB"/>
    <w:rsid w:val="00D87925"/>
    <w:rsid w:val="00D87FE4"/>
    <w:rsid w:val="00D904A8"/>
    <w:rsid w:val="00D91B26"/>
    <w:rsid w:val="00D92FB5"/>
    <w:rsid w:val="00D935B5"/>
    <w:rsid w:val="00D93BDA"/>
    <w:rsid w:val="00D951A6"/>
    <w:rsid w:val="00D9549C"/>
    <w:rsid w:val="00D97C3B"/>
    <w:rsid w:val="00D97CEC"/>
    <w:rsid w:val="00DA033B"/>
    <w:rsid w:val="00DA117B"/>
    <w:rsid w:val="00DA1F85"/>
    <w:rsid w:val="00DA251A"/>
    <w:rsid w:val="00DA3FF2"/>
    <w:rsid w:val="00DA4246"/>
    <w:rsid w:val="00DA5385"/>
    <w:rsid w:val="00DA542D"/>
    <w:rsid w:val="00DA5E3B"/>
    <w:rsid w:val="00DA65F9"/>
    <w:rsid w:val="00DA675F"/>
    <w:rsid w:val="00DA6D41"/>
    <w:rsid w:val="00DA704D"/>
    <w:rsid w:val="00DA77EB"/>
    <w:rsid w:val="00DB013E"/>
    <w:rsid w:val="00DB12F7"/>
    <w:rsid w:val="00DB186E"/>
    <w:rsid w:val="00DB21E9"/>
    <w:rsid w:val="00DB26AC"/>
    <w:rsid w:val="00DB2CA0"/>
    <w:rsid w:val="00DB332A"/>
    <w:rsid w:val="00DB514E"/>
    <w:rsid w:val="00DB5CF5"/>
    <w:rsid w:val="00DB5E88"/>
    <w:rsid w:val="00DB69D7"/>
    <w:rsid w:val="00DB6CA4"/>
    <w:rsid w:val="00DB6EBD"/>
    <w:rsid w:val="00DC106C"/>
    <w:rsid w:val="00DC11C5"/>
    <w:rsid w:val="00DC15DC"/>
    <w:rsid w:val="00DC1897"/>
    <w:rsid w:val="00DC2A6D"/>
    <w:rsid w:val="00DC2F25"/>
    <w:rsid w:val="00DC4A85"/>
    <w:rsid w:val="00DC4FFE"/>
    <w:rsid w:val="00DC5833"/>
    <w:rsid w:val="00DC6AD2"/>
    <w:rsid w:val="00DD2B61"/>
    <w:rsid w:val="00DD30C7"/>
    <w:rsid w:val="00DD3C25"/>
    <w:rsid w:val="00DD4FF0"/>
    <w:rsid w:val="00DD5B56"/>
    <w:rsid w:val="00DD5C8A"/>
    <w:rsid w:val="00DD5FB7"/>
    <w:rsid w:val="00DD6D5F"/>
    <w:rsid w:val="00DD75E2"/>
    <w:rsid w:val="00DD78F9"/>
    <w:rsid w:val="00DE0C40"/>
    <w:rsid w:val="00DE190A"/>
    <w:rsid w:val="00DE1D87"/>
    <w:rsid w:val="00DE1E70"/>
    <w:rsid w:val="00DE20EF"/>
    <w:rsid w:val="00DE47A7"/>
    <w:rsid w:val="00DE4B17"/>
    <w:rsid w:val="00DE502E"/>
    <w:rsid w:val="00DE51E0"/>
    <w:rsid w:val="00DE5414"/>
    <w:rsid w:val="00DE5CCE"/>
    <w:rsid w:val="00DE606E"/>
    <w:rsid w:val="00DE6FE9"/>
    <w:rsid w:val="00DF09B2"/>
    <w:rsid w:val="00DF0C7D"/>
    <w:rsid w:val="00DF0DB9"/>
    <w:rsid w:val="00DF289F"/>
    <w:rsid w:val="00DF3251"/>
    <w:rsid w:val="00DF3F4D"/>
    <w:rsid w:val="00DF453C"/>
    <w:rsid w:val="00DF4B6D"/>
    <w:rsid w:val="00DF56F6"/>
    <w:rsid w:val="00E00076"/>
    <w:rsid w:val="00E00369"/>
    <w:rsid w:val="00E00A8B"/>
    <w:rsid w:val="00E00B35"/>
    <w:rsid w:val="00E0180B"/>
    <w:rsid w:val="00E02238"/>
    <w:rsid w:val="00E026E2"/>
    <w:rsid w:val="00E03FAE"/>
    <w:rsid w:val="00E05439"/>
    <w:rsid w:val="00E05F04"/>
    <w:rsid w:val="00E05F17"/>
    <w:rsid w:val="00E06732"/>
    <w:rsid w:val="00E067A3"/>
    <w:rsid w:val="00E06B2B"/>
    <w:rsid w:val="00E11FA6"/>
    <w:rsid w:val="00E12702"/>
    <w:rsid w:val="00E12F91"/>
    <w:rsid w:val="00E13151"/>
    <w:rsid w:val="00E13B4D"/>
    <w:rsid w:val="00E13C77"/>
    <w:rsid w:val="00E13D3C"/>
    <w:rsid w:val="00E13DA2"/>
    <w:rsid w:val="00E15323"/>
    <w:rsid w:val="00E16D90"/>
    <w:rsid w:val="00E17204"/>
    <w:rsid w:val="00E17542"/>
    <w:rsid w:val="00E17A52"/>
    <w:rsid w:val="00E17E47"/>
    <w:rsid w:val="00E21473"/>
    <w:rsid w:val="00E21C34"/>
    <w:rsid w:val="00E22AC5"/>
    <w:rsid w:val="00E232EB"/>
    <w:rsid w:val="00E236DD"/>
    <w:rsid w:val="00E249CC"/>
    <w:rsid w:val="00E26769"/>
    <w:rsid w:val="00E274E7"/>
    <w:rsid w:val="00E279B0"/>
    <w:rsid w:val="00E314A8"/>
    <w:rsid w:val="00E314E6"/>
    <w:rsid w:val="00E318D7"/>
    <w:rsid w:val="00E322F5"/>
    <w:rsid w:val="00E32A3A"/>
    <w:rsid w:val="00E35506"/>
    <w:rsid w:val="00E35536"/>
    <w:rsid w:val="00E3626D"/>
    <w:rsid w:val="00E37B38"/>
    <w:rsid w:val="00E37F16"/>
    <w:rsid w:val="00E40F8F"/>
    <w:rsid w:val="00E41003"/>
    <w:rsid w:val="00E4373F"/>
    <w:rsid w:val="00E4445D"/>
    <w:rsid w:val="00E453D5"/>
    <w:rsid w:val="00E45680"/>
    <w:rsid w:val="00E45CF0"/>
    <w:rsid w:val="00E463B6"/>
    <w:rsid w:val="00E467F0"/>
    <w:rsid w:val="00E46D3B"/>
    <w:rsid w:val="00E5015A"/>
    <w:rsid w:val="00E50772"/>
    <w:rsid w:val="00E516CD"/>
    <w:rsid w:val="00E51B68"/>
    <w:rsid w:val="00E51C88"/>
    <w:rsid w:val="00E5202B"/>
    <w:rsid w:val="00E52DE7"/>
    <w:rsid w:val="00E53365"/>
    <w:rsid w:val="00E53F5F"/>
    <w:rsid w:val="00E54D65"/>
    <w:rsid w:val="00E566C1"/>
    <w:rsid w:val="00E57DE5"/>
    <w:rsid w:val="00E60594"/>
    <w:rsid w:val="00E60C5A"/>
    <w:rsid w:val="00E615D3"/>
    <w:rsid w:val="00E61844"/>
    <w:rsid w:val="00E61C7A"/>
    <w:rsid w:val="00E62F88"/>
    <w:rsid w:val="00E63157"/>
    <w:rsid w:val="00E63577"/>
    <w:rsid w:val="00E6435B"/>
    <w:rsid w:val="00E658B4"/>
    <w:rsid w:val="00E65EE7"/>
    <w:rsid w:val="00E664AD"/>
    <w:rsid w:val="00E66E9B"/>
    <w:rsid w:val="00E67465"/>
    <w:rsid w:val="00E6763B"/>
    <w:rsid w:val="00E704BA"/>
    <w:rsid w:val="00E70B80"/>
    <w:rsid w:val="00E70FD4"/>
    <w:rsid w:val="00E711E2"/>
    <w:rsid w:val="00E72310"/>
    <w:rsid w:val="00E7318A"/>
    <w:rsid w:val="00E73401"/>
    <w:rsid w:val="00E748C9"/>
    <w:rsid w:val="00E7496B"/>
    <w:rsid w:val="00E74FAC"/>
    <w:rsid w:val="00E75F38"/>
    <w:rsid w:val="00E7640C"/>
    <w:rsid w:val="00E767D1"/>
    <w:rsid w:val="00E77259"/>
    <w:rsid w:val="00E77EBD"/>
    <w:rsid w:val="00E80998"/>
    <w:rsid w:val="00E80A15"/>
    <w:rsid w:val="00E818DC"/>
    <w:rsid w:val="00E81ED8"/>
    <w:rsid w:val="00E8241E"/>
    <w:rsid w:val="00E828D8"/>
    <w:rsid w:val="00E83ACC"/>
    <w:rsid w:val="00E840D9"/>
    <w:rsid w:val="00E861AB"/>
    <w:rsid w:val="00E87131"/>
    <w:rsid w:val="00E8763F"/>
    <w:rsid w:val="00E87BA7"/>
    <w:rsid w:val="00E909E4"/>
    <w:rsid w:val="00E90E81"/>
    <w:rsid w:val="00E9106A"/>
    <w:rsid w:val="00E9203C"/>
    <w:rsid w:val="00E92323"/>
    <w:rsid w:val="00E923ED"/>
    <w:rsid w:val="00E92CAC"/>
    <w:rsid w:val="00E93659"/>
    <w:rsid w:val="00E9372B"/>
    <w:rsid w:val="00E94638"/>
    <w:rsid w:val="00E9488F"/>
    <w:rsid w:val="00E95BE4"/>
    <w:rsid w:val="00E96AE0"/>
    <w:rsid w:val="00E974AA"/>
    <w:rsid w:val="00EA0A7E"/>
    <w:rsid w:val="00EA1154"/>
    <w:rsid w:val="00EA15CC"/>
    <w:rsid w:val="00EA1887"/>
    <w:rsid w:val="00EA2026"/>
    <w:rsid w:val="00EA4A89"/>
    <w:rsid w:val="00EA59C9"/>
    <w:rsid w:val="00EA6277"/>
    <w:rsid w:val="00EA76FF"/>
    <w:rsid w:val="00EB1086"/>
    <w:rsid w:val="00EB13D5"/>
    <w:rsid w:val="00EB2620"/>
    <w:rsid w:val="00EB270D"/>
    <w:rsid w:val="00EB4035"/>
    <w:rsid w:val="00EB42C8"/>
    <w:rsid w:val="00EB5628"/>
    <w:rsid w:val="00EB57B3"/>
    <w:rsid w:val="00EB5D00"/>
    <w:rsid w:val="00EB722A"/>
    <w:rsid w:val="00EC01B2"/>
    <w:rsid w:val="00EC29AF"/>
    <w:rsid w:val="00EC3B35"/>
    <w:rsid w:val="00EC5568"/>
    <w:rsid w:val="00EC5898"/>
    <w:rsid w:val="00EC68FD"/>
    <w:rsid w:val="00EC710C"/>
    <w:rsid w:val="00EC711C"/>
    <w:rsid w:val="00ED0427"/>
    <w:rsid w:val="00ED08E4"/>
    <w:rsid w:val="00ED0ED3"/>
    <w:rsid w:val="00ED15D1"/>
    <w:rsid w:val="00ED1A68"/>
    <w:rsid w:val="00ED2EF3"/>
    <w:rsid w:val="00ED31FC"/>
    <w:rsid w:val="00ED36A0"/>
    <w:rsid w:val="00ED490E"/>
    <w:rsid w:val="00ED4956"/>
    <w:rsid w:val="00ED4ACD"/>
    <w:rsid w:val="00ED4C76"/>
    <w:rsid w:val="00ED5E27"/>
    <w:rsid w:val="00ED7BA3"/>
    <w:rsid w:val="00ED7DD5"/>
    <w:rsid w:val="00EE1360"/>
    <w:rsid w:val="00EE194C"/>
    <w:rsid w:val="00EE19A0"/>
    <w:rsid w:val="00EE1E68"/>
    <w:rsid w:val="00EE32B9"/>
    <w:rsid w:val="00EE383B"/>
    <w:rsid w:val="00EE42A1"/>
    <w:rsid w:val="00EE43D0"/>
    <w:rsid w:val="00EE4717"/>
    <w:rsid w:val="00EE5782"/>
    <w:rsid w:val="00EE67C4"/>
    <w:rsid w:val="00EE69F1"/>
    <w:rsid w:val="00EE6CFA"/>
    <w:rsid w:val="00EE72C6"/>
    <w:rsid w:val="00EE72F0"/>
    <w:rsid w:val="00EF0B17"/>
    <w:rsid w:val="00EF1FBC"/>
    <w:rsid w:val="00EF2623"/>
    <w:rsid w:val="00EF2885"/>
    <w:rsid w:val="00EF43AA"/>
    <w:rsid w:val="00EF4687"/>
    <w:rsid w:val="00EF4860"/>
    <w:rsid w:val="00EF4D3E"/>
    <w:rsid w:val="00EF5574"/>
    <w:rsid w:val="00EF56DD"/>
    <w:rsid w:val="00EF5856"/>
    <w:rsid w:val="00EF5F97"/>
    <w:rsid w:val="00EF6914"/>
    <w:rsid w:val="00F0056B"/>
    <w:rsid w:val="00F008B0"/>
    <w:rsid w:val="00F009E2"/>
    <w:rsid w:val="00F03631"/>
    <w:rsid w:val="00F03C85"/>
    <w:rsid w:val="00F04C6A"/>
    <w:rsid w:val="00F04F0A"/>
    <w:rsid w:val="00F05798"/>
    <w:rsid w:val="00F05807"/>
    <w:rsid w:val="00F0643A"/>
    <w:rsid w:val="00F06A39"/>
    <w:rsid w:val="00F06A4A"/>
    <w:rsid w:val="00F07E3E"/>
    <w:rsid w:val="00F07EEF"/>
    <w:rsid w:val="00F1041D"/>
    <w:rsid w:val="00F10E11"/>
    <w:rsid w:val="00F1140B"/>
    <w:rsid w:val="00F11E39"/>
    <w:rsid w:val="00F12100"/>
    <w:rsid w:val="00F13A44"/>
    <w:rsid w:val="00F13C9E"/>
    <w:rsid w:val="00F14A1B"/>
    <w:rsid w:val="00F156CD"/>
    <w:rsid w:val="00F17D2D"/>
    <w:rsid w:val="00F20186"/>
    <w:rsid w:val="00F2042B"/>
    <w:rsid w:val="00F205DD"/>
    <w:rsid w:val="00F209DE"/>
    <w:rsid w:val="00F21B69"/>
    <w:rsid w:val="00F21FF1"/>
    <w:rsid w:val="00F247F0"/>
    <w:rsid w:val="00F25617"/>
    <w:rsid w:val="00F25BCA"/>
    <w:rsid w:val="00F26C2F"/>
    <w:rsid w:val="00F27788"/>
    <w:rsid w:val="00F30C7D"/>
    <w:rsid w:val="00F312B8"/>
    <w:rsid w:val="00F31A17"/>
    <w:rsid w:val="00F323E7"/>
    <w:rsid w:val="00F33CFC"/>
    <w:rsid w:val="00F3455D"/>
    <w:rsid w:val="00F34CA4"/>
    <w:rsid w:val="00F35228"/>
    <w:rsid w:val="00F35B4F"/>
    <w:rsid w:val="00F36633"/>
    <w:rsid w:val="00F41620"/>
    <w:rsid w:val="00F41666"/>
    <w:rsid w:val="00F41868"/>
    <w:rsid w:val="00F41C75"/>
    <w:rsid w:val="00F42346"/>
    <w:rsid w:val="00F42895"/>
    <w:rsid w:val="00F436FD"/>
    <w:rsid w:val="00F457DB"/>
    <w:rsid w:val="00F45D38"/>
    <w:rsid w:val="00F46055"/>
    <w:rsid w:val="00F4673A"/>
    <w:rsid w:val="00F47431"/>
    <w:rsid w:val="00F478DA"/>
    <w:rsid w:val="00F50B4C"/>
    <w:rsid w:val="00F50F3B"/>
    <w:rsid w:val="00F512DD"/>
    <w:rsid w:val="00F52F78"/>
    <w:rsid w:val="00F53008"/>
    <w:rsid w:val="00F530D7"/>
    <w:rsid w:val="00F53BAC"/>
    <w:rsid w:val="00F53C63"/>
    <w:rsid w:val="00F5417D"/>
    <w:rsid w:val="00F5448E"/>
    <w:rsid w:val="00F546E4"/>
    <w:rsid w:val="00F5537E"/>
    <w:rsid w:val="00F553A5"/>
    <w:rsid w:val="00F56B5D"/>
    <w:rsid w:val="00F56C13"/>
    <w:rsid w:val="00F56D31"/>
    <w:rsid w:val="00F56DB9"/>
    <w:rsid w:val="00F56E31"/>
    <w:rsid w:val="00F57358"/>
    <w:rsid w:val="00F60438"/>
    <w:rsid w:val="00F61A34"/>
    <w:rsid w:val="00F622D1"/>
    <w:rsid w:val="00F6260D"/>
    <w:rsid w:val="00F649D8"/>
    <w:rsid w:val="00F64D6C"/>
    <w:rsid w:val="00F655EE"/>
    <w:rsid w:val="00F658B5"/>
    <w:rsid w:val="00F659AD"/>
    <w:rsid w:val="00F66886"/>
    <w:rsid w:val="00F669D9"/>
    <w:rsid w:val="00F676A8"/>
    <w:rsid w:val="00F6781F"/>
    <w:rsid w:val="00F67A53"/>
    <w:rsid w:val="00F70168"/>
    <w:rsid w:val="00F7064B"/>
    <w:rsid w:val="00F70EA8"/>
    <w:rsid w:val="00F71F6E"/>
    <w:rsid w:val="00F72D54"/>
    <w:rsid w:val="00F7316B"/>
    <w:rsid w:val="00F733A2"/>
    <w:rsid w:val="00F75943"/>
    <w:rsid w:val="00F75DB9"/>
    <w:rsid w:val="00F7764D"/>
    <w:rsid w:val="00F80023"/>
    <w:rsid w:val="00F80BA3"/>
    <w:rsid w:val="00F80E1C"/>
    <w:rsid w:val="00F81A72"/>
    <w:rsid w:val="00F82343"/>
    <w:rsid w:val="00F82BCF"/>
    <w:rsid w:val="00F82C59"/>
    <w:rsid w:val="00F854AA"/>
    <w:rsid w:val="00F85686"/>
    <w:rsid w:val="00F85BFB"/>
    <w:rsid w:val="00F861D5"/>
    <w:rsid w:val="00F86633"/>
    <w:rsid w:val="00F867D4"/>
    <w:rsid w:val="00F86860"/>
    <w:rsid w:val="00F8757F"/>
    <w:rsid w:val="00F875A9"/>
    <w:rsid w:val="00F87790"/>
    <w:rsid w:val="00F91EE6"/>
    <w:rsid w:val="00F9239B"/>
    <w:rsid w:val="00F9259E"/>
    <w:rsid w:val="00F92686"/>
    <w:rsid w:val="00F943B2"/>
    <w:rsid w:val="00F9457E"/>
    <w:rsid w:val="00F949E4"/>
    <w:rsid w:val="00F9561C"/>
    <w:rsid w:val="00F95859"/>
    <w:rsid w:val="00F96C00"/>
    <w:rsid w:val="00F97C23"/>
    <w:rsid w:val="00FA26FC"/>
    <w:rsid w:val="00FA2A4E"/>
    <w:rsid w:val="00FA3A9A"/>
    <w:rsid w:val="00FA3B38"/>
    <w:rsid w:val="00FA43A9"/>
    <w:rsid w:val="00FA560A"/>
    <w:rsid w:val="00FA59E8"/>
    <w:rsid w:val="00FA7CD7"/>
    <w:rsid w:val="00FB1D48"/>
    <w:rsid w:val="00FB2A97"/>
    <w:rsid w:val="00FB2B63"/>
    <w:rsid w:val="00FB4F0E"/>
    <w:rsid w:val="00FB567B"/>
    <w:rsid w:val="00FB6C7C"/>
    <w:rsid w:val="00FB7624"/>
    <w:rsid w:val="00FC0163"/>
    <w:rsid w:val="00FC10E5"/>
    <w:rsid w:val="00FC2650"/>
    <w:rsid w:val="00FC26C7"/>
    <w:rsid w:val="00FC383D"/>
    <w:rsid w:val="00FC3E89"/>
    <w:rsid w:val="00FC4A75"/>
    <w:rsid w:val="00FC5A41"/>
    <w:rsid w:val="00FC6532"/>
    <w:rsid w:val="00FC7EB1"/>
    <w:rsid w:val="00FD080B"/>
    <w:rsid w:val="00FD0ABC"/>
    <w:rsid w:val="00FD1216"/>
    <w:rsid w:val="00FD15D3"/>
    <w:rsid w:val="00FD2758"/>
    <w:rsid w:val="00FD2A6C"/>
    <w:rsid w:val="00FD2B48"/>
    <w:rsid w:val="00FD2E81"/>
    <w:rsid w:val="00FD48B4"/>
    <w:rsid w:val="00FD4BF5"/>
    <w:rsid w:val="00FD61D3"/>
    <w:rsid w:val="00FD672E"/>
    <w:rsid w:val="00FD7FC7"/>
    <w:rsid w:val="00FE121D"/>
    <w:rsid w:val="00FE358D"/>
    <w:rsid w:val="00FE4146"/>
    <w:rsid w:val="00FE42E8"/>
    <w:rsid w:val="00FE4FDE"/>
    <w:rsid w:val="00FE54DF"/>
    <w:rsid w:val="00FE63B7"/>
    <w:rsid w:val="00FE63FE"/>
    <w:rsid w:val="00FE7983"/>
    <w:rsid w:val="00FE7BC4"/>
    <w:rsid w:val="00FE7EE2"/>
    <w:rsid w:val="00FF23F3"/>
    <w:rsid w:val="00FF38B9"/>
    <w:rsid w:val="00FF4931"/>
    <w:rsid w:val="00FF4BC3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E4B4D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tabs>
        <w:tab w:val="left" w:pos="567"/>
      </w:tabs>
    </w:pPr>
    <w:rPr>
      <w:sz w:val="22"/>
      <w:lang w:val="cs-CZ"/>
    </w:rPr>
  </w:style>
  <w:style w:type="paragraph" w:styleId="1">
    <w:name w:val="heading 1"/>
    <w:basedOn w:val="a1"/>
    <w:next w:val="a1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31">
    <w:name w:val="heading 3"/>
    <w:basedOn w:val="a1"/>
    <w:next w:val="a1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41">
    <w:name w:val="heading 4"/>
    <w:basedOn w:val="a1"/>
    <w:next w:val="a1"/>
    <w:qFormat/>
    <w:pPr>
      <w:keepNext/>
      <w:jc w:val="both"/>
      <w:outlineLvl w:val="3"/>
    </w:pPr>
    <w:rPr>
      <w:b/>
    </w:rPr>
  </w:style>
  <w:style w:type="paragraph" w:styleId="51">
    <w:name w:val="heading 5"/>
    <w:basedOn w:val="a1"/>
    <w:next w:val="a1"/>
    <w:qFormat/>
    <w:pPr>
      <w:keepNext/>
      <w:jc w:val="both"/>
      <w:outlineLvl w:val="4"/>
    </w:pPr>
  </w:style>
  <w:style w:type="paragraph" w:styleId="6">
    <w:name w:val="heading 6"/>
    <w:basedOn w:val="a1"/>
    <w:next w:val="a1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7">
    <w:name w:val="heading 7"/>
    <w:basedOn w:val="a1"/>
    <w:next w:val="a1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8">
    <w:name w:val="heading 8"/>
    <w:basedOn w:val="a1"/>
    <w:next w:val="a1"/>
    <w:qFormat/>
    <w:pPr>
      <w:keepNext/>
      <w:ind w:left="567" w:hanging="567"/>
      <w:jc w:val="both"/>
      <w:outlineLvl w:val="7"/>
    </w:pPr>
    <w:rPr>
      <w:b/>
      <w:i/>
    </w:rPr>
  </w:style>
  <w:style w:type="paragraph" w:styleId="9">
    <w:name w:val="heading 9"/>
    <w:basedOn w:val="a1"/>
    <w:next w:val="a1"/>
    <w:qFormat/>
    <w:pPr>
      <w:keepNext/>
      <w:jc w:val="both"/>
      <w:outlineLvl w:val="8"/>
    </w:pPr>
    <w:rPr>
      <w:b/>
      <w:i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pPr>
      <w:tabs>
        <w:tab w:val="center" w:pos="4153"/>
        <w:tab w:val="right" w:pos="8306"/>
      </w:tabs>
    </w:pPr>
    <w:rPr>
      <w:rFonts w:ascii="Helvetica" w:hAnsi="Helvetica"/>
      <w:sz w:val="20"/>
    </w:rPr>
  </w:style>
  <w:style w:type="paragraph" w:styleId="a6">
    <w:name w:val="footer"/>
    <w:basedOn w:val="a1"/>
    <w:pPr>
      <w:tabs>
        <w:tab w:val="center" w:pos="4536"/>
        <w:tab w:val="center" w:pos="8930"/>
      </w:tabs>
    </w:pPr>
    <w:rPr>
      <w:rFonts w:ascii="Helvetica" w:hAnsi="Helvetica"/>
      <w:sz w:val="16"/>
    </w:rPr>
  </w:style>
  <w:style w:type="character" w:styleId="a7">
    <w:name w:val="page number"/>
    <w:basedOn w:val="a2"/>
  </w:style>
  <w:style w:type="paragraph" w:styleId="a8">
    <w:name w:val="Body Text Indent"/>
    <w:basedOn w:val="a1"/>
    <w:link w:val="Char0"/>
    <w:pPr>
      <w:tabs>
        <w:tab w:val="clear" w:pos="567"/>
      </w:tabs>
      <w:autoSpaceDE w:val="0"/>
      <w:autoSpaceDN w:val="0"/>
      <w:adjustRightInd w:val="0"/>
      <w:ind w:left="720"/>
      <w:jc w:val="both"/>
    </w:pPr>
    <w:rPr>
      <w:szCs w:val="22"/>
      <w:lang w:eastAsia="x-none"/>
    </w:rPr>
  </w:style>
  <w:style w:type="paragraph" w:styleId="32">
    <w:name w:val="Body Text 3"/>
    <w:basedOn w:val="a1"/>
    <w:pPr>
      <w:tabs>
        <w:tab w:val="clear" w:pos="567"/>
      </w:tabs>
      <w:autoSpaceDE w:val="0"/>
      <w:autoSpaceDN w:val="0"/>
      <w:adjustRightInd w:val="0"/>
      <w:jc w:val="both"/>
    </w:pPr>
    <w:rPr>
      <w:color w:val="0000FF"/>
      <w:szCs w:val="22"/>
      <w:lang w:eastAsia="en-GB"/>
    </w:rPr>
  </w:style>
  <w:style w:type="paragraph" w:styleId="22">
    <w:name w:val="Body Text Indent 2"/>
    <w:basedOn w:val="a1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a9">
    <w:name w:val="Body Text"/>
    <w:basedOn w:val="a1"/>
    <w:link w:val="Char1"/>
    <w:pPr>
      <w:tabs>
        <w:tab w:val="clear" w:pos="567"/>
      </w:tabs>
    </w:pPr>
    <w:rPr>
      <w:i/>
      <w:color w:val="008000"/>
    </w:rPr>
  </w:style>
  <w:style w:type="paragraph" w:styleId="23">
    <w:name w:val="Body Text 2"/>
    <w:basedOn w:val="a1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aa">
    <w:name w:val="annotation reference"/>
    <w:uiPriority w:val="99"/>
    <w:semiHidden/>
    <w:rPr>
      <w:sz w:val="16"/>
      <w:szCs w:val="16"/>
    </w:rPr>
  </w:style>
  <w:style w:type="paragraph" w:styleId="ab">
    <w:name w:val="annotation text"/>
    <w:basedOn w:val="a1"/>
    <w:link w:val="Char2"/>
    <w:qFormat/>
    <w:rPr>
      <w:rFonts w:eastAsia="Times New Roman"/>
      <w:sz w:val="20"/>
    </w:rPr>
  </w:style>
  <w:style w:type="paragraph" w:customStyle="1" w:styleId="EMEAEnBodyText">
    <w:name w:val="EMEA En Body Text"/>
    <w:basedOn w:val="a1"/>
    <w:pPr>
      <w:tabs>
        <w:tab w:val="clear" w:pos="567"/>
      </w:tabs>
      <w:spacing w:before="120" w:after="120"/>
      <w:jc w:val="both"/>
    </w:pPr>
  </w:style>
  <w:style w:type="paragraph" w:styleId="ac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character" w:styleId="ad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a1"/>
    <w:pPr>
      <w:numPr>
        <w:numId w:val="1"/>
      </w:numPr>
      <w:tabs>
        <w:tab w:val="clear" w:pos="567"/>
      </w:tabs>
      <w:spacing w:after="120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33">
    <w:name w:val="Body Text Indent 3"/>
    <w:basedOn w:val="a1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ae">
    <w:name w:val="FollowedHyperlink"/>
    <w:rPr>
      <w:color w:val="800080"/>
      <w:u w:val="single"/>
    </w:rPr>
  </w:style>
  <w:style w:type="paragraph" w:customStyle="1" w:styleId="Ballongtext1">
    <w:name w:val="Ballongtext1"/>
    <w:basedOn w:val="a1"/>
    <w:semiHidden/>
    <w:rPr>
      <w:rFonts w:ascii="Tahoma" w:hAnsi="Tahoma" w:cs="Tahoma"/>
      <w:sz w:val="16"/>
      <w:szCs w:val="16"/>
    </w:rPr>
  </w:style>
  <w:style w:type="paragraph" w:customStyle="1" w:styleId="Kommentarsmne1">
    <w:name w:val="Kommentarsämne1"/>
    <w:basedOn w:val="ab"/>
    <w:next w:val="ab"/>
    <w:semiHidden/>
    <w:rPr>
      <w:b/>
      <w:bCs/>
    </w:rPr>
  </w:style>
  <w:style w:type="paragraph" w:customStyle="1" w:styleId="Text">
    <w:name w:val="Text"/>
    <w:basedOn w:val="a1"/>
    <w:link w:val="TextChar1"/>
    <w:pPr>
      <w:tabs>
        <w:tab w:val="clear" w:pos="567"/>
      </w:tabs>
      <w:overflowPunct w:val="0"/>
      <w:autoSpaceDE w:val="0"/>
      <w:autoSpaceDN w:val="0"/>
      <w:adjustRightInd w:val="0"/>
      <w:spacing w:before="100" w:beforeAutospacing="1" w:after="100" w:afterAutospacing="1" w:line="360" w:lineRule="auto"/>
      <w:ind w:left="56"/>
      <w:textAlignment w:val="baseline"/>
    </w:pPr>
    <w:rPr>
      <w:rFonts w:ascii="Arial" w:eastAsia="Times New Roman" w:hAnsi="Arial" w:cs="Arial"/>
      <w:bCs/>
      <w:color w:val="0000FF"/>
      <w:sz w:val="20"/>
      <w:szCs w:val="14"/>
    </w:rPr>
  </w:style>
  <w:style w:type="character" w:customStyle="1" w:styleId="TextChar">
    <w:name w:val="Text Char"/>
    <w:rPr>
      <w:rFonts w:ascii="Arial" w:hAnsi="Arial" w:cs="Arial"/>
      <w:bCs/>
      <w:color w:val="0000FF"/>
      <w:szCs w:val="14"/>
      <w:lang w:val="cs-CZ" w:eastAsia="en-US" w:bidi="ar-SA"/>
    </w:rPr>
  </w:style>
  <w:style w:type="character" w:styleId="af">
    <w:name w:val="Emphasis"/>
    <w:qFormat/>
    <w:rPr>
      <w:i/>
      <w:iCs/>
    </w:rPr>
  </w:style>
  <w:style w:type="paragraph" w:styleId="af0">
    <w:name w:val="Normal (Web)"/>
    <w:basedOn w:val="a1"/>
    <w:uiPriority w:val="99"/>
    <w:pPr>
      <w:tabs>
        <w:tab w:val="clear" w:pos="567"/>
      </w:tabs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PeggyHo">
    <w:name w:val="Peggy Ho"/>
    <w:basedOn w:val="a2"/>
    <w:semiHidden/>
  </w:style>
  <w:style w:type="paragraph" w:styleId="af1">
    <w:name w:val="annotation subject"/>
    <w:basedOn w:val="ab"/>
    <w:next w:val="ab"/>
    <w:link w:val="Char3"/>
    <w:semiHidden/>
    <w:rPr>
      <w:b/>
      <w:bCs/>
    </w:rPr>
  </w:style>
  <w:style w:type="paragraph" w:customStyle="1" w:styleId="lbltxt">
    <w:name w:val="lbltxt"/>
    <w:pPr>
      <w:tabs>
        <w:tab w:val="left" w:pos="567"/>
      </w:tabs>
    </w:pPr>
    <w:rPr>
      <w:sz w:val="22"/>
      <w:lang w:val="cs-CZ"/>
    </w:rPr>
  </w:style>
  <w:style w:type="paragraph" w:customStyle="1" w:styleId="TextBullet">
    <w:name w:val="TextBullet"/>
    <w:basedOn w:val="a1"/>
    <w:pPr>
      <w:numPr>
        <w:numId w:val="2"/>
      </w:numPr>
      <w:tabs>
        <w:tab w:val="clear" w:pos="567"/>
      </w:tabs>
      <w:suppressAutoHyphens/>
      <w:spacing w:after="100" w:line="340" w:lineRule="atLeast"/>
    </w:pPr>
    <w:rPr>
      <w:rFonts w:ascii="Arial" w:hAnsi="Arial"/>
    </w:rPr>
  </w:style>
  <w:style w:type="character" w:customStyle="1" w:styleId="TextBulletChar">
    <w:name w:val="TextBullet Char"/>
    <w:rPr>
      <w:rFonts w:ascii="Arial" w:hAnsi="Arial"/>
      <w:sz w:val="22"/>
      <w:lang w:val="cs-CZ" w:eastAsia="en-US" w:bidi="ar-SA"/>
    </w:rPr>
  </w:style>
  <w:style w:type="character" w:customStyle="1" w:styleId="SidhuvudChar1">
    <w:name w:val="Sidhuvud Char1"/>
    <w:rPr>
      <w:rFonts w:ascii="Helvetica" w:hAnsi="Helvetica"/>
      <w:lang w:val="cs-CZ" w:eastAsia="en-US" w:bidi="ar-SA"/>
    </w:rPr>
  </w:style>
  <w:style w:type="paragraph" w:customStyle="1" w:styleId="Para">
    <w:name w:val="Para"/>
    <w:basedOn w:val="a1"/>
    <w:next w:val="a1"/>
    <w:pPr>
      <w:tabs>
        <w:tab w:val="clear" w:pos="567"/>
      </w:tabs>
      <w:autoSpaceDE w:val="0"/>
      <w:autoSpaceDN w:val="0"/>
      <w:adjustRightInd w:val="0"/>
    </w:pPr>
    <w:rPr>
      <w:sz w:val="24"/>
      <w:szCs w:val="24"/>
    </w:rPr>
  </w:style>
  <w:style w:type="paragraph" w:customStyle="1" w:styleId="SynopsisText">
    <w:name w:val="SynopsisText"/>
    <w:basedOn w:val="Text"/>
    <w:pPr>
      <w:tabs>
        <w:tab w:val="left" w:pos="1794"/>
      </w:tabs>
      <w:overflowPunct/>
      <w:autoSpaceDE/>
      <w:autoSpaceDN/>
      <w:adjustRightInd/>
      <w:spacing w:before="120" w:beforeAutospacing="0" w:after="120" w:afterAutospacing="0" w:line="240" w:lineRule="auto"/>
      <w:ind w:left="0"/>
      <w:textAlignment w:val="auto"/>
    </w:pPr>
    <w:rPr>
      <w:rFonts w:cs="Times New Roman"/>
      <w:bCs w:val="0"/>
      <w:color w:val="000000"/>
      <w:szCs w:val="20"/>
    </w:rPr>
  </w:style>
  <w:style w:type="paragraph" w:customStyle="1" w:styleId="text0">
    <w:name w:val="text"/>
    <w:basedOn w:val="a1"/>
    <w:pPr>
      <w:tabs>
        <w:tab w:val="clear" w:pos="567"/>
      </w:tabs>
      <w:overflowPunct w:val="0"/>
      <w:autoSpaceDE w:val="0"/>
      <w:autoSpaceDN w:val="0"/>
      <w:spacing w:before="100" w:beforeAutospacing="1" w:after="100" w:afterAutospacing="1" w:line="360" w:lineRule="auto"/>
      <w:ind w:left="56"/>
    </w:pPr>
    <w:rPr>
      <w:rFonts w:ascii="Arial" w:hAnsi="Arial" w:cs="Arial"/>
      <w:color w:val="0000FF"/>
      <w:sz w:val="20"/>
    </w:rPr>
  </w:style>
  <w:style w:type="character" w:customStyle="1" w:styleId="emailstyle18">
    <w:name w:val="emailstyle18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cs-CZ" w:eastAsia="ja-JP"/>
    </w:rPr>
  </w:style>
  <w:style w:type="paragraph" w:customStyle="1" w:styleId="synopsistext0">
    <w:name w:val="synopsistext"/>
    <w:basedOn w:val="a1"/>
    <w:pPr>
      <w:tabs>
        <w:tab w:val="clear" w:pos="567"/>
      </w:tabs>
      <w:spacing w:before="120" w:after="120"/>
    </w:pPr>
    <w:rPr>
      <w:rFonts w:ascii="Arial" w:eastAsia="MS Mincho" w:hAnsi="Arial" w:cs="Arial"/>
      <w:color w:val="000000"/>
      <w:sz w:val="20"/>
      <w:lang w:eastAsia="ja-JP"/>
    </w:rPr>
  </w:style>
  <w:style w:type="paragraph" w:customStyle="1" w:styleId="lblhead1">
    <w:name w:val="lblhead1"/>
    <w:basedOn w:val="lbltxt"/>
    <w:pPr>
      <w:keepNext/>
      <w:ind w:left="567" w:hanging="567"/>
    </w:pPr>
    <w:rPr>
      <w:b/>
      <w:caps/>
    </w:rPr>
  </w:style>
  <w:style w:type="character" w:customStyle="1" w:styleId="Initial">
    <w:name w:val="Initial"/>
    <w:rPr>
      <w:rFonts w:ascii="Times New Roman" w:hAnsi="Times New Roman"/>
      <w:sz w:val="24"/>
      <w:lang w:val="cs-CZ"/>
    </w:rPr>
  </w:style>
  <w:style w:type="paragraph" w:customStyle="1" w:styleId="TableCenterBold">
    <w:name w:val="TableCenterBold"/>
    <w:basedOn w:val="a1"/>
    <w:pPr>
      <w:tabs>
        <w:tab w:val="clear" w:pos="567"/>
      </w:tabs>
      <w:suppressAutoHyphens/>
      <w:spacing w:before="60" w:line="240" w:lineRule="exact"/>
      <w:jc w:val="center"/>
    </w:pPr>
    <w:rPr>
      <w:b/>
      <w:sz w:val="24"/>
      <w:szCs w:val="24"/>
    </w:rPr>
  </w:style>
  <w:style w:type="paragraph" w:customStyle="1" w:styleId="lblbullet">
    <w:name w:val="lblbullet"/>
    <w:basedOn w:val="a1"/>
    <w:pPr>
      <w:ind w:left="567" w:hanging="567"/>
    </w:pPr>
  </w:style>
  <w:style w:type="paragraph" w:customStyle="1" w:styleId="Ballongtext10">
    <w:name w:val="Ballongtext1"/>
    <w:basedOn w:val="a1"/>
    <w:semiHidden/>
    <w:rPr>
      <w:rFonts w:ascii="Tahoma" w:hAnsi="Tahoma" w:cs="Tahoma"/>
      <w:sz w:val="16"/>
      <w:szCs w:val="16"/>
    </w:rPr>
  </w:style>
  <w:style w:type="paragraph" w:customStyle="1" w:styleId="Kommentarsmne10">
    <w:name w:val="Kommentarsämne1"/>
    <w:basedOn w:val="ab"/>
    <w:next w:val="ab"/>
    <w:semiHidden/>
    <w:rPr>
      <w:b/>
      <w:bCs/>
    </w:rPr>
  </w:style>
  <w:style w:type="character" w:customStyle="1" w:styleId="SidhuvudChar">
    <w:name w:val="Sidhuvud Char"/>
    <w:rPr>
      <w:rFonts w:ascii="Helvetica" w:hAnsi="Helvetica"/>
      <w:lang w:val="cs-CZ" w:eastAsia="en-US" w:bidi="ar-SA"/>
    </w:rPr>
  </w:style>
  <w:style w:type="paragraph" w:customStyle="1" w:styleId="TableLeftAlign">
    <w:name w:val="TableLeftAlign"/>
    <w:basedOn w:val="a1"/>
    <w:pPr>
      <w:tabs>
        <w:tab w:val="clear" w:pos="567"/>
      </w:tabs>
      <w:suppressAutoHyphens/>
      <w:spacing w:before="60" w:after="60" w:line="240" w:lineRule="exact"/>
    </w:pPr>
    <w:rPr>
      <w:rFonts w:ascii="Arial" w:hAnsi="Arial"/>
      <w:sz w:val="20"/>
    </w:rPr>
  </w:style>
  <w:style w:type="paragraph" w:customStyle="1" w:styleId="Liststycke1">
    <w:name w:val="Liststycke1"/>
    <w:basedOn w:val="a1"/>
    <w:qFormat/>
    <w:pPr>
      <w:ind w:left="1304"/>
    </w:pPr>
  </w:style>
  <w:style w:type="paragraph" w:styleId="af2">
    <w:name w:val="Revision"/>
    <w:hidden/>
    <w:semiHidden/>
    <w:rPr>
      <w:sz w:val="22"/>
      <w:lang w:val="cs-CZ"/>
    </w:rPr>
  </w:style>
  <w:style w:type="paragraph" w:styleId="af3">
    <w:name w:val="Balloon Text"/>
    <w:basedOn w:val="a1"/>
    <w:link w:val="Char4"/>
    <w:uiPriority w:val="99"/>
    <w:semiHidden/>
    <w:rPr>
      <w:rFonts w:ascii="Tahoma" w:hAnsi="Tahoma" w:cs="Tahoma"/>
      <w:sz w:val="16"/>
      <w:szCs w:val="16"/>
    </w:rPr>
  </w:style>
  <w:style w:type="paragraph" w:styleId="af4">
    <w:name w:val="caption"/>
    <w:basedOn w:val="a1"/>
    <w:next w:val="Text"/>
    <w:link w:val="Char5"/>
    <w:qFormat/>
    <w:pPr>
      <w:keepNext/>
      <w:tabs>
        <w:tab w:val="clear" w:pos="567"/>
      </w:tabs>
      <w:suppressAutoHyphens/>
      <w:spacing w:before="300" w:after="100" w:line="300" w:lineRule="atLeast"/>
      <w:jc w:val="center"/>
    </w:pPr>
    <w:rPr>
      <w:rFonts w:ascii="Arial" w:hAnsi="Arial"/>
      <w:b/>
    </w:rPr>
  </w:style>
  <w:style w:type="character" w:customStyle="1" w:styleId="Char5">
    <w:name w:val="캡션 Char"/>
    <w:link w:val="af4"/>
    <w:rPr>
      <w:rFonts w:ascii="Arial" w:hAnsi="Arial"/>
      <w:b/>
      <w:sz w:val="22"/>
      <w:lang w:val="cs-CZ" w:eastAsia="en-US" w:bidi="ar-SA"/>
    </w:rPr>
  </w:style>
  <w:style w:type="character" w:customStyle="1" w:styleId="z3988">
    <w:name w:val="z3988"/>
    <w:basedOn w:val="a2"/>
  </w:style>
  <w:style w:type="table" w:styleId="af5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머리글 Char"/>
    <w:link w:val="a5"/>
    <w:rPr>
      <w:rFonts w:ascii="Helvetica" w:hAnsi="Helvetica"/>
      <w:lang w:val="cs-CZ" w:eastAsia="en-US" w:bidi="ar-SA"/>
    </w:rPr>
  </w:style>
  <w:style w:type="character" w:styleId="af6">
    <w:name w:val="Strong"/>
    <w:uiPriority w:val="22"/>
    <w:qFormat/>
    <w:rPr>
      <w:b/>
      <w:bCs/>
    </w:rPr>
  </w:style>
  <w:style w:type="character" w:customStyle="1" w:styleId="Char2">
    <w:name w:val="메모 텍스트 Char"/>
    <w:link w:val="ab"/>
    <w:locked/>
    <w:rPr>
      <w:rFonts w:eastAsia="Times New Roman"/>
      <w:lang w:eastAsia="en-US"/>
    </w:rPr>
  </w:style>
  <w:style w:type="character" w:customStyle="1" w:styleId="Char3">
    <w:name w:val="메모 주제 Char"/>
    <w:link w:val="af1"/>
    <w:semiHidden/>
    <w:locked/>
    <w:rPr>
      <w:b/>
      <w:bCs/>
      <w:lang w:val="cs-CZ" w:eastAsia="en-US" w:bidi="ar-SA"/>
    </w:rPr>
  </w:style>
  <w:style w:type="character" w:customStyle="1" w:styleId="CharChar">
    <w:name w:val="Char Char"/>
    <w:semiHidden/>
    <w:locked/>
    <w:rPr>
      <w:lang w:val="cs-CZ" w:eastAsia="en-US" w:bidi="ar-SA"/>
    </w:rPr>
  </w:style>
  <w:style w:type="character" w:customStyle="1" w:styleId="CharChar3">
    <w:name w:val="Char Char3"/>
    <w:semiHidden/>
    <w:locked/>
    <w:rPr>
      <w:lang w:val="cs-CZ" w:eastAsia="en-US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cs-CZ" w:eastAsia="en-GB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cs-CZ" w:eastAsia="en-GB" w:bidi="ar-SA"/>
    </w:rPr>
  </w:style>
  <w:style w:type="paragraph" w:customStyle="1" w:styleId="TitleA">
    <w:name w:val="Title A"/>
    <w:basedOn w:val="a1"/>
    <w:qFormat/>
    <w:pPr>
      <w:tabs>
        <w:tab w:val="clear" w:pos="567"/>
      </w:tabs>
      <w:jc w:val="center"/>
      <w:outlineLvl w:val="0"/>
    </w:pPr>
    <w:rPr>
      <w:b/>
    </w:rPr>
  </w:style>
  <w:style w:type="paragraph" w:customStyle="1" w:styleId="TitleB">
    <w:name w:val="Title B"/>
    <w:basedOn w:val="a1"/>
    <w:qFormat/>
    <w:pPr>
      <w:suppressLineNumbers/>
      <w:ind w:left="567" w:hanging="567"/>
    </w:pPr>
    <w:rPr>
      <w:b/>
      <w:bCs/>
      <w:szCs w:val="22"/>
    </w:rPr>
  </w:style>
  <w:style w:type="paragraph" w:styleId="af7">
    <w:name w:val="Bibliography"/>
    <w:basedOn w:val="a1"/>
    <w:next w:val="a1"/>
    <w:uiPriority w:val="37"/>
    <w:semiHidden/>
    <w:unhideWhenUsed/>
  </w:style>
  <w:style w:type="paragraph" w:styleId="af8">
    <w:name w:val="Block Text"/>
    <w:basedOn w:val="a1"/>
    <w:pPr>
      <w:spacing w:after="120"/>
      <w:ind w:left="1440" w:right="1440"/>
    </w:pPr>
  </w:style>
  <w:style w:type="paragraph" w:styleId="af9">
    <w:name w:val="Body Text First Indent"/>
    <w:basedOn w:val="a9"/>
    <w:link w:val="Char6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Char1">
    <w:name w:val="본문 Char"/>
    <w:link w:val="a9"/>
    <w:rPr>
      <w:i/>
      <w:color w:val="008000"/>
      <w:sz w:val="22"/>
      <w:lang w:eastAsia="en-US"/>
    </w:rPr>
  </w:style>
  <w:style w:type="character" w:customStyle="1" w:styleId="Char6">
    <w:name w:val="본문 첫 줄 들여쓰기 Char"/>
    <w:link w:val="af9"/>
    <w:rPr>
      <w:i/>
      <w:color w:val="008000"/>
      <w:sz w:val="22"/>
      <w:lang w:eastAsia="en-US"/>
    </w:rPr>
  </w:style>
  <w:style w:type="paragraph" w:styleId="24">
    <w:name w:val="Body Text First Indent 2"/>
    <w:basedOn w:val="a8"/>
    <w:link w:val="2Char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  <w:rPr>
      <w:szCs w:val="20"/>
      <w:lang w:eastAsia="en-US"/>
    </w:rPr>
  </w:style>
  <w:style w:type="character" w:customStyle="1" w:styleId="Char0">
    <w:name w:val="본문 들여쓰기 Char"/>
    <w:link w:val="a8"/>
    <w:rPr>
      <w:sz w:val="22"/>
      <w:szCs w:val="22"/>
    </w:rPr>
  </w:style>
  <w:style w:type="character" w:customStyle="1" w:styleId="2Char">
    <w:name w:val="본문 첫 줄 들여쓰기 2 Char"/>
    <w:link w:val="24"/>
    <w:rPr>
      <w:sz w:val="22"/>
      <w:szCs w:val="22"/>
    </w:rPr>
  </w:style>
  <w:style w:type="paragraph" w:styleId="afa">
    <w:name w:val="Closing"/>
    <w:basedOn w:val="a1"/>
    <w:link w:val="Char7"/>
    <w:pPr>
      <w:ind w:left="4252"/>
    </w:pPr>
  </w:style>
  <w:style w:type="character" w:customStyle="1" w:styleId="Char7">
    <w:name w:val="맺음말 Char"/>
    <w:link w:val="afa"/>
    <w:rPr>
      <w:sz w:val="22"/>
      <w:lang w:eastAsia="en-US"/>
    </w:rPr>
  </w:style>
  <w:style w:type="paragraph" w:styleId="afb">
    <w:name w:val="Date"/>
    <w:basedOn w:val="a1"/>
    <w:next w:val="a1"/>
    <w:link w:val="Char8"/>
  </w:style>
  <w:style w:type="character" w:customStyle="1" w:styleId="Char8">
    <w:name w:val="날짜 Char"/>
    <w:link w:val="afb"/>
    <w:rPr>
      <w:sz w:val="22"/>
      <w:lang w:eastAsia="en-US"/>
    </w:rPr>
  </w:style>
  <w:style w:type="paragraph" w:styleId="afc">
    <w:name w:val="E-mail Signature"/>
    <w:basedOn w:val="a1"/>
    <w:link w:val="Char9"/>
  </w:style>
  <w:style w:type="character" w:customStyle="1" w:styleId="Char9">
    <w:name w:val="전자 메일 서명 Char"/>
    <w:link w:val="afc"/>
    <w:rPr>
      <w:sz w:val="22"/>
      <w:lang w:eastAsia="en-US"/>
    </w:rPr>
  </w:style>
  <w:style w:type="paragraph" w:styleId="afd">
    <w:name w:val="endnote text"/>
    <w:basedOn w:val="a1"/>
    <w:link w:val="Chara"/>
    <w:rPr>
      <w:sz w:val="20"/>
    </w:rPr>
  </w:style>
  <w:style w:type="character" w:customStyle="1" w:styleId="Chara">
    <w:name w:val="미주 텍스트 Char"/>
    <w:link w:val="afd"/>
    <w:rPr>
      <w:lang w:eastAsia="en-US"/>
    </w:rPr>
  </w:style>
  <w:style w:type="paragraph" w:styleId="afe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ff">
    <w:name w:val="envelope return"/>
    <w:basedOn w:val="a1"/>
    <w:rPr>
      <w:rFonts w:ascii="Cambria" w:eastAsia="Times New Roman" w:hAnsi="Cambria"/>
      <w:sz w:val="20"/>
    </w:rPr>
  </w:style>
  <w:style w:type="paragraph" w:styleId="aff0">
    <w:name w:val="footnote text"/>
    <w:basedOn w:val="a1"/>
    <w:link w:val="Charb"/>
    <w:rPr>
      <w:sz w:val="20"/>
    </w:rPr>
  </w:style>
  <w:style w:type="character" w:customStyle="1" w:styleId="Charb">
    <w:name w:val="각주 텍스트 Char"/>
    <w:link w:val="aff0"/>
    <w:rPr>
      <w:lang w:eastAsia="en-US"/>
    </w:rPr>
  </w:style>
  <w:style w:type="paragraph" w:styleId="HTML">
    <w:name w:val="HTML Address"/>
    <w:basedOn w:val="a1"/>
    <w:link w:val="HTMLChar"/>
    <w:rPr>
      <w:i/>
      <w:iCs/>
    </w:rPr>
  </w:style>
  <w:style w:type="character" w:customStyle="1" w:styleId="HTMLChar">
    <w:name w:val="HTML 주소 Char"/>
    <w:link w:val="HTML"/>
    <w:rPr>
      <w:i/>
      <w:iCs/>
      <w:sz w:val="22"/>
      <w:lang w:eastAsia="en-US"/>
    </w:rPr>
  </w:style>
  <w:style w:type="paragraph" w:styleId="HTML0">
    <w:name w:val="HTML Preformatted"/>
    <w:basedOn w:val="a1"/>
    <w:link w:val="HTMLChar0"/>
    <w:rPr>
      <w:rFonts w:ascii="Courier New" w:hAnsi="Courier New"/>
      <w:sz w:val="20"/>
    </w:rPr>
  </w:style>
  <w:style w:type="character" w:customStyle="1" w:styleId="HTMLChar0">
    <w:name w:val="미리 서식이 지정된 HTML Char"/>
    <w:link w:val="HTML0"/>
    <w:rPr>
      <w:rFonts w:ascii="Courier New" w:hAnsi="Courier New" w:cs="Courier New"/>
      <w:lang w:eastAsia="en-US"/>
    </w:rPr>
  </w:style>
  <w:style w:type="paragraph" w:styleId="10">
    <w:name w:val="index 1"/>
    <w:basedOn w:val="a1"/>
    <w:next w:val="a1"/>
    <w:autoRedefine/>
    <w:pPr>
      <w:tabs>
        <w:tab w:val="clear" w:pos="567"/>
      </w:tabs>
      <w:ind w:left="220" w:hanging="220"/>
    </w:pPr>
  </w:style>
  <w:style w:type="paragraph" w:styleId="25">
    <w:name w:val="index 2"/>
    <w:basedOn w:val="a1"/>
    <w:next w:val="a1"/>
    <w:autoRedefine/>
    <w:pPr>
      <w:tabs>
        <w:tab w:val="clear" w:pos="567"/>
      </w:tabs>
      <w:ind w:left="440" w:hanging="220"/>
    </w:pPr>
  </w:style>
  <w:style w:type="paragraph" w:styleId="34">
    <w:name w:val="index 3"/>
    <w:basedOn w:val="a1"/>
    <w:next w:val="a1"/>
    <w:autoRedefine/>
    <w:pPr>
      <w:tabs>
        <w:tab w:val="clear" w:pos="567"/>
      </w:tabs>
      <w:ind w:left="660" w:hanging="220"/>
    </w:pPr>
  </w:style>
  <w:style w:type="paragraph" w:styleId="42">
    <w:name w:val="index 4"/>
    <w:basedOn w:val="a1"/>
    <w:next w:val="a1"/>
    <w:autoRedefine/>
    <w:pPr>
      <w:tabs>
        <w:tab w:val="clear" w:pos="567"/>
      </w:tabs>
      <w:ind w:left="880" w:hanging="220"/>
    </w:pPr>
  </w:style>
  <w:style w:type="paragraph" w:styleId="52">
    <w:name w:val="index 5"/>
    <w:basedOn w:val="a1"/>
    <w:next w:val="a1"/>
    <w:autoRedefine/>
    <w:pPr>
      <w:tabs>
        <w:tab w:val="clear" w:pos="567"/>
      </w:tabs>
      <w:ind w:left="1100" w:hanging="220"/>
    </w:pPr>
  </w:style>
  <w:style w:type="paragraph" w:styleId="60">
    <w:name w:val="index 6"/>
    <w:basedOn w:val="a1"/>
    <w:next w:val="a1"/>
    <w:autoRedefine/>
    <w:pPr>
      <w:tabs>
        <w:tab w:val="clear" w:pos="567"/>
      </w:tabs>
      <w:ind w:left="1320" w:hanging="220"/>
    </w:pPr>
  </w:style>
  <w:style w:type="paragraph" w:styleId="70">
    <w:name w:val="index 7"/>
    <w:basedOn w:val="a1"/>
    <w:next w:val="a1"/>
    <w:autoRedefine/>
    <w:pPr>
      <w:tabs>
        <w:tab w:val="clear" w:pos="567"/>
      </w:tabs>
      <w:ind w:left="1540" w:hanging="220"/>
    </w:pPr>
  </w:style>
  <w:style w:type="paragraph" w:styleId="80">
    <w:name w:val="index 8"/>
    <w:basedOn w:val="a1"/>
    <w:next w:val="a1"/>
    <w:autoRedefine/>
    <w:pPr>
      <w:tabs>
        <w:tab w:val="clear" w:pos="567"/>
      </w:tabs>
      <w:ind w:left="1760" w:hanging="220"/>
    </w:pPr>
  </w:style>
  <w:style w:type="paragraph" w:styleId="90">
    <w:name w:val="index 9"/>
    <w:basedOn w:val="a1"/>
    <w:next w:val="a1"/>
    <w:autoRedefine/>
    <w:pPr>
      <w:tabs>
        <w:tab w:val="clear" w:pos="567"/>
      </w:tabs>
      <w:ind w:left="1980" w:hanging="220"/>
    </w:pPr>
  </w:style>
  <w:style w:type="paragraph" w:styleId="aff1">
    <w:name w:val="index heading"/>
    <w:basedOn w:val="a1"/>
    <w:next w:val="10"/>
    <w:rPr>
      <w:rFonts w:ascii="Cambria" w:eastAsia="Times New Roman" w:hAnsi="Cambria"/>
      <w:b/>
      <w:bCs/>
    </w:rPr>
  </w:style>
  <w:style w:type="paragraph" w:styleId="aff2">
    <w:name w:val="Intense Quote"/>
    <w:basedOn w:val="a1"/>
    <w:next w:val="a1"/>
    <w:link w:val="Charc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c">
    <w:name w:val="강한 인용 Char"/>
    <w:link w:val="aff2"/>
    <w:uiPriority w:val="30"/>
    <w:rPr>
      <w:b/>
      <w:bCs/>
      <w:i/>
      <w:iCs/>
      <w:color w:val="4F81BD"/>
      <w:sz w:val="22"/>
      <w:lang w:eastAsia="en-US"/>
    </w:rPr>
  </w:style>
  <w:style w:type="paragraph" w:styleId="aff3">
    <w:name w:val="List"/>
    <w:basedOn w:val="a1"/>
    <w:pPr>
      <w:ind w:left="283" w:hanging="283"/>
      <w:contextualSpacing/>
    </w:pPr>
  </w:style>
  <w:style w:type="paragraph" w:styleId="26">
    <w:name w:val="List 2"/>
    <w:basedOn w:val="a1"/>
    <w:pPr>
      <w:ind w:left="566" w:hanging="283"/>
      <w:contextualSpacing/>
    </w:pPr>
  </w:style>
  <w:style w:type="paragraph" w:styleId="35">
    <w:name w:val="List 3"/>
    <w:basedOn w:val="a1"/>
    <w:pPr>
      <w:ind w:left="849" w:hanging="283"/>
      <w:contextualSpacing/>
    </w:pPr>
  </w:style>
  <w:style w:type="paragraph" w:styleId="43">
    <w:name w:val="List 4"/>
    <w:basedOn w:val="a1"/>
    <w:pPr>
      <w:ind w:left="1132" w:hanging="283"/>
      <w:contextualSpacing/>
    </w:pPr>
  </w:style>
  <w:style w:type="paragraph" w:styleId="53">
    <w:name w:val="List 5"/>
    <w:basedOn w:val="a1"/>
    <w:pPr>
      <w:ind w:left="1415" w:hanging="283"/>
      <w:contextualSpacing/>
    </w:pPr>
  </w:style>
  <w:style w:type="paragraph" w:styleId="a0">
    <w:name w:val="List Bullet"/>
    <w:basedOn w:val="a1"/>
    <w:pPr>
      <w:numPr>
        <w:numId w:val="7"/>
      </w:numPr>
      <w:contextualSpacing/>
    </w:pPr>
  </w:style>
  <w:style w:type="paragraph" w:styleId="20">
    <w:name w:val="List Bullet 2"/>
    <w:basedOn w:val="a1"/>
    <w:pPr>
      <w:numPr>
        <w:numId w:val="8"/>
      </w:numPr>
      <w:contextualSpacing/>
    </w:pPr>
  </w:style>
  <w:style w:type="paragraph" w:styleId="30">
    <w:name w:val="List Bullet 3"/>
    <w:basedOn w:val="a1"/>
    <w:pPr>
      <w:numPr>
        <w:numId w:val="9"/>
      </w:numPr>
      <w:contextualSpacing/>
    </w:pPr>
  </w:style>
  <w:style w:type="paragraph" w:styleId="40">
    <w:name w:val="List Bullet 4"/>
    <w:basedOn w:val="a1"/>
    <w:pPr>
      <w:numPr>
        <w:numId w:val="10"/>
      </w:numPr>
      <w:contextualSpacing/>
    </w:pPr>
  </w:style>
  <w:style w:type="paragraph" w:styleId="50">
    <w:name w:val="List Bullet 5"/>
    <w:basedOn w:val="a1"/>
    <w:pPr>
      <w:numPr>
        <w:numId w:val="11"/>
      </w:numPr>
      <w:contextualSpacing/>
    </w:pPr>
  </w:style>
  <w:style w:type="paragraph" w:styleId="aff4">
    <w:name w:val="List Continue"/>
    <w:basedOn w:val="a1"/>
    <w:pPr>
      <w:spacing w:after="120"/>
      <w:ind w:left="283"/>
      <w:contextualSpacing/>
    </w:pPr>
  </w:style>
  <w:style w:type="paragraph" w:styleId="27">
    <w:name w:val="List Continue 2"/>
    <w:basedOn w:val="a1"/>
    <w:pPr>
      <w:spacing w:after="120"/>
      <w:ind w:left="566"/>
      <w:contextualSpacing/>
    </w:pPr>
  </w:style>
  <w:style w:type="paragraph" w:styleId="36">
    <w:name w:val="List Continue 3"/>
    <w:basedOn w:val="a1"/>
    <w:pPr>
      <w:spacing w:after="120"/>
      <w:ind w:left="849"/>
      <w:contextualSpacing/>
    </w:pPr>
  </w:style>
  <w:style w:type="paragraph" w:styleId="44">
    <w:name w:val="List Continue 4"/>
    <w:basedOn w:val="a1"/>
    <w:pPr>
      <w:spacing w:after="120"/>
      <w:ind w:left="1132"/>
      <w:contextualSpacing/>
    </w:pPr>
  </w:style>
  <w:style w:type="paragraph" w:styleId="54">
    <w:name w:val="List Continue 5"/>
    <w:basedOn w:val="a1"/>
    <w:pPr>
      <w:spacing w:after="120"/>
      <w:ind w:left="1415"/>
      <w:contextualSpacing/>
    </w:pPr>
  </w:style>
  <w:style w:type="paragraph" w:styleId="a">
    <w:name w:val="List Number"/>
    <w:basedOn w:val="a1"/>
    <w:pPr>
      <w:numPr>
        <w:numId w:val="12"/>
      </w:numPr>
      <w:contextualSpacing/>
    </w:pPr>
  </w:style>
  <w:style w:type="paragraph" w:styleId="2">
    <w:name w:val="List Number 2"/>
    <w:basedOn w:val="a1"/>
    <w:pPr>
      <w:numPr>
        <w:numId w:val="13"/>
      </w:numPr>
      <w:contextualSpacing/>
    </w:pPr>
  </w:style>
  <w:style w:type="paragraph" w:styleId="3">
    <w:name w:val="List Number 3"/>
    <w:basedOn w:val="a1"/>
    <w:pPr>
      <w:numPr>
        <w:numId w:val="14"/>
      </w:numPr>
      <w:contextualSpacing/>
    </w:pPr>
  </w:style>
  <w:style w:type="paragraph" w:styleId="4">
    <w:name w:val="List Number 4"/>
    <w:basedOn w:val="a1"/>
    <w:pPr>
      <w:numPr>
        <w:numId w:val="15"/>
      </w:numPr>
      <w:contextualSpacing/>
    </w:pPr>
  </w:style>
  <w:style w:type="paragraph" w:styleId="5">
    <w:name w:val="List Number 5"/>
    <w:basedOn w:val="a1"/>
    <w:pPr>
      <w:numPr>
        <w:numId w:val="16"/>
      </w:numPr>
      <w:contextualSpacing/>
    </w:pPr>
  </w:style>
  <w:style w:type="paragraph" w:styleId="aff5">
    <w:name w:val="List Paragraph"/>
    <w:basedOn w:val="a1"/>
    <w:uiPriority w:val="34"/>
    <w:qFormat/>
    <w:pPr>
      <w:ind w:left="720"/>
    </w:pPr>
  </w:style>
  <w:style w:type="paragraph" w:styleId="aff6">
    <w:name w:val="macro"/>
    <w:link w:val="Char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cs-CZ"/>
    </w:rPr>
  </w:style>
  <w:style w:type="character" w:customStyle="1" w:styleId="Chard">
    <w:name w:val="매크로 텍스트 Char"/>
    <w:link w:val="aff6"/>
    <w:rPr>
      <w:rFonts w:ascii="Courier New" w:hAnsi="Courier New" w:cs="Courier New"/>
      <w:lang w:val="cs-CZ" w:eastAsia="en-US" w:bidi="ar-SA"/>
    </w:rPr>
  </w:style>
  <w:style w:type="paragraph" w:styleId="aff7">
    <w:name w:val="Message Header"/>
    <w:basedOn w:val="a1"/>
    <w:link w:val="Char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Chare">
    <w:name w:val="메시지 머리글 Char"/>
    <w:link w:val="aff7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8">
    <w:name w:val="No Spacing"/>
    <w:uiPriority w:val="1"/>
    <w:qFormat/>
    <w:pPr>
      <w:tabs>
        <w:tab w:val="left" w:pos="567"/>
      </w:tabs>
    </w:pPr>
    <w:rPr>
      <w:sz w:val="22"/>
      <w:lang w:val="cs-CZ"/>
    </w:rPr>
  </w:style>
  <w:style w:type="paragraph" w:styleId="aff9">
    <w:name w:val="Normal Indent"/>
    <w:basedOn w:val="a1"/>
    <w:pPr>
      <w:ind w:left="720"/>
    </w:pPr>
  </w:style>
  <w:style w:type="paragraph" w:styleId="affa">
    <w:name w:val="Note Heading"/>
    <w:basedOn w:val="a1"/>
    <w:next w:val="a1"/>
    <w:link w:val="Charf"/>
  </w:style>
  <w:style w:type="character" w:customStyle="1" w:styleId="Charf">
    <w:name w:val="각주/미주 머리글 Char"/>
    <w:link w:val="affa"/>
    <w:rPr>
      <w:sz w:val="22"/>
      <w:lang w:eastAsia="en-US"/>
    </w:rPr>
  </w:style>
  <w:style w:type="paragraph" w:styleId="affb">
    <w:name w:val="Plain Text"/>
    <w:basedOn w:val="a1"/>
    <w:link w:val="Charf0"/>
    <w:rPr>
      <w:rFonts w:ascii="Courier New" w:hAnsi="Courier New"/>
      <w:sz w:val="20"/>
    </w:rPr>
  </w:style>
  <w:style w:type="character" w:customStyle="1" w:styleId="Charf0">
    <w:name w:val="글자만 Char"/>
    <w:link w:val="affb"/>
    <w:rPr>
      <w:rFonts w:ascii="Courier New" w:hAnsi="Courier New" w:cs="Courier New"/>
      <w:lang w:eastAsia="en-US"/>
    </w:rPr>
  </w:style>
  <w:style w:type="paragraph" w:styleId="affc">
    <w:name w:val="Quote"/>
    <w:basedOn w:val="a1"/>
    <w:next w:val="a1"/>
    <w:link w:val="Charf1"/>
    <w:uiPriority w:val="29"/>
    <w:qFormat/>
    <w:rPr>
      <w:i/>
      <w:iCs/>
      <w:color w:val="000000"/>
    </w:rPr>
  </w:style>
  <w:style w:type="character" w:customStyle="1" w:styleId="Charf1">
    <w:name w:val="인용 Char"/>
    <w:link w:val="affc"/>
    <w:uiPriority w:val="29"/>
    <w:rPr>
      <w:i/>
      <w:iCs/>
      <w:color w:val="000000"/>
      <w:sz w:val="22"/>
      <w:lang w:eastAsia="en-US"/>
    </w:rPr>
  </w:style>
  <w:style w:type="paragraph" w:styleId="affd">
    <w:name w:val="Salutation"/>
    <w:basedOn w:val="a1"/>
    <w:next w:val="a1"/>
    <w:link w:val="Charf2"/>
  </w:style>
  <w:style w:type="character" w:customStyle="1" w:styleId="Charf2">
    <w:name w:val="인사말 Char"/>
    <w:link w:val="affd"/>
    <w:rPr>
      <w:sz w:val="22"/>
      <w:lang w:eastAsia="en-US"/>
    </w:rPr>
  </w:style>
  <w:style w:type="paragraph" w:styleId="affe">
    <w:name w:val="Signature"/>
    <w:basedOn w:val="a1"/>
    <w:link w:val="Charf3"/>
    <w:pPr>
      <w:ind w:left="4252"/>
    </w:pPr>
  </w:style>
  <w:style w:type="character" w:customStyle="1" w:styleId="Charf3">
    <w:name w:val="서명 Char"/>
    <w:link w:val="affe"/>
    <w:rPr>
      <w:sz w:val="22"/>
      <w:lang w:eastAsia="en-US"/>
    </w:rPr>
  </w:style>
  <w:style w:type="paragraph" w:styleId="afff">
    <w:name w:val="Subtitle"/>
    <w:basedOn w:val="a1"/>
    <w:next w:val="a1"/>
    <w:link w:val="Charf4"/>
    <w:qFormat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Charf4">
    <w:name w:val="부제 Char"/>
    <w:link w:val="afff"/>
    <w:rPr>
      <w:rFonts w:ascii="Cambria" w:eastAsia="Times New Roman" w:hAnsi="Cambria" w:cs="Times New Roman"/>
      <w:sz w:val="24"/>
      <w:szCs w:val="24"/>
      <w:lang w:eastAsia="en-US"/>
    </w:rPr>
  </w:style>
  <w:style w:type="paragraph" w:styleId="afff0">
    <w:name w:val="table of authorities"/>
    <w:basedOn w:val="a1"/>
    <w:next w:val="a1"/>
    <w:pPr>
      <w:tabs>
        <w:tab w:val="clear" w:pos="567"/>
      </w:tabs>
      <w:ind w:left="220" w:hanging="220"/>
    </w:pPr>
  </w:style>
  <w:style w:type="paragraph" w:styleId="afff1">
    <w:name w:val="table of figures"/>
    <w:basedOn w:val="a1"/>
    <w:next w:val="a1"/>
    <w:pPr>
      <w:tabs>
        <w:tab w:val="clear" w:pos="567"/>
      </w:tabs>
    </w:pPr>
  </w:style>
  <w:style w:type="paragraph" w:styleId="afff2">
    <w:name w:val="Title"/>
    <w:basedOn w:val="a1"/>
    <w:next w:val="a1"/>
    <w:link w:val="Charf5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Charf5">
    <w:name w:val="제목 Char"/>
    <w:link w:val="afff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ff3">
    <w:name w:val="toa heading"/>
    <w:basedOn w:val="a1"/>
    <w:next w:val="a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styleId="11">
    <w:name w:val="toc 1"/>
    <w:basedOn w:val="a1"/>
    <w:next w:val="a1"/>
    <w:autoRedefine/>
    <w:pPr>
      <w:tabs>
        <w:tab w:val="clear" w:pos="567"/>
      </w:tabs>
    </w:pPr>
  </w:style>
  <w:style w:type="paragraph" w:styleId="28">
    <w:name w:val="toc 2"/>
    <w:basedOn w:val="a1"/>
    <w:next w:val="a1"/>
    <w:autoRedefine/>
    <w:pPr>
      <w:tabs>
        <w:tab w:val="clear" w:pos="567"/>
      </w:tabs>
      <w:ind w:left="220"/>
    </w:pPr>
  </w:style>
  <w:style w:type="paragraph" w:styleId="37">
    <w:name w:val="toc 3"/>
    <w:basedOn w:val="a1"/>
    <w:next w:val="a1"/>
    <w:autoRedefine/>
    <w:pPr>
      <w:tabs>
        <w:tab w:val="clear" w:pos="567"/>
      </w:tabs>
      <w:ind w:left="440"/>
    </w:pPr>
  </w:style>
  <w:style w:type="paragraph" w:styleId="45">
    <w:name w:val="toc 4"/>
    <w:basedOn w:val="a1"/>
    <w:next w:val="a1"/>
    <w:autoRedefine/>
    <w:pPr>
      <w:tabs>
        <w:tab w:val="clear" w:pos="567"/>
      </w:tabs>
      <w:ind w:left="660"/>
    </w:pPr>
  </w:style>
  <w:style w:type="paragraph" w:styleId="55">
    <w:name w:val="toc 5"/>
    <w:basedOn w:val="a1"/>
    <w:next w:val="a1"/>
    <w:autoRedefine/>
    <w:pPr>
      <w:tabs>
        <w:tab w:val="clear" w:pos="567"/>
      </w:tabs>
      <w:ind w:left="880"/>
    </w:pPr>
  </w:style>
  <w:style w:type="paragraph" w:styleId="61">
    <w:name w:val="toc 6"/>
    <w:basedOn w:val="a1"/>
    <w:next w:val="a1"/>
    <w:autoRedefine/>
    <w:pPr>
      <w:tabs>
        <w:tab w:val="clear" w:pos="567"/>
      </w:tabs>
      <w:ind w:left="1100"/>
    </w:pPr>
  </w:style>
  <w:style w:type="paragraph" w:styleId="71">
    <w:name w:val="toc 7"/>
    <w:basedOn w:val="a1"/>
    <w:next w:val="a1"/>
    <w:autoRedefine/>
    <w:pPr>
      <w:tabs>
        <w:tab w:val="clear" w:pos="567"/>
      </w:tabs>
      <w:ind w:left="1320"/>
    </w:pPr>
  </w:style>
  <w:style w:type="paragraph" w:styleId="81">
    <w:name w:val="toc 8"/>
    <w:basedOn w:val="a1"/>
    <w:next w:val="a1"/>
    <w:autoRedefine/>
    <w:pPr>
      <w:tabs>
        <w:tab w:val="clear" w:pos="567"/>
      </w:tabs>
      <w:ind w:left="1540"/>
    </w:pPr>
  </w:style>
  <w:style w:type="paragraph" w:styleId="91">
    <w:name w:val="toc 9"/>
    <w:basedOn w:val="a1"/>
    <w:next w:val="a1"/>
    <w:autoRedefine/>
    <w:pPr>
      <w:tabs>
        <w:tab w:val="clear" w:pos="567"/>
      </w:tabs>
      <w:ind w:left="1760"/>
    </w:pPr>
  </w:style>
  <w:style w:type="paragraph" w:styleId="TOC">
    <w:name w:val="TOC Heading"/>
    <w:basedOn w:val="1"/>
    <w:next w:val="a1"/>
    <w:uiPriority w:val="39"/>
    <w:semiHidden/>
    <w:unhideWhenUsed/>
    <w:qFormat/>
    <w:pPr>
      <w:keepNext/>
      <w:spacing w:after="60"/>
      <w:ind w:left="0" w:firstLine="0"/>
      <w:outlineLvl w:val="9"/>
    </w:pPr>
    <w:rPr>
      <w:rFonts w:ascii="Cambria" w:eastAsia="Times New Roman" w:hAnsi="Cambria"/>
      <w:bCs/>
      <w:caps w:val="0"/>
      <w:kern w:val="32"/>
      <w:sz w:val="32"/>
      <w:szCs w:val="32"/>
    </w:rPr>
  </w:style>
  <w:style w:type="paragraph" w:customStyle="1" w:styleId="TextBold">
    <w:name w:val="Text Bold"/>
    <w:basedOn w:val="a1"/>
    <w:link w:val="TextBoldChar"/>
    <w:pPr>
      <w:tabs>
        <w:tab w:val="clear" w:pos="567"/>
      </w:tabs>
    </w:pPr>
    <w:rPr>
      <w:rFonts w:eastAsia="MS Mincho"/>
      <w:b/>
      <w:bCs/>
      <w:color w:val="000000"/>
      <w:sz w:val="24"/>
      <w:szCs w:val="24"/>
      <w:lang w:eastAsia="ja-JP"/>
    </w:rPr>
  </w:style>
  <w:style w:type="character" w:customStyle="1" w:styleId="TextBoldChar">
    <w:name w:val="Text Bold Char"/>
    <w:link w:val="TextBold"/>
    <w:rPr>
      <w:rFonts w:eastAsia="MS Mincho"/>
      <w:b/>
      <w:bCs/>
      <w:color w:val="000000"/>
      <w:sz w:val="24"/>
      <w:szCs w:val="24"/>
      <w:lang w:val="cs-CZ" w:eastAsia="ja-JP"/>
    </w:rPr>
  </w:style>
  <w:style w:type="paragraph" w:customStyle="1" w:styleId="Considrant">
    <w:name w:val="Considérant"/>
    <w:basedOn w:val="a1"/>
    <w:pPr>
      <w:numPr>
        <w:numId w:val="20"/>
      </w:numPr>
      <w:tabs>
        <w:tab w:val="clear" w:pos="567"/>
      </w:tabs>
      <w:spacing w:before="120" w:after="120"/>
      <w:jc w:val="both"/>
    </w:pPr>
    <w:rPr>
      <w:sz w:val="24"/>
    </w:rPr>
  </w:style>
  <w:style w:type="paragraph" w:customStyle="1" w:styleId="BodytextAgency">
    <w:name w:val="Body text (Agency)"/>
    <w:basedOn w:val="a1"/>
    <w:link w:val="BodytextAgencyChar"/>
    <w:qFormat/>
    <w:pPr>
      <w:tabs>
        <w:tab w:val="clear" w:pos="567"/>
      </w:tabs>
      <w:spacing w:after="140" w:line="280" w:lineRule="atLeast"/>
    </w:pPr>
    <w:rPr>
      <w:rFonts w:eastAsia="Verdana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Pr>
      <w:rFonts w:eastAsia="Verdana"/>
      <w:sz w:val="22"/>
      <w:szCs w:val="18"/>
      <w:lang w:val="cs-CZ" w:eastAsia="en-GB"/>
    </w:rPr>
  </w:style>
  <w:style w:type="character" w:customStyle="1" w:styleId="TextChar1">
    <w:name w:val="Text Char1"/>
    <w:link w:val="Text"/>
    <w:locked/>
    <w:rPr>
      <w:rFonts w:ascii="Arial" w:eastAsia="Times New Roman" w:hAnsi="Arial" w:cs="Arial"/>
      <w:bCs/>
      <w:color w:val="0000FF"/>
      <w:szCs w:val="14"/>
      <w:lang w:val="cs-CZ" w:eastAsia="en-US"/>
    </w:rPr>
  </w:style>
  <w:style w:type="character" w:customStyle="1" w:styleId="Char4">
    <w:name w:val="풍선 도움말 텍스트 Char"/>
    <w:link w:val="af3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No-numheading3AgencyChar">
    <w:name w:val="No-num heading 3 (Agency) Char"/>
    <w:link w:val="No-numheading3Agency"/>
    <w:locked/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a1"/>
    <w:next w:val="BodytextAgency"/>
    <w:link w:val="No-numheading3AgencyChar"/>
    <w:pPr>
      <w:keepNext/>
      <w:tabs>
        <w:tab w:val="clear" w:pos="567"/>
      </w:tabs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AmgenText">
    <w:name w:val="Amgen Text"/>
    <w:link w:val="AmgenTextChar"/>
    <w:qFormat/>
    <w:pPr>
      <w:spacing w:before="120" w:after="120" w:line="360" w:lineRule="auto"/>
    </w:pPr>
    <w:rPr>
      <w:rFonts w:ascii="Arial" w:eastAsia="Times New Roman" w:hAnsi="Arial"/>
      <w:sz w:val="22"/>
      <w:lang w:val="cs-CZ"/>
    </w:rPr>
  </w:style>
  <w:style w:type="character" w:customStyle="1" w:styleId="AmgenTextChar">
    <w:name w:val="Amgen Text Char"/>
    <w:link w:val="AmgenText"/>
    <w:rPr>
      <w:rFonts w:ascii="Arial" w:eastAsia="Times New Roman" w:hAnsi="Arial"/>
      <w:sz w:val="22"/>
      <w:lang w:val="cs-CZ" w:eastAsia="en-US"/>
    </w:rPr>
  </w:style>
  <w:style w:type="character" w:customStyle="1" w:styleId="UnresolvedMention1">
    <w:name w:val="Unresolved Mention1"/>
    <w:uiPriority w:val="99"/>
    <w:semiHidden/>
    <w:unhideWhenUsed/>
    <w:rPr>
      <w:color w:val="808080"/>
      <w:shd w:val="clear" w:color="auto" w:fill="E6E6E6"/>
    </w:rPr>
  </w:style>
  <w:style w:type="paragraph" w:customStyle="1" w:styleId="Italic11pt">
    <w:name w:val="_Italic_11pt"/>
    <w:basedOn w:val="a1"/>
    <w:qFormat/>
    <w:rPr>
      <w:i/>
      <w:iCs/>
    </w:rPr>
  </w:style>
  <w:style w:type="character" w:customStyle="1" w:styleId="Labeling-MandatoryFootnoteChar">
    <w:name w:val="Labeling - Mandatory Footnote Char"/>
    <w:link w:val="Labeling-MandatoryFootnote"/>
    <w:locked/>
    <w:rPr>
      <w:rFonts w:ascii="Arial" w:eastAsia="Times New Roman" w:hAnsi="Arial" w:cs="Arial"/>
      <w:i/>
      <w:sz w:val="16"/>
      <w:szCs w:val="24"/>
      <w:lang w:val="cs-CZ" w:eastAsia="en-US"/>
    </w:rPr>
  </w:style>
  <w:style w:type="paragraph" w:customStyle="1" w:styleId="Labeling-MandatoryFootnote">
    <w:name w:val="Labeling - Mandatory Footnote"/>
    <w:basedOn w:val="a1"/>
    <w:link w:val="Labeling-MandatoryFootnoteChar"/>
    <w:qFormat/>
    <w:pPr>
      <w:tabs>
        <w:tab w:val="clear" w:pos="567"/>
      </w:tabs>
      <w:spacing w:line="360" w:lineRule="auto"/>
      <w:ind w:left="720"/>
    </w:pPr>
    <w:rPr>
      <w:rFonts w:ascii="Arial" w:eastAsia="Times New Roman" w:hAnsi="Arial" w:cs="Arial"/>
      <w:i/>
      <w:sz w:val="16"/>
      <w:szCs w:val="24"/>
    </w:rPr>
  </w:style>
  <w:style w:type="character" w:customStyle="1" w:styleId="Labeling-MandatoryTableHeaderChar">
    <w:name w:val="Labeling - Mandatory Table Header Char"/>
    <w:link w:val="Labeling-MandatoryTableHeader"/>
    <w:locked/>
    <w:rPr>
      <w:rFonts w:ascii="Arial" w:eastAsia="Times New Roman" w:hAnsi="Arial" w:cs="Arial"/>
      <w:b/>
      <w:sz w:val="22"/>
      <w:szCs w:val="24"/>
      <w:lang w:val="cs-CZ" w:eastAsia="en-US"/>
    </w:rPr>
  </w:style>
  <w:style w:type="paragraph" w:customStyle="1" w:styleId="Labeling-MandatoryTableHeader">
    <w:name w:val="Labeling - Mandatory Table Header"/>
    <w:basedOn w:val="a1"/>
    <w:link w:val="Labeling-MandatoryTableHeaderChar"/>
    <w:qFormat/>
    <w:pPr>
      <w:tabs>
        <w:tab w:val="clear" w:pos="567"/>
      </w:tabs>
      <w:spacing w:before="60" w:after="60"/>
    </w:pPr>
    <w:rPr>
      <w:rFonts w:ascii="Arial" w:eastAsia="Times New Roman" w:hAnsi="Arial" w:cs="Arial"/>
      <w:b/>
      <w:szCs w:val="24"/>
    </w:rPr>
  </w:style>
  <w:style w:type="character" w:customStyle="1" w:styleId="Labeling-MandatoryTableTitleChar">
    <w:name w:val="Labeling - Mandatory Table Title Char"/>
    <w:link w:val="Labeling-MandatoryTableTitle"/>
    <w:locked/>
    <w:rPr>
      <w:rFonts w:ascii="Arial" w:eastAsia="Times New Roman" w:hAnsi="Arial" w:cs="Arial"/>
      <w:b/>
      <w:sz w:val="22"/>
      <w:szCs w:val="24"/>
      <w:lang w:val="cs-CZ" w:eastAsia="en-US"/>
    </w:rPr>
  </w:style>
  <w:style w:type="paragraph" w:customStyle="1" w:styleId="Labeling-MandatoryTableTitle">
    <w:name w:val="Labeling - Mandatory Table Title"/>
    <w:basedOn w:val="a1"/>
    <w:link w:val="Labeling-MandatoryTableTitleChar"/>
    <w:qFormat/>
    <w:pPr>
      <w:tabs>
        <w:tab w:val="clear" w:pos="567"/>
      </w:tabs>
      <w:spacing w:line="360" w:lineRule="auto"/>
      <w:ind w:left="720"/>
    </w:pPr>
    <w:rPr>
      <w:rFonts w:ascii="Arial" w:eastAsia="Times New Roman" w:hAnsi="Arial" w:cs="Arial"/>
      <w:b/>
      <w:szCs w:val="24"/>
    </w:rPr>
  </w:style>
  <w:style w:type="character" w:customStyle="1" w:styleId="Labeling-MandatoryTableTextChar">
    <w:name w:val="Labeling - Mandatory Table Text Char"/>
    <w:link w:val="Labeling-MandatoryTableText"/>
    <w:locked/>
    <w:rPr>
      <w:rFonts w:ascii="Arial" w:eastAsia="Times New Roman" w:hAnsi="Arial" w:cs="Arial"/>
      <w:sz w:val="22"/>
      <w:szCs w:val="24"/>
      <w:lang w:val="cs-CZ" w:eastAsia="en-US"/>
    </w:rPr>
  </w:style>
  <w:style w:type="paragraph" w:customStyle="1" w:styleId="Labeling-MandatoryTableText">
    <w:name w:val="Labeling - Mandatory Table Text"/>
    <w:basedOn w:val="a1"/>
    <w:link w:val="Labeling-MandatoryTableTextChar"/>
    <w:pPr>
      <w:tabs>
        <w:tab w:val="clear" w:pos="567"/>
      </w:tabs>
      <w:spacing w:line="360" w:lineRule="auto"/>
      <w:ind w:left="720"/>
    </w:pPr>
    <w:rPr>
      <w:rFonts w:ascii="Arial" w:eastAsia="Times New Roman" w:hAnsi="Arial" w:cs="Arial"/>
      <w:szCs w:val="24"/>
    </w:rPr>
  </w:style>
  <w:style w:type="character" w:styleId="afff4">
    <w:name w:val="endnote reference"/>
    <w:unhideWhenUsed/>
    <w:rPr>
      <w:vertAlign w:val="superscript"/>
    </w:rPr>
  </w:style>
  <w:style w:type="paragraph" w:customStyle="1" w:styleId="Style11ptbold">
    <w:name w:val="_Style 11 pt bold"/>
    <w:basedOn w:val="TextBold"/>
    <w:qFormat/>
    <w:rPr>
      <w:color w:val="auto"/>
      <w:sz w:val="22"/>
      <w:szCs w:val="22"/>
    </w:rPr>
  </w:style>
  <w:style w:type="paragraph" w:customStyle="1" w:styleId="Style10pt">
    <w:name w:val="_Style 10 pt"/>
    <w:basedOn w:val="a1"/>
    <w:qFormat/>
    <w:pPr>
      <w:keepNext/>
    </w:pPr>
    <w:rPr>
      <w:sz w:val="20"/>
      <w:szCs w:val="22"/>
    </w:rPr>
  </w:style>
  <w:style w:type="paragraph" w:customStyle="1" w:styleId="BodyText1">
    <w:name w:val="BodyText 1"/>
    <w:basedOn w:val="a1"/>
    <w:link w:val="BodyText1Char"/>
    <w:qFormat/>
    <w:pPr>
      <w:tabs>
        <w:tab w:val="clear" w:pos="567"/>
      </w:tabs>
      <w:spacing w:after="120" w:line="360" w:lineRule="auto"/>
    </w:pPr>
    <w:rPr>
      <w:rFonts w:ascii="Arial" w:eastAsia="Times New Roman" w:hAnsi="Arial" w:cs="Arial"/>
      <w:szCs w:val="24"/>
    </w:rPr>
  </w:style>
  <w:style w:type="character" w:customStyle="1" w:styleId="BodyText1Char">
    <w:name w:val="BodyText 1 Char"/>
    <w:link w:val="BodyText1"/>
    <w:rPr>
      <w:rFonts w:ascii="Arial" w:eastAsia="Times New Roman" w:hAnsi="Arial" w:cs="Arial"/>
      <w:sz w:val="22"/>
      <w:szCs w:val="24"/>
      <w:lang w:val="cs-CZ" w:eastAsia="en-US"/>
    </w:rPr>
  </w:style>
  <w:style w:type="character" w:customStyle="1" w:styleId="Shading">
    <w:name w:val="Shading"/>
    <w:uiPriority w:val="1"/>
    <w:qFormat/>
    <w:rPr>
      <w:rFonts w:ascii="Arial" w:hAnsi="Arial"/>
      <w:sz w:val="22"/>
      <w:bdr w:val="none" w:sz="0" w:space="0" w:color="auto"/>
      <w:shd w:val="clear" w:color="auto" w:fill="D9D9D9"/>
    </w:rPr>
  </w:style>
  <w:style w:type="paragraph" w:customStyle="1" w:styleId="Labeling-MandatoryText">
    <w:name w:val="Labeling - Mandatory Text"/>
    <w:basedOn w:val="Labeling-MandatoryTableText"/>
    <w:link w:val="Labeling-MandatoryTextChar"/>
    <w:qFormat/>
  </w:style>
  <w:style w:type="character" w:customStyle="1" w:styleId="Labeling-MandatoryTextChar">
    <w:name w:val="Labeling - Mandatory Text Char"/>
    <w:link w:val="Labeling-MandatoryText"/>
    <w:rPr>
      <w:rFonts w:ascii="Arial" w:eastAsia="Times New Roman" w:hAnsi="Arial" w:cs="Arial"/>
      <w:sz w:val="22"/>
      <w:szCs w:val="24"/>
      <w:lang w:val="cs-CZ" w:eastAsia="en-US"/>
    </w:rPr>
  </w:style>
  <w:style w:type="character" w:customStyle="1" w:styleId="commenttext">
    <w:name w:val="commenttext"/>
    <w:basedOn w:val="a2"/>
  </w:style>
  <w:style w:type="character" w:customStyle="1" w:styleId="UnresolvedMention2">
    <w:name w:val="Unresolved Mention2"/>
    <w:uiPriority w:val="99"/>
    <w:semiHidden/>
    <w:unhideWhenUsed/>
    <w:rPr>
      <w:color w:val="605E5C"/>
      <w:shd w:val="clear" w:color="auto" w:fill="E1DFDD"/>
    </w:rPr>
  </w:style>
  <w:style w:type="paragraph" w:customStyle="1" w:styleId="Stylebold">
    <w:name w:val="_Style bold"/>
    <w:basedOn w:val="a1"/>
    <w:qFormat/>
    <w:rsid w:val="00386FDB"/>
    <w:rPr>
      <w:b/>
    </w:rPr>
  </w:style>
  <w:style w:type="paragraph" w:customStyle="1" w:styleId="StyleItalic">
    <w:name w:val="_Style Italic"/>
    <w:basedOn w:val="a1"/>
    <w:qFormat/>
    <w:rsid w:val="00AB072A"/>
    <w:pPr>
      <w:keepNext/>
      <w:tabs>
        <w:tab w:val="clear" w:pos="567"/>
      </w:tabs>
    </w:pPr>
    <w:rPr>
      <w:i/>
    </w:rPr>
  </w:style>
  <w:style w:type="paragraph" w:customStyle="1" w:styleId="Styleunderline">
    <w:name w:val="_Style underline"/>
    <w:basedOn w:val="a1"/>
    <w:qFormat/>
    <w:rsid w:val="00AB072A"/>
    <w:pPr>
      <w:keepNext/>
      <w:tabs>
        <w:tab w:val="clear" w:pos="567"/>
      </w:tabs>
    </w:pPr>
    <w:rPr>
      <w:u w:val="single"/>
    </w:rPr>
  </w:style>
  <w:style w:type="paragraph" w:customStyle="1" w:styleId="Style18pts">
    <w:name w:val="_Style 18 pts"/>
    <w:basedOn w:val="a1"/>
    <w:qFormat/>
    <w:rsid w:val="006737AB"/>
    <w:pPr>
      <w:jc w:val="center"/>
    </w:pPr>
    <w:rPr>
      <w:b/>
      <w:sz w:val="36"/>
    </w:rPr>
  </w:style>
  <w:style w:type="character" w:styleId="afff5">
    <w:name w:val="Unresolved Mention"/>
    <w:uiPriority w:val="99"/>
    <w:semiHidden/>
    <w:unhideWhenUsed/>
    <w:rsid w:val="00F5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BEinfo@celltrionhc.com" TargetMode="External"/><Relationship Id="rId26" Type="http://schemas.openxmlformats.org/officeDocument/2006/relationships/hyperlink" Target="mailto:contact_pt@celltrion.com" TargetMode="External"/><Relationship Id="rId39" Type="http://schemas.openxmlformats.org/officeDocument/2006/relationships/customXml" Target="../customXml/item5.xml"/><Relationship Id="rId21" Type="http://schemas.openxmlformats.org/officeDocument/2006/relationships/hyperlink" Target="mailto:infoDE@celltrionhc.com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ema.europa.eu" TargetMode="External"/><Relationship Id="rId17" Type="http://schemas.openxmlformats.org/officeDocument/2006/relationships/hyperlink" Target="https://www.ema.europa.eu/documents/template-form/qrd-appendix-v-adverse-drug-reaction-reporting-details_en.docx" TargetMode="External"/><Relationship Id="rId25" Type="http://schemas.openxmlformats.org/officeDocument/2006/relationships/hyperlink" Target="mailto:contact_es@celltrion.com" TargetMode="External"/><Relationship Id="rId33" Type="http://schemas.openxmlformats.org/officeDocument/2006/relationships/footer" Target="footer1.xm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contact_dk@celltrionhc.com" TargetMode="External"/><Relationship Id="rId29" Type="http://schemas.openxmlformats.org/officeDocument/2006/relationships/hyperlink" Target="mailto:celltrionhealthcare_italy@legalmail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hyperlink" Target="mailto:contact_no@celltrionhc.com" TargetMode="External"/><Relationship Id="rId32" Type="http://schemas.openxmlformats.org/officeDocument/2006/relationships/hyperlink" Target="https://www.ema.europa.eu/" TargetMode="External"/><Relationship Id="rId37" Type="http://schemas.openxmlformats.org/officeDocument/2006/relationships/theme" Target="theme/theme1.xml"/><Relationship Id="rId40" Type="http://schemas.openxmlformats.org/officeDocument/2006/relationships/customXml" Target="../customXml/item6.xml"/><Relationship Id="rId5" Type="http://schemas.openxmlformats.org/officeDocument/2006/relationships/styles" Target="styles.xml"/><Relationship Id="rId15" Type="http://schemas.openxmlformats.org/officeDocument/2006/relationships/hyperlink" Target="https://www.ema.europa.eu/" TargetMode="External"/><Relationship Id="rId23" Type="http://schemas.openxmlformats.org/officeDocument/2006/relationships/hyperlink" Target="mailto:contact_fi@celltrionhc.com" TargetMode="External"/><Relationship Id="rId28" Type="http://schemas.openxmlformats.org/officeDocument/2006/relationships/hyperlink" Target="mailto:contact_fi@celltrionhc.com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mailto:BEinfo@celltrionhc.com" TargetMode="External"/><Relationship Id="rId31" Type="http://schemas.openxmlformats.org/officeDocument/2006/relationships/hyperlink" Target="mailto:contact_se@celltrionh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Relationship Id="rId22" Type="http://schemas.openxmlformats.org/officeDocument/2006/relationships/hyperlink" Target="mailto:NLinfo@celltrionhc.com" TargetMode="External"/><Relationship Id="rId27" Type="http://schemas.openxmlformats.org/officeDocument/2006/relationships/hyperlink" Target="mailto:enquiry_ie@celltrionhc.com" TargetMode="External"/><Relationship Id="rId30" Type="http://schemas.openxmlformats.org/officeDocument/2006/relationships/hyperlink" Target="mailto:contact_fi@celltrionhc.com" TargetMode="External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="http://www.boldonjames.com/2008/01/sie/internal/label" xmlns:xsi="http://www.w3.org/2001/XMLSchema-instance" xmlns:xsd="http://www.w3.org/2001/XMLSchema" sislVersion="0" policy="82ad3a63-90ad-4a46-a3cb-757f4658e205" origin="userSelected">
  <element uid="03e9b10b-a1f9-4a88-9630-476473f62285" value=""/>
  <element uid="7349a702-6462-4442-88eb-c64cd513835c" value=""/>
  <element uid="ba0343df-3220-4244-9388-1298e2abc028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EMADOC-1700519818-3011413</_dlc_DocId>
    <_dlc_DocIdUrl xmlns="a034c160-bfb7-45f5-8632-2eb7e0508071">
      <Url>https://euema.sharepoint.com/sites/CRM/_layouts/15/DocIdRedir.aspx?ID=EMADOC-1700519818-3011413</Url>
      <Description>EMADOC-1700519818-3011413</Description>
    </_dlc_DocIdUrl>
  </documentManagement>
</p:properties>
</file>

<file path=customXml/itemProps1.xml><?xml version="1.0" encoding="utf-8"?>
<ds:datastoreItem xmlns:ds="http://schemas.openxmlformats.org/officeDocument/2006/customXml" ds:itemID="{707AA44A-8372-4D91-A527-E62108AC17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2E552-3AAC-47BF-A4B5-BABE20A06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E57FD-6BB0-4908-BDA8-8E73AAEBFF21}">
  <ds:schemaRefs>
    <ds:schemaRef ds:uri="http://www.boldonjames.com/2008/01/sie/internal/label"/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423DF660-BDF8-4591-8FB2-8176EDAA61EC}"/>
</file>

<file path=customXml/itemProps5.xml><?xml version="1.0" encoding="utf-8"?>
<ds:datastoreItem xmlns:ds="http://schemas.openxmlformats.org/officeDocument/2006/customXml" ds:itemID="{C9035E27-50C0-4CCA-BE36-5574E6DADCD5}"/>
</file>

<file path=customXml/itemProps6.xml><?xml version="1.0" encoding="utf-8"?>
<ds:datastoreItem xmlns:ds="http://schemas.openxmlformats.org/officeDocument/2006/customXml" ds:itemID="{59650D3D-80E8-442D-AEE1-03AFAD05B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11041</Words>
  <Characters>66578</Characters>
  <Application>Microsoft Office Word</Application>
  <DocSecurity>0</DocSecurity>
  <Lines>2080</Lines>
  <Paragraphs>982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76637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Osenvelt: EPAR – Product information - tracked changes</dc:title>
  <dc:subject/>
  <dc:creator/>
  <cp:keywords/>
  <dc:description/>
  <cp:lastModifiedBy/>
  <cp:revision>1</cp:revision>
  <dcterms:created xsi:type="dcterms:W3CDTF">2026-02-19T05:18:00Z</dcterms:created>
  <dcterms:modified xsi:type="dcterms:W3CDTF">2026-02-20T05:31:00Z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f12938d9-43ba-4c4c-b1b2-373227bbe04e</vt:lpwstr>
  </property>
</Properties>
</file>