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9888" w14:textId="77777777" w:rsidR="00D15122" w:rsidRPr="00F60460" w:rsidRDefault="00D15122" w:rsidP="007F6E1B">
      <w:pPr>
        <w:rPr>
          <w:rFonts w:ascii="Times New Roman" w:eastAsia="Times New Roman" w:hAnsi="Times New Roman"/>
          <w:color w:val="000000"/>
          <w:sz w:val="20"/>
          <w:szCs w:val="20"/>
        </w:rPr>
      </w:pPr>
    </w:p>
    <w:p w14:paraId="20547DBD" w14:textId="77777777" w:rsidR="00D15122" w:rsidRPr="00F60460" w:rsidRDefault="00D15122" w:rsidP="007F6E1B">
      <w:pPr>
        <w:rPr>
          <w:rFonts w:ascii="Times New Roman" w:eastAsia="Times New Roman" w:hAnsi="Times New Roman"/>
          <w:color w:val="000000"/>
          <w:sz w:val="20"/>
          <w:szCs w:val="20"/>
        </w:rPr>
      </w:pPr>
    </w:p>
    <w:p w14:paraId="64687773" w14:textId="77777777" w:rsidR="00D15122" w:rsidRPr="00F60460" w:rsidRDefault="00D15122" w:rsidP="007F6E1B">
      <w:pPr>
        <w:rPr>
          <w:rFonts w:ascii="Times New Roman" w:eastAsia="Times New Roman" w:hAnsi="Times New Roman"/>
          <w:color w:val="000000"/>
          <w:sz w:val="20"/>
          <w:szCs w:val="20"/>
        </w:rPr>
      </w:pPr>
    </w:p>
    <w:p w14:paraId="16BB7509" w14:textId="77777777" w:rsidR="00D15122" w:rsidRPr="00F60460" w:rsidRDefault="00D15122" w:rsidP="007F6E1B">
      <w:pPr>
        <w:rPr>
          <w:rFonts w:ascii="Times New Roman" w:eastAsia="Times New Roman" w:hAnsi="Times New Roman"/>
          <w:color w:val="000000"/>
          <w:sz w:val="20"/>
          <w:szCs w:val="20"/>
        </w:rPr>
      </w:pPr>
    </w:p>
    <w:p w14:paraId="30859038" w14:textId="77777777" w:rsidR="00D15122" w:rsidRPr="00F60460" w:rsidRDefault="00D15122" w:rsidP="007F6E1B">
      <w:pPr>
        <w:rPr>
          <w:rFonts w:ascii="Times New Roman" w:eastAsia="Times New Roman" w:hAnsi="Times New Roman"/>
          <w:color w:val="000000"/>
          <w:sz w:val="20"/>
          <w:szCs w:val="20"/>
        </w:rPr>
      </w:pPr>
    </w:p>
    <w:p w14:paraId="0EFA85CB" w14:textId="77777777" w:rsidR="00D15122" w:rsidRPr="00F60460" w:rsidRDefault="00D15122" w:rsidP="007F6E1B">
      <w:pPr>
        <w:rPr>
          <w:rFonts w:ascii="Times New Roman" w:eastAsia="Times New Roman" w:hAnsi="Times New Roman"/>
          <w:color w:val="000000"/>
          <w:sz w:val="20"/>
          <w:szCs w:val="20"/>
        </w:rPr>
      </w:pPr>
    </w:p>
    <w:p w14:paraId="3BEB813B" w14:textId="77777777" w:rsidR="00D15122" w:rsidRPr="00F60460" w:rsidRDefault="00D15122" w:rsidP="007F6E1B">
      <w:pPr>
        <w:rPr>
          <w:rFonts w:ascii="Times New Roman" w:eastAsia="Times New Roman" w:hAnsi="Times New Roman"/>
          <w:color w:val="000000"/>
          <w:sz w:val="20"/>
          <w:szCs w:val="20"/>
        </w:rPr>
      </w:pPr>
    </w:p>
    <w:p w14:paraId="54C98F05" w14:textId="77777777" w:rsidR="00D15122" w:rsidRPr="00F60460" w:rsidRDefault="00D15122" w:rsidP="007F6E1B">
      <w:pPr>
        <w:rPr>
          <w:rFonts w:ascii="Times New Roman" w:eastAsia="Times New Roman" w:hAnsi="Times New Roman"/>
          <w:color w:val="000000"/>
          <w:sz w:val="20"/>
          <w:szCs w:val="20"/>
        </w:rPr>
      </w:pPr>
    </w:p>
    <w:p w14:paraId="5380A3CF" w14:textId="77777777" w:rsidR="00D15122" w:rsidRPr="00F60460" w:rsidRDefault="00D15122" w:rsidP="007F6E1B">
      <w:pPr>
        <w:rPr>
          <w:rFonts w:ascii="Times New Roman" w:eastAsia="Times New Roman" w:hAnsi="Times New Roman"/>
          <w:color w:val="000000"/>
          <w:sz w:val="20"/>
          <w:szCs w:val="20"/>
        </w:rPr>
      </w:pPr>
    </w:p>
    <w:p w14:paraId="091912BF" w14:textId="77777777" w:rsidR="00D15122" w:rsidRPr="00F60460" w:rsidRDefault="00D15122" w:rsidP="007F6E1B">
      <w:pPr>
        <w:rPr>
          <w:rFonts w:ascii="Times New Roman" w:eastAsia="Times New Roman" w:hAnsi="Times New Roman"/>
          <w:color w:val="000000"/>
          <w:sz w:val="20"/>
          <w:szCs w:val="20"/>
        </w:rPr>
      </w:pPr>
    </w:p>
    <w:p w14:paraId="21F0D4FF" w14:textId="77777777" w:rsidR="00D15122" w:rsidRPr="00F60460" w:rsidRDefault="00D15122" w:rsidP="007F6E1B">
      <w:pPr>
        <w:rPr>
          <w:rFonts w:ascii="Times New Roman" w:eastAsia="Times New Roman" w:hAnsi="Times New Roman"/>
          <w:color w:val="000000"/>
          <w:sz w:val="20"/>
          <w:szCs w:val="20"/>
        </w:rPr>
      </w:pPr>
    </w:p>
    <w:p w14:paraId="2F28098A" w14:textId="77777777" w:rsidR="00D15122" w:rsidRPr="00F60460" w:rsidRDefault="00D15122" w:rsidP="007F6E1B">
      <w:pPr>
        <w:rPr>
          <w:rFonts w:ascii="Times New Roman" w:eastAsia="Times New Roman" w:hAnsi="Times New Roman"/>
          <w:color w:val="000000"/>
          <w:sz w:val="20"/>
          <w:szCs w:val="20"/>
        </w:rPr>
      </w:pPr>
    </w:p>
    <w:p w14:paraId="2E02B0E0" w14:textId="77777777" w:rsidR="00D15122" w:rsidRPr="00F60460" w:rsidRDefault="00D15122" w:rsidP="007F6E1B">
      <w:pPr>
        <w:rPr>
          <w:rFonts w:ascii="Times New Roman" w:eastAsia="Times New Roman" w:hAnsi="Times New Roman"/>
          <w:color w:val="000000"/>
          <w:sz w:val="20"/>
          <w:szCs w:val="20"/>
        </w:rPr>
      </w:pPr>
    </w:p>
    <w:p w14:paraId="38484EA0" w14:textId="77777777" w:rsidR="00D15122" w:rsidRPr="00F60460" w:rsidRDefault="00D15122" w:rsidP="007F6E1B">
      <w:pPr>
        <w:rPr>
          <w:rFonts w:ascii="Times New Roman" w:eastAsia="Times New Roman" w:hAnsi="Times New Roman"/>
          <w:color w:val="000000"/>
          <w:sz w:val="20"/>
          <w:szCs w:val="20"/>
        </w:rPr>
      </w:pPr>
    </w:p>
    <w:p w14:paraId="48FD3461" w14:textId="77777777" w:rsidR="00D15122" w:rsidRPr="00F60460" w:rsidRDefault="00D15122" w:rsidP="007F6E1B">
      <w:pPr>
        <w:rPr>
          <w:rFonts w:ascii="Times New Roman" w:eastAsia="Times New Roman" w:hAnsi="Times New Roman"/>
          <w:color w:val="000000"/>
          <w:sz w:val="20"/>
          <w:szCs w:val="20"/>
        </w:rPr>
      </w:pPr>
    </w:p>
    <w:p w14:paraId="34CF486D" w14:textId="77777777" w:rsidR="00D15122" w:rsidRPr="00F60460" w:rsidRDefault="00D15122" w:rsidP="007F6E1B">
      <w:pPr>
        <w:rPr>
          <w:rFonts w:ascii="Times New Roman" w:eastAsia="Times New Roman" w:hAnsi="Times New Roman"/>
          <w:color w:val="000000"/>
          <w:sz w:val="20"/>
          <w:szCs w:val="20"/>
        </w:rPr>
      </w:pPr>
    </w:p>
    <w:p w14:paraId="0F1A599D" w14:textId="77777777" w:rsidR="00D15122" w:rsidRPr="00F60460" w:rsidRDefault="00D15122" w:rsidP="007F6E1B">
      <w:pPr>
        <w:rPr>
          <w:rFonts w:ascii="Times New Roman" w:eastAsia="Times New Roman" w:hAnsi="Times New Roman"/>
          <w:color w:val="000000"/>
          <w:sz w:val="20"/>
          <w:szCs w:val="20"/>
        </w:rPr>
      </w:pPr>
    </w:p>
    <w:p w14:paraId="00EC919D" w14:textId="77777777" w:rsidR="00D15122" w:rsidRPr="00F60460" w:rsidRDefault="00D15122" w:rsidP="007F6E1B">
      <w:pPr>
        <w:rPr>
          <w:rFonts w:ascii="Times New Roman" w:eastAsia="Times New Roman" w:hAnsi="Times New Roman"/>
          <w:color w:val="000000"/>
          <w:sz w:val="20"/>
          <w:szCs w:val="20"/>
        </w:rPr>
      </w:pPr>
    </w:p>
    <w:p w14:paraId="0E9AE2A5" w14:textId="77777777" w:rsidR="00D15122" w:rsidRPr="00F60460" w:rsidRDefault="00D15122" w:rsidP="007F6E1B">
      <w:pPr>
        <w:rPr>
          <w:rFonts w:ascii="Times New Roman" w:eastAsia="Times New Roman" w:hAnsi="Times New Roman"/>
          <w:color w:val="000000"/>
          <w:sz w:val="20"/>
          <w:szCs w:val="20"/>
        </w:rPr>
      </w:pPr>
    </w:p>
    <w:p w14:paraId="66F586AB" w14:textId="77777777" w:rsidR="00D15122" w:rsidRPr="00F60460" w:rsidRDefault="00D15122" w:rsidP="007F6E1B">
      <w:pPr>
        <w:rPr>
          <w:rFonts w:ascii="Times New Roman" w:eastAsia="Times New Roman" w:hAnsi="Times New Roman"/>
          <w:color w:val="000000"/>
          <w:sz w:val="20"/>
          <w:szCs w:val="20"/>
        </w:rPr>
      </w:pPr>
    </w:p>
    <w:p w14:paraId="743C3256" w14:textId="77777777" w:rsidR="00D15122" w:rsidRPr="00F60460" w:rsidRDefault="00D15122" w:rsidP="007F6E1B">
      <w:pPr>
        <w:rPr>
          <w:rFonts w:ascii="Times New Roman" w:eastAsia="Times New Roman" w:hAnsi="Times New Roman"/>
          <w:color w:val="000000"/>
          <w:sz w:val="20"/>
          <w:szCs w:val="20"/>
        </w:rPr>
      </w:pPr>
    </w:p>
    <w:p w14:paraId="4463F817" w14:textId="77777777" w:rsidR="00D15122" w:rsidRPr="00F60460" w:rsidRDefault="00D15122" w:rsidP="007F6E1B">
      <w:pPr>
        <w:rPr>
          <w:rFonts w:ascii="Times New Roman" w:eastAsia="Times New Roman" w:hAnsi="Times New Roman"/>
          <w:color w:val="000000"/>
          <w:sz w:val="20"/>
          <w:szCs w:val="20"/>
        </w:rPr>
      </w:pPr>
    </w:p>
    <w:p w14:paraId="4A316518" w14:textId="77777777" w:rsidR="00D15122" w:rsidRPr="00381DC2" w:rsidRDefault="00D15122" w:rsidP="007F6E1B">
      <w:pPr>
        <w:rPr>
          <w:rFonts w:ascii="Times New Roman" w:eastAsia="Times New Roman" w:hAnsi="Times New Roman"/>
          <w:color w:val="000000"/>
        </w:rPr>
      </w:pPr>
    </w:p>
    <w:p w14:paraId="64002248" w14:textId="77777777" w:rsidR="00D15122" w:rsidRPr="00381DC2" w:rsidRDefault="009B0756" w:rsidP="001B6CD8">
      <w:pPr>
        <w:jc w:val="center"/>
        <w:rPr>
          <w:rFonts w:ascii="Times New Roman" w:hAnsi="Times New Roman"/>
          <w:b/>
          <w:color w:val="000000"/>
        </w:rPr>
      </w:pPr>
      <w:r w:rsidRPr="00381DC2">
        <w:rPr>
          <w:rFonts w:ascii="Times New Roman" w:hAnsi="Times New Roman"/>
          <w:b/>
          <w:color w:val="000000"/>
        </w:rPr>
        <w:t>PŘÍLOHA I</w:t>
      </w:r>
    </w:p>
    <w:p w14:paraId="743018D1" w14:textId="77777777" w:rsidR="00D15122" w:rsidRPr="00381DC2" w:rsidRDefault="00D15122" w:rsidP="007F6E1B">
      <w:pPr>
        <w:rPr>
          <w:rFonts w:ascii="Times New Roman" w:eastAsia="Times New Roman" w:hAnsi="Times New Roman"/>
          <w:bCs/>
          <w:color w:val="000000"/>
        </w:rPr>
      </w:pPr>
    </w:p>
    <w:p w14:paraId="74350302" w14:textId="77777777" w:rsidR="006A2145" w:rsidRPr="00381DC2" w:rsidRDefault="009B0756" w:rsidP="00363CA4">
      <w:pPr>
        <w:pStyle w:val="Heading1"/>
        <w:jc w:val="center"/>
      </w:pPr>
      <w:bookmarkStart w:id="0" w:name="SUMMARY_OF_PRODUCT_CHARACTERISTICS"/>
      <w:bookmarkEnd w:id="0"/>
      <w:r w:rsidRPr="00381DC2">
        <w:t>SOUHRN ÚDAJŮ O PŘÍPRAVKU</w:t>
      </w:r>
    </w:p>
    <w:p w14:paraId="03719240" w14:textId="26EA61C0" w:rsidR="000442DA" w:rsidRPr="00381DC2" w:rsidRDefault="00C56DEB" w:rsidP="00F60460">
      <w:pPr>
        <w:pStyle w:val="ListParagraph"/>
        <w:rPr>
          <w:rFonts w:ascii="Times New Roman" w:eastAsia="Times New Roman" w:hAnsi="Times New Roman"/>
          <w:b/>
          <w:color w:val="000000"/>
        </w:rPr>
      </w:pPr>
      <w:r w:rsidRPr="00381DC2">
        <w:rPr>
          <w:rFonts w:ascii="Times New Roman" w:hAnsi="Times New Roman"/>
          <w:color w:val="000000"/>
        </w:rPr>
        <w:br w:type="page"/>
      </w:r>
    </w:p>
    <w:p w14:paraId="370452DA" w14:textId="77777777" w:rsidR="00DB0389" w:rsidRPr="00381DC2" w:rsidRDefault="00DB0389" w:rsidP="0092587E">
      <w:pPr>
        <w:pStyle w:val="ListParagraph"/>
        <w:rPr>
          <w:rFonts w:ascii="Times New Roman" w:eastAsia="Times New Roman" w:hAnsi="Times New Roman"/>
          <w:b/>
          <w:color w:val="000000"/>
        </w:rPr>
      </w:pPr>
    </w:p>
    <w:p w14:paraId="3BEB587A" w14:textId="77777777" w:rsidR="0092587E" w:rsidRPr="00381DC2" w:rsidRDefault="0092587E" w:rsidP="0092587E">
      <w:pPr>
        <w:rPr>
          <w:rFonts w:ascii="Times New Roman" w:hAnsi="Times New Roman"/>
          <w:b/>
          <w:color w:val="000000"/>
        </w:rPr>
      </w:pPr>
      <w:r w:rsidRPr="00381DC2">
        <w:rPr>
          <w:rFonts w:ascii="Times New Roman" w:hAnsi="Times New Roman"/>
          <w:b/>
          <w:color w:val="000000"/>
        </w:rPr>
        <w:t>1.</w:t>
      </w:r>
      <w:r w:rsidRPr="00381DC2">
        <w:rPr>
          <w:rFonts w:ascii="Times New Roman" w:hAnsi="Times New Roman"/>
          <w:color w:val="000000"/>
        </w:rPr>
        <w:tab/>
      </w:r>
      <w:r w:rsidRPr="00381DC2">
        <w:rPr>
          <w:rFonts w:ascii="Times New Roman" w:hAnsi="Times New Roman"/>
          <w:b/>
          <w:color w:val="000000"/>
        </w:rPr>
        <w:t>NÁZEV PŘÍPRAVKU</w:t>
      </w:r>
    </w:p>
    <w:p w14:paraId="4EAE0DA5" w14:textId="77777777" w:rsidR="00D15122" w:rsidRPr="00F60460" w:rsidRDefault="00D15122" w:rsidP="007F6E1B">
      <w:pPr>
        <w:rPr>
          <w:rFonts w:ascii="Times New Roman" w:eastAsia="Times New Roman" w:hAnsi="Times New Roman"/>
          <w:bCs/>
          <w:color w:val="000000"/>
          <w:sz w:val="21"/>
          <w:szCs w:val="21"/>
        </w:rPr>
      </w:pPr>
    </w:p>
    <w:p w14:paraId="064E5E2B" w14:textId="74648561" w:rsidR="00D15122" w:rsidRPr="00381DC2" w:rsidRDefault="00CC0FAB" w:rsidP="007F6E1B">
      <w:pPr>
        <w:pStyle w:val="BodyText"/>
        <w:ind w:left="0"/>
        <w:rPr>
          <w:color w:val="000000"/>
        </w:rPr>
      </w:pPr>
      <w:r w:rsidRPr="00381DC2">
        <w:rPr>
          <w:color w:val="000000"/>
        </w:rPr>
        <w:t>Zirabev</w:t>
      </w:r>
      <w:r w:rsidR="00426DA8" w:rsidRPr="00381DC2">
        <w:rPr>
          <w:color w:val="000000"/>
        </w:rPr>
        <w:t xml:space="preserve"> 25 mg/ml koncentrát pro infuzní roztok</w:t>
      </w:r>
    </w:p>
    <w:p w14:paraId="077F4854" w14:textId="77777777" w:rsidR="00D15122" w:rsidRPr="00381DC2" w:rsidRDefault="00D15122" w:rsidP="007F6E1B">
      <w:pPr>
        <w:rPr>
          <w:rFonts w:ascii="Times New Roman" w:eastAsia="Times New Roman" w:hAnsi="Times New Roman"/>
          <w:color w:val="000000"/>
        </w:rPr>
      </w:pPr>
    </w:p>
    <w:p w14:paraId="3906748A" w14:textId="77777777" w:rsidR="00D15122" w:rsidRPr="00381DC2" w:rsidRDefault="00D15122" w:rsidP="007F6E1B">
      <w:pPr>
        <w:rPr>
          <w:rFonts w:ascii="Times New Roman" w:eastAsia="Times New Roman" w:hAnsi="Times New Roman"/>
          <w:color w:val="000000"/>
        </w:rPr>
      </w:pPr>
    </w:p>
    <w:p w14:paraId="47B1AA8C" w14:textId="77777777" w:rsidR="00D15122" w:rsidRPr="00381DC2" w:rsidRDefault="00435CC3" w:rsidP="00435CC3">
      <w:pPr>
        <w:rPr>
          <w:rFonts w:ascii="Times New Roman" w:hAnsi="Times New Roman"/>
          <w:b/>
          <w:bCs/>
          <w:color w:val="000000"/>
        </w:rPr>
      </w:pPr>
      <w:r w:rsidRPr="00381DC2">
        <w:rPr>
          <w:rFonts w:ascii="Times New Roman" w:hAnsi="Times New Roman"/>
          <w:b/>
          <w:color w:val="000000"/>
        </w:rPr>
        <w:t>2.</w:t>
      </w:r>
      <w:r w:rsidRPr="00381DC2">
        <w:rPr>
          <w:rFonts w:ascii="Times New Roman" w:hAnsi="Times New Roman"/>
          <w:color w:val="000000"/>
        </w:rPr>
        <w:tab/>
      </w:r>
      <w:r w:rsidRPr="00381DC2">
        <w:rPr>
          <w:rFonts w:ascii="Times New Roman" w:hAnsi="Times New Roman"/>
          <w:b/>
          <w:color w:val="000000"/>
        </w:rPr>
        <w:t>KVALITATIVNÍ A KVANTITATIVNÍ SLOŽENÍ</w:t>
      </w:r>
    </w:p>
    <w:p w14:paraId="05E8A397" w14:textId="77777777" w:rsidR="00D15122" w:rsidRPr="00381DC2" w:rsidRDefault="00D15122" w:rsidP="007F6E1B">
      <w:pPr>
        <w:rPr>
          <w:rFonts w:ascii="Times New Roman" w:eastAsia="Times New Roman" w:hAnsi="Times New Roman"/>
          <w:bCs/>
          <w:color w:val="000000"/>
        </w:rPr>
      </w:pPr>
    </w:p>
    <w:p w14:paraId="48D88C74" w14:textId="77777777" w:rsidR="004065AC" w:rsidRPr="00381DC2" w:rsidRDefault="009B0756" w:rsidP="007F6E1B">
      <w:pPr>
        <w:pStyle w:val="BodyText"/>
        <w:ind w:left="0"/>
        <w:rPr>
          <w:color w:val="000000"/>
        </w:rPr>
      </w:pPr>
      <w:r w:rsidRPr="00381DC2">
        <w:rPr>
          <w:color w:val="000000"/>
        </w:rPr>
        <w:t xml:space="preserve">Jeden ml koncentrátu obsahuje </w:t>
      </w:r>
      <w:r w:rsidRPr="0030327F">
        <w:rPr>
          <w:color w:val="000000"/>
        </w:rPr>
        <w:t>bevacizumabum</w:t>
      </w:r>
      <w:r w:rsidRPr="00381DC2">
        <w:rPr>
          <w:color w:val="000000"/>
        </w:rPr>
        <w:t xml:space="preserve">* 25 mg. </w:t>
      </w:r>
    </w:p>
    <w:p w14:paraId="36912B9D" w14:textId="77777777" w:rsidR="00D15122" w:rsidRPr="00381DC2" w:rsidRDefault="009B0756" w:rsidP="007F6E1B">
      <w:pPr>
        <w:pStyle w:val="BodyText"/>
        <w:ind w:left="0"/>
        <w:rPr>
          <w:color w:val="000000"/>
        </w:rPr>
      </w:pPr>
      <w:r w:rsidRPr="00381DC2">
        <w:rPr>
          <w:color w:val="000000"/>
        </w:rPr>
        <w:t xml:space="preserve">Jedna injekční lahvička se 4 ml obsahuje </w:t>
      </w:r>
      <w:r w:rsidRPr="0030327F">
        <w:rPr>
          <w:color w:val="000000"/>
        </w:rPr>
        <w:t>bevacizumabum</w:t>
      </w:r>
      <w:r w:rsidRPr="00381DC2">
        <w:rPr>
          <w:color w:val="000000"/>
        </w:rPr>
        <w:t xml:space="preserve"> 100 mg.</w:t>
      </w:r>
    </w:p>
    <w:p w14:paraId="7A42E7F8" w14:textId="77777777" w:rsidR="00D15122" w:rsidRPr="00381DC2" w:rsidRDefault="009B0756" w:rsidP="007F6E1B">
      <w:pPr>
        <w:pStyle w:val="BodyText"/>
        <w:ind w:left="0"/>
        <w:rPr>
          <w:color w:val="000000"/>
        </w:rPr>
      </w:pPr>
      <w:r w:rsidRPr="00381DC2">
        <w:rPr>
          <w:color w:val="000000"/>
        </w:rPr>
        <w:t xml:space="preserve">Jedna injekční lahvička se 16 ml obsahuje </w:t>
      </w:r>
      <w:r w:rsidRPr="0030327F">
        <w:rPr>
          <w:color w:val="000000"/>
        </w:rPr>
        <w:t>bevacizumabum</w:t>
      </w:r>
      <w:r w:rsidRPr="00381DC2">
        <w:rPr>
          <w:color w:val="000000"/>
        </w:rPr>
        <w:t xml:space="preserve"> 400 mg.</w:t>
      </w:r>
    </w:p>
    <w:p w14:paraId="73CA0F4D" w14:textId="77777777" w:rsidR="00D15122" w:rsidRPr="00381DC2" w:rsidRDefault="009B0756" w:rsidP="007F6E1B">
      <w:pPr>
        <w:pStyle w:val="BodyText"/>
        <w:ind w:left="0"/>
        <w:rPr>
          <w:color w:val="000000"/>
        </w:rPr>
      </w:pPr>
      <w:r w:rsidRPr="00381DC2">
        <w:rPr>
          <w:color w:val="000000"/>
        </w:rPr>
        <w:t>Doporučení pro naředění a další zacházení s léčivým přípravkem je uvedeno v bodě 6.6.</w:t>
      </w:r>
    </w:p>
    <w:p w14:paraId="29B9E0B4" w14:textId="77777777" w:rsidR="00D15122" w:rsidRPr="00381DC2" w:rsidRDefault="00D15122" w:rsidP="007F6E1B">
      <w:pPr>
        <w:pStyle w:val="BodyText"/>
        <w:ind w:left="0"/>
        <w:rPr>
          <w:color w:val="000000"/>
        </w:rPr>
      </w:pPr>
    </w:p>
    <w:p w14:paraId="5AEE2A3D" w14:textId="77777777" w:rsidR="00D15122" w:rsidRPr="00381DC2" w:rsidRDefault="009B0756" w:rsidP="007F6E1B">
      <w:pPr>
        <w:pStyle w:val="BodyText"/>
        <w:ind w:left="0"/>
        <w:rPr>
          <w:color w:val="000000"/>
        </w:rPr>
      </w:pPr>
      <w:r w:rsidRPr="00381DC2">
        <w:rPr>
          <w:color w:val="000000"/>
        </w:rPr>
        <w:t>*Bevacizumab je rekombinantní humanizovaná monoklonální protilátka připravená technologií DNA v ovariálních buňkách čínských křeč</w:t>
      </w:r>
      <w:r w:rsidR="00D674BE" w:rsidRPr="00381DC2">
        <w:rPr>
          <w:color w:val="000000"/>
        </w:rPr>
        <w:t>í</w:t>
      </w:r>
      <w:r w:rsidRPr="00381DC2">
        <w:rPr>
          <w:color w:val="000000"/>
        </w:rPr>
        <w:t>ků.</w:t>
      </w:r>
    </w:p>
    <w:p w14:paraId="7DD73F9F" w14:textId="77777777" w:rsidR="00D15122" w:rsidRPr="00381DC2" w:rsidRDefault="00D15122" w:rsidP="007F6E1B">
      <w:pPr>
        <w:pStyle w:val="BodyText"/>
        <w:ind w:left="0"/>
        <w:rPr>
          <w:color w:val="000000"/>
        </w:rPr>
      </w:pPr>
    </w:p>
    <w:p w14:paraId="45B0B252" w14:textId="15607521" w:rsidR="00A852A1" w:rsidRPr="0051337F" w:rsidRDefault="00A852A1" w:rsidP="00A852A1">
      <w:pPr>
        <w:pStyle w:val="BodyText"/>
        <w:ind w:left="0"/>
        <w:rPr>
          <w:color w:val="000000"/>
          <w:u w:val="single"/>
        </w:rPr>
      </w:pPr>
      <w:r w:rsidRPr="0051337F">
        <w:rPr>
          <w:color w:val="000000"/>
          <w:u w:val="single"/>
        </w:rPr>
        <w:t>Pomocn</w:t>
      </w:r>
      <w:r w:rsidR="00211A12" w:rsidRPr="0051337F">
        <w:rPr>
          <w:color w:val="000000"/>
          <w:u w:val="single"/>
        </w:rPr>
        <w:t>é</w:t>
      </w:r>
      <w:r w:rsidRPr="0051337F">
        <w:rPr>
          <w:color w:val="000000"/>
          <w:u w:val="single"/>
        </w:rPr>
        <w:t xml:space="preserve"> látk</w:t>
      </w:r>
      <w:r w:rsidR="00211A12" w:rsidRPr="0051337F">
        <w:rPr>
          <w:color w:val="000000"/>
          <w:u w:val="single"/>
        </w:rPr>
        <w:t>y</w:t>
      </w:r>
      <w:r w:rsidRPr="0051337F">
        <w:rPr>
          <w:color w:val="000000"/>
          <w:u w:val="single"/>
        </w:rPr>
        <w:t xml:space="preserve"> se známým účinkem:</w:t>
      </w:r>
    </w:p>
    <w:p w14:paraId="26B5BB7F" w14:textId="33F00D68" w:rsidR="00A852A1" w:rsidRPr="00381DC2" w:rsidRDefault="00A852A1" w:rsidP="00A852A1">
      <w:pPr>
        <w:pStyle w:val="BodyText"/>
        <w:ind w:left="0"/>
        <w:rPr>
          <w:color w:val="000000"/>
        </w:rPr>
      </w:pPr>
      <w:r w:rsidRPr="00381DC2">
        <w:rPr>
          <w:color w:val="000000"/>
        </w:rPr>
        <w:t>Jedna injekční lahvička se 4 ml obsahuje 3,0 mg sodíku</w:t>
      </w:r>
      <w:r w:rsidR="00211A12">
        <w:rPr>
          <w:color w:val="000000"/>
        </w:rPr>
        <w:t xml:space="preserve"> a </w:t>
      </w:r>
      <w:r w:rsidR="00376C02">
        <w:rPr>
          <w:color w:val="000000"/>
        </w:rPr>
        <w:t>0,8 mg polysorbátu 80</w:t>
      </w:r>
      <w:r w:rsidRPr="00381DC2">
        <w:rPr>
          <w:color w:val="000000"/>
        </w:rPr>
        <w:t>.</w:t>
      </w:r>
    </w:p>
    <w:p w14:paraId="24E6CA75" w14:textId="5A1C65C4" w:rsidR="00A852A1" w:rsidRPr="00381DC2" w:rsidRDefault="00A852A1" w:rsidP="00A852A1">
      <w:pPr>
        <w:pStyle w:val="BodyText"/>
        <w:ind w:left="0"/>
        <w:rPr>
          <w:color w:val="000000"/>
        </w:rPr>
      </w:pPr>
      <w:r w:rsidRPr="00381DC2">
        <w:rPr>
          <w:color w:val="000000"/>
        </w:rPr>
        <w:t>Jedna injekční lahvička se 16 ml obsahuje 12,1 mg sodíku</w:t>
      </w:r>
      <w:r w:rsidR="00376C02">
        <w:rPr>
          <w:color w:val="000000"/>
        </w:rPr>
        <w:t xml:space="preserve"> a 3,2 mg polysorbátu 80</w:t>
      </w:r>
      <w:r w:rsidRPr="00381DC2">
        <w:rPr>
          <w:color w:val="000000"/>
        </w:rPr>
        <w:t>.</w:t>
      </w:r>
    </w:p>
    <w:p w14:paraId="44F1C3BE" w14:textId="77777777" w:rsidR="00A852A1" w:rsidRPr="00381DC2" w:rsidRDefault="00A852A1" w:rsidP="007F6E1B">
      <w:pPr>
        <w:pStyle w:val="BodyText"/>
        <w:ind w:left="0"/>
        <w:rPr>
          <w:color w:val="000000"/>
        </w:rPr>
      </w:pPr>
    </w:p>
    <w:p w14:paraId="09EF36AE" w14:textId="77777777" w:rsidR="00D15122" w:rsidRPr="00381DC2" w:rsidRDefault="009B0756" w:rsidP="007F6E1B">
      <w:pPr>
        <w:pStyle w:val="BodyText"/>
        <w:ind w:left="0"/>
        <w:rPr>
          <w:color w:val="000000"/>
        </w:rPr>
      </w:pPr>
      <w:r w:rsidRPr="00381DC2">
        <w:rPr>
          <w:color w:val="000000"/>
        </w:rPr>
        <w:t>Úplný seznam pomocných látek viz bod 6.1.</w:t>
      </w:r>
    </w:p>
    <w:p w14:paraId="39115ED8" w14:textId="77777777" w:rsidR="00D15122" w:rsidRPr="00381DC2" w:rsidRDefault="00D15122" w:rsidP="007F6E1B">
      <w:pPr>
        <w:pStyle w:val="BodyText"/>
        <w:ind w:left="0"/>
        <w:rPr>
          <w:color w:val="000000"/>
        </w:rPr>
      </w:pPr>
    </w:p>
    <w:p w14:paraId="6A704FB2" w14:textId="77777777" w:rsidR="00D15122" w:rsidRPr="00381DC2" w:rsidRDefault="00D15122" w:rsidP="007F6E1B">
      <w:pPr>
        <w:pStyle w:val="BodyText"/>
        <w:ind w:left="0"/>
        <w:rPr>
          <w:color w:val="000000"/>
        </w:rPr>
      </w:pPr>
    </w:p>
    <w:p w14:paraId="71AE4796" w14:textId="77777777" w:rsidR="00D15122" w:rsidRPr="00381DC2" w:rsidRDefault="00435CC3" w:rsidP="00435CC3">
      <w:pPr>
        <w:rPr>
          <w:rFonts w:ascii="Times New Roman" w:hAnsi="Times New Roman"/>
          <w:b/>
          <w:color w:val="000000"/>
        </w:rPr>
      </w:pPr>
      <w:r w:rsidRPr="00381DC2">
        <w:rPr>
          <w:rFonts w:ascii="Times New Roman" w:hAnsi="Times New Roman"/>
          <w:b/>
          <w:color w:val="000000"/>
        </w:rPr>
        <w:t>3.</w:t>
      </w:r>
      <w:r w:rsidRPr="00381DC2">
        <w:rPr>
          <w:rFonts w:ascii="Times New Roman" w:hAnsi="Times New Roman"/>
          <w:color w:val="000000"/>
        </w:rPr>
        <w:tab/>
      </w:r>
      <w:r w:rsidRPr="00381DC2">
        <w:rPr>
          <w:rFonts w:ascii="Times New Roman" w:hAnsi="Times New Roman"/>
          <w:b/>
          <w:color w:val="000000"/>
        </w:rPr>
        <w:t>LÉKOVÁ FORMA</w:t>
      </w:r>
    </w:p>
    <w:p w14:paraId="45FD4339" w14:textId="77777777" w:rsidR="00D15122" w:rsidRPr="00381DC2" w:rsidRDefault="00D15122" w:rsidP="007F6E1B">
      <w:pPr>
        <w:pStyle w:val="BodyText"/>
        <w:ind w:left="0"/>
        <w:rPr>
          <w:color w:val="000000"/>
        </w:rPr>
      </w:pPr>
    </w:p>
    <w:p w14:paraId="2008B3C1" w14:textId="77777777" w:rsidR="00D15122" w:rsidRPr="00381DC2" w:rsidRDefault="009B0756" w:rsidP="007F6E1B">
      <w:pPr>
        <w:pStyle w:val="BodyText"/>
        <w:ind w:left="0"/>
        <w:rPr>
          <w:color w:val="000000"/>
        </w:rPr>
      </w:pPr>
      <w:r w:rsidRPr="00381DC2">
        <w:rPr>
          <w:color w:val="000000"/>
        </w:rPr>
        <w:t>Koncentrát pro infuzní roztok</w:t>
      </w:r>
      <w:r w:rsidR="00CC0FAB" w:rsidRPr="00381DC2">
        <w:rPr>
          <w:color w:val="000000"/>
        </w:rPr>
        <w:t xml:space="preserve"> </w:t>
      </w:r>
      <w:r w:rsidR="00EE54CF" w:rsidRPr="00381DC2">
        <w:rPr>
          <w:color w:val="000000"/>
        </w:rPr>
        <w:t>(</w:t>
      </w:r>
      <w:r w:rsidR="00CC0FAB" w:rsidRPr="00381DC2">
        <w:rPr>
          <w:color w:val="000000"/>
        </w:rPr>
        <w:t>sterilní koncentrát</w:t>
      </w:r>
      <w:r w:rsidR="00EE54CF" w:rsidRPr="00381DC2">
        <w:rPr>
          <w:color w:val="000000"/>
        </w:rPr>
        <w:t>)</w:t>
      </w:r>
      <w:r w:rsidRPr="00381DC2">
        <w:rPr>
          <w:color w:val="000000"/>
        </w:rPr>
        <w:t>.</w:t>
      </w:r>
    </w:p>
    <w:p w14:paraId="08E4C8FC" w14:textId="77777777" w:rsidR="00D15122" w:rsidRPr="00381DC2" w:rsidRDefault="00D15122" w:rsidP="007F6E1B">
      <w:pPr>
        <w:pStyle w:val="BodyText"/>
        <w:ind w:left="0"/>
        <w:rPr>
          <w:color w:val="000000"/>
        </w:rPr>
      </w:pPr>
    </w:p>
    <w:p w14:paraId="4BFF252B" w14:textId="77777777" w:rsidR="00D15122" w:rsidRPr="00381DC2" w:rsidRDefault="009B0756" w:rsidP="007F6E1B">
      <w:pPr>
        <w:pStyle w:val="BodyText"/>
        <w:ind w:left="0"/>
        <w:rPr>
          <w:color w:val="000000"/>
        </w:rPr>
      </w:pPr>
      <w:r w:rsidRPr="00381DC2">
        <w:rPr>
          <w:color w:val="000000"/>
        </w:rPr>
        <w:t>Čirá až lehce opalescentní, bezbarvá až světle hnědá tekutina.</w:t>
      </w:r>
    </w:p>
    <w:p w14:paraId="1641B040" w14:textId="77777777" w:rsidR="00D15122" w:rsidRPr="00381DC2" w:rsidRDefault="00D15122" w:rsidP="007F6E1B">
      <w:pPr>
        <w:pStyle w:val="BodyText"/>
        <w:ind w:left="0"/>
        <w:rPr>
          <w:color w:val="000000"/>
        </w:rPr>
      </w:pPr>
    </w:p>
    <w:p w14:paraId="7113419E" w14:textId="77777777" w:rsidR="00185E97" w:rsidRPr="00381DC2" w:rsidRDefault="00185E97" w:rsidP="007F6E1B">
      <w:pPr>
        <w:pStyle w:val="BodyText"/>
        <w:ind w:left="0"/>
        <w:rPr>
          <w:color w:val="000000"/>
        </w:rPr>
      </w:pPr>
    </w:p>
    <w:p w14:paraId="0AC93759" w14:textId="77777777" w:rsidR="00D15122" w:rsidRPr="00381DC2" w:rsidRDefault="00435CC3" w:rsidP="001B6CD8">
      <w:pPr>
        <w:rPr>
          <w:rFonts w:ascii="Times New Roman" w:hAnsi="Times New Roman"/>
          <w:b/>
          <w:color w:val="000000"/>
        </w:rPr>
      </w:pPr>
      <w:r w:rsidRPr="00381DC2">
        <w:rPr>
          <w:rFonts w:ascii="Times New Roman" w:hAnsi="Times New Roman"/>
          <w:b/>
          <w:color w:val="000000"/>
        </w:rPr>
        <w:t>4.</w:t>
      </w:r>
      <w:r w:rsidRPr="00381DC2">
        <w:rPr>
          <w:rFonts w:ascii="Times New Roman" w:hAnsi="Times New Roman"/>
          <w:b/>
          <w:color w:val="000000"/>
        </w:rPr>
        <w:tab/>
        <w:t>KLINICKÉ ÚDAJE</w:t>
      </w:r>
    </w:p>
    <w:p w14:paraId="645D0900" w14:textId="77777777" w:rsidR="00D15122" w:rsidRPr="00381DC2" w:rsidRDefault="00D15122" w:rsidP="007F6E1B">
      <w:pPr>
        <w:rPr>
          <w:rFonts w:ascii="Times New Roman" w:eastAsia="Times New Roman" w:hAnsi="Times New Roman"/>
          <w:bCs/>
          <w:color w:val="000000"/>
        </w:rPr>
      </w:pPr>
    </w:p>
    <w:p w14:paraId="602F43A1" w14:textId="77777777" w:rsidR="00D15122" w:rsidRPr="00381DC2" w:rsidRDefault="003E4A60" w:rsidP="003E4A60">
      <w:pPr>
        <w:tabs>
          <w:tab w:val="left" w:pos="685"/>
        </w:tabs>
        <w:rPr>
          <w:rFonts w:ascii="Times New Roman" w:eastAsia="Times New Roman" w:hAnsi="Times New Roman"/>
          <w:b/>
          <w:color w:val="000000"/>
        </w:rPr>
      </w:pPr>
      <w:r w:rsidRPr="00381DC2">
        <w:rPr>
          <w:rFonts w:ascii="Times New Roman" w:hAnsi="Times New Roman"/>
          <w:b/>
          <w:color w:val="000000"/>
        </w:rPr>
        <w:t>4.1</w:t>
      </w:r>
      <w:r w:rsidR="00D674BE" w:rsidRPr="00381DC2">
        <w:rPr>
          <w:rFonts w:ascii="Times New Roman" w:hAnsi="Times New Roman"/>
          <w:b/>
          <w:color w:val="000000"/>
        </w:rPr>
        <w:tab/>
      </w:r>
      <w:r w:rsidRPr="00381DC2">
        <w:rPr>
          <w:rFonts w:ascii="Times New Roman" w:hAnsi="Times New Roman"/>
          <w:b/>
          <w:color w:val="000000"/>
        </w:rPr>
        <w:t>Terapeutické indikace</w:t>
      </w:r>
    </w:p>
    <w:p w14:paraId="10425048" w14:textId="77777777" w:rsidR="00D15122" w:rsidRPr="00381DC2" w:rsidRDefault="00D15122" w:rsidP="007F6E1B">
      <w:pPr>
        <w:rPr>
          <w:rFonts w:ascii="Times New Roman" w:eastAsia="Times New Roman" w:hAnsi="Times New Roman"/>
          <w:bCs/>
          <w:color w:val="000000"/>
        </w:rPr>
      </w:pPr>
    </w:p>
    <w:p w14:paraId="5B0E96FF" w14:textId="77777777" w:rsidR="00D15122" w:rsidRPr="00381DC2" w:rsidRDefault="00426DA8" w:rsidP="007F6E1B">
      <w:pPr>
        <w:pStyle w:val="BodyText"/>
        <w:ind w:left="0" w:right="176"/>
        <w:rPr>
          <w:color w:val="000000"/>
        </w:rPr>
      </w:pPr>
      <w:r w:rsidRPr="00381DC2">
        <w:rPr>
          <w:color w:val="000000"/>
        </w:rPr>
        <w:t xml:space="preserve">Přípravek </w:t>
      </w:r>
      <w:r w:rsidR="00CC0FAB" w:rsidRPr="00381DC2">
        <w:rPr>
          <w:color w:val="000000"/>
        </w:rPr>
        <w:t>Zirabev</w:t>
      </w:r>
      <w:r w:rsidRPr="00381DC2">
        <w:rPr>
          <w:color w:val="000000"/>
        </w:rPr>
        <w:t xml:space="preserve"> v kombinaci s chemoterap</w:t>
      </w:r>
      <w:r w:rsidR="00D674BE" w:rsidRPr="00381DC2">
        <w:rPr>
          <w:color w:val="000000"/>
        </w:rPr>
        <w:t>ií</w:t>
      </w:r>
      <w:r w:rsidRPr="00381DC2">
        <w:rPr>
          <w:color w:val="000000"/>
        </w:rPr>
        <w:t xml:space="preserve"> </w:t>
      </w:r>
      <w:r w:rsidR="00D674BE" w:rsidRPr="00381DC2">
        <w:rPr>
          <w:color w:val="000000"/>
        </w:rPr>
        <w:t xml:space="preserve">na bázi </w:t>
      </w:r>
      <w:r w:rsidRPr="00381DC2">
        <w:rPr>
          <w:color w:val="000000"/>
        </w:rPr>
        <w:t>fluorpyrimidin</w:t>
      </w:r>
      <w:r w:rsidR="00D674BE" w:rsidRPr="00381DC2">
        <w:rPr>
          <w:color w:val="000000"/>
        </w:rPr>
        <w:t>u</w:t>
      </w:r>
      <w:r w:rsidRPr="00381DC2">
        <w:rPr>
          <w:color w:val="000000"/>
        </w:rPr>
        <w:t xml:space="preserve"> </w:t>
      </w:r>
      <w:r w:rsidR="002274C3" w:rsidRPr="00381DC2">
        <w:rPr>
          <w:color w:val="000000"/>
        </w:rPr>
        <w:t xml:space="preserve">je </w:t>
      </w:r>
      <w:r w:rsidRPr="00381DC2">
        <w:rPr>
          <w:color w:val="000000"/>
        </w:rPr>
        <w:t>indikován k léčbě dospělých pacientů s </w:t>
      </w:r>
      <w:r w:rsidR="00973F67" w:rsidRPr="00381DC2">
        <w:rPr>
          <w:color w:val="000000"/>
        </w:rPr>
        <w:t>metasta</w:t>
      </w:r>
      <w:r w:rsidR="008C3FC4" w:rsidRPr="00381DC2">
        <w:rPr>
          <w:color w:val="000000"/>
        </w:rPr>
        <w:t>zujícím</w:t>
      </w:r>
      <w:r w:rsidR="00973F67" w:rsidRPr="00381DC2">
        <w:rPr>
          <w:color w:val="000000"/>
        </w:rPr>
        <w:t xml:space="preserve"> </w:t>
      </w:r>
      <w:r w:rsidR="00F01658" w:rsidRPr="00381DC2">
        <w:rPr>
          <w:color w:val="000000"/>
        </w:rPr>
        <w:t xml:space="preserve">kolorektálním </w:t>
      </w:r>
      <w:r w:rsidRPr="00381DC2">
        <w:rPr>
          <w:color w:val="000000"/>
        </w:rPr>
        <w:t>karcinomem.</w:t>
      </w:r>
    </w:p>
    <w:p w14:paraId="59C3A15B" w14:textId="77777777" w:rsidR="00D15122" w:rsidRPr="00381DC2" w:rsidRDefault="00D15122" w:rsidP="007F6E1B">
      <w:pPr>
        <w:rPr>
          <w:rFonts w:ascii="Times New Roman" w:eastAsia="Times New Roman" w:hAnsi="Times New Roman"/>
          <w:color w:val="000000"/>
        </w:rPr>
      </w:pPr>
    </w:p>
    <w:p w14:paraId="41120F67" w14:textId="77777777" w:rsidR="00D15122" w:rsidRPr="00381DC2" w:rsidRDefault="00426DA8" w:rsidP="007F6E1B">
      <w:pPr>
        <w:pStyle w:val="BodyText"/>
        <w:ind w:left="0" w:right="157"/>
        <w:rPr>
          <w:color w:val="000000"/>
        </w:rPr>
      </w:pPr>
      <w:r w:rsidRPr="00381DC2">
        <w:rPr>
          <w:color w:val="000000"/>
        </w:rPr>
        <w:t xml:space="preserve">Přípravek </w:t>
      </w:r>
      <w:r w:rsidR="00CC0FAB" w:rsidRPr="00381DC2">
        <w:rPr>
          <w:color w:val="000000"/>
        </w:rPr>
        <w:t>Zirabev</w:t>
      </w:r>
      <w:r w:rsidRPr="00381DC2">
        <w:rPr>
          <w:color w:val="000000"/>
        </w:rPr>
        <w:t xml:space="preserve"> v kombinaci s paklitaxelem </w:t>
      </w:r>
      <w:r w:rsidR="002274C3" w:rsidRPr="00381DC2">
        <w:rPr>
          <w:color w:val="000000"/>
        </w:rPr>
        <w:t xml:space="preserve">je </w:t>
      </w:r>
      <w:r w:rsidRPr="00381DC2">
        <w:rPr>
          <w:color w:val="000000"/>
        </w:rPr>
        <w:t>indikován k první linii léčby dospělých pacientů s </w:t>
      </w:r>
      <w:r w:rsidR="00973F67" w:rsidRPr="00381DC2">
        <w:rPr>
          <w:color w:val="000000"/>
        </w:rPr>
        <w:t>metasta</w:t>
      </w:r>
      <w:r w:rsidR="008C3FC4" w:rsidRPr="00381DC2">
        <w:rPr>
          <w:color w:val="000000"/>
        </w:rPr>
        <w:t>zujícím</w:t>
      </w:r>
      <w:r w:rsidR="00973F67" w:rsidRPr="00381DC2">
        <w:rPr>
          <w:color w:val="000000"/>
        </w:rPr>
        <w:t xml:space="preserve"> nádorovým onemocněním </w:t>
      </w:r>
      <w:r w:rsidRPr="00381DC2">
        <w:rPr>
          <w:color w:val="000000"/>
        </w:rPr>
        <w:t>prsu. Další informace týkající se receptoru 2 pro lidský epidermální růstový faktor (HER2) jsou uvedeny v bodě 5.1.</w:t>
      </w:r>
    </w:p>
    <w:p w14:paraId="6CE5B91C" w14:textId="77777777" w:rsidR="00D15122" w:rsidRPr="00381DC2" w:rsidRDefault="00D15122" w:rsidP="007F6E1B">
      <w:pPr>
        <w:rPr>
          <w:rFonts w:ascii="Times New Roman" w:eastAsia="Times New Roman" w:hAnsi="Times New Roman"/>
          <w:color w:val="000000"/>
        </w:rPr>
      </w:pPr>
    </w:p>
    <w:p w14:paraId="43FB4715" w14:textId="77777777" w:rsidR="00070FC2" w:rsidRPr="00381DC2" w:rsidRDefault="009D2502" w:rsidP="00070FC2">
      <w:pPr>
        <w:pStyle w:val="NormalWeb"/>
        <w:spacing w:before="0" w:after="0"/>
        <w:rPr>
          <w:color w:val="000000"/>
          <w:sz w:val="22"/>
          <w:szCs w:val="22"/>
        </w:rPr>
      </w:pPr>
      <w:r w:rsidRPr="00381DC2">
        <w:rPr>
          <w:color w:val="000000"/>
          <w:sz w:val="22"/>
          <w:szCs w:val="22"/>
        </w:rPr>
        <w:t xml:space="preserve">Přípravek </w:t>
      </w:r>
      <w:r w:rsidR="00070FC2" w:rsidRPr="00381DC2">
        <w:rPr>
          <w:color w:val="000000"/>
          <w:sz w:val="22"/>
          <w:szCs w:val="22"/>
        </w:rPr>
        <w:t>Zirabev v kombinaci s kapecitabinem je indikován k první linii léčby dospělých pacientů s metastazujícím karcinomem prsu, u kterých se léčba jinou možnou chemoterapií, včetně taxanů nebo antracyklinů, nepovažuje za vhodnou. Pacienti, kteří byli v posledních 12 měsících léčeni režimem obsahujícím taxan a antracyklin v adjuvantním podání nemají být léčeni kombinací Zirabev + kapecitabin. Další informace týkající se HER2 jsou uvedeny v bodě 5.1.</w:t>
      </w:r>
    </w:p>
    <w:p w14:paraId="19E2B74A" w14:textId="77777777" w:rsidR="00070FC2" w:rsidRPr="00381DC2" w:rsidRDefault="00070FC2" w:rsidP="007F6E1B">
      <w:pPr>
        <w:rPr>
          <w:rFonts w:ascii="Times New Roman" w:eastAsia="Times New Roman" w:hAnsi="Times New Roman"/>
          <w:color w:val="000000"/>
        </w:rPr>
      </w:pPr>
    </w:p>
    <w:p w14:paraId="299E5060" w14:textId="77777777" w:rsidR="00D15122" w:rsidRPr="00381DC2" w:rsidRDefault="00426DA8" w:rsidP="007F6E1B">
      <w:pPr>
        <w:pStyle w:val="BodyText"/>
        <w:ind w:left="0" w:right="176"/>
        <w:rPr>
          <w:color w:val="000000"/>
        </w:rPr>
      </w:pPr>
      <w:r w:rsidRPr="00381DC2">
        <w:rPr>
          <w:color w:val="000000"/>
        </w:rPr>
        <w:t xml:space="preserve">Přípravek </w:t>
      </w:r>
      <w:r w:rsidR="00CC0FAB" w:rsidRPr="00381DC2">
        <w:rPr>
          <w:color w:val="000000"/>
        </w:rPr>
        <w:t>Zirabev</w:t>
      </w:r>
      <w:r w:rsidRPr="00381DC2">
        <w:rPr>
          <w:color w:val="000000"/>
        </w:rPr>
        <w:t xml:space="preserve"> přidaný k chemoterap</w:t>
      </w:r>
      <w:r w:rsidR="007E1718" w:rsidRPr="00381DC2">
        <w:rPr>
          <w:color w:val="000000"/>
        </w:rPr>
        <w:t>ii</w:t>
      </w:r>
      <w:r w:rsidRPr="00381DC2">
        <w:rPr>
          <w:color w:val="000000"/>
        </w:rPr>
        <w:t xml:space="preserve"> </w:t>
      </w:r>
      <w:r w:rsidR="007E1718" w:rsidRPr="00381DC2">
        <w:rPr>
          <w:color w:val="000000"/>
        </w:rPr>
        <w:t xml:space="preserve">na bázi </w:t>
      </w:r>
      <w:r w:rsidRPr="00381DC2">
        <w:rPr>
          <w:color w:val="000000"/>
        </w:rPr>
        <w:t>platin</w:t>
      </w:r>
      <w:r w:rsidR="007E1718" w:rsidRPr="00381DC2">
        <w:rPr>
          <w:color w:val="000000"/>
        </w:rPr>
        <w:t>y</w:t>
      </w:r>
      <w:r w:rsidRPr="00381DC2">
        <w:rPr>
          <w:color w:val="000000"/>
        </w:rPr>
        <w:t xml:space="preserve"> je indikován k první linii léčby dospělých pacientů s neresek</w:t>
      </w:r>
      <w:r w:rsidR="008C3FC4" w:rsidRPr="00381DC2">
        <w:rPr>
          <w:color w:val="000000"/>
        </w:rPr>
        <w:t>ovatelným</w:t>
      </w:r>
      <w:r w:rsidRPr="00381DC2">
        <w:rPr>
          <w:color w:val="000000"/>
        </w:rPr>
        <w:t xml:space="preserve"> pokročilým, </w:t>
      </w:r>
      <w:r w:rsidR="00973F67" w:rsidRPr="00381DC2">
        <w:rPr>
          <w:color w:val="000000"/>
        </w:rPr>
        <w:t>metasta</w:t>
      </w:r>
      <w:r w:rsidR="008C3FC4" w:rsidRPr="00381DC2">
        <w:rPr>
          <w:color w:val="000000"/>
        </w:rPr>
        <w:t>zujícím</w:t>
      </w:r>
      <w:r w:rsidR="00973F67" w:rsidRPr="00381DC2">
        <w:rPr>
          <w:color w:val="000000"/>
        </w:rPr>
        <w:t xml:space="preserve"> </w:t>
      </w:r>
      <w:r w:rsidRPr="00381DC2">
        <w:rPr>
          <w:color w:val="000000"/>
        </w:rPr>
        <w:t xml:space="preserve">nebo rekurentním nemalobuněčným </w:t>
      </w:r>
      <w:r w:rsidR="008C3FC4" w:rsidRPr="00381DC2">
        <w:rPr>
          <w:color w:val="000000"/>
        </w:rPr>
        <w:t>karcinomem</w:t>
      </w:r>
      <w:r w:rsidR="00973F67" w:rsidRPr="00381DC2">
        <w:rPr>
          <w:color w:val="000000"/>
        </w:rPr>
        <w:t xml:space="preserve"> plic </w:t>
      </w:r>
      <w:r w:rsidRPr="00381DC2">
        <w:rPr>
          <w:color w:val="000000"/>
        </w:rPr>
        <w:t>jiného histologického typu než predominantně z dlaždicových buněk.</w:t>
      </w:r>
    </w:p>
    <w:p w14:paraId="397E3915" w14:textId="77777777" w:rsidR="00D15122" w:rsidRPr="00381DC2" w:rsidRDefault="00D15122" w:rsidP="007F6E1B">
      <w:pPr>
        <w:rPr>
          <w:rFonts w:ascii="Times New Roman" w:eastAsia="Times New Roman" w:hAnsi="Times New Roman"/>
          <w:color w:val="000000"/>
        </w:rPr>
      </w:pPr>
    </w:p>
    <w:p w14:paraId="3A60BC09" w14:textId="77777777" w:rsidR="001E18F9" w:rsidRPr="00381DC2" w:rsidRDefault="006E127F" w:rsidP="007F6E1B">
      <w:pPr>
        <w:pStyle w:val="BodyText"/>
        <w:ind w:left="0" w:right="238"/>
        <w:rPr>
          <w:color w:val="000000"/>
        </w:rPr>
      </w:pPr>
      <w:r w:rsidRPr="00381DC2">
        <w:rPr>
          <w:color w:val="000000"/>
        </w:rPr>
        <w:t>Přípravek Zi</w:t>
      </w:r>
      <w:r w:rsidR="001E18F9" w:rsidRPr="00381DC2">
        <w:rPr>
          <w:color w:val="000000"/>
        </w:rPr>
        <w:t>rabev v kombinaci s erlotinibem je indikován k první linii léčby dospělých pacientů s neresekovatelným pokročilým, metastazujícím nebo rekurentním nemalobuněčným karcinomem plic s aktivující mutací receptoru epidermálního růstového faktoru (EGFR) (viz bod 5.1).</w:t>
      </w:r>
    </w:p>
    <w:p w14:paraId="2C1A8435" w14:textId="77777777" w:rsidR="001E18F9" w:rsidRPr="00381DC2" w:rsidRDefault="001E18F9" w:rsidP="007F6E1B">
      <w:pPr>
        <w:pStyle w:val="BodyText"/>
        <w:ind w:left="0" w:right="238"/>
        <w:rPr>
          <w:color w:val="000000"/>
        </w:rPr>
      </w:pPr>
    </w:p>
    <w:p w14:paraId="104E9E0E" w14:textId="77777777" w:rsidR="00D15122" w:rsidRPr="00381DC2" w:rsidRDefault="00426DA8" w:rsidP="007F6E1B">
      <w:pPr>
        <w:pStyle w:val="BodyText"/>
        <w:ind w:left="0" w:right="238"/>
        <w:rPr>
          <w:color w:val="000000"/>
        </w:rPr>
      </w:pPr>
      <w:r w:rsidRPr="00381DC2">
        <w:rPr>
          <w:color w:val="000000"/>
        </w:rPr>
        <w:t xml:space="preserve">Přípravek </w:t>
      </w:r>
      <w:r w:rsidR="00CC0FAB" w:rsidRPr="00381DC2">
        <w:rPr>
          <w:color w:val="000000"/>
        </w:rPr>
        <w:t>Zirabev</w:t>
      </w:r>
      <w:r w:rsidRPr="00381DC2">
        <w:rPr>
          <w:color w:val="000000"/>
        </w:rPr>
        <w:t xml:space="preserve"> v kombinaci s interferonem alfa-2a je indikován k první linii léčby dospělých pacientů s pokročilým a/nebo </w:t>
      </w:r>
      <w:r w:rsidR="00973F67" w:rsidRPr="00381DC2">
        <w:rPr>
          <w:color w:val="000000"/>
        </w:rPr>
        <w:t>metasta</w:t>
      </w:r>
      <w:r w:rsidR="008C3FC4" w:rsidRPr="00381DC2">
        <w:rPr>
          <w:color w:val="000000"/>
        </w:rPr>
        <w:t>zujícím</w:t>
      </w:r>
      <w:r w:rsidR="00973F67" w:rsidRPr="00381DC2">
        <w:rPr>
          <w:color w:val="000000"/>
        </w:rPr>
        <w:t xml:space="preserve"> </w:t>
      </w:r>
      <w:r w:rsidR="008C3FC4" w:rsidRPr="00381DC2">
        <w:rPr>
          <w:color w:val="000000"/>
        </w:rPr>
        <w:t>karcinomem</w:t>
      </w:r>
      <w:r w:rsidR="00973F67" w:rsidRPr="00381DC2">
        <w:rPr>
          <w:color w:val="000000"/>
        </w:rPr>
        <w:t xml:space="preserve"> ledvin</w:t>
      </w:r>
      <w:r w:rsidRPr="00381DC2">
        <w:rPr>
          <w:color w:val="000000"/>
        </w:rPr>
        <w:t>.</w:t>
      </w:r>
    </w:p>
    <w:p w14:paraId="3312266D" w14:textId="77777777" w:rsidR="00D15122" w:rsidRPr="00381DC2" w:rsidRDefault="00D15122" w:rsidP="007F6E1B">
      <w:pPr>
        <w:rPr>
          <w:rFonts w:ascii="Times New Roman" w:eastAsia="Times New Roman" w:hAnsi="Times New Roman"/>
          <w:color w:val="000000"/>
        </w:rPr>
      </w:pPr>
    </w:p>
    <w:p w14:paraId="5A58E4EF" w14:textId="77777777" w:rsidR="00070FC2" w:rsidRPr="00381DC2" w:rsidRDefault="009D2502" w:rsidP="00070FC2">
      <w:pPr>
        <w:pStyle w:val="NormalWeb"/>
        <w:spacing w:before="0" w:after="0"/>
        <w:rPr>
          <w:color w:val="000000"/>
          <w:sz w:val="22"/>
          <w:szCs w:val="22"/>
        </w:rPr>
      </w:pPr>
      <w:r w:rsidRPr="00381DC2">
        <w:rPr>
          <w:color w:val="000000"/>
          <w:sz w:val="22"/>
          <w:szCs w:val="22"/>
        </w:rPr>
        <w:t xml:space="preserve">Přípravek </w:t>
      </w:r>
      <w:r w:rsidR="00070FC2" w:rsidRPr="00381DC2">
        <w:rPr>
          <w:color w:val="000000"/>
          <w:sz w:val="22"/>
          <w:szCs w:val="22"/>
        </w:rPr>
        <w:t>Zirabev v kombinaci s karboplatinou a paklitaxelem je indikován k úvodní léčbě dospělých pacientek s pokročilým (stádia III B, III C a IV dle klasifikace Mezinárodní federace gynekologie a porodnictví [International Federation of Gynecology and Obstetrics - FIGO]) epitelovým nádorem vaječníků, vejcovodů nebo primárním nádorem pobřišnice. (Viz bod 5.1).</w:t>
      </w:r>
    </w:p>
    <w:p w14:paraId="1F538DA7" w14:textId="77777777" w:rsidR="00070FC2" w:rsidRPr="00381DC2" w:rsidRDefault="00070FC2" w:rsidP="00070FC2">
      <w:pPr>
        <w:pStyle w:val="NormalWeb"/>
        <w:spacing w:before="0" w:after="0"/>
        <w:rPr>
          <w:color w:val="000000"/>
          <w:sz w:val="22"/>
          <w:szCs w:val="22"/>
        </w:rPr>
      </w:pPr>
    </w:p>
    <w:p w14:paraId="636DF790" w14:textId="77777777" w:rsidR="00070FC2" w:rsidRPr="00381DC2" w:rsidRDefault="009D2502" w:rsidP="00070FC2">
      <w:pPr>
        <w:pStyle w:val="NormalWeb"/>
        <w:spacing w:before="0" w:after="0"/>
        <w:rPr>
          <w:color w:val="000000"/>
          <w:sz w:val="22"/>
          <w:szCs w:val="22"/>
        </w:rPr>
      </w:pPr>
      <w:r w:rsidRPr="00381DC2">
        <w:rPr>
          <w:color w:val="000000"/>
          <w:sz w:val="22"/>
          <w:szCs w:val="22"/>
        </w:rPr>
        <w:t xml:space="preserve">Přípravek </w:t>
      </w:r>
      <w:r w:rsidR="00070FC2" w:rsidRPr="00381DC2">
        <w:rPr>
          <w:color w:val="000000"/>
          <w:sz w:val="22"/>
          <w:szCs w:val="22"/>
        </w:rPr>
        <w:t>Zirabev v kombinaci s karboplatinou a gemcitabinem nebo v kombinaci s karboplatinou a paklitaxelem je indikován k léčbě dospělých pacientek s první rekurencí epitelového nádoru vaječníků, vejcovodů nebo primárního nádoru pobřišnice citlivého na platinu, které nebyly dosud léčeny bevacizumabem nebo jiným inhibitorem růstového faktoru cévního endotelu (VEGF) nebo receptoru VEGF.</w:t>
      </w:r>
    </w:p>
    <w:p w14:paraId="0CBF3C7D" w14:textId="77777777" w:rsidR="00070FC2" w:rsidRPr="00381DC2" w:rsidRDefault="00070FC2" w:rsidP="00070FC2">
      <w:pPr>
        <w:pStyle w:val="NormalWeb"/>
        <w:spacing w:before="0" w:after="0"/>
        <w:rPr>
          <w:color w:val="000000"/>
          <w:sz w:val="22"/>
          <w:szCs w:val="22"/>
        </w:rPr>
      </w:pPr>
    </w:p>
    <w:p w14:paraId="1F802D7A" w14:textId="77777777" w:rsidR="00070FC2" w:rsidRPr="00381DC2" w:rsidRDefault="009D2502" w:rsidP="00070FC2">
      <w:pPr>
        <w:pStyle w:val="NormalWeb"/>
        <w:spacing w:before="0" w:after="0"/>
        <w:rPr>
          <w:color w:val="000000"/>
          <w:sz w:val="22"/>
          <w:szCs w:val="22"/>
        </w:rPr>
      </w:pPr>
      <w:r w:rsidRPr="00381DC2">
        <w:rPr>
          <w:color w:val="000000"/>
          <w:sz w:val="22"/>
          <w:szCs w:val="22"/>
        </w:rPr>
        <w:t xml:space="preserve">Přípravek </w:t>
      </w:r>
      <w:r w:rsidR="00070FC2" w:rsidRPr="00381DC2">
        <w:rPr>
          <w:color w:val="000000"/>
          <w:sz w:val="22"/>
          <w:szCs w:val="22"/>
        </w:rPr>
        <w:t>Zirabev v kombinaci s</w:t>
      </w:r>
      <w:r w:rsidR="003969FE" w:rsidRPr="00381DC2">
        <w:rPr>
          <w:color w:val="000000"/>
          <w:sz w:val="22"/>
          <w:szCs w:val="22"/>
        </w:rPr>
        <w:t> paklitaxelem,</w:t>
      </w:r>
      <w:r w:rsidR="00070FC2" w:rsidRPr="00381DC2">
        <w:rPr>
          <w:color w:val="000000"/>
          <w:sz w:val="22"/>
          <w:szCs w:val="22"/>
        </w:rPr>
        <w:t xml:space="preserve"> topotekanem nebo pegylovaným liposomálním doxorubicinem je indikován k léčbě dospělých pacientek s rekurencí epitelového nádoru vaječníků, vejcovodů nebo primárního nádoru pobřišnice rezistentního k platině, které nebyly léčeny více než dvěma předchozími režimy chemoterapie a které nebyly dosud léčeny bevacizumabem nebo jiným inhibitorem růstového faktoru cévního endotelu (VEGF) nebo receptoru VEGF (viz bod 5.1).</w:t>
      </w:r>
    </w:p>
    <w:p w14:paraId="135D5F4A" w14:textId="77777777" w:rsidR="00070FC2" w:rsidRPr="00381DC2" w:rsidRDefault="00070FC2" w:rsidP="007F6E1B">
      <w:pPr>
        <w:rPr>
          <w:rFonts w:ascii="Times New Roman" w:eastAsia="Times New Roman" w:hAnsi="Times New Roman"/>
          <w:color w:val="000000"/>
        </w:rPr>
      </w:pPr>
    </w:p>
    <w:p w14:paraId="001D55AE" w14:textId="77777777" w:rsidR="00D15122" w:rsidRPr="00381DC2" w:rsidRDefault="00426DA8" w:rsidP="007F6E1B">
      <w:pPr>
        <w:pStyle w:val="BodyText"/>
        <w:ind w:left="0" w:right="203"/>
        <w:rPr>
          <w:color w:val="000000"/>
        </w:rPr>
      </w:pPr>
      <w:r w:rsidRPr="00381DC2">
        <w:rPr>
          <w:color w:val="000000"/>
        </w:rPr>
        <w:t xml:space="preserve">Přípravek </w:t>
      </w:r>
      <w:r w:rsidR="00CC0FAB" w:rsidRPr="00381DC2">
        <w:rPr>
          <w:color w:val="000000"/>
        </w:rPr>
        <w:t>Zirabev</w:t>
      </w:r>
      <w:r w:rsidRPr="00381DC2">
        <w:rPr>
          <w:color w:val="000000"/>
        </w:rPr>
        <w:t xml:space="preserve"> v kombinaci s paklitaxelem a cisplatinou nebo alternativně u pacientek, kterým nemůže být podaná léčba platinou, s paklitaxelem a topotekanem je indikován k léčbě dospělých pacientek s přetrvávajícím, rekurentním nebo </w:t>
      </w:r>
      <w:r w:rsidR="002274C3" w:rsidRPr="00381DC2">
        <w:rPr>
          <w:color w:val="000000"/>
        </w:rPr>
        <w:t>metasta</w:t>
      </w:r>
      <w:r w:rsidR="008C3FC4" w:rsidRPr="00381DC2">
        <w:rPr>
          <w:color w:val="000000"/>
        </w:rPr>
        <w:t>zujícím</w:t>
      </w:r>
      <w:r w:rsidR="002274C3" w:rsidRPr="00381DC2">
        <w:rPr>
          <w:color w:val="000000"/>
        </w:rPr>
        <w:t xml:space="preserve"> </w:t>
      </w:r>
      <w:r w:rsidRPr="00381DC2">
        <w:rPr>
          <w:color w:val="000000"/>
        </w:rPr>
        <w:t xml:space="preserve">karcinomem děložního </w:t>
      </w:r>
      <w:r w:rsidR="008C3FC4" w:rsidRPr="00381DC2">
        <w:rPr>
          <w:color w:val="000000"/>
        </w:rPr>
        <w:t>čípku</w:t>
      </w:r>
      <w:r w:rsidR="002274C3" w:rsidRPr="00381DC2">
        <w:rPr>
          <w:color w:val="000000"/>
        </w:rPr>
        <w:t xml:space="preserve"> </w:t>
      </w:r>
      <w:r w:rsidRPr="00381DC2">
        <w:rPr>
          <w:color w:val="000000"/>
        </w:rPr>
        <w:t>(viz bod 5.1).</w:t>
      </w:r>
    </w:p>
    <w:p w14:paraId="006CA5BE" w14:textId="77777777" w:rsidR="00D15122" w:rsidRPr="00381DC2" w:rsidRDefault="00D15122" w:rsidP="007F6E1B">
      <w:pPr>
        <w:rPr>
          <w:rFonts w:ascii="Times New Roman" w:eastAsia="Times New Roman" w:hAnsi="Times New Roman"/>
          <w:color w:val="000000"/>
        </w:rPr>
      </w:pPr>
    </w:p>
    <w:p w14:paraId="631F1FF9" w14:textId="77777777" w:rsidR="00D15122" w:rsidRPr="00381DC2" w:rsidRDefault="003E4A60" w:rsidP="001B6CD8">
      <w:pPr>
        <w:tabs>
          <w:tab w:val="left" w:pos="685"/>
        </w:tabs>
        <w:rPr>
          <w:rFonts w:ascii="Times New Roman" w:hAnsi="Times New Roman"/>
          <w:b/>
          <w:color w:val="000000"/>
        </w:rPr>
      </w:pPr>
      <w:r w:rsidRPr="00381DC2">
        <w:rPr>
          <w:rFonts w:ascii="Times New Roman" w:hAnsi="Times New Roman"/>
          <w:b/>
          <w:color w:val="000000"/>
        </w:rPr>
        <w:t>4.2</w:t>
      </w:r>
      <w:r w:rsidRPr="00381DC2">
        <w:rPr>
          <w:rFonts w:ascii="Times New Roman" w:hAnsi="Times New Roman"/>
          <w:b/>
          <w:color w:val="000000"/>
        </w:rPr>
        <w:tab/>
        <w:t>Dávkování a způsob podání</w:t>
      </w:r>
    </w:p>
    <w:p w14:paraId="3C1A7347" w14:textId="77777777" w:rsidR="00D15122" w:rsidRPr="00381DC2" w:rsidRDefault="00D15122" w:rsidP="007F6E1B">
      <w:pPr>
        <w:rPr>
          <w:rFonts w:ascii="Times New Roman" w:eastAsia="Times New Roman" w:hAnsi="Times New Roman"/>
          <w:bCs/>
          <w:color w:val="000000"/>
        </w:rPr>
      </w:pPr>
    </w:p>
    <w:p w14:paraId="354796DE" w14:textId="77777777" w:rsidR="00D15122" w:rsidRPr="00381DC2" w:rsidRDefault="00426DA8" w:rsidP="007F6E1B">
      <w:pPr>
        <w:pStyle w:val="BodyText"/>
        <w:ind w:left="0" w:right="203"/>
        <w:rPr>
          <w:color w:val="000000"/>
        </w:rPr>
      </w:pPr>
      <w:r w:rsidRPr="00381DC2">
        <w:rPr>
          <w:color w:val="000000"/>
        </w:rPr>
        <w:t xml:space="preserve">Přípravek </w:t>
      </w:r>
      <w:r w:rsidR="00CC0FAB" w:rsidRPr="00381DC2">
        <w:rPr>
          <w:color w:val="000000"/>
        </w:rPr>
        <w:t>Zirabev</w:t>
      </w:r>
      <w:r w:rsidRPr="00381DC2">
        <w:rPr>
          <w:color w:val="000000"/>
        </w:rPr>
        <w:t xml:space="preserve"> musí být podáván pod dohledem lékaře, který má zkušenosti s podáváním </w:t>
      </w:r>
      <w:r w:rsidR="0078572E" w:rsidRPr="00381DC2">
        <w:rPr>
          <w:color w:val="000000"/>
        </w:rPr>
        <w:t>cytostatických</w:t>
      </w:r>
      <w:r w:rsidR="00597642" w:rsidRPr="00381DC2">
        <w:rPr>
          <w:color w:val="000000"/>
        </w:rPr>
        <w:t xml:space="preserve"> léčivých přípravků</w:t>
      </w:r>
      <w:r w:rsidRPr="00381DC2">
        <w:rPr>
          <w:color w:val="000000"/>
        </w:rPr>
        <w:t>.</w:t>
      </w:r>
    </w:p>
    <w:p w14:paraId="167394FF" w14:textId="77777777" w:rsidR="00D15122" w:rsidRPr="00381DC2" w:rsidRDefault="00D15122" w:rsidP="007F6E1B">
      <w:pPr>
        <w:rPr>
          <w:rFonts w:ascii="Times New Roman" w:eastAsia="Times New Roman" w:hAnsi="Times New Roman"/>
          <w:color w:val="000000"/>
        </w:rPr>
      </w:pPr>
    </w:p>
    <w:p w14:paraId="6B27C603" w14:textId="77777777" w:rsidR="00D15122" w:rsidRPr="00381DC2" w:rsidRDefault="009B0756" w:rsidP="00C0667E">
      <w:pPr>
        <w:pStyle w:val="BodyText"/>
        <w:keepNext/>
        <w:ind w:left="0"/>
        <w:rPr>
          <w:color w:val="000000"/>
        </w:rPr>
      </w:pPr>
      <w:r w:rsidRPr="00381DC2">
        <w:rPr>
          <w:color w:val="000000"/>
          <w:u w:val="single" w:color="000000"/>
        </w:rPr>
        <w:t>Dávkování</w:t>
      </w:r>
    </w:p>
    <w:p w14:paraId="6FE456F3" w14:textId="77777777" w:rsidR="00D15122" w:rsidRPr="00381DC2" w:rsidRDefault="00D15122" w:rsidP="007F6E1B">
      <w:pPr>
        <w:rPr>
          <w:rFonts w:ascii="Times New Roman" w:eastAsia="Times New Roman" w:hAnsi="Times New Roman"/>
          <w:color w:val="000000"/>
        </w:rPr>
      </w:pPr>
    </w:p>
    <w:p w14:paraId="25E89DD7" w14:textId="77777777" w:rsidR="00D15122" w:rsidRPr="00381DC2" w:rsidRDefault="00F01658" w:rsidP="007F6E1B">
      <w:pPr>
        <w:rPr>
          <w:rFonts w:ascii="Times New Roman" w:eastAsia="Times New Roman" w:hAnsi="Times New Roman"/>
          <w:i/>
          <w:color w:val="000000"/>
        </w:rPr>
      </w:pPr>
      <w:r w:rsidRPr="00381DC2">
        <w:rPr>
          <w:rFonts w:ascii="Times New Roman" w:hAnsi="Times New Roman"/>
          <w:i/>
          <w:color w:val="000000"/>
          <w:u w:val="single" w:color="000000"/>
        </w:rPr>
        <w:t>Metasta</w:t>
      </w:r>
      <w:r w:rsidR="008C3FC4" w:rsidRPr="00381DC2">
        <w:rPr>
          <w:rFonts w:ascii="Times New Roman" w:hAnsi="Times New Roman"/>
          <w:i/>
          <w:color w:val="000000"/>
          <w:u w:val="single" w:color="000000"/>
        </w:rPr>
        <w:t>zující</w:t>
      </w:r>
      <w:r w:rsidRPr="00381DC2">
        <w:rPr>
          <w:rFonts w:ascii="Times New Roman" w:hAnsi="Times New Roman"/>
          <w:i/>
          <w:color w:val="000000"/>
          <w:u w:val="single" w:color="000000"/>
        </w:rPr>
        <w:t xml:space="preserve"> </w:t>
      </w:r>
      <w:r w:rsidR="009B0756" w:rsidRPr="00381DC2">
        <w:rPr>
          <w:rFonts w:ascii="Times New Roman" w:hAnsi="Times New Roman"/>
          <w:i/>
          <w:color w:val="000000"/>
          <w:u w:val="single" w:color="000000"/>
        </w:rPr>
        <w:t>kolorektální karcinom (</w:t>
      </w:r>
      <w:r w:rsidR="008C3FC4" w:rsidRPr="00381DC2">
        <w:rPr>
          <w:rFonts w:ascii="Times New Roman" w:hAnsi="Times New Roman"/>
          <w:i/>
          <w:color w:val="000000"/>
          <w:u w:val="single" w:color="000000"/>
        </w:rPr>
        <w:t xml:space="preserve">metastatic carcinoma of the colon or rectum, </w:t>
      </w:r>
      <w:r w:rsidR="009B0756" w:rsidRPr="00381DC2">
        <w:rPr>
          <w:rFonts w:ascii="Times New Roman" w:hAnsi="Times New Roman"/>
          <w:i/>
          <w:color w:val="000000"/>
          <w:u w:val="single" w:color="000000"/>
        </w:rPr>
        <w:t>mCRC)</w:t>
      </w:r>
    </w:p>
    <w:p w14:paraId="67FC1ACB" w14:textId="77777777" w:rsidR="00D15122" w:rsidRPr="00381DC2" w:rsidRDefault="00D15122" w:rsidP="007F6E1B">
      <w:pPr>
        <w:rPr>
          <w:rFonts w:ascii="Times New Roman" w:eastAsia="Times New Roman" w:hAnsi="Times New Roman"/>
          <w:i/>
          <w:color w:val="000000"/>
        </w:rPr>
      </w:pPr>
    </w:p>
    <w:p w14:paraId="4D9CC7D8" w14:textId="77777777" w:rsidR="00D15122" w:rsidRPr="00381DC2" w:rsidRDefault="009B0756" w:rsidP="007F6E1B">
      <w:pPr>
        <w:pStyle w:val="BodyText"/>
        <w:ind w:left="0"/>
        <w:rPr>
          <w:color w:val="000000"/>
        </w:rPr>
      </w:pPr>
      <w:r w:rsidRPr="00381DC2">
        <w:rPr>
          <w:color w:val="000000"/>
        </w:rPr>
        <w:t xml:space="preserve">Doporučená dávka přípravku </w:t>
      </w:r>
      <w:r w:rsidR="00CC0FAB" w:rsidRPr="00381DC2">
        <w:rPr>
          <w:color w:val="000000"/>
        </w:rPr>
        <w:t>Zirabev</w:t>
      </w:r>
      <w:r w:rsidRPr="00381DC2">
        <w:rPr>
          <w:color w:val="000000"/>
        </w:rPr>
        <w:t xml:space="preserve"> podávaného ve formě intravenózní infuze je buď 5 mg/kg nebo 10 mg/kg tělesné hmotnosti podávaná </w:t>
      </w:r>
      <w:r w:rsidR="00D63038" w:rsidRPr="00381DC2">
        <w:rPr>
          <w:color w:val="000000"/>
          <w:u w:val="single"/>
        </w:rPr>
        <w:t xml:space="preserve">každé </w:t>
      </w:r>
      <w:r w:rsidRPr="00381DC2">
        <w:rPr>
          <w:color w:val="000000"/>
          <w:u w:val="single" w:color="000000"/>
        </w:rPr>
        <w:t>2 týdny</w:t>
      </w:r>
      <w:r w:rsidRPr="00381DC2">
        <w:rPr>
          <w:color w:val="000000"/>
        </w:rPr>
        <w:t xml:space="preserve">, nebo 7,5 mg/kg nebo 15 mg/kg tělesné hmotnosti podávaná </w:t>
      </w:r>
      <w:r w:rsidR="00D63038" w:rsidRPr="00381DC2">
        <w:rPr>
          <w:color w:val="000000"/>
          <w:u w:val="single"/>
        </w:rPr>
        <w:t>každé</w:t>
      </w:r>
      <w:r w:rsidR="00F01658" w:rsidRPr="00381DC2">
        <w:rPr>
          <w:color w:val="000000"/>
          <w:u w:val="single"/>
        </w:rPr>
        <w:t xml:space="preserve"> </w:t>
      </w:r>
      <w:r w:rsidRPr="00381DC2">
        <w:rPr>
          <w:color w:val="000000"/>
          <w:u w:val="single" w:color="000000"/>
        </w:rPr>
        <w:t>3 týdny</w:t>
      </w:r>
      <w:r w:rsidRPr="00381DC2">
        <w:rPr>
          <w:color w:val="000000"/>
        </w:rPr>
        <w:t>.</w:t>
      </w:r>
    </w:p>
    <w:p w14:paraId="12AB8B1A" w14:textId="77777777" w:rsidR="00203535" w:rsidRPr="00381DC2" w:rsidRDefault="00203535" w:rsidP="007F6E1B">
      <w:pPr>
        <w:pStyle w:val="BodyText"/>
        <w:ind w:left="0" w:right="203"/>
        <w:rPr>
          <w:color w:val="000000"/>
        </w:rPr>
      </w:pPr>
    </w:p>
    <w:p w14:paraId="5A0431EB" w14:textId="77777777" w:rsidR="00D15122" w:rsidRPr="00381DC2" w:rsidRDefault="009B0756" w:rsidP="007F6E1B">
      <w:pPr>
        <w:pStyle w:val="BodyText"/>
        <w:ind w:left="0" w:right="203"/>
        <w:rPr>
          <w:color w:val="000000"/>
        </w:rPr>
      </w:pPr>
      <w:r w:rsidRPr="00381DC2">
        <w:rPr>
          <w:color w:val="000000"/>
        </w:rPr>
        <w:t>Doporučuje se, aby léčba pokračovala až do progrese základního onemocnění nebo do nepřijatelné toxicity.</w:t>
      </w:r>
    </w:p>
    <w:p w14:paraId="6DFBFD87" w14:textId="77777777" w:rsidR="00D15122" w:rsidRPr="00381DC2" w:rsidRDefault="00D15122" w:rsidP="007F6E1B">
      <w:pPr>
        <w:rPr>
          <w:rFonts w:ascii="Times New Roman" w:eastAsia="Times New Roman" w:hAnsi="Times New Roman"/>
          <w:color w:val="000000"/>
        </w:rPr>
      </w:pPr>
    </w:p>
    <w:p w14:paraId="773A193A" w14:textId="77777777" w:rsidR="00D15122" w:rsidRPr="00381DC2" w:rsidRDefault="000834FE" w:rsidP="007F6E1B">
      <w:pPr>
        <w:rPr>
          <w:rFonts w:ascii="Times New Roman" w:eastAsia="Times New Roman" w:hAnsi="Times New Roman"/>
          <w:i/>
          <w:color w:val="000000"/>
        </w:rPr>
      </w:pPr>
      <w:r w:rsidRPr="00381DC2">
        <w:rPr>
          <w:rFonts w:ascii="Times New Roman" w:hAnsi="Times New Roman"/>
          <w:i/>
          <w:color w:val="000000"/>
          <w:u w:val="single" w:color="000000"/>
        </w:rPr>
        <w:t>Metasta</w:t>
      </w:r>
      <w:r w:rsidR="0092511C" w:rsidRPr="00381DC2">
        <w:rPr>
          <w:rFonts w:ascii="Times New Roman" w:hAnsi="Times New Roman"/>
          <w:i/>
          <w:color w:val="000000"/>
          <w:u w:val="single" w:color="000000"/>
        </w:rPr>
        <w:t>zující</w:t>
      </w:r>
      <w:r w:rsidRPr="00381DC2">
        <w:rPr>
          <w:rFonts w:ascii="Times New Roman" w:hAnsi="Times New Roman"/>
          <w:i/>
          <w:color w:val="000000"/>
          <w:u w:val="single" w:color="000000"/>
        </w:rPr>
        <w:t xml:space="preserve"> </w:t>
      </w:r>
      <w:r w:rsidR="0092511C" w:rsidRPr="00381DC2">
        <w:rPr>
          <w:rFonts w:ascii="Times New Roman" w:hAnsi="Times New Roman"/>
          <w:i/>
          <w:color w:val="000000"/>
          <w:u w:val="single" w:color="000000"/>
        </w:rPr>
        <w:t>karcinom</w:t>
      </w:r>
      <w:r w:rsidR="009B0756" w:rsidRPr="00381DC2">
        <w:rPr>
          <w:rFonts w:ascii="Times New Roman" w:hAnsi="Times New Roman"/>
          <w:i/>
          <w:color w:val="000000"/>
          <w:u w:val="single" w:color="000000"/>
        </w:rPr>
        <w:t xml:space="preserve"> prsu (</w:t>
      </w:r>
      <w:r w:rsidR="0092511C" w:rsidRPr="00381DC2">
        <w:rPr>
          <w:rFonts w:ascii="Times New Roman" w:hAnsi="Times New Roman"/>
          <w:i/>
          <w:color w:val="000000"/>
          <w:u w:val="single" w:color="000000"/>
        </w:rPr>
        <w:t xml:space="preserve">metastatic breast cancer, </w:t>
      </w:r>
      <w:r w:rsidR="009B0756" w:rsidRPr="00381DC2">
        <w:rPr>
          <w:rFonts w:ascii="Times New Roman" w:hAnsi="Times New Roman"/>
          <w:i/>
          <w:color w:val="000000"/>
          <w:u w:val="single" w:color="000000"/>
        </w:rPr>
        <w:t>mBC)</w:t>
      </w:r>
    </w:p>
    <w:p w14:paraId="0AE6C993" w14:textId="77777777" w:rsidR="00D15122" w:rsidRPr="00381DC2" w:rsidRDefault="00D15122" w:rsidP="007F6E1B">
      <w:pPr>
        <w:rPr>
          <w:rFonts w:ascii="Times New Roman" w:eastAsia="Times New Roman" w:hAnsi="Times New Roman"/>
          <w:color w:val="000000"/>
        </w:rPr>
      </w:pPr>
    </w:p>
    <w:p w14:paraId="52CFB77C" w14:textId="77777777" w:rsidR="00D15122" w:rsidRPr="00381DC2" w:rsidRDefault="009B0756" w:rsidP="007F6E1B">
      <w:pPr>
        <w:pStyle w:val="BodyText"/>
        <w:ind w:left="0" w:right="68"/>
        <w:rPr>
          <w:color w:val="000000"/>
        </w:rPr>
      </w:pPr>
      <w:r w:rsidRPr="00381DC2">
        <w:rPr>
          <w:color w:val="000000"/>
        </w:rPr>
        <w:t xml:space="preserve">Doporučená dávka přípravku </w:t>
      </w:r>
      <w:r w:rsidR="00CC0FAB" w:rsidRPr="00381DC2">
        <w:rPr>
          <w:color w:val="000000"/>
        </w:rPr>
        <w:t>Zirabev</w:t>
      </w:r>
      <w:r w:rsidRPr="00381DC2">
        <w:rPr>
          <w:color w:val="000000"/>
        </w:rPr>
        <w:t xml:space="preserve"> je 10 mg/kg tělesné hmotnosti </w:t>
      </w:r>
      <w:r w:rsidR="00D63038" w:rsidRPr="00381DC2">
        <w:rPr>
          <w:color w:val="000000"/>
        </w:rPr>
        <w:t xml:space="preserve">každé </w:t>
      </w:r>
      <w:r w:rsidRPr="00381DC2">
        <w:rPr>
          <w:color w:val="000000"/>
        </w:rPr>
        <w:t xml:space="preserve">2 týdny nebo 15 mg/kg tělesné hmotnosti </w:t>
      </w:r>
      <w:r w:rsidR="00D63038" w:rsidRPr="00381DC2">
        <w:rPr>
          <w:color w:val="000000"/>
        </w:rPr>
        <w:t xml:space="preserve">každé </w:t>
      </w:r>
      <w:r w:rsidRPr="00381DC2">
        <w:rPr>
          <w:color w:val="000000"/>
        </w:rPr>
        <w:t>3 týdny podávaná ve formě intravenózní infuze.</w:t>
      </w:r>
    </w:p>
    <w:p w14:paraId="05BEFAE6" w14:textId="77777777" w:rsidR="00203535" w:rsidRPr="00381DC2" w:rsidRDefault="00203535" w:rsidP="007F6E1B">
      <w:pPr>
        <w:pStyle w:val="BodyText"/>
        <w:ind w:left="0" w:right="203"/>
        <w:rPr>
          <w:color w:val="000000"/>
        </w:rPr>
      </w:pPr>
    </w:p>
    <w:p w14:paraId="0AABFDC9" w14:textId="77777777" w:rsidR="00D15122" w:rsidRPr="00381DC2" w:rsidRDefault="009B0756" w:rsidP="007F6E1B">
      <w:pPr>
        <w:pStyle w:val="BodyText"/>
        <w:ind w:left="0" w:right="203"/>
        <w:rPr>
          <w:color w:val="000000"/>
        </w:rPr>
      </w:pPr>
      <w:r w:rsidRPr="00381DC2">
        <w:rPr>
          <w:color w:val="000000"/>
        </w:rPr>
        <w:t>Doporučuje se, aby léčba pokračovala až do progrese základního onemocnění nebo do nepřijatelné toxicity.</w:t>
      </w:r>
    </w:p>
    <w:p w14:paraId="0333AC4A" w14:textId="77777777" w:rsidR="00D15122" w:rsidRPr="00381DC2" w:rsidRDefault="00D15122" w:rsidP="007F6E1B">
      <w:pPr>
        <w:rPr>
          <w:rFonts w:ascii="Times New Roman" w:eastAsia="Times New Roman" w:hAnsi="Times New Roman"/>
          <w:color w:val="000000"/>
        </w:rPr>
      </w:pPr>
    </w:p>
    <w:p w14:paraId="7065430F" w14:textId="77777777" w:rsidR="00D15122" w:rsidRPr="00381DC2" w:rsidRDefault="009B0756" w:rsidP="007F6E1B">
      <w:pPr>
        <w:rPr>
          <w:rFonts w:ascii="Times New Roman" w:eastAsia="Times New Roman" w:hAnsi="Times New Roman"/>
          <w:i/>
          <w:color w:val="000000"/>
        </w:rPr>
      </w:pPr>
      <w:r w:rsidRPr="00381DC2">
        <w:rPr>
          <w:rFonts w:ascii="Times New Roman" w:hAnsi="Times New Roman"/>
          <w:i/>
          <w:color w:val="000000"/>
          <w:u w:val="single" w:color="000000"/>
        </w:rPr>
        <w:t>Nemalobuněčn</w:t>
      </w:r>
      <w:r w:rsidR="001F02D5" w:rsidRPr="00381DC2">
        <w:rPr>
          <w:rFonts w:ascii="Times New Roman" w:hAnsi="Times New Roman"/>
          <w:i/>
          <w:color w:val="000000"/>
          <w:u w:val="single" w:color="000000"/>
        </w:rPr>
        <w:t xml:space="preserve">é </w:t>
      </w:r>
      <w:r w:rsidR="0092511C" w:rsidRPr="00381DC2">
        <w:rPr>
          <w:rFonts w:ascii="Times New Roman" w:hAnsi="Times New Roman"/>
          <w:i/>
          <w:color w:val="000000"/>
          <w:u w:val="single" w:color="000000"/>
        </w:rPr>
        <w:t>karcinom</w:t>
      </w:r>
      <w:r w:rsidR="001F02D5" w:rsidRPr="00381DC2">
        <w:rPr>
          <w:rFonts w:ascii="Times New Roman" w:hAnsi="Times New Roman"/>
          <w:i/>
          <w:color w:val="000000"/>
          <w:u w:val="single" w:color="000000"/>
        </w:rPr>
        <w:t xml:space="preserve"> plic</w:t>
      </w:r>
      <w:r w:rsidRPr="00381DC2">
        <w:rPr>
          <w:rFonts w:ascii="Times New Roman" w:hAnsi="Times New Roman"/>
          <w:i/>
          <w:color w:val="000000"/>
          <w:u w:val="single" w:color="000000"/>
        </w:rPr>
        <w:t xml:space="preserve"> (</w:t>
      </w:r>
      <w:r w:rsidR="0092511C" w:rsidRPr="00381DC2">
        <w:rPr>
          <w:rFonts w:ascii="Times New Roman" w:hAnsi="Times New Roman"/>
          <w:i/>
          <w:color w:val="000000"/>
          <w:u w:val="single" w:color="000000"/>
        </w:rPr>
        <w:t xml:space="preserve">non-small cell lung cancer, </w:t>
      </w:r>
      <w:r w:rsidRPr="00381DC2">
        <w:rPr>
          <w:rFonts w:ascii="Times New Roman" w:hAnsi="Times New Roman"/>
          <w:i/>
          <w:color w:val="000000"/>
          <w:u w:val="single" w:color="000000"/>
        </w:rPr>
        <w:t>NSCLC)</w:t>
      </w:r>
    </w:p>
    <w:p w14:paraId="77CA8EC9" w14:textId="77777777" w:rsidR="00D15122" w:rsidRPr="00381DC2" w:rsidRDefault="00D15122" w:rsidP="007F6E1B">
      <w:pPr>
        <w:rPr>
          <w:rFonts w:ascii="Times New Roman" w:eastAsia="Times New Roman" w:hAnsi="Times New Roman"/>
          <w:color w:val="000000"/>
        </w:rPr>
      </w:pPr>
    </w:p>
    <w:p w14:paraId="30D49B00" w14:textId="77777777" w:rsidR="00D15122" w:rsidRPr="00381DC2" w:rsidRDefault="009B0756" w:rsidP="007F6E1B">
      <w:pPr>
        <w:rPr>
          <w:rFonts w:ascii="Times New Roman" w:eastAsia="Times New Roman" w:hAnsi="Times New Roman"/>
          <w:i/>
          <w:color w:val="000000"/>
        </w:rPr>
      </w:pPr>
      <w:r w:rsidRPr="00381DC2">
        <w:rPr>
          <w:rFonts w:ascii="Times New Roman" w:hAnsi="Times New Roman"/>
          <w:i/>
          <w:color w:val="000000"/>
          <w:u w:color="000000"/>
        </w:rPr>
        <w:t>První linie léčby nedlaždicového NSCLC v kombinaci s </w:t>
      </w:r>
      <w:r w:rsidR="001F02D5" w:rsidRPr="00381DC2">
        <w:rPr>
          <w:rFonts w:ascii="Times New Roman" w:hAnsi="Times New Roman"/>
          <w:i/>
          <w:color w:val="000000"/>
          <w:u w:color="000000"/>
        </w:rPr>
        <w:t>chemoterapií na bázi platiny</w:t>
      </w:r>
    </w:p>
    <w:p w14:paraId="674B0AB7" w14:textId="77777777" w:rsidR="00D15122" w:rsidRPr="00381DC2" w:rsidRDefault="00D15122" w:rsidP="007F6E1B">
      <w:pPr>
        <w:rPr>
          <w:rFonts w:ascii="Times New Roman" w:eastAsia="Times New Roman" w:hAnsi="Times New Roman"/>
          <w:color w:val="000000"/>
        </w:rPr>
      </w:pPr>
    </w:p>
    <w:p w14:paraId="44E705C4" w14:textId="77777777" w:rsidR="00D15122" w:rsidRPr="00381DC2" w:rsidRDefault="00426DA8" w:rsidP="007F6E1B">
      <w:pPr>
        <w:pStyle w:val="BodyText"/>
        <w:ind w:left="0" w:right="203"/>
        <w:rPr>
          <w:color w:val="000000"/>
        </w:rPr>
      </w:pPr>
      <w:r w:rsidRPr="00381DC2">
        <w:rPr>
          <w:color w:val="000000"/>
        </w:rPr>
        <w:t xml:space="preserve">Přípravek </w:t>
      </w:r>
      <w:r w:rsidR="00CC0FAB" w:rsidRPr="00381DC2">
        <w:rPr>
          <w:color w:val="000000"/>
        </w:rPr>
        <w:t>Zirabev</w:t>
      </w:r>
      <w:r w:rsidRPr="00381DC2">
        <w:rPr>
          <w:color w:val="000000"/>
        </w:rPr>
        <w:t xml:space="preserve"> se podává spolu s </w:t>
      </w:r>
      <w:r w:rsidR="001F02D5" w:rsidRPr="00381DC2">
        <w:rPr>
          <w:color w:val="000000"/>
        </w:rPr>
        <w:t>chemoterapií na bázi platiny</w:t>
      </w:r>
      <w:r w:rsidRPr="00381DC2">
        <w:rPr>
          <w:color w:val="000000"/>
        </w:rPr>
        <w:t xml:space="preserve">, a to až po 6 léčebných cyklů, po nichž se podává přípravek </w:t>
      </w:r>
      <w:r w:rsidR="00CC0FAB" w:rsidRPr="00381DC2">
        <w:rPr>
          <w:color w:val="000000"/>
        </w:rPr>
        <w:t>Zirabev</w:t>
      </w:r>
      <w:r w:rsidRPr="00381DC2">
        <w:rPr>
          <w:color w:val="000000"/>
        </w:rPr>
        <w:t xml:space="preserve"> samotný až do progrese onemocnění.</w:t>
      </w:r>
    </w:p>
    <w:p w14:paraId="6DD510A2" w14:textId="77777777" w:rsidR="00203535" w:rsidRPr="00381DC2" w:rsidRDefault="00203535" w:rsidP="007F6E1B">
      <w:pPr>
        <w:pStyle w:val="BodyText"/>
        <w:ind w:left="0" w:right="203"/>
        <w:rPr>
          <w:color w:val="000000"/>
        </w:rPr>
      </w:pPr>
    </w:p>
    <w:p w14:paraId="21EC0E4A" w14:textId="77777777" w:rsidR="00D15122" w:rsidRPr="00381DC2" w:rsidRDefault="009B0756" w:rsidP="007F6E1B">
      <w:pPr>
        <w:pStyle w:val="BodyText"/>
        <w:ind w:left="0" w:right="203"/>
        <w:rPr>
          <w:color w:val="000000"/>
        </w:rPr>
      </w:pPr>
      <w:r w:rsidRPr="00381DC2">
        <w:rPr>
          <w:color w:val="000000"/>
        </w:rPr>
        <w:t xml:space="preserve">Doporučená dávka přípravku </w:t>
      </w:r>
      <w:r w:rsidR="00CC0FAB" w:rsidRPr="00381DC2">
        <w:rPr>
          <w:color w:val="000000"/>
        </w:rPr>
        <w:t>Zirabev</w:t>
      </w:r>
      <w:r w:rsidRPr="00381DC2">
        <w:rPr>
          <w:color w:val="000000"/>
        </w:rPr>
        <w:t xml:space="preserve"> je 7,5 mg/kg nebo 15 mg/kg tělesné hmotnosti </w:t>
      </w:r>
      <w:r w:rsidR="00D63038" w:rsidRPr="00381DC2">
        <w:rPr>
          <w:color w:val="000000"/>
        </w:rPr>
        <w:t xml:space="preserve">každé </w:t>
      </w:r>
      <w:r w:rsidRPr="00381DC2">
        <w:rPr>
          <w:color w:val="000000"/>
        </w:rPr>
        <w:t>3 týdny podávaná ve formě intravenózní infuze.</w:t>
      </w:r>
    </w:p>
    <w:p w14:paraId="77ECF509" w14:textId="77777777" w:rsidR="00A852A1" w:rsidRPr="00381DC2" w:rsidRDefault="00A852A1" w:rsidP="007F6E1B">
      <w:pPr>
        <w:pStyle w:val="BodyText"/>
        <w:ind w:left="0" w:right="203"/>
        <w:rPr>
          <w:color w:val="000000"/>
        </w:rPr>
      </w:pPr>
    </w:p>
    <w:p w14:paraId="58815766" w14:textId="77777777" w:rsidR="00D15122" w:rsidRPr="00381DC2" w:rsidRDefault="009B0756" w:rsidP="00B11B98">
      <w:pPr>
        <w:pStyle w:val="BodyText"/>
        <w:widowControl/>
        <w:ind w:left="0" w:right="216"/>
        <w:rPr>
          <w:color w:val="000000"/>
        </w:rPr>
      </w:pPr>
      <w:r w:rsidRPr="00381DC2">
        <w:rPr>
          <w:color w:val="000000"/>
        </w:rPr>
        <w:lastRenderedPageBreak/>
        <w:t>Klinický přínos u pacientů s </w:t>
      </w:r>
      <w:r w:rsidR="007176FA" w:rsidRPr="00381DC2">
        <w:rPr>
          <w:color w:val="000000"/>
        </w:rPr>
        <w:t xml:space="preserve">NSCLC </w:t>
      </w:r>
      <w:r w:rsidRPr="00381DC2">
        <w:rPr>
          <w:color w:val="000000"/>
        </w:rPr>
        <w:t>byl prokázán jak pro dávku 7,5 mg/kg, tak pro dávku 15 mg/kg (viz bod 5.1).</w:t>
      </w:r>
    </w:p>
    <w:p w14:paraId="7502CB14" w14:textId="77777777" w:rsidR="00203535" w:rsidRPr="00381DC2" w:rsidRDefault="00203535" w:rsidP="007F6E1B">
      <w:pPr>
        <w:pStyle w:val="BodyText"/>
        <w:ind w:left="0" w:right="203"/>
        <w:rPr>
          <w:color w:val="000000"/>
        </w:rPr>
      </w:pPr>
    </w:p>
    <w:p w14:paraId="0735B51B" w14:textId="77777777" w:rsidR="00B34BC2" w:rsidRPr="00381DC2" w:rsidRDefault="009B0756" w:rsidP="007F6E1B">
      <w:pPr>
        <w:pStyle w:val="BodyText"/>
        <w:ind w:left="0" w:right="203"/>
        <w:rPr>
          <w:color w:val="000000"/>
        </w:rPr>
      </w:pPr>
      <w:r w:rsidRPr="00381DC2">
        <w:rPr>
          <w:color w:val="000000"/>
        </w:rPr>
        <w:t>Doporučuje se, aby léčba pokračovala až do progrese základního onemocnění nebo do nepřijatelné toxicity.</w:t>
      </w:r>
    </w:p>
    <w:p w14:paraId="32718395" w14:textId="77777777" w:rsidR="00D15122" w:rsidRPr="00381DC2" w:rsidRDefault="00D15122" w:rsidP="007F6E1B">
      <w:pPr>
        <w:rPr>
          <w:rFonts w:ascii="Times New Roman" w:eastAsia="Times New Roman" w:hAnsi="Times New Roman"/>
          <w:color w:val="000000"/>
        </w:rPr>
      </w:pPr>
    </w:p>
    <w:p w14:paraId="47D1BC80" w14:textId="77777777" w:rsidR="00764A33" w:rsidRPr="00381DC2" w:rsidRDefault="00764A33" w:rsidP="00764A33">
      <w:pPr>
        <w:rPr>
          <w:rFonts w:ascii="Times New Roman" w:hAnsi="Times New Roman"/>
          <w:i/>
          <w:color w:val="000000"/>
        </w:rPr>
      </w:pPr>
      <w:r w:rsidRPr="00381DC2">
        <w:rPr>
          <w:rFonts w:ascii="Times New Roman" w:hAnsi="Times New Roman"/>
          <w:i/>
          <w:color w:val="000000"/>
        </w:rPr>
        <w:t>První linie léčby nedlaždicového NSCLC s aktivující mutací EGFR v kombinaci s erlotinibem</w:t>
      </w:r>
    </w:p>
    <w:p w14:paraId="54395E61" w14:textId="77777777" w:rsidR="00764A33" w:rsidRPr="00381DC2" w:rsidRDefault="00764A33" w:rsidP="00764A33">
      <w:pPr>
        <w:rPr>
          <w:rFonts w:ascii="Times New Roman" w:hAnsi="Times New Roman"/>
          <w:iCs/>
          <w:color w:val="000000"/>
        </w:rPr>
      </w:pPr>
    </w:p>
    <w:p w14:paraId="37E68DF3" w14:textId="77777777" w:rsidR="00764A33" w:rsidRPr="00381DC2" w:rsidRDefault="00764A33" w:rsidP="00764A33">
      <w:pPr>
        <w:rPr>
          <w:rFonts w:ascii="Times New Roman" w:hAnsi="Times New Roman"/>
          <w:iCs/>
          <w:color w:val="000000"/>
        </w:rPr>
      </w:pPr>
      <w:r w:rsidRPr="00381DC2">
        <w:rPr>
          <w:rFonts w:ascii="Times New Roman" w:hAnsi="Times New Roman"/>
          <w:iCs/>
          <w:color w:val="000000"/>
        </w:rPr>
        <w:t>Před zahájením léčby přípravkem Zirabev v kombinaci s erlotinibem má být proveden test na přítomnost mutace EGFR. Je důležité, aby byla vybrána správně validovaná a robustní metodologie a tím se zabránilo falešně negativnímu nebo falešně pozitivnímu stanovení.</w:t>
      </w:r>
    </w:p>
    <w:p w14:paraId="22E06D89" w14:textId="77777777" w:rsidR="00764A33" w:rsidRPr="00381DC2" w:rsidRDefault="00764A33" w:rsidP="00764A33">
      <w:pPr>
        <w:rPr>
          <w:rFonts w:ascii="Times New Roman" w:hAnsi="Times New Roman"/>
          <w:iCs/>
          <w:color w:val="000000"/>
        </w:rPr>
      </w:pPr>
    </w:p>
    <w:p w14:paraId="16D6D479" w14:textId="77777777" w:rsidR="00764A33" w:rsidRPr="00381DC2" w:rsidRDefault="00764A33" w:rsidP="00764A33">
      <w:pPr>
        <w:rPr>
          <w:rFonts w:ascii="Times New Roman" w:hAnsi="Times New Roman"/>
          <w:iCs/>
          <w:color w:val="000000"/>
        </w:rPr>
      </w:pPr>
      <w:r w:rsidRPr="00381DC2">
        <w:rPr>
          <w:rFonts w:ascii="Times New Roman" w:hAnsi="Times New Roman"/>
          <w:iCs/>
          <w:color w:val="000000"/>
        </w:rPr>
        <w:t>Doporučená dávka přípravku Zirabev podávaného spolu s erlotinibem je 15 mg/kg tělesné hmotnosti každé 3 týdny podávaná ve formě intravenózní infuze.</w:t>
      </w:r>
    </w:p>
    <w:p w14:paraId="4AA1E62C" w14:textId="77777777" w:rsidR="00764A33" w:rsidRPr="00381DC2" w:rsidRDefault="00764A33" w:rsidP="00764A33">
      <w:pPr>
        <w:rPr>
          <w:rFonts w:ascii="Times New Roman" w:hAnsi="Times New Roman"/>
          <w:iCs/>
          <w:color w:val="000000"/>
        </w:rPr>
      </w:pPr>
    </w:p>
    <w:p w14:paraId="4007F303" w14:textId="77777777" w:rsidR="00764A33" w:rsidRPr="00381DC2" w:rsidRDefault="003B76FA" w:rsidP="00764A33">
      <w:pPr>
        <w:rPr>
          <w:rFonts w:ascii="Times New Roman" w:hAnsi="Times New Roman"/>
          <w:iCs/>
          <w:color w:val="000000"/>
        </w:rPr>
      </w:pPr>
      <w:r w:rsidRPr="00381DC2">
        <w:rPr>
          <w:rFonts w:ascii="Times New Roman" w:hAnsi="Times New Roman"/>
          <w:iCs/>
          <w:color w:val="000000"/>
        </w:rPr>
        <w:t>Doporučuje se, aby léčba přípravkem Zirabev spolu s erlotinibem pokračovala až do progrese onemocnění.</w:t>
      </w:r>
    </w:p>
    <w:p w14:paraId="0C028971" w14:textId="77777777" w:rsidR="00764A33" w:rsidRPr="00381DC2" w:rsidRDefault="00764A33" w:rsidP="00764A33">
      <w:pPr>
        <w:rPr>
          <w:rFonts w:ascii="Times New Roman" w:hAnsi="Times New Roman"/>
          <w:iCs/>
          <w:color w:val="000000"/>
        </w:rPr>
      </w:pPr>
    </w:p>
    <w:p w14:paraId="585F753D" w14:textId="77777777" w:rsidR="00764A33" w:rsidRPr="00381DC2" w:rsidRDefault="00764A33" w:rsidP="00764A33">
      <w:pPr>
        <w:rPr>
          <w:rFonts w:ascii="Times New Roman" w:hAnsi="Times New Roman"/>
          <w:iCs/>
          <w:color w:val="000000"/>
        </w:rPr>
      </w:pPr>
      <w:r w:rsidRPr="00381DC2">
        <w:rPr>
          <w:rFonts w:ascii="Times New Roman" w:hAnsi="Times New Roman"/>
          <w:iCs/>
          <w:color w:val="000000"/>
        </w:rPr>
        <w:t>Kompletní informace o dávkování a způsobu podání erlotinibu naleznete v Souhrnu údajů o přípravku pro erlotinib.</w:t>
      </w:r>
    </w:p>
    <w:p w14:paraId="6121800C" w14:textId="77777777" w:rsidR="00764A33" w:rsidRPr="00381DC2" w:rsidRDefault="00764A33" w:rsidP="00764A33">
      <w:pPr>
        <w:rPr>
          <w:rFonts w:ascii="Times New Roman" w:hAnsi="Times New Roman"/>
          <w:iCs/>
          <w:color w:val="000000"/>
        </w:rPr>
      </w:pPr>
    </w:p>
    <w:p w14:paraId="5D3A32DC" w14:textId="77777777" w:rsidR="00D15122" w:rsidRPr="00381DC2" w:rsidRDefault="009B0756" w:rsidP="007F6E1B">
      <w:pPr>
        <w:rPr>
          <w:rFonts w:ascii="Times New Roman" w:eastAsia="Times New Roman" w:hAnsi="Times New Roman"/>
          <w:i/>
          <w:color w:val="000000"/>
        </w:rPr>
      </w:pPr>
      <w:r w:rsidRPr="00381DC2">
        <w:rPr>
          <w:rFonts w:ascii="Times New Roman" w:hAnsi="Times New Roman"/>
          <w:i/>
          <w:color w:val="000000"/>
          <w:u w:val="single" w:color="000000"/>
        </w:rPr>
        <w:t>Pokročil</w:t>
      </w:r>
      <w:r w:rsidR="0092511C" w:rsidRPr="00381DC2">
        <w:rPr>
          <w:rFonts w:ascii="Times New Roman" w:hAnsi="Times New Roman"/>
          <w:i/>
          <w:color w:val="000000"/>
          <w:u w:val="single" w:color="000000"/>
        </w:rPr>
        <w:t>ý</w:t>
      </w:r>
      <w:r w:rsidRPr="00381DC2">
        <w:rPr>
          <w:rFonts w:ascii="Times New Roman" w:hAnsi="Times New Roman"/>
          <w:i/>
          <w:color w:val="000000"/>
          <w:u w:val="single" w:color="000000"/>
        </w:rPr>
        <w:t xml:space="preserve"> a/nebo </w:t>
      </w:r>
      <w:r w:rsidR="00F0199F" w:rsidRPr="00381DC2">
        <w:rPr>
          <w:rFonts w:ascii="Times New Roman" w:hAnsi="Times New Roman"/>
          <w:i/>
          <w:color w:val="000000"/>
          <w:u w:val="single" w:color="000000"/>
        </w:rPr>
        <w:t>metasta</w:t>
      </w:r>
      <w:r w:rsidR="0092511C" w:rsidRPr="00381DC2">
        <w:rPr>
          <w:rFonts w:ascii="Times New Roman" w:hAnsi="Times New Roman"/>
          <w:i/>
          <w:color w:val="000000"/>
          <w:u w:val="single" w:color="000000"/>
        </w:rPr>
        <w:t>zující</w:t>
      </w:r>
      <w:r w:rsidR="00F0199F" w:rsidRPr="00381DC2">
        <w:rPr>
          <w:rFonts w:ascii="Times New Roman" w:hAnsi="Times New Roman"/>
          <w:i/>
          <w:color w:val="000000"/>
          <w:u w:val="single" w:color="000000"/>
        </w:rPr>
        <w:t xml:space="preserve"> </w:t>
      </w:r>
      <w:r w:rsidR="0092511C" w:rsidRPr="00381DC2">
        <w:rPr>
          <w:rFonts w:ascii="Times New Roman" w:hAnsi="Times New Roman"/>
          <w:i/>
          <w:color w:val="000000"/>
          <w:u w:val="single" w:color="000000"/>
        </w:rPr>
        <w:t>karcinom</w:t>
      </w:r>
      <w:r w:rsidR="00F0199F" w:rsidRPr="00381DC2">
        <w:rPr>
          <w:rFonts w:ascii="Times New Roman" w:hAnsi="Times New Roman"/>
          <w:i/>
          <w:color w:val="000000"/>
          <w:u w:val="single" w:color="000000"/>
        </w:rPr>
        <w:t xml:space="preserve"> ledvin</w:t>
      </w:r>
      <w:r w:rsidRPr="00381DC2">
        <w:rPr>
          <w:rFonts w:ascii="Times New Roman" w:hAnsi="Times New Roman"/>
          <w:i/>
          <w:color w:val="000000"/>
          <w:u w:val="single" w:color="000000"/>
        </w:rPr>
        <w:t xml:space="preserve"> (</w:t>
      </w:r>
      <w:r w:rsidR="0092511C" w:rsidRPr="00381DC2">
        <w:rPr>
          <w:rFonts w:ascii="Times New Roman" w:hAnsi="Times New Roman"/>
          <w:i/>
          <w:color w:val="000000"/>
          <w:u w:val="single" w:color="000000"/>
        </w:rPr>
        <w:t xml:space="preserve">metastatic renal cell cancer, </w:t>
      </w:r>
      <w:r w:rsidRPr="00381DC2">
        <w:rPr>
          <w:rFonts w:ascii="Times New Roman" w:hAnsi="Times New Roman"/>
          <w:i/>
          <w:color w:val="000000"/>
          <w:u w:val="single" w:color="000000"/>
        </w:rPr>
        <w:t>mRCC)</w:t>
      </w:r>
    </w:p>
    <w:p w14:paraId="1CBE0E58" w14:textId="77777777" w:rsidR="00D15122" w:rsidRPr="00381DC2" w:rsidRDefault="00D15122" w:rsidP="007F6E1B">
      <w:pPr>
        <w:rPr>
          <w:rFonts w:ascii="Times New Roman" w:eastAsia="Times New Roman" w:hAnsi="Times New Roman"/>
          <w:color w:val="000000"/>
        </w:rPr>
      </w:pPr>
    </w:p>
    <w:p w14:paraId="42391970" w14:textId="77777777" w:rsidR="00D15122" w:rsidRPr="00381DC2" w:rsidRDefault="009B0756" w:rsidP="007F6E1B">
      <w:pPr>
        <w:pStyle w:val="BodyText"/>
        <w:ind w:left="0" w:right="192"/>
        <w:rPr>
          <w:color w:val="000000"/>
        </w:rPr>
      </w:pPr>
      <w:r w:rsidRPr="00381DC2">
        <w:rPr>
          <w:color w:val="000000"/>
        </w:rPr>
        <w:t xml:space="preserve">Doporučená dávka přípravku </w:t>
      </w:r>
      <w:r w:rsidR="00CC0FAB" w:rsidRPr="00381DC2">
        <w:rPr>
          <w:color w:val="000000"/>
        </w:rPr>
        <w:t>Zirabev</w:t>
      </w:r>
      <w:r w:rsidRPr="00381DC2">
        <w:rPr>
          <w:color w:val="000000"/>
        </w:rPr>
        <w:t xml:space="preserve"> je 10 mg/kg tělesné hmotnosti </w:t>
      </w:r>
      <w:r w:rsidR="00D63038" w:rsidRPr="00381DC2">
        <w:rPr>
          <w:color w:val="000000"/>
        </w:rPr>
        <w:t xml:space="preserve">každé </w:t>
      </w:r>
      <w:r w:rsidRPr="00381DC2">
        <w:rPr>
          <w:color w:val="000000"/>
        </w:rPr>
        <w:t>2 týdny podávaná ve formě intravenózní infuze.</w:t>
      </w:r>
    </w:p>
    <w:p w14:paraId="2391C4DE" w14:textId="77777777" w:rsidR="00203535" w:rsidRPr="00381DC2" w:rsidRDefault="00203535" w:rsidP="007F6E1B">
      <w:pPr>
        <w:pStyle w:val="BodyText"/>
        <w:ind w:left="0" w:right="192"/>
        <w:rPr>
          <w:color w:val="000000"/>
        </w:rPr>
      </w:pPr>
    </w:p>
    <w:p w14:paraId="2A3A30B2" w14:textId="77777777" w:rsidR="00D15122" w:rsidRPr="00381DC2" w:rsidRDefault="009B0756" w:rsidP="007F6E1B">
      <w:pPr>
        <w:pStyle w:val="BodyText"/>
        <w:ind w:left="0" w:right="192"/>
        <w:rPr>
          <w:color w:val="000000"/>
        </w:rPr>
      </w:pPr>
      <w:r w:rsidRPr="00381DC2">
        <w:rPr>
          <w:color w:val="000000"/>
        </w:rPr>
        <w:t>Doporučuje se, aby léčba pokračovala až do progrese základního onemocnění nebo do nepřijatelné toxicity.</w:t>
      </w:r>
    </w:p>
    <w:p w14:paraId="156AF169" w14:textId="77777777" w:rsidR="00D15122" w:rsidRPr="00381DC2" w:rsidRDefault="00D15122" w:rsidP="007F6E1B">
      <w:pPr>
        <w:rPr>
          <w:rFonts w:ascii="Times New Roman" w:eastAsia="Times New Roman" w:hAnsi="Times New Roman"/>
          <w:color w:val="000000"/>
        </w:rPr>
      </w:pPr>
    </w:p>
    <w:p w14:paraId="42BC0D54" w14:textId="77777777" w:rsidR="00070FC2" w:rsidRPr="00381DC2" w:rsidRDefault="00070FC2" w:rsidP="00070FC2">
      <w:pPr>
        <w:pStyle w:val="NormalWeb"/>
        <w:spacing w:before="0" w:after="0"/>
        <w:rPr>
          <w:b/>
          <w:i/>
          <w:color w:val="000000"/>
          <w:sz w:val="22"/>
          <w:szCs w:val="22"/>
          <w:u w:val="single"/>
        </w:rPr>
      </w:pPr>
      <w:r w:rsidRPr="00381DC2">
        <w:rPr>
          <w:rStyle w:val="Strong"/>
          <w:b w:val="0"/>
          <w:i/>
          <w:color w:val="000000"/>
          <w:sz w:val="22"/>
          <w:szCs w:val="22"/>
          <w:u w:val="single"/>
        </w:rPr>
        <w:t>Epitelový nádor vaječníků, vejcovodů a primární nádor pobřišnice</w:t>
      </w:r>
    </w:p>
    <w:p w14:paraId="43583498" w14:textId="77777777" w:rsidR="00070FC2" w:rsidRPr="00381DC2" w:rsidRDefault="00070FC2" w:rsidP="00070FC2">
      <w:pPr>
        <w:pStyle w:val="NormalWeb"/>
        <w:spacing w:before="0" w:after="0"/>
        <w:rPr>
          <w:rStyle w:val="Emphasis"/>
          <w:color w:val="000000"/>
          <w:sz w:val="22"/>
          <w:szCs w:val="22"/>
        </w:rPr>
      </w:pPr>
    </w:p>
    <w:p w14:paraId="29E68655" w14:textId="77777777" w:rsidR="00070FC2" w:rsidRPr="00381DC2" w:rsidRDefault="00070FC2" w:rsidP="00070FC2">
      <w:pPr>
        <w:pStyle w:val="NormalWeb"/>
        <w:spacing w:before="0" w:after="0"/>
        <w:rPr>
          <w:color w:val="000000"/>
          <w:sz w:val="22"/>
          <w:szCs w:val="22"/>
        </w:rPr>
      </w:pPr>
      <w:r w:rsidRPr="00381DC2">
        <w:rPr>
          <w:rStyle w:val="Emphasis"/>
          <w:color w:val="000000"/>
          <w:sz w:val="22"/>
          <w:szCs w:val="22"/>
        </w:rPr>
        <w:t xml:space="preserve">Primární léčba: </w:t>
      </w:r>
      <w:r w:rsidRPr="00381DC2">
        <w:rPr>
          <w:color w:val="000000"/>
          <w:sz w:val="22"/>
          <w:szCs w:val="22"/>
        </w:rPr>
        <w:t>Přípravek Zirabev se podává spolu s karboplatinou a paklitaxelem, a to až po 6 léčebných cyklů, a následně se pokračuje v samostatné léčbě přípravkem Zirabev do progrese nemoci nebo maximálně po dobu 15 měsíců nebo do nepřijatelné toxicity, dle toho, co nastane nejdříve. Doporučená dávka přípravku Zirabev je 15 mg/kg tělesné hmotnosti podaná jedenkrát za 3 týdny ve formě intravenózní infuze.</w:t>
      </w:r>
    </w:p>
    <w:p w14:paraId="0BBC3FED" w14:textId="77777777" w:rsidR="00070FC2" w:rsidRPr="00381DC2" w:rsidRDefault="00070FC2" w:rsidP="00070FC2">
      <w:pPr>
        <w:pStyle w:val="NormalWeb"/>
        <w:spacing w:before="0" w:after="0"/>
        <w:rPr>
          <w:rStyle w:val="Emphasis"/>
          <w:color w:val="000000"/>
          <w:sz w:val="22"/>
          <w:szCs w:val="22"/>
        </w:rPr>
      </w:pPr>
    </w:p>
    <w:p w14:paraId="4FED20CB" w14:textId="77777777" w:rsidR="00070FC2" w:rsidRPr="00381DC2" w:rsidRDefault="00070FC2" w:rsidP="00070FC2">
      <w:pPr>
        <w:pStyle w:val="NormalWeb"/>
        <w:spacing w:before="0" w:after="0"/>
        <w:rPr>
          <w:color w:val="000000"/>
          <w:sz w:val="22"/>
          <w:szCs w:val="22"/>
        </w:rPr>
      </w:pPr>
      <w:r w:rsidRPr="00381DC2">
        <w:rPr>
          <w:rStyle w:val="Emphasis"/>
          <w:color w:val="000000"/>
          <w:sz w:val="22"/>
          <w:szCs w:val="22"/>
        </w:rPr>
        <w:t xml:space="preserve">Léčba rekurentního onemocnění citlivého na platinu: </w:t>
      </w:r>
      <w:r w:rsidRPr="00381DC2">
        <w:rPr>
          <w:color w:val="000000"/>
          <w:sz w:val="22"/>
          <w:szCs w:val="22"/>
        </w:rPr>
        <w:t>Přípravek Zirabev se podává buď v kombinaci s karboplatinou a gemcitabinem v 6 až 10 cyklech, nebo v kombinaci s karboplatinou a paklitaxelem v 6 až 8 cyklech, a následně se pokračuje v podávání přípravku Zirabev samotného až do progrese nemoci. Doporučená dávka přípravku Zirabev je 15 mg/kg tělesné hmotnosti podaná jedenkrát za 3 týdny ve formě intravenózní infuze.</w:t>
      </w:r>
    </w:p>
    <w:p w14:paraId="570FE057" w14:textId="77777777" w:rsidR="00070FC2" w:rsidRPr="00381DC2" w:rsidRDefault="00070FC2" w:rsidP="00070FC2">
      <w:pPr>
        <w:pStyle w:val="NormalWeb"/>
        <w:spacing w:before="0" w:after="0"/>
        <w:rPr>
          <w:color w:val="000000"/>
          <w:sz w:val="22"/>
          <w:szCs w:val="22"/>
        </w:rPr>
      </w:pPr>
    </w:p>
    <w:p w14:paraId="171E4638" w14:textId="77777777" w:rsidR="00070FC2" w:rsidRPr="00381DC2" w:rsidRDefault="00070FC2" w:rsidP="00070FC2">
      <w:pPr>
        <w:pStyle w:val="NormalWeb"/>
        <w:spacing w:before="0" w:after="0"/>
        <w:rPr>
          <w:color w:val="000000"/>
          <w:sz w:val="22"/>
          <w:szCs w:val="22"/>
        </w:rPr>
      </w:pPr>
      <w:r w:rsidRPr="00381DC2">
        <w:rPr>
          <w:rStyle w:val="Emphasis"/>
          <w:color w:val="000000"/>
          <w:sz w:val="22"/>
          <w:szCs w:val="22"/>
        </w:rPr>
        <w:t xml:space="preserve">Léčba rekurentního onemocnění rezistentního k platině: </w:t>
      </w:r>
      <w:r w:rsidRPr="00381DC2">
        <w:rPr>
          <w:color w:val="000000"/>
          <w:sz w:val="22"/>
          <w:szCs w:val="22"/>
        </w:rPr>
        <w:t xml:space="preserve">Přípravek Zirabev se podává v kombinaci s jednou z následujících látek </w:t>
      </w:r>
      <w:r w:rsidR="003969FE" w:rsidRPr="00381DC2">
        <w:rPr>
          <w:color w:val="000000"/>
          <w:sz w:val="22"/>
          <w:szCs w:val="22"/>
        </w:rPr>
        <w:t>–</w:t>
      </w:r>
      <w:r w:rsidRPr="00381DC2">
        <w:rPr>
          <w:color w:val="000000"/>
          <w:sz w:val="22"/>
          <w:szCs w:val="22"/>
        </w:rPr>
        <w:t xml:space="preserve"> </w:t>
      </w:r>
      <w:r w:rsidR="003969FE" w:rsidRPr="00381DC2">
        <w:rPr>
          <w:color w:val="000000"/>
          <w:sz w:val="22"/>
          <w:szCs w:val="22"/>
        </w:rPr>
        <w:t xml:space="preserve">paklitaxel, </w:t>
      </w:r>
      <w:r w:rsidRPr="00381DC2">
        <w:rPr>
          <w:color w:val="000000"/>
          <w:sz w:val="22"/>
          <w:szCs w:val="22"/>
        </w:rPr>
        <w:t>topotekan (podáván týdně) nebo pegylovaný liposomální doxorubicin. Doporučená dávka přípravku Zirabev je 10 mg/kg tělesné hmotnosti podaná jedenkrát za 2 týdny ve formě intravenózní infuze. Při podání přípravku Zirabev v kombinaci s topotekanem (podání ve dnech 1-5, každé 3 týdny) je doporučená dávka přípravku Zirabev 15 mg/kg tělesné hmotnosti podaná jedenkrát za 3 týdny ve formě intravenózní infuze. Doporučuje se, aby léčba trvala do progrese nemoci nebo nepřijatelné toxicity (viz bod 5.1, studie MO 22224).</w:t>
      </w:r>
    </w:p>
    <w:p w14:paraId="7F78994C" w14:textId="77777777" w:rsidR="00070FC2" w:rsidRPr="00381DC2" w:rsidRDefault="00070FC2" w:rsidP="007F6E1B">
      <w:pPr>
        <w:rPr>
          <w:rFonts w:ascii="Times New Roman" w:eastAsia="Times New Roman" w:hAnsi="Times New Roman"/>
          <w:color w:val="000000"/>
        </w:rPr>
      </w:pPr>
    </w:p>
    <w:p w14:paraId="509DF956" w14:textId="77777777" w:rsidR="00D15122" w:rsidRPr="00381DC2" w:rsidRDefault="009B0756" w:rsidP="002B0DE8">
      <w:pPr>
        <w:keepNext/>
        <w:keepLines/>
        <w:rPr>
          <w:rFonts w:ascii="Times New Roman" w:eastAsia="Times New Roman" w:hAnsi="Times New Roman"/>
          <w:i/>
          <w:color w:val="000000"/>
        </w:rPr>
      </w:pPr>
      <w:r w:rsidRPr="00381DC2">
        <w:rPr>
          <w:rFonts w:ascii="Times New Roman" w:hAnsi="Times New Roman"/>
          <w:i/>
          <w:color w:val="000000"/>
          <w:u w:val="single" w:color="000000"/>
        </w:rPr>
        <w:t xml:space="preserve">Karcinom děložního </w:t>
      </w:r>
      <w:r w:rsidR="0092511C" w:rsidRPr="00381DC2">
        <w:rPr>
          <w:rFonts w:ascii="Times New Roman" w:hAnsi="Times New Roman"/>
          <w:i/>
          <w:color w:val="000000"/>
          <w:u w:val="single" w:color="000000"/>
        </w:rPr>
        <w:t>čípku</w:t>
      </w:r>
    </w:p>
    <w:p w14:paraId="5773347A" w14:textId="77777777" w:rsidR="00D15122" w:rsidRPr="00381DC2" w:rsidRDefault="00D15122" w:rsidP="002B0DE8">
      <w:pPr>
        <w:keepNext/>
        <w:keepLines/>
        <w:rPr>
          <w:rFonts w:ascii="Times New Roman" w:eastAsia="Times New Roman" w:hAnsi="Times New Roman"/>
          <w:color w:val="000000"/>
        </w:rPr>
      </w:pPr>
    </w:p>
    <w:p w14:paraId="79B11D29" w14:textId="77777777" w:rsidR="00D15122" w:rsidRPr="00381DC2" w:rsidRDefault="00426DA8" w:rsidP="007F6E1B">
      <w:pPr>
        <w:pStyle w:val="BodyText"/>
        <w:ind w:left="0" w:right="192"/>
        <w:rPr>
          <w:color w:val="000000"/>
        </w:rPr>
      </w:pPr>
      <w:r w:rsidRPr="00381DC2">
        <w:rPr>
          <w:color w:val="000000"/>
        </w:rPr>
        <w:t xml:space="preserve">Přípravek </w:t>
      </w:r>
      <w:r w:rsidR="00CC0FAB" w:rsidRPr="00381DC2">
        <w:rPr>
          <w:color w:val="000000"/>
        </w:rPr>
        <w:t>Zirabev</w:t>
      </w:r>
      <w:r w:rsidRPr="00381DC2">
        <w:rPr>
          <w:color w:val="000000"/>
        </w:rPr>
        <w:t xml:space="preserve"> se podává v kombinaci s jedním z následujících režimů chemoterapie: paklitaxel a cisplatina nebo paklitaxel a topotekan.</w:t>
      </w:r>
    </w:p>
    <w:p w14:paraId="1AB89CDE" w14:textId="77777777" w:rsidR="00203535" w:rsidRPr="00381DC2" w:rsidRDefault="00203535" w:rsidP="007F6E1B">
      <w:pPr>
        <w:pStyle w:val="BodyText"/>
        <w:ind w:left="0" w:right="285"/>
        <w:rPr>
          <w:color w:val="000000"/>
        </w:rPr>
      </w:pPr>
    </w:p>
    <w:p w14:paraId="3766A493" w14:textId="77777777" w:rsidR="00D15122" w:rsidRPr="00381DC2" w:rsidRDefault="009B0756" w:rsidP="007F6E1B">
      <w:pPr>
        <w:pStyle w:val="BodyText"/>
        <w:ind w:left="0" w:right="285"/>
        <w:rPr>
          <w:color w:val="000000"/>
        </w:rPr>
      </w:pPr>
      <w:r w:rsidRPr="00381DC2">
        <w:rPr>
          <w:color w:val="000000"/>
        </w:rPr>
        <w:t xml:space="preserve">Doporučená dávka přípravku </w:t>
      </w:r>
      <w:r w:rsidR="00CC0FAB" w:rsidRPr="00381DC2">
        <w:rPr>
          <w:color w:val="000000"/>
        </w:rPr>
        <w:t>Zirabev</w:t>
      </w:r>
      <w:r w:rsidRPr="00381DC2">
        <w:rPr>
          <w:color w:val="000000"/>
        </w:rPr>
        <w:t xml:space="preserve"> je 15 mg/kg tělesné hmotnosti </w:t>
      </w:r>
      <w:r w:rsidR="00D63038" w:rsidRPr="00381DC2">
        <w:rPr>
          <w:color w:val="000000"/>
        </w:rPr>
        <w:t xml:space="preserve">každé </w:t>
      </w:r>
      <w:r w:rsidRPr="00381DC2">
        <w:rPr>
          <w:color w:val="000000"/>
        </w:rPr>
        <w:t xml:space="preserve">3 týdny podávaná ve </w:t>
      </w:r>
      <w:r w:rsidRPr="00381DC2">
        <w:rPr>
          <w:color w:val="000000"/>
        </w:rPr>
        <w:lastRenderedPageBreak/>
        <w:t>formě intravenózní infuze.</w:t>
      </w:r>
    </w:p>
    <w:p w14:paraId="77C47085" w14:textId="77777777" w:rsidR="00203535" w:rsidRPr="00381DC2" w:rsidRDefault="00203535" w:rsidP="007F6E1B">
      <w:pPr>
        <w:pStyle w:val="BodyText"/>
        <w:ind w:left="0" w:right="192"/>
        <w:rPr>
          <w:color w:val="000000"/>
        </w:rPr>
      </w:pPr>
    </w:p>
    <w:p w14:paraId="461D8558" w14:textId="77777777" w:rsidR="00D15122" w:rsidRPr="00381DC2" w:rsidRDefault="009B0756" w:rsidP="007F6E1B">
      <w:pPr>
        <w:pStyle w:val="BodyText"/>
        <w:ind w:left="0" w:right="192"/>
        <w:rPr>
          <w:color w:val="000000"/>
        </w:rPr>
      </w:pPr>
      <w:r w:rsidRPr="00381DC2">
        <w:rPr>
          <w:color w:val="000000"/>
        </w:rPr>
        <w:t>Doporučuje se, aby léčba pokračovala až do progrese základního onemocnění nebo do nepřijatelné toxicity (viz bod 5.1).</w:t>
      </w:r>
    </w:p>
    <w:p w14:paraId="75915184" w14:textId="77777777" w:rsidR="00D15122" w:rsidRPr="00381DC2" w:rsidRDefault="00D15122" w:rsidP="007F6E1B">
      <w:pPr>
        <w:rPr>
          <w:rFonts w:ascii="Times New Roman" w:eastAsia="Times New Roman" w:hAnsi="Times New Roman"/>
          <w:color w:val="000000"/>
        </w:rPr>
      </w:pPr>
    </w:p>
    <w:p w14:paraId="62F118E8" w14:textId="77777777" w:rsidR="00D15122" w:rsidRPr="00381DC2" w:rsidRDefault="009B0756" w:rsidP="00564363">
      <w:pPr>
        <w:keepNext/>
        <w:rPr>
          <w:rFonts w:ascii="Times New Roman" w:eastAsia="Times New Roman" w:hAnsi="Times New Roman"/>
          <w:i/>
          <w:color w:val="000000"/>
        </w:rPr>
      </w:pPr>
      <w:r w:rsidRPr="00381DC2">
        <w:rPr>
          <w:rFonts w:ascii="Times New Roman" w:hAnsi="Times New Roman"/>
          <w:i/>
          <w:color w:val="000000"/>
          <w:u w:val="single" w:color="000000"/>
        </w:rPr>
        <w:t xml:space="preserve">Zvláštní </w:t>
      </w:r>
      <w:r w:rsidR="00177A47" w:rsidRPr="00381DC2">
        <w:rPr>
          <w:rFonts w:ascii="Times New Roman" w:hAnsi="Times New Roman"/>
          <w:i/>
          <w:color w:val="000000"/>
          <w:u w:val="single" w:color="000000"/>
        </w:rPr>
        <w:t>populace</w:t>
      </w:r>
    </w:p>
    <w:p w14:paraId="5655621C" w14:textId="77777777" w:rsidR="00D15122" w:rsidRPr="00381DC2" w:rsidRDefault="00D15122" w:rsidP="00564363">
      <w:pPr>
        <w:keepNext/>
        <w:rPr>
          <w:rFonts w:ascii="Times New Roman" w:eastAsia="Times New Roman" w:hAnsi="Times New Roman"/>
          <w:color w:val="000000"/>
        </w:rPr>
      </w:pPr>
    </w:p>
    <w:p w14:paraId="24A1A03E" w14:textId="77777777" w:rsidR="004065AC" w:rsidRPr="00381DC2" w:rsidRDefault="009B0756" w:rsidP="00564363">
      <w:pPr>
        <w:keepNext/>
        <w:rPr>
          <w:rFonts w:ascii="Times New Roman" w:hAnsi="Times New Roman"/>
          <w:color w:val="000000"/>
        </w:rPr>
      </w:pPr>
      <w:r w:rsidRPr="00381DC2">
        <w:rPr>
          <w:rFonts w:ascii="Times New Roman" w:hAnsi="Times New Roman"/>
          <w:i/>
          <w:color w:val="000000"/>
        </w:rPr>
        <w:t>Starší pacienti</w:t>
      </w:r>
    </w:p>
    <w:p w14:paraId="678D3CB8" w14:textId="77777777" w:rsidR="00D15122" w:rsidRPr="00381DC2" w:rsidRDefault="009B0756" w:rsidP="00564363">
      <w:pPr>
        <w:keepNext/>
        <w:rPr>
          <w:rFonts w:ascii="Times New Roman" w:eastAsia="Times New Roman" w:hAnsi="Times New Roman"/>
          <w:color w:val="000000"/>
        </w:rPr>
      </w:pPr>
      <w:r w:rsidRPr="00381DC2">
        <w:rPr>
          <w:rFonts w:ascii="Times New Roman" w:hAnsi="Times New Roman"/>
          <w:color w:val="000000"/>
        </w:rPr>
        <w:t>U pacientů</w:t>
      </w:r>
      <w:r w:rsidR="00301388" w:rsidRPr="00381DC2">
        <w:rPr>
          <w:rFonts w:ascii="Times New Roman" w:hAnsi="Times New Roman"/>
          <w:color w:val="000000"/>
        </w:rPr>
        <w:t xml:space="preserve"> ve věku ≥ 65 let</w:t>
      </w:r>
      <w:r w:rsidRPr="00381DC2">
        <w:rPr>
          <w:rFonts w:ascii="Times New Roman" w:hAnsi="Times New Roman"/>
          <w:color w:val="000000"/>
        </w:rPr>
        <w:t xml:space="preserve"> není potřeba upravovat dávkování.</w:t>
      </w:r>
    </w:p>
    <w:p w14:paraId="305F42A6" w14:textId="77777777" w:rsidR="00D15122" w:rsidRPr="00381DC2" w:rsidRDefault="00D15122" w:rsidP="007F6E1B">
      <w:pPr>
        <w:rPr>
          <w:rFonts w:ascii="Times New Roman" w:eastAsia="Times New Roman" w:hAnsi="Times New Roman"/>
          <w:color w:val="000000"/>
        </w:rPr>
      </w:pPr>
    </w:p>
    <w:p w14:paraId="518CB20C" w14:textId="77777777" w:rsidR="004065AC" w:rsidRPr="00381DC2" w:rsidRDefault="009B0756" w:rsidP="007F6E1B">
      <w:pPr>
        <w:ind w:right="285"/>
        <w:rPr>
          <w:rFonts w:ascii="Times New Roman" w:hAnsi="Times New Roman"/>
          <w:color w:val="000000"/>
        </w:rPr>
      </w:pPr>
      <w:r w:rsidRPr="00381DC2">
        <w:rPr>
          <w:rFonts w:ascii="Times New Roman" w:hAnsi="Times New Roman"/>
          <w:i/>
          <w:color w:val="000000"/>
        </w:rPr>
        <w:t>Pacienti s poruchou funkce ledvin</w:t>
      </w:r>
    </w:p>
    <w:p w14:paraId="1D9744BD" w14:textId="77777777" w:rsidR="00D15122" w:rsidRPr="00381DC2" w:rsidRDefault="009B0756" w:rsidP="007F6E1B">
      <w:pPr>
        <w:ind w:right="285"/>
        <w:rPr>
          <w:rFonts w:ascii="Times New Roman" w:eastAsia="Times New Roman" w:hAnsi="Times New Roman"/>
          <w:color w:val="000000"/>
        </w:rPr>
      </w:pPr>
      <w:r w:rsidRPr="00381DC2">
        <w:rPr>
          <w:rFonts w:ascii="Times New Roman" w:hAnsi="Times New Roman"/>
          <w:color w:val="000000"/>
        </w:rPr>
        <w:t xml:space="preserve">Bezpečnost a účinnost nebyla u pacientů s poruchou funkce ledvin </w:t>
      </w:r>
      <w:r w:rsidR="001F02D5" w:rsidRPr="00381DC2">
        <w:rPr>
          <w:rFonts w:ascii="Times New Roman" w:hAnsi="Times New Roman"/>
          <w:color w:val="000000"/>
        </w:rPr>
        <w:t>hodnocena</w:t>
      </w:r>
      <w:r w:rsidRPr="00381DC2">
        <w:rPr>
          <w:rFonts w:ascii="Times New Roman" w:hAnsi="Times New Roman"/>
          <w:color w:val="000000"/>
        </w:rPr>
        <w:t xml:space="preserve"> (viz bod 5.2).</w:t>
      </w:r>
    </w:p>
    <w:p w14:paraId="4F34B9FC" w14:textId="77777777" w:rsidR="00D15122" w:rsidRPr="00381DC2" w:rsidRDefault="00D15122" w:rsidP="007F6E1B">
      <w:pPr>
        <w:rPr>
          <w:rFonts w:ascii="Times New Roman" w:eastAsia="Times New Roman" w:hAnsi="Times New Roman"/>
          <w:color w:val="000000"/>
        </w:rPr>
      </w:pPr>
    </w:p>
    <w:p w14:paraId="34CFE2A5" w14:textId="77777777" w:rsidR="004065AC" w:rsidRPr="00381DC2" w:rsidRDefault="009B0756" w:rsidP="007F6E1B">
      <w:pPr>
        <w:ind w:right="192"/>
        <w:rPr>
          <w:rFonts w:ascii="Times New Roman" w:hAnsi="Times New Roman"/>
          <w:color w:val="000000"/>
        </w:rPr>
      </w:pPr>
      <w:r w:rsidRPr="00381DC2">
        <w:rPr>
          <w:rFonts w:ascii="Times New Roman" w:hAnsi="Times New Roman"/>
          <w:i/>
          <w:color w:val="000000"/>
        </w:rPr>
        <w:t>Pacienti s poruchou funkce jater</w:t>
      </w:r>
    </w:p>
    <w:p w14:paraId="2636B593" w14:textId="77777777" w:rsidR="00D15122" w:rsidRPr="00381DC2" w:rsidRDefault="009B0756" w:rsidP="007F6E1B">
      <w:pPr>
        <w:ind w:right="192"/>
        <w:rPr>
          <w:rFonts w:ascii="Times New Roman" w:eastAsia="Times New Roman" w:hAnsi="Times New Roman"/>
          <w:color w:val="000000"/>
        </w:rPr>
      </w:pPr>
      <w:r w:rsidRPr="00381DC2">
        <w:rPr>
          <w:rFonts w:ascii="Times New Roman" w:hAnsi="Times New Roman"/>
          <w:color w:val="000000"/>
        </w:rPr>
        <w:t xml:space="preserve">Bezpečnost a účinnost nebyla u pacientů s poruchou funkce jater </w:t>
      </w:r>
      <w:r w:rsidR="001F02D5" w:rsidRPr="00381DC2">
        <w:rPr>
          <w:rFonts w:ascii="Times New Roman" w:hAnsi="Times New Roman"/>
          <w:color w:val="000000"/>
        </w:rPr>
        <w:t>hodnocena</w:t>
      </w:r>
      <w:r w:rsidRPr="00381DC2">
        <w:rPr>
          <w:rFonts w:ascii="Times New Roman" w:hAnsi="Times New Roman"/>
          <w:color w:val="000000"/>
        </w:rPr>
        <w:t xml:space="preserve"> (viz bod 5.2).</w:t>
      </w:r>
    </w:p>
    <w:p w14:paraId="1BE095E1" w14:textId="77777777" w:rsidR="006F7CE5" w:rsidRPr="00381DC2" w:rsidRDefault="006F7CE5" w:rsidP="007F6E1B">
      <w:pPr>
        <w:rPr>
          <w:rFonts w:ascii="Times New Roman" w:hAnsi="Times New Roman"/>
          <w:color w:val="000000"/>
          <w:u w:val="single" w:color="000000"/>
        </w:rPr>
      </w:pPr>
    </w:p>
    <w:p w14:paraId="11E2AB8A" w14:textId="77777777" w:rsidR="00D15122" w:rsidRPr="00381DC2" w:rsidRDefault="009B0756" w:rsidP="00C0667E">
      <w:pPr>
        <w:keepNext/>
        <w:rPr>
          <w:rFonts w:ascii="Times New Roman" w:eastAsia="Times New Roman" w:hAnsi="Times New Roman"/>
          <w:i/>
          <w:color w:val="000000"/>
        </w:rPr>
      </w:pPr>
      <w:r w:rsidRPr="00381DC2">
        <w:rPr>
          <w:rFonts w:ascii="Times New Roman" w:hAnsi="Times New Roman"/>
          <w:i/>
          <w:color w:val="000000"/>
          <w:u w:val="single" w:color="000000"/>
        </w:rPr>
        <w:t>Pediatrická populace</w:t>
      </w:r>
    </w:p>
    <w:p w14:paraId="3FDB7598" w14:textId="77777777" w:rsidR="00D15122" w:rsidRPr="00381DC2" w:rsidRDefault="00D15122" w:rsidP="007F6E1B">
      <w:pPr>
        <w:rPr>
          <w:rFonts w:ascii="Times New Roman" w:eastAsia="Times New Roman" w:hAnsi="Times New Roman"/>
          <w:color w:val="000000"/>
        </w:rPr>
      </w:pPr>
    </w:p>
    <w:p w14:paraId="613B255A" w14:textId="77777777" w:rsidR="00D15122" w:rsidRPr="00381DC2" w:rsidRDefault="009B0756" w:rsidP="007F6E1B">
      <w:pPr>
        <w:pStyle w:val="BodyText"/>
        <w:ind w:left="0" w:right="209"/>
        <w:rPr>
          <w:color w:val="000000"/>
        </w:rPr>
      </w:pPr>
      <w:r w:rsidRPr="00381DC2">
        <w:rPr>
          <w:color w:val="000000"/>
        </w:rPr>
        <w:t>Bezpečnost a účinnost bevacizumabu u dětí mladších 18 let nebyla stanovena. V současnosti dostupné údaje jsou uvedeny v bodě 4.8, 5.1 a 5.2, ale na jejich základě nelze učinit žádná doporučení ohledně dávkování.</w:t>
      </w:r>
    </w:p>
    <w:p w14:paraId="3514E56F" w14:textId="77777777" w:rsidR="00D15122" w:rsidRPr="00381DC2" w:rsidRDefault="00D15122" w:rsidP="007F6E1B">
      <w:pPr>
        <w:rPr>
          <w:rFonts w:ascii="Times New Roman" w:eastAsia="Times New Roman" w:hAnsi="Times New Roman"/>
          <w:color w:val="000000"/>
        </w:rPr>
      </w:pPr>
    </w:p>
    <w:p w14:paraId="7DB290D6" w14:textId="77777777" w:rsidR="00D15122" w:rsidRPr="00381DC2" w:rsidRDefault="009B0756" w:rsidP="007F6E1B">
      <w:pPr>
        <w:pStyle w:val="BodyText"/>
        <w:ind w:left="0" w:right="137"/>
        <w:rPr>
          <w:color w:val="000000"/>
        </w:rPr>
      </w:pPr>
      <w:r w:rsidRPr="00381DC2">
        <w:rPr>
          <w:color w:val="000000"/>
        </w:rPr>
        <w:t xml:space="preserve">Použití bevacizumabu v indikaci k léčbě </w:t>
      </w:r>
      <w:r w:rsidR="001F02D5" w:rsidRPr="00381DC2">
        <w:rPr>
          <w:color w:val="000000"/>
        </w:rPr>
        <w:t xml:space="preserve">nádorových onemocnění </w:t>
      </w:r>
      <w:r w:rsidRPr="00381DC2">
        <w:rPr>
          <w:color w:val="000000"/>
        </w:rPr>
        <w:t xml:space="preserve">tlustého střeva, rekta, prsu, plic, vaječníků, vejcovodů, pobřišnice, děložního </w:t>
      </w:r>
      <w:r w:rsidR="0092511C" w:rsidRPr="00381DC2">
        <w:rPr>
          <w:color w:val="000000"/>
        </w:rPr>
        <w:t>čípku</w:t>
      </w:r>
      <w:r w:rsidRPr="00381DC2">
        <w:rPr>
          <w:color w:val="000000"/>
        </w:rPr>
        <w:t xml:space="preserve"> a ledvin u pediatrické populace není relevantní.</w:t>
      </w:r>
    </w:p>
    <w:p w14:paraId="466B66D1" w14:textId="77777777" w:rsidR="00D15122" w:rsidRPr="00381DC2" w:rsidRDefault="00D15122" w:rsidP="007F6E1B">
      <w:pPr>
        <w:rPr>
          <w:rFonts w:ascii="Times New Roman" w:eastAsia="Times New Roman" w:hAnsi="Times New Roman"/>
          <w:color w:val="000000"/>
        </w:rPr>
      </w:pPr>
    </w:p>
    <w:p w14:paraId="21542A2F" w14:textId="77777777" w:rsidR="00D15122" w:rsidRPr="00381DC2" w:rsidRDefault="009B0756" w:rsidP="007F6E1B">
      <w:pPr>
        <w:pStyle w:val="BodyText"/>
        <w:ind w:left="0"/>
        <w:rPr>
          <w:color w:val="000000"/>
        </w:rPr>
      </w:pPr>
      <w:r w:rsidRPr="00381DC2">
        <w:rPr>
          <w:color w:val="000000"/>
          <w:u w:val="single" w:color="000000"/>
        </w:rPr>
        <w:t>Způsob podání</w:t>
      </w:r>
    </w:p>
    <w:p w14:paraId="34E300C7" w14:textId="77777777" w:rsidR="00D15122" w:rsidRPr="00381DC2" w:rsidRDefault="00D15122" w:rsidP="007F6E1B">
      <w:pPr>
        <w:rPr>
          <w:rFonts w:ascii="Times New Roman" w:eastAsia="Times New Roman" w:hAnsi="Times New Roman"/>
          <w:color w:val="000000"/>
        </w:rPr>
      </w:pPr>
    </w:p>
    <w:p w14:paraId="03A19283" w14:textId="77777777" w:rsidR="00D15122" w:rsidRPr="00381DC2" w:rsidRDefault="00CC0FAB" w:rsidP="00DD4FC5">
      <w:pPr>
        <w:pStyle w:val="BodyText"/>
        <w:ind w:left="0" w:right="197"/>
        <w:rPr>
          <w:color w:val="000000"/>
        </w:rPr>
      </w:pPr>
      <w:r w:rsidRPr="00381DC2">
        <w:rPr>
          <w:color w:val="000000"/>
        </w:rPr>
        <w:t>Přípravek Zirabev je určen k intravenóznímu podání.</w:t>
      </w:r>
      <w:r w:rsidR="00DF440A" w:rsidRPr="00381DC2">
        <w:rPr>
          <w:color w:val="000000"/>
        </w:rPr>
        <w:t xml:space="preserve"> </w:t>
      </w:r>
      <w:r w:rsidR="009B0756" w:rsidRPr="00381DC2">
        <w:rPr>
          <w:color w:val="000000"/>
        </w:rPr>
        <w:t xml:space="preserve">První dávka </w:t>
      </w:r>
      <w:r w:rsidR="00C4342C" w:rsidRPr="00381DC2">
        <w:rPr>
          <w:color w:val="000000"/>
        </w:rPr>
        <w:t>se má podat</w:t>
      </w:r>
      <w:r w:rsidR="009B0756" w:rsidRPr="00381DC2">
        <w:rPr>
          <w:color w:val="000000"/>
        </w:rPr>
        <w:t xml:space="preserve"> během 90 minut ve formě </w:t>
      </w:r>
      <w:r w:rsidR="000D1B8F" w:rsidRPr="00381DC2">
        <w:rPr>
          <w:color w:val="000000"/>
        </w:rPr>
        <w:t>intravenózní</w:t>
      </w:r>
      <w:r w:rsidR="009B0756" w:rsidRPr="00381DC2">
        <w:rPr>
          <w:color w:val="000000"/>
        </w:rPr>
        <w:t xml:space="preserve"> infuze. Jestliže je první infuze dobře snášena, druhá infuze může být podávána během 60 minut. Jestliže je dobře snášena infuze podávaná během 60 minut, všechny následující infuze mohou být podávány během 30 minut.</w:t>
      </w:r>
    </w:p>
    <w:p w14:paraId="687E5240" w14:textId="77777777" w:rsidR="00D15122" w:rsidRPr="00381DC2" w:rsidRDefault="00D15122" w:rsidP="00422275">
      <w:pPr>
        <w:rPr>
          <w:rFonts w:ascii="Times New Roman" w:eastAsia="Times New Roman" w:hAnsi="Times New Roman"/>
          <w:color w:val="000000"/>
        </w:rPr>
      </w:pPr>
    </w:p>
    <w:p w14:paraId="512656F6" w14:textId="77777777" w:rsidR="00D15122" w:rsidRPr="00381DC2" w:rsidRDefault="009B0756" w:rsidP="00DD4FC5">
      <w:pPr>
        <w:pStyle w:val="BodyText"/>
        <w:ind w:left="0"/>
        <w:rPr>
          <w:color w:val="000000"/>
        </w:rPr>
      </w:pPr>
      <w:r w:rsidRPr="00381DC2">
        <w:rPr>
          <w:color w:val="000000"/>
        </w:rPr>
        <w:t xml:space="preserve">Nemá se podávat jako </w:t>
      </w:r>
      <w:r w:rsidR="000D1B8F" w:rsidRPr="00381DC2">
        <w:rPr>
          <w:color w:val="000000"/>
        </w:rPr>
        <w:t xml:space="preserve">intravenózní </w:t>
      </w:r>
      <w:r w:rsidRPr="00381DC2">
        <w:rPr>
          <w:color w:val="000000"/>
        </w:rPr>
        <w:t>bolus.</w:t>
      </w:r>
    </w:p>
    <w:p w14:paraId="46E302EB" w14:textId="77777777" w:rsidR="00D15122" w:rsidRPr="00381DC2" w:rsidRDefault="00D15122" w:rsidP="00422275">
      <w:pPr>
        <w:rPr>
          <w:rFonts w:ascii="Times New Roman" w:eastAsia="Times New Roman" w:hAnsi="Times New Roman"/>
          <w:color w:val="000000"/>
        </w:rPr>
      </w:pPr>
    </w:p>
    <w:p w14:paraId="0DF3CC43" w14:textId="77777777" w:rsidR="00D15122" w:rsidRPr="00381DC2" w:rsidRDefault="009B0756" w:rsidP="00422275">
      <w:pPr>
        <w:pStyle w:val="BodyText"/>
        <w:ind w:left="0" w:right="137"/>
        <w:rPr>
          <w:color w:val="000000"/>
        </w:rPr>
      </w:pPr>
      <w:r w:rsidRPr="00381DC2">
        <w:rPr>
          <w:color w:val="000000"/>
        </w:rPr>
        <w:t>Snížení dávky z důvodu nežádoucích účinků se nedoporučuje. Léčba má být buď trvale ukončena, nebo dočasně pozastavena, jak je popsáno v bodě 4.4, pokud je tak indikováno.</w:t>
      </w:r>
    </w:p>
    <w:p w14:paraId="5CEFE67A" w14:textId="77777777" w:rsidR="00D15122" w:rsidRPr="00381DC2" w:rsidRDefault="00D15122" w:rsidP="00422275">
      <w:pPr>
        <w:rPr>
          <w:rFonts w:ascii="Times New Roman" w:eastAsia="Times New Roman" w:hAnsi="Times New Roman"/>
          <w:color w:val="000000"/>
        </w:rPr>
      </w:pPr>
    </w:p>
    <w:p w14:paraId="7A69C2BD" w14:textId="77777777" w:rsidR="00D15122" w:rsidRPr="00381DC2" w:rsidRDefault="009B0756" w:rsidP="00DD4FC5">
      <w:pPr>
        <w:keepNext/>
        <w:rPr>
          <w:rFonts w:ascii="Times New Roman" w:eastAsia="Times New Roman" w:hAnsi="Times New Roman"/>
          <w:i/>
          <w:color w:val="000000"/>
        </w:rPr>
      </w:pPr>
      <w:r w:rsidRPr="00381DC2">
        <w:rPr>
          <w:rFonts w:ascii="Times New Roman" w:hAnsi="Times New Roman"/>
          <w:i/>
          <w:color w:val="000000"/>
          <w:u w:val="single" w:color="000000"/>
        </w:rPr>
        <w:t>Opatření, která je nutno učinit před zacházením s léčivým přípravkem nebo před jeho podáním</w:t>
      </w:r>
    </w:p>
    <w:p w14:paraId="4660C67E" w14:textId="77777777" w:rsidR="00D15122" w:rsidRPr="00381DC2" w:rsidRDefault="00D15122" w:rsidP="00422275">
      <w:pPr>
        <w:keepNext/>
        <w:rPr>
          <w:rFonts w:ascii="Times New Roman" w:eastAsia="Times New Roman" w:hAnsi="Times New Roman"/>
          <w:color w:val="000000"/>
        </w:rPr>
      </w:pPr>
    </w:p>
    <w:p w14:paraId="09ABB71A" w14:textId="77777777" w:rsidR="00D15122" w:rsidRPr="00381DC2" w:rsidRDefault="009B0756" w:rsidP="00DD4FC5">
      <w:pPr>
        <w:pStyle w:val="BodyText"/>
        <w:ind w:left="0" w:right="393"/>
        <w:rPr>
          <w:color w:val="000000"/>
        </w:rPr>
      </w:pPr>
      <w:r w:rsidRPr="00381DC2">
        <w:rPr>
          <w:color w:val="000000"/>
        </w:rPr>
        <w:t xml:space="preserve">Návod k naředění tohoto léčivého přípravku před jeho podáním je uveden v bodě 6.6. Infuze přípravku </w:t>
      </w:r>
      <w:r w:rsidR="00CC0FAB" w:rsidRPr="00381DC2">
        <w:rPr>
          <w:color w:val="000000"/>
        </w:rPr>
        <w:t>Zirabev</w:t>
      </w:r>
      <w:r w:rsidRPr="00381DC2">
        <w:rPr>
          <w:color w:val="000000"/>
        </w:rPr>
        <w:t xml:space="preserve"> nesmí být podávány nebo míchány s roztoky glukózy. Tento léčivý přípravek nesmí být mísen s jinými léčivými přípravky s výjimkou těch, které jsou uvedeny v bodě 6.6.</w:t>
      </w:r>
    </w:p>
    <w:p w14:paraId="1B9C266E" w14:textId="77777777" w:rsidR="00D15122" w:rsidRPr="00381DC2" w:rsidRDefault="00D15122" w:rsidP="007F6E1B">
      <w:pPr>
        <w:rPr>
          <w:rFonts w:ascii="Times New Roman" w:eastAsia="Times New Roman" w:hAnsi="Times New Roman"/>
          <w:color w:val="000000"/>
        </w:rPr>
      </w:pPr>
    </w:p>
    <w:p w14:paraId="507B1676" w14:textId="77777777" w:rsidR="00D15122" w:rsidRPr="00381DC2" w:rsidRDefault="003E4A60" w:rsidP="001B6CD8">
      <w:pPr>
        <w:tabs>
          <w:tab w:val="left" w:pos="685"/>
        </w:tabs>
        <w:rPr>
          <w:rFonts w:ascii="Times New Roman" w:hAnsi="Times New Roman"/>
          <w:b/>
          <w:color w:val="000000"/>
        </w:rPr>
      </w:pPr>
      <w:r w:rsidRPr="00381DC2">
        <w:rPr>
          <w:rFonts w:ascii="Times New Roman" w:hAnsi="Times New Roman"/>
          <w:b/>
          <w:color w:val="000000"/>
        </w:rPr>
        <w:t>4.3</w:t>
      </w:r>
      <w:r w:rsidRPr="00381DC2">
        <w:rPr>
          <w:rFonts w:ascii="Times New Roman" w:hAnsi="Times New Roman"/>
          <w:b/>
          <w:color w:val="000000"/>
        </w:rPr>
        <w:tab/>
        <w:t>Kontraindikace</w:t>
      </w:r>
    </w:p>
    <w:p w14:paraId="1D19982B" w14:textId="77777777" w:rsidR="00D15122" w:rsidRPr="00381DC2" w:rsidRDefault="00D15122" w:rsidP="007F6E1B">
      <w:pPr>
        <w:rPr>
          <w:rFonts w:ascii="Times New Roman" w:eastAsia="Times New Roman" w:hAnsi="Times New Roman"/>
          <w:bCs/>
          <w:color w:val="000000"/>
        </w:rPr>
      </w:pPr>
    </w:p>
    <w:p w14:paraId="79EF614A" w14:textId="77777777" w:rsidR="00D15122" w:rsidRPr="00381DC2" w:rsidRDefault="009B0756" w:rsidP="00E93E96">
      <w:pPr>
        <w:pStyle w:val="BodyText"/>
        <w:numPr>
          <w:ilvl w:val="0"/>
          <w:numId w:val="25"/>
        </w:numPr>
        <w:tabs>
          <w:tab w:val="left" w:pos="719"/>
        </w:tabs>
        <w:spacing w:line="253" w:lineRule="exact"/>
        <w:rPr>
          <w:color w:val="000000"/>
        </w:rPr>
      </w:pPr>
      <w:r w:rsidRPr="00381DC2">
        <w:rPr>
          <w:color w:val="000000"/>
        </w:rPr>
        <w:t>Hypersenzitivita na léčivou látku nebo na kteroukoli pomocnou látku uvedenou v bodě 6.1.</w:t>
      </w:r>
    </w:p>
    <w:p w14:paraId="6F745282" w14:textId="77777777" w:rsidR="00D15122" w:rsidRPr="00381DC2" w:rsidRDefault="009B0756" w:rsidP="00E93E96">
      <w:pPr>
        <w:pStyle w:val="BodyText"/>
        <w:numPr>
          <w:ilvl w:val="0"/>
          <w:numId w:val="25"/>
        </w:numPr>
        <w:tabs>
          <w:tab w:val="left" w:pos="719"/>
        </w:tabs>
        <w:ind w:right="291"/>
        <w:rPr>
          <w:color w:val="000000"/>
        </w:rPr>
      </w:pPr>
      <w:r w:rsidRPr="00381DC2">
        <w:rPr>
          <w:color w:val="000000"/>
        </w:rPr>
        <w:t>Hypersenzitivita na látky produkované ovariálními buňkami čínských křeč</w:t>
      </w:r>
      <w:r w:rsidR="00C4342C" w:rsidRPr="00381DC2">
        <w:rPr>
          <w:color w:val="000000"/>
        </w:rPr>
        <w:t>í</w:t>
      </w:r>
      <w:r w:rsidRPr="00381DC2">
        <w:rPr>
          <w:color w:val="000000"/>
        </w:rPr>
        <w:t>ků nebo na jiné rekombinantní lidské nebo humanizované protilátky.</w:t>
      </w:r>
    </w:p>
    <w:p w14:paraId="5C8E4487" w14:textId="77777777" w:rsidR="00D15122" w:rsidRPr="00381DC2" w:rsidRDefault="009B0756" w:rsidP="00E93E96">
      <w:pPr>
        <w:pStyle w:val="BodyText"/>
        <w:numPr>
          <w:ilvl w:val="0"/>
          <w:numId w:val="25"/>
        </w:numPr>
        <w:tabs>
          <w:tab w:val="left" w:pos="719"/>
        </w:tabs>
        <w:spacing w:line="252" w:lineRule="exact"/>
        <w:rPr>
          <w:color w:val="000000"/>
        </w:rPr>
      </w:pPr>
      <w:r w:rsidRPr="00381DC2">
        <w:rPr>
          <w:color w:val="000000"/>
        </w:rPr>
        <w:t>Těhotenství (viz bod 4.6).</w:t>
      </w:r>
    </w:p>
    <w:p w14:paraId="58E7E042" w14:textId="77777777" w:rsidR="00D15122" w:rsidRPr="00381DC2" w:rsidRDefault="00D15122" w:rsidP="007F6E1B">
      <w:pPr>
        <w:rPr>
          <w:rFonts w:ascii="Times New Roman" w:eastAsia="Times New Roman" w:hAnsi="Times New Roman"/>
          <w:color w:val="000000"/>
        </w:rPr>
      </w:pPr>
    </w:p>
    <w:p w14:paraId="52932F6C" w14:textId="77777777" w:rsidR="00D15122" w:rsidRPr="00381DC2" w:rsidRDefault="003E4A60" w:rsidP="002B0DE8">
      <w:pPr>
        <w:keepNext/>
        <w:keepLines/>
        <w:tabs>
          <w:tab w:val="left" w:pos="685"/>
        </w:tabs>
        <w:rPr>
          <w:rFonts w:ascii="Times New Roman" w:hAnsi="Times New Roman"/>
          <w:b/>
          <w:color w:val="000000"/>
        </w:rPr>
      </w:pPr>
      <w:r w:rsidRPr="00381DC2">
        <w:rPr>
          <w:rFonts w:ascii="Times New Roman" w:hAnsi="Times New Roman"/>
          <w:b/>
          <w:color w:val="000000"/>
        </w:rPr>
        <w:t>4.4</w:t>
      </w:r>
      <w:r w:rsidRPr="00381DC2">
        <w:rPr>
          <w:rFonts w:ascii="Times New Roman" w:hAnsi="Times New Roman"/>
          <w:b/>
          <w:color w:val="000000"/>
        </w:rPr>
        <w:tab/>
        <w:t>Zvláštní upozornění a opatření pro použití</w:t>
      </w:r>
    </w:p>
    <w:p w14:paraId="738F2E34" w14:textId="77777777" w:rsidR="00D15122" w:rsidRPr="00381DC2" w:rsidRDefault="00D15122" w:rsidP="007F6E1B">
      <w:pPr>
        <w:rPr>
          <w:rFonts w:ascii="Times New Roman" w:eastAsia="Times New Roman" w:hAnsi="Times New Roman"/>
          <w:bCs/>
          <w:color w:val="000000"/>
        </w:rPr>
      </w:pPr>
    </w:p>
    <w:p w14:paraId="56EC7747" w14:textId="77777777" w:rsidR="00855D1D" w:rsidRPr="00381DC2" w:rsidRDefault="00855D1D" w:rsidP="007F6E1B">
      <w:pPr>
        <w:pStyle w:val="BodyText"/>
        <w:ind w:left="0" w:right="209"/>
        <w:rPr>
          <w:color w:val="000000"/>
          <w:u w:val="single"/>
        </w:rPr>
      </w:pPr>
      <w:r w:rsidRPr="00381DC2">
        <w:rPr>
          <w:color w:val="000000"/>
          <w:u w:val="single"/>
        </w:rPr>
        <w:t>Zpětná zjistitelnost</w:t>
      </w:r>
    </w:p>
    <w:p w14:paraId="48A8B855" w14:textId="77777777" w:rsidR="00855D1D" w:rsidRPr="00381DC2" w:rsidRDefault="00855D1D" w:rsidP="007F6E1B">
      <w:pPr>
        <w:pStyle w:val="BodyText"/>
        <w:ind w:left="0" w:right="209"/>
        <w:rPr>
          <w:color w:val="000000"/>
        </w:rPr>
      </w:pPr>
    </w:p>
    <w:p w14:paraId="0BB4710B" w14:textId="77777777" w:rsidR="00D15122" w:rsidRPr="00381DC2" w:rsidRDefault="009B0756" w:rsidP="007F6E1B">
      <w:pPr>
        <w:pStyle w:val="BodyText"/>
        <w:ind w:left="0" w:right="209"/>
        <w:rPr>
          <w:color w:val="000000"/>
        </w:rPr>
      </w:pPr>
      <w:r w:rsidRPr="00381DC2">
        <w:rPr>
          <w:color w:val="000000"/>
        </w:rPr>
        <w:t>Z důvodu snadnější zpětné zjistitelnosti biologických léčivých přípravků mají být název a číslo šarže podávaného přípravku zřetelně zaznamenány.</w:t>
      </w:r>
    </w:p>
    <w:p w14:paraId="24617682" w14:textId="77777777" w:rsidR="00D15122" w:rsidRPr="00381DC2" w:rsidRDefault="00D15122" w:rsidP="007F6E1B">
      <w:pPr>
        <w:rPr>
          <w:rFonts w:ascii="Times New Roman" w:eastAsia="Times New Roman" w:hAnsi="Times New Roman"/>
          <w:color w:val="000000"/>
        </w:rPr>
      </w:pPr>
    </w:p>
    <w:p w14:paraId="4A0C25F4" w14:textId="77777777" w:rsidR="00D15122" w:rsidRPr="00381DC2" w:rsidRDefault="009B0756" w:rsidP="007F6E1B">
      <w:pPr>
        <w:spacing w:line="252" w:lineRule="exact"/>
        <w:rPr>
          <w:rFonts w:ascii="Times New Roman" w:eastAsia="Times New Roman" w:hAnsi="Times New Roman"/>
          <w:color w:val="000000"/>
          <w:u w:val="single"/>
        </w:rPr>
      </w:pPr>
      <w:r w:rsidRPr="00381DC2">
        <w:rPr>
          <w:rFonts w:ascii="Times New Roman" w:hAnsi="Times New Roman"/>
          <w:color w:val="000000"/>
          <w:u w:val="single"/>
        </w:rPr>
        <w:lastRenderedPageBreak/>
        <w:t>Gastrointestinální (GI) perforace a píštěle (viz bod 4.8)</w:t>
      </w:r>
    </w:p>
    <w:p w14:paraId="4F18DB7B" w14:textId="77777777" w:rsidR="00855D1D" w:rsidRPr="00381DC2" w:rsidRDefault="00855D1D" w:rsidP="007F6E1B">
      <w:pPr>
        <w:pStyle w:val="BodyText"/>
        <w:ind w:left="0" w:right="209"/>
        <w:rPr>
          <w:color w:val="000000"/>
        </w:rPr>
      </w:pPr>
    </w:p>
    <w:p w14:paraId="07A8CF5C" w14:textId="77777777" w:rsidR="00D15122" w:rsidRPr="00381DC2" w:rsidRDefault="009B0756" w:rsidP="007F6E1B">
      <w:pPr>
        <w:pStyle w:val="BodyText"/>
        <w:ind w:left="0" w:right="209"/>
        <w:rPr>
          <w:color w:val="000000"/>
        </w:rPr>
      </w:pPr>
      <w:r w:rsidRPr="00381DC2">
        <w:rPr>
          <w:color w:val="000000"/>
        </w:rPr>
        <w:t>U pacientů může být během léčby bevacizumabem zvýšeno riziko vzniku gastrointestinální perforace a perforace žlučníku. Intraabdominální zánětlivé procesy mohou být u pacientů s </w:t>
      </w:r>
      <w:r w:rsidR="000834FE" w:rsidRPr="00381DC2">
        <w:rPr>
          <w:color w:val="000000"/>
        </w:rPr>
        <w:t>metasta</w:t>
      </w:r>
      <w:r w:rsidR="00FE2EAF" w:rsidRPr="00381DC2">
        <w:rPr>
          <w:color w:val="000000"/>
        </w:rPr>
        <w:t>zujícím</w:t>
      </w:r>
      <w:r w:rsidR="000834FE" w:rsidRPr="00381DC2">
        <w:rPr>
          <w:color w:val="000000"/>
        </w:rPr>
        <w:t xml:space="preserve"> </w:t>
      </w:r>
      <w:r w:rsidR="00F01658" w:rsidRPr="00381DC2">
        <w:rPr>
          <w:color w:val="000000"/>
        </w:rPr>
        <w:t xml:space="preserve">kolorektálním </w:t>
      </w:r>
      <w:r w:rsidRPr="00381DC2">
        <w:rPr>
          <w:color w:val="000000"/>
        </w:rPr>
        <w:t xml:space="preserve">karcinomem rizikovým faktorem gastrointestinální perforace, a proto </w:t>
      </w:r>
      <w:r w:rsidR="006E60BE" w:rsidRPr="00381DC2">
        <w:rPr>
          <w:color w:val="000000"/>
        </w:rPr>
        <w:t xml:space="preserve">má </w:t>
      </w:r>
      <w:r w:rsidRPr="00381DC2">
        <w:rPr>
          <w:color w:val="000000"/>
        </w:rPr>
        <w:t xml:space="preserve">být těmto pacientům během léčby věnována zvýšená pozornost. Dříve provedená radiace je rizikovým faktorem gastrointestinální perforace při léčbě </w:t>
      </w:r>
      <w:r w:rsidR="00FE2EAF" w:rsidRPr="00381DC2">
        <w:rPr>
          <w:color w:val="000000"/>
        </w:rPr>
        <w:t xml:space="preserve">bevacizumabem u </w:t>
      </w:r>
      <w:r w:rsidRPr="00381DC2">
        <w:rPr>
          <w:color w:val="000000"/>
        </w:rPr>
        <w:t xml:space="preserve">pacientek s přetrvávajícím, rekurentním nebo </w:t>
      </w:r>
      <w:r w:rsidR="000834FE" w:rsidRPr="00381DC2">
        <w:rPr>
          <w:color w:val="000000"/>
        </w:rPr>
        <w:t>metasta</w:t>
      </w:r>
      <w:r w:rsidR="00FE2EAF" w:rsidRPr="00381DC2">
        <w:rPr>
          <w:color w:val="000000"/>
        </w:rPr>
        <w:t>zujícím</w:t>
      </w:r>
      <w:r w:rsidR="000834FE" w:rsidRPr="00381DC2">
        <w:rPr>
          <w:color w:val="000000"/>
        </w:rPr>
        <w:t xml:space="preserve"> </w:t>
      </w:r>
      <w:r w:rsidRPr="00381DC2">
        <w:rPr>
          <w:color w:val="000000"/>
        </w:rPr>
        <w:t xml:space="preserve">karcinomem děložního </w:t>
      </w:r>
      <w:r w:rsidR="00FE2EAF" w:rsidRPr="00381DC2">
        <w:rPr>
          <w:color w:val="000000"/>
        </w:rPr>
        <w:t>čípku</w:t>
      </w:r>
      <w:r w:rsidRPr="00381DC2">
        <w:rPr>
          <w:color w:val="000000"/>
        </w:rPr>
        <w:t xml:space="preserve">. Všechny pacientky s GI perforací prodělaly předchozí radiaci. Léčba </w:t>
      </w:r>
      <w:r w:rsidR="006E60BE" w:rsidRPr="00381DC2">
        <w:rPr>
          <w:color w:val="000000"/>
        </w:rPr>
        <w:t xml:space="preserve">má </w:t>
      </w:r>
      <w:r w:rsidRPr="00381DC2">
        <w:rPr>
          <w:color w:val="000000"/>
        </w:rPr>
        <w:t>být trvale ukončena u pacientů, u nichž došlo ke gastrointestinální perforaci.</w:t>
      </w:r>
    </w:p>
    <w:p w14:paraId="7227AF72" w14:textId="77777777" w:rsidR="00D15122" w:rsidRPr="00381DC2" w:rsidRDefault="00D15122" w:rsidP="007F6E1B">
      <w:pPr>
        <w:rPr>
          <w:rFonts w:ascii="Times New Roman" w:eastAsia="Times New Roman" w:hAnsi="Times New Roman"/>
          <w:color w:val="000000"/>
        </w:rPr>
      </w:pPr>
    </w:p>
    <w:p w14:paraId="77829D00" w14:textId="77777777" w:rsidR="00D15122" w:rsidRPr="00381DC2" w:rsidRDefault="009B0756" w:rsidP="007F6E1B">
      <w:pPr>
        <w:spacing w:line="252" w:lineRule="exact"/>
        <w:rPr>
          <w:rFonts w:ascii="Times New Roman" w:eastAsia="Times New Roman" w:hAnsi="Times New Roman"/>
          <w:color w:val="000000"/>
          <w:u w:val="single"/>
        </w:rPr>
      </w:pPr>
      <w:r w:rsidRPr="00381DC2">
        <w:rPr>
          <w:rFonts w:ascii="Times New Roman" w:hAnsi="Times New Roman"/>
          <w:color w:val="000000"/>
          <w:u w:val="single"/>
        </w:rPr>
        <w:t>GI-vaginální píštěle ve studii GOG-0240</w:t>
      </w:r>
    </w:p>
    <w:p w14:paraId="68CDFB1D" w14:textId="77777777" w:rsidR="00855D1D" w:rsidRPr="00381DC2" w:rsidRDefault="00855D1D" w:rsidP="007F6E1B">
      <w:pPr>
        <w:pStyle w:val="BodyText"/>
        <w:ind w:left="0" w:right="137"/>
        <w:rPr>
          <w:color w:val="000000"/>
        </w:rPr>
      </w:pPr>
    </w:p>
    <w:p w14:paraId="412779F3" w14:textId="77777777" w:rsidR="00D15122" w:rsidRPr="00381DC2" w:rsidRDefault="009B0756" w:rsidP="007F6E1B">
      <w:pPr>
        <w:pStyle w:val="BodyText"/>
        <w:ind w:left="0" w:right="137"/>
        <w:rPr>
          <w:color w:val="000000"/>
        </w:rPr>
      </w:pPr>
      <w:r w:rsidRPr="00381DC2">
        <w:rPr>
          <w:color w:val="000000"/>
        </w:rPr>
        <w:t xml:space="preserve">Při léčbě bevacizumabem mají pacientky, které jsou léčeny z důvodu přetrvávajícího, rekurentního nebo </w:t>
      </w:r>
      <w:r w:rsidR="000834FE" w:rsidRPr="00381DC2">
        <w:rPr>
          <w:color w:val="000000"/>
        </w:rPr>
        <w:t>metasta</w:t>
      </w:r>
      <w:r w:rsidR="00FE2EAF" w:rsidRPr="00381DC2">
        <w:rPr>
          <w:color w:val="000000"/>
        </w:rPr>
        <w:t>zujícího</w:t>
      </w:r>
      <w:r w:rsidRPr="00381DC2">
        <w:rPr>
          <w:color w:val="000000"/>
        </w:rPr>
        <w:t xml:space="preserve"> karcinomu děložního </w:t>
      </w:r>
      <w:r w:rsidR="00FE2EAF" w:rsidRPr="00381DC2">
        <w:rPr>
          <w:color w:val="000000"/>
        </w:rPr>
        <w:t>čípku</w:t>
      </w:r>
      <w:r w:rsidRPr="00381DC2">
        <w:rPr>
          <w:color w:val="000000"/>
        </w:rPr>
        <w:t xml:space="preserve">, zvýšené riziko vzniku píštělí mezi vaginou a jakoukoli částí GI traktu (gastrointestinálně-vaginální píštěle). Dříve provedená radiace je významným rizikovým faktorem vzniku GI-vaginální píštěle a všechny pacientky s GI-vaginální píštělí </w:t>
      </w:r>
      <w:r w:rsidR="006E60BE" w:rsidRPr="00381DC2">
        <w:rPr>
          <w:color w:val="000000"/>
        </w:rPr>
        <w:t xml:space="preserve">podstoupily </w:t>
      </w:r>
      <w:r w:rsidRPr="00381DC2">
        <w:rPr>
          <w:color w:val="000000"/>
        </w:rPr>
        <w:t>předchozí radiaci. Rekurence nádor</w:t>
      </w:r>
      <w:r w:rsidR="006E60BE" w:rsidRPr="00381DC2">
        <w:rPr>
          <w:color w:val="000000"/>
        </w:rPr>
        <w:t>ového onemocnění</w:t>
      </w:r>
      <w:r w:rsidRPr="00381DC2">
        <w:rPr>
          <w:color w:val="000000"/>
        </w:rPr>
        <w:t xml:space="preserve"> v oblasti předchozí radiace je dalším významným rizikovým faktorem pro vznik GI-vaginální píštěle.</w:t>
      </w:r>
    </w:p>
    <w:p w14:paraId="227E4721" w14:textId="77777777" w:rsidR="004666BE" w:rsidRPr="00381DC2" w:rsidRDefault="004666BE" w:rsidP="007F6E1B">
      <w:pPr>
        <w:rPr>
          <w:rFonts w:ascii="Times New Roman" w:hAnsi="Times New Roman"/>
          <w:color w:val="000000"/>
        </w:rPr>
      </w:pPr>
    </w:p>
    <w:p w14:paraId="617B8D62" w14:textId="77777777" w:rsidR="00D15122" w:rsidRPr="00381DC2" w:rsidRDefault="009B0756" w:rsidP="007F6E1B">
      <w:pPr>
        <w:rPr>
          <w:rFonts w:ascii="Times New Roman" w:eastAsia="Times New Roman" w:hAnsi="Times New Roman"/>
          <w:color w:val="000000"/>
          <w:u w:val="single"/>
        </w:rPr>
      </w:pPr>
      <w:r w:rsidRPr="00381DC2">
        <w:rPr>
          <w:rFonts w:ascii="Times New Roman" w:hAnsi="Times New Roman"/>
          <w:color w:val="000000"/>
          <w:u w:val="single"/>
        </w:rPr>
        <w:t>Non-GI píštěle (viz bod 4.8)</w:t>
      </w:r>
    </w:p>
    <w:p w14:paraId="5BEBE4FB" w14:textId="77777777" w:rsidR="00855D1D" w:rsidRPr="00381DC2" w:rsidRDefault="00855D1D" w:rsidP="007F6E1B">
      <w:pPr>
        <w:pStyle w:val="BodyText"/>
        <w:ind w:left="0" w:right="157"/>
        <w:rPr>
          <w:color w:val="000000"/>
        </w:rPr>
      </w:pPr>
    </w:p>
    <w:p w14:paraId="03BC5F1B" w14:textId="77777777" w:rsidR="00D15122" w:rsidRPr="00381DC2" w:rsidRDefault="009B0756" w:rsidP="007F6E1B">
      <w:pPr>
        <w:pStyle w:val="BodyText"/>
        <w:ind w:left="0" w:right="157"/>
        <w:rPr>
          <w:color w:val="000000"/>
        </w:rPr>
      </w:pPr>
      <w:r w:rsidRPr="00381DC2">
        <w:rPr>
          <w:color w:val="000000"/>
        </w:rPr>
        <w:t xml:space="preserve">Při léčbě bevacizumabem mohou mít pacienti zvýšené riziko vzniku píštěle. U pacientů s tracheoesofageální píštělí nebo jakoukoli píštělí stupně 4 [dle Obecných terminologických kritérií nežádoucích </w:t>
      </w:r>
      <w:r w:rsidR="006E60BE" w:rsidRPr="00381DC2">
        <w:rPr>
          <w:color w:val="000000"/>
        </w:rPr>
        <w:t xml:space="preserve">příhod </w:t>
      </w:r>
      <w:r w:rsidRPr="00381DC2">
        <w:rPr>
          <w:color w:val="000000"/>
        </w:rPr>
        <w:t xml:space="preserve">amerického Národního ústavu pro zhoubné nádory – „US National Cancer Institute-Common Terminology Criteria for Adverse Events“ (NCI-CTCAE v.3)] trvale ukončete léčbu přípravkem </w:t>
      </w:r>
      <w:r w:rsidR="00CC0FAB" w:rsidRPr="00381DC2">
        <w:rPr>
          <w:color w:val="000000"/>
        </w:rPr>
        <w:t>Zirabev</w:t>
      </w:r>
      <w:r w:rsidRPr="00381DC2">
        <w:rPr>
          <w:color w:val="000000"/>
        </w:rPr>
        <w:t xml:space="preserve">. O pokračujícím použití bevacizumabu u pacientů s jinými píštělemi jsou k dispozici jen omezené </w:t>
      </w:r>
      <w:r w:rsidR="00AC4E94" w:rsidRPr="00381DC2">
        <w:rPr>
          <w:color w:val="000000"/>
        </w:rPr>
        <w:t>údaje</w:t>
      </w:r>
      <w:r w:rsidRPr="00381DC2">
        <w:rPr>
          <w:color w:val="000000"/>
        </w:rPr>
        <w:t xml:space="preserve">. </w:t>
      </w:r>
    </w:p>
    <w:p w14:paraId="6C995431" w14:textId="77777777" w:rsidR="00203535" w:rsidRPr="00381DC2" w:rsidRDefault="00203535" w:rsidP="007F6E1B">
      <w:pPr>
        <w:pStyle w:val="BodyText"/>
        <w:ind w:left="0" w:right="157"/>
        <w:rPr>
          <w:color w:val="000000"/>
        </w:rPr>
      </w:pPr>
    </w:p>
    <w:p w14:paraId="513FBD48" w14:textId="77777777" w:rsidR="00D15122" w:rsidRPr="00381DC2" w:rsidRDefault="009B0756" w:rsidP="007F6E1B">
      <w:pPr>
        <w:pStyle w:val="BodyText"/>
        <w:ind w:left="0" w:right="157"/>
        <w:rPr>
          <w:color w:val="000000"/>
        </w:rPr>
      </w:pPr>
      <w:r w:rsidRPr="00381DC2">
        <w:rPr>
          <w:color w:val="000000"/>
        </w:rPr>
        <w:t xml:space="preserve">V případě vnitřní píštěle nepocházející z gastrointestinálního traktu je nutno zvážit ukončení léčby přípravkem </w:t>
      </w:r>
      <w:r w:rsidR="00CC0FAB" w:rsidRPr="00381DC2">
        <w:rPr>
          <w:color w:val="000000"/>
        </w:rPr>
        <w:t>Zirabev</w:t>
      </w:r>
      <w:r w:rsidRPr="00381DC2">
        <w:rPr>
          <w:color w:val="000000"/>
        </w:rPr>
        <w:t>.</w:t>
      </w:r>
    </w:p>
    <w:p w14:paraId="154D5923" w14:textId="77777777" w:rsidR="00D15122" w:rsidRPr="00381DC2" w:rsidRDefault="00D15122" w:rsidP="007F6E1B">
      <w:pPr>
        <w:rPr>
          <w:rFonts w:ascii="Times New Roman" w:eastAsia="Times New Roman" w:hAnsi="Times New Roman"/>
          <w:color w:val="000000"/>
        </w:rPr>
      </w:pPr>
    </w:p>
    <w:p w14:paraId="53614F5B" w14:textId="77777777" w:rsidR="00D15122" w:rsidRPr="00381DC2" w:rsidRDefault="009B0756" w:rsidP="007F6E1B">
      <w:pPr>
        <w:spacing w:line="252" w:lineRule="exact"/>
        <w:rPr>
          <w:rFonts w:ascii="Times New Roman" w:eastAsia="Times New Roman" w:hAnsi="Times New Roman"/>
          <w:color w:val="000000"/>
          <w:u w:val="single"/>
        </w:rPr>
      </w:pPr>
      <w:r w:rsidRPr="00381DC2">
        <w:rPr>
          <w:rFonts w:ascii="Times New Roman" w:hAnsi="Times New Roman"/>
          <w:color w:val="000000"/>
          <w:u w:val="single"/>
        </w:rPr>
        <w:t>Komplikace při hojení ran (viz bod 4.8)</w:t>
      </w:r>
    </w:p>
    <w:p w14:paraId="572E4660" w14:textId="77777777" w:rsidR="00855D1D" w:rsidRPr="00381DC2" w:rsidRDefault="00855D1D" w:rsidP="007F6E1B">
      <w:pPr>
        <w:pStyle w:val="BodyText"/>
        <w:ind w:left="0" w:right="176"/>
        <w:rPr>
          <w:color w:val="000000"/>
        </w:rPr>
      </w:pPr>
    </w:p>
    <w:p w14:paraId="254EB56E" w14:textId="77777777" w:rsidR="00D15122" w:rsidRPr="00381DC2" w:rsidRDefault="00007842" w:rsidP="007F6E1B">
      <w:pPr>
        <w:pStyle w:val="BodyText"/>
        <w:ind w:left="0" w:right="176"/>
        <w:rPr>
          <w:color w:val="000000"/>
        </w:rPr>
      </w:pPr>
      <w:r w:rsidRPr="00381DC2">
        <w:rPr>
          <w:color w:val="000000"/>
        </w:rPr>
        <w:t xml:space="preserve">Bevacizumab může nepříznivě ovlivnit proces hojení ran. Byly hlášeny případy závažných komplikací při hojení ran, včetně anastomotických komplikací, končící úmrtím. S léčbou se </w:t>
      </w:r>
      <w:r w:rsidR="00AC4E94" w:rsidRPr="00381DC2">
        <w:rPr>
          <w:color w:val="000000"/>
        </w:rPr>
        <w:t xml:space="preserve">nemá </w:t>
      </w:r>
      <w:r w:rsidRPr="00381DC2">
        <w:rPr>
          <w:color w:val="000000"/>
        </w:rPr>
        <w:t>začít dříve než po uplynutí 28 dnů po velké</w:t>
      </w:r>
      <w:r w:rsidR="00333E6C" w:rsidRPr="00381DC2">
        <w:rPr>
          <w:color w:val="000000"/>
        </w:rPr>
        <w:t xml:space="preserve"> operaci</w:t>
      </w:r>
      <w:r w:rsidRPr="00381DC2">
        <w:rPr>
          <w:color w:val="000000"/>
        </w:rPr>
        <w:t xml:space="preserve">, nebo do té doby, než se rána po </w:t>
      </w:r>
      <w:r w:rsidR="00333E6C" w:rsidRPr="00381DC2">
        <w:rPr>
          <w:color w:val="000000"/>
        </w:rPr>
        <w:t xml:space="preserve">operaci </w:t>
      </w:r>
      <w:r w:rsidRPr="00381DC2">
        <w:rPr>
          <w:color w:val="000000"/>
        </w:rPr>
        <w:t>zcela zahojí. U pacientů, u kterých se vyskytn</w:t>
      </w:r>
      <w:r w:rsidR="00AC4E94" w:rsidRPr="00381DC2">
        <w:rPr>
          <w:color w:val="000000"/>
        </w:rPr>
        <w:t>ou</w:t>
      </w:r>
      <w:r w:rsidRPr="00381DC2">
        <w:rPr>
          <w:color w:val="000000"/>
        </w:rPr>
        <w:t xml:space="preserve"> během léčby komplikace při hojení ran, musí být léčba přerušena, dokud se rána zcela nezahojí. Léčba </w:t>
      </w:r>
      <w:r w:rsidR="00AC4E94" w:rsidRPr="00381DC2">
        <w:rPr>
          <w:color w:val="000000"/>
        </w:rPr>
        <w:t>má</w:t>
      </w:r>
      <w:r w:rsidRPr="00381DC2">
        <w:rPr>
          <w:color w:val="000000"/>
        </w:rPr>
        <w:t xml:space="preserve"> být přerušena v případě podstoupení elektivní operace.</w:t>
      </w:r>
    </w:p>
    <w:p w14:paraId="57930DA8" w14:textId="77777777" w:rsidR="00D15122" w:rsidRPr="00381DC2" w:rsidRDefault="00D15122" w:rsidP="007F6E1B">
      <w:pPr>
        <w:rPr>
          <w:rFonts w:ascii="Times New Roman" w:eastAsia="Times New Roman" w:hAnsi="Times New Roman"/>
          <w:color w:val="000000"/>
        </w:rPr>
      </w:pPr>
    </w:p>
    <w:p w14:paraId="3F7FD7EC" w14:textId="77777777" w:rsidR="00D15122" w:rsidRPr="00381DC2" w:rsidRDefault="009B0756" w:rsidP="007F6E1B">
      <w:pPr>
        <w:pStyle w:val="BodyText"/>
        <w:ind w:left="0" w:right="157"/>
        <w:rPr>
          <w:color w:val="000000"/>
        </w:rPr>
      </w:pPr>
      <w:r w:rsidRPr="00381DC2">
        <w:rPr>
          <w:color w:val="000000"/>
        </w:rPr>
        <w:t xml:space="preserve">U pacientů léčených bevacizumabem byly vzácně hlášeny případy nekrotizující fasciitidy, včetně případů končících úmrtím. Tyto příhody byly obvykle pozorovány po předchozích komplikacích při hojení </w:t>
      </w:r>
      <w:r w:rsidR="00AC4E94" w:rsidRPr="00381DC2">
        <w:rPr>
          <w:color w:val="000000"/>
        </w:rPr>
        <w:t>ran</w:t>
      </w:r>
      <w:r w:rsidRPr="00381DC2">
        <w:rPr>
          <w:color w:val="000000"/>
        </w:rPr>
        <w:t xml:space="preserve">, gastrointestinální perforaci nebo vzniku píštěle. Pokud u pacienta vznikne nekrotizující fasciitida, musí být ukončena léčba přípravkem </w:t>
      </w:r>
      <w:r w:rsidR="00CC0FAB" w:rsidRPr="00381DC2">
        <w:rPr>
          <w:color w:val="000000"/>
        </w:rPr>
        <w:t>Zirabev</w:t>
      </w:r>
      <w:r w:rsidRPr="00381DC2">
        <w:rPr>
          <w:color w:val="000000"/>
        </w:rPr>
        <w:t xml:space="preserve"> a </w:t>
      </w:r>
      <w:r w:rsidR="00AC4E94" w:rsidRPr="00381DC2">
        <w:rPr>
          <w:color w:val="000000"/>
        </w:rPr>
        <w:t xml:space="preserve">neprodleně </w:t>
      </w:r>
      <w:r w:rsidRPr="00381DC2">
        <w:rPr>
          <w:color w:val="000000"/>
        </w:rPr>
        <w:t>zahájena vhodná terapie.</w:t>
      </w:r>
    </w:p>
    <w:p w14:paraId="268B562C" w14:textId="77777777" w:rsidR="00D15122" w:rsidRPr="00381DC2" w:rsidRDefault="00D15122" w:rsidP="007F6E1B">
      <w:pPr>
        <w:rPr>
          <w:rFonts w:ascii="Times New Roman" w:eastAsia="Times New Roman" w:hAnsi="Times New Roman"/>
          <w:color w:val="000000"/>
        </w:rPr>
      </w:pPr>
    </w:p>
    <w:p w14:paraId="4A759CDE" w14:textId="77777777" w:rsidR="00D15122" w:rsidRPr="00381DC2" w:rsidRDefault="009B0756" w:rsidP="007F6E1B">
      <w:pPr>
        <w:spacing w:line="252" w:lineRule="exact"/>
        <w:rPr>
          <w:rFonts w:ascii="Times New Roman" w:eastAsia="Times New Roman" w:hAnsi="Times New Roman"/>
          <w:color w:val="000000"/>
          <w:u w:val="single"/>
        </w:rPr>
      </w:pPr>
      <w:r w:rsidRPr="00381DC2">
        <w:rPr>
          <w:rFonts w:ascii="Times New Roman" w:hAnsi="Times New Roman"/>
          <w:color w:val="000000"/>
          <w:u w:val="single"/>
        </w:rPr>
        <w:t>Hypertenze</w:t>
      </w:r>
      <w:r w:rsidR="00AC4E94" w:rsidRPr="00381DC2">
        <w:rPr>
          <w:rFonts w:ascii="Times New Roman" w:hAnsi="Times New Roman"/>
          <w:color w:val="000000"/>
          <w:u w:val="single"/>
        </w:rPr>
        <w:t xml:space="preserve"> </w:t>
      </w:r>
      <w:r w:rsidRPr="00381DC2">
        <w:rPr>
          <w:rFonts w:ascii="Times New Roman" w:hAnsi="Times New Roman"/>
          <w:color w:val="000000"/>
          <w:u w:val="single"/>
        </w:rPr>
        <w:t>(viz bod 4.8)</w:t>
      </w:r>
    </w:p>
    <w:p w14:paraId="1D0FC40C" w14:textId="77777777" w:rsidR="00701D3B" w:rsidRPr="00381DC2" w:rsidRDefault="00701D3B" w:rsidP="007F6E1B">
      <w:pPr>
        <w:pStyle w:val="BodyText"/>
        <w:ind w:left="0" w:right="227"/>
        <w:rPr>
          <w:color w:val="000000"/>
        </w:rPr>
      </w:pPr>
    </w:p>
    <w:p w14:paraId="00E0BA35" w14:textId="77777777" w:rsidR="00D15122" w:rsidRPr="00381DC2" w:rsidRDefault="009B0756" w:rsidP="007F6E1B">
      <w:pPr>
        <w:pStyle w:val="BodyText"/>
        <w:ind w:left="0" w:right="227"/>
        <w:rPr>
          <w:color w:val="000000"/>
        </w:rPr>
      </w:pPr>
      <w:r w:rsidRPr="00381DC2">
        <w:rPr>
          <w:color w:val="000000"/>
        </w:rPr>
        <w:t xml:space="preserve">U pacientů léčených bevacizumabem byla zaznamenaná zvýšená incidence hypertenze. </w:t>
      </w:r>
      <w:r w:rsidR="005968D4" w:rsidRPr="00381DC2">
        <w:rPr>
          <w:color w:val="000000"/>
        </w:rPr>
        <w:t>Klinické údaje vztahující se k bezpečnosti</w:t>
      </w:r>
      <w:r w:rsidRPr="00381DC2">
        <w:rPr>
          <w:color w:val="000000"/>
        </w:rPr>
        <w:t xml:space="preserve"> naznačují, že </w:t>
      </w:r>
      <w:r w:rsidR="005968D4" w:rsidRPr="00381DC2">
        <w:rPr>
          <w:color w:val="000000"/>
        </w:rPr>
        <w:t xml:space="preserve">incidence </w:t>
      </w:r>
      <w:r w:rsidRPr="00381DC2">
        <w:rPr>
          <w:color w:val="000000"/>
        </w:rPr>
        <w:t xml:space="preserve">hypertenze </w:t>
      </w:r>
      <w:r w:rsidR="005968D4" w:rsidRPr="00381DC2">
        <w:rPr>
          <w:color w:val="000000"/>
        </w:rPr>
        <w:t xml:space="preserve">pravděpodobně </w:t>
      </w:r>
      <w:r w:rsidRPr="00381DC2">
        <w:rPr>
          <w:color w:val="000000"/>
        </w:rPr>
        <w:t xml:space="preserve">závisí na </w:t>
      </w:r>
      <w:r w:rsidR="005968D4" w:rsidRPr="00381DC2">
        <w:rPr>
          <w:color w:val="000000"/>
        </w:rPr>
        <w:t>dávce</w:t>
      </w:r>
      <w:r w:rsidRPr="00381DC2">
        <w:rPr>
          <w:color w:val="000000"/>
        </w:rPr>
        <w:t xml:space="preserve">. Preexistující hypertenze </w:t>
      </w:r>
      <w:r w:rsidR="005968D4" w:rsidRPr="00381DC2">
        <w:rPr>
          <w:color w:val="000000"/>
        </w:rPr>
        <w:t xml:space="preserve">má být </w:t>
      </w:r>
      <w:r w:rsidRPr="00381DC2">
        <w:rPr>
          <w:color w:val="000000"/>
        </w:rPr>
        <w:t xml:space="preserve">před zahájením léčby přípravkem </w:t>
      </w:r>
      <w:r w:rsidR="00CC0FAB" w:rsidRPr="00381DC2">
        <w:rPr>
          <w:color w:val="000000"/>
        </w:rPr>
        <w:t>Zirabev</w:t>
      </w:r>
      <w:r w:rsidRPr="00381DC2">
        <w:rPr>
          <w:color w:val="000000"/>
        </w:rPr>
        <w:t xml:space="preserve"> adekvátně korigována. Nejsou k dispozici žádné informace týkající se účinku bevacizumabu u pacientů s neléčenou hypertenzí na začátku léčby.</w:t>
      </w:r>
    </w:p>
    <w:p w14:paraId="48543F6C" w14:textId="77777777" w:rsidR="00203535" w:rsidRPr="00381DC2" w:rsidRDefault="00203535" w:rsidP="007F6E1B">
      <w:pPr>
        <w:pStyle w:val="BodyText"/>
        <w:ind w:left="0"/>
        <w:rPr>
          <w:color w:val="000000"/>
        </w:rPr>
      </w:pPr>
    </w:p>
    <w:p w14:paraId="6311E69A" w14:textId="77777777" w:rsidR="00D15122" w:rsidRPr="00381DC2" w:rsidRDefault="009B0756" w:rsidP="007F6E1B">
      <w:pPr>
        <w:pStyle w:val="BodyText"/>
        <w:ind w:left="0"/>
        <w:rPr>
          <w:color w:val="000000"/>
        </w:rPr>
      </w:pPr>
      <w:r w:rsidRPr="00381DC2">
        <w:rPr>
          <w:color w:val="000000"/>
        </w:rPr>
        <w:t>Během léčby se všeobecně doporučuje sledovat krevní tlak.</w:t>
      </w:r>
    </w:p>
    <w:p w14:paraId="40C89B7B" w14:textId="77777777" w:rsidR="00D15122" w:rsidRPr="00381DC2" w:rsidRDefault="00D15122" w:rsidP="007F6E1B">
      <w:pPr>
        <w:rPr>
          <w:rFonts w:ascii="Times New Roman" w:eastAsia="Times New Roman" w:hAnsi="Times New Roman"/>
          <w:color w:val="000000"/>
        </w:rPr>
      </w:pPr>
    </w:p>
    <w:p w14:paraId="6B0188FC" w14:textId="77777777" w:rsidR="00D15122" w:rsidRPr="00381DC2" w:rsidRDefault="009B0756" w:rsidP="007F6E1B">
      <w:pPr>
        <w:pStyle w:val="BodyText"/>
        <w:ind w:left="0" w:right="157"/>
        <w:rPr>
          <w:color w:val="000000"/>
        </w:rPr>
      </w:pPr>
      <w:r w:rsidRPr="00381DC2">
        <w:rPr>
          <w:color w:val="000000"/>
        </w:rPr>
        <w:t xml:space="preserve">Ve většině případů byla hypertenze upravena za použití standardní antihypertenzní léčby s ohledem </w:t>
      </w:r>
      <w:r w:rsidRPr="00381DC2">
        <w:rPr>
          <w:color w:val="000000"/>
        </w:rPr>
        <w:lastRenderedPageBreak/>
        <w:t xml:space="preserve">na individuální stav postiženého pacienta. Použití diuretik k léčbě hypertenze se nedoporučuje u pacientů léčených režimem chemoterapie </w:t>
      </w:r>
      <w:r w:rsidR="005968D4" w:rsidRPr="00381DC2">
        <w:rPr>
          <w:color w:val="000000"/>
        </w:rPr>
        <w:t>na bázi cisplatiny</w:t>
      </w:r>
      <w:r w:rsidRPr="00381DC2">
        <w:rPr>
          <w:color w:val="000000"/>
        </w:rPr>
        <w:t xml:space="preserve">. Podávání přípravku </w:t>
      </w:r>
      <w:r w:rsidR="00CC0FAB" w:rsidRPr="00381DC2">
        <w:rPr>
          <w:color w:val="000000"/>
        </w:rPr>
        <w:t>Zirabev</w:t>
      </w:r>
      <w:r w:rsidRPr="00381DC2">
        <w:rPr>
          <w:color w:val="000000"/>
        </w:rPr>
        <w:t xml:space="preserve"> </w:t>
      </w:r>
      <w:r w:rsidR="0032022D" w:rsidRPr="00381DC2">
        <w:rPr>
          <w:color w:val="000000"/>
        </w:rPr>
        <w:t>má</w:t>
      </w:r>
      <w:r w:rsidRPr="00381DC2">
        <w:rPr>
          <w:color w:val="000000"/>
        </w:rPr>
        <w:t xml:space="preserve"> být trvale ukončeno v případě, že zdravotně významnou hypertenzi nelze dostatečně zvládnout antihypertenzní léčbou nebo jestliže se u pacienta objeví hypertenzní krize nebo hypertenzní encefalopatie.</w:t>
      </w:r>
    </w:p>
    <w:p w14:paraId="34F11A71" w14:textId="77777777" w:rsidR="008B102D" w:rsidRPr="00381DC2" w:rsidRDefault="008B102D" w:rsidP="00564363">
      <w:pPr>
        <w:pStyle w:val="BodyText"/>
        <w:ind w:left="0" w:right="157"/>
        <w:rPr>
          <w:color w:val="000000"/>
        </w:rPr>
      </w:pPr>
    </w:p>
    <w:p w14:paraId="2090344C" w14:textId="77777777" w:rsidR="008B102D" w:rsidRPr="00381DC2" w:rsidRDefault="008B102D" w:rsidP="00564363">
      <w:pPr>
        <w:pStyle w:val="BodyText"/>
        <w:ind w:left="0" w:right="4423"/>
        <w:rPr>
          <w:color w:val="000000"/>
          <w:u w:val="single"/>
        </w:rPr>
      </w:pPr>
      <w:r w:rsidRPr="00381DC2">
        <w:rPr>
          <w:color w:val="000000"/>
          <w:spacing w:val="-1"/>
          <w:u w:val="single"/>
        </w:rPr>
        <w:t>Aneurysmata</w:t>
      </w:r>
      <w:r w:rsidRPr="00381DC2">
        <w:rPr>
          <w:color w:val="000000"/>
          <w:spacing w:val="-2"/>
          <w:u w:val="single"/>
        </w:rPr>
        <w:t xml:space="preserve"> </w:t>
      </w:r>
      <w:r w:rsidRPr="00381DC2">
        <w:rPr>
          <w:color w:val="000000"/>
          <w:u w:val="single"/>
        </w:rPr>
        <w:t>a</w:t>
      </w:r>
      <w:r w:rsidRPr="00381DC2">
        <w:rPr>
          <w:color w:val="000000"/>
          <w:spacing w:val="1"/>
          <w:u w:val="single"/>
        </w:rPr>
        <w:t xml:space="preserve"> </w:t>
      </w:r>
      <w:r w:rsidRPr="00381DC2">
        <w:rPr>
          <w:color w:val="000000"/>
          <w:spacing w:val="-1"/>
          <w:u w:val="single"/>
        </w:rPr>
        <w:t>arteriální</w:t>
      </w:r>
      <w:r w:rsidRPr="00381DC2">
        <w:rPr>
          <w:color w:val="000000"/>
          <w:u w:val="single"/>
        </w:rPr>
        <w:t xml:space="preserve"> </w:t>
      </w:r>
      <w:r w:rsidRPr="00381DC2">
        <w:rPr>
          <w:color w:val="000000"/>
          <w:spacing w:val="-1"/>
          <w:u w:val="single"/>
        </w:rPr>
        <w:t>disekce</w:t>
      </w:r>
    </w:p>
    <w:p w14:paraId="573319E1" w14:textId="77777777" w:rsidR="008B102D" w:rsidRPr="00381DC2" w:rsidRDefault="008B102D" w:rsidP="00564363">
      <w:pPr>
        <w:pStyle w:val="BodyText"/>
        <w:ind w:left="0"/>
        <w:rPr>
          <w:color w:val="000000"/>
        </w:rPr>
      </w:pPr>
      <w:r w:rsidRPr="00381DC2">
        <w:rPr>
          <w:color w:val="000000"/>
          <w:spacing w:val="-1"/>
        </w:rPr>
        <w:t>Používání</w:t>
      </w:r>
      <w:r w:rsidRPr="00381DC2">
        <w:rPr>
          <w:color w:val="000000"/>
        </w:rPr>
        <w:t xml:space="preserve"> inhibitorů</w:t>
      </w:r>
      <w:r w:rsidRPr="00381DC2">
        <w:rPr>
          <w:color w:val="000000"/>
          <w:spacing w:val="-3"/>
        </w:rPr>
        <w:t xml:space="preserve"> </w:t>
      </w:r>
      <w:r w:rsidRPr="00381DC2">
        <w:rPr>
          <w:color w:val="000000"/>
          <w:spacing w:val="-1"/>
        </w:rPr>
        <w:t>dráhy</w:t>
      </w:r>
      <w:r w:rsidRPr="00381DC2">
        <w:rPr>
          <w:color w:val="000000"/>
          <w:spacing w:val="-2"/>
        </w:rPr>
        <w:t xml:space="preserve"> </w:t>
      </w:r>
      <w:r w:rsidRPr="00381DC2">
        <w:rPr>
          <w:color w:val="000000"/>
          <w:spacing w:val="-1"/>
        </w:rPr>
        <w:t>VEGF</w:t>
      </w:r>
      <w:r w:rsidRPr="00381DC2">
        <w:rPr>
          <w:color w:val="000000"/>
          <w:spacing w:val="1"/>
        </w:rPr>
        <w:t xml:space="preserve"> </w:t>
      </w:r>
      <w:r w:rsidRPr="00381DC2">
        <w:rPr>
          <w:color w:val="000000"/>
        </w:rPr>
        <w:t>u</w:t>
      </w:r>
      <w:r w:rsidRPr="00381DC2">
        <w:rPr>
          <w:color w:val="000000"/>
          <w:spacing w:val="-2"/>
        </w:rPr>
        <w:t xml:space="preserve"> </w:t>
      </w:r>
      <w:r w:rsidRPr="00381DC2">
        <w:rPr>
          <w:color w:val="000000"/>
          <w:spacing w:val="-1"/>
        </w:rPr>
        <w:t>pacientů</w:t>
      </w:r>
      <w:r w:rsidRPr="00381DC2">
        <w:rPr>
          <w:color w:val="000000"/>
          <w:spacing w:val="-3"/>
        </w:rPr>
        <w:t xml:space="preserve"> </w:t>
      </w:r>
      <w:r w:rsidRPr="00381DC2">
        <w:rPr>
          <w:color w:val="000000"/>
        </w:rPr>
        <w:t>s</w:t>
      </w:r>
      <w:r w:rsidRPr="00381DC2">
        <w:rPr>
          <w:color w:val="000000"/>
          <w:spacing w:val="1"/>
        </w:rPr>
        <w:t xml:space="preserve"> </w:t>
      </w:r>
      <w:r w:rsidRPr="00381DC2">
        <w:rPr>
          <w:color w:val="000000"/>
          <w:spacing w:val="-1"/>
        </w:rPr>
        <w:t>hypertenzí</w:t>
      </w:r>
      <w:r w:rsidRPr="00381DC2">
        <w:rPr>
          <w:color w:val="000000"/>
        </w:rPr>
        <w:t xml:space="preserve"> </w:t>
      </w:r>
      <w:r w:rsidRPr="00381DC2">
        <w:rPr>
          <w:color w:val="000000"/>
          <w:spacing w:val="-1"/>
        </w:rPr>
        <w:t xml:space="preserve">nebo </w:t>
      </w:r>
      <w:r w:rsidRPr="00381DC2">
        <w:rPr>
          <w:color w:val="000000"/>
        </w:rPr>
        <w:t>bez</w:t>
      </w:r>
      <w:r w:rsidRPr="00381DC2">
        <w:rPr>
          <w:color w:val="000000"/>
          <w:spacing w:val="-3"/>
        </w:rPr>
        <w:t xml:space="preserve"> </w:t>
      </w:r>
      <w:r w:rsidRPr="00381DC2">
        <w:rPr>
          <w:color w:val="000000"/>
          <w:spacing w:val="-1"/>
        </w:rPr>
        <w:t>hypertenze může</w:t>
      </w:r>
      <w:r w:rsidRPr="00381DC2">
        <w:rPr>
          <w:color w:val="000000"/>
        </w:rPr>
        <w:t xml:space="preserve"> </w:t>
      </w:r>
      <w:r w:rsidRPr="00381DC2">
        <w:rPr>
          <w:color w:val="000000"/>
          <w:spacing w:val="-1"/>
        </w:rPr>
        <w:t>přispět</w:t>
      </w:r>
      <w:r w:rsidRPr="00381DC2">
        <w:rPr>
          <w:color w:val="000000"/>
        </w:rPr>
        <w:t xml:space="preserve"> k</w:t>
      </w:r>
      <w:r w:rsidRPr="00381DC2">
        <w:rPr>
          <w:color w:val="000000"/>
          <w:spacing w:val="-2"/>
        </w:rPr>
        <w:t xml:space="preserve"> </w:t>
      </w:r>
      <w:r w:rsidRPr="00381DC2">
        <w:rPr>
          <w:color w:val="000000"/>
        </w:rPr>
        <w:t xml:space="preserve">tvorbě </w:t>
      </w:r>
      <w:r w:rsidRPr="00381DC2">
        <w:rPr>
          <w:color w:val="000000"/>
          <w:spacing w:val="-1"/>
        </w:rPr>
        <w:t>aneurysmat</w:t>
      </w:r>
      <w:r w:rsidRPr="00381DC2">
        <w:rPr>
          <w:color w:val="000000"/>
        </w:rPr>
        <w:t xml:space="preserve"> </w:t>
      </w:r>
      <w:r w:rsidRPr="00381DC2">
        <w:rPr>
          <w:color w:val="000000"/>
          <w:spacing w:val="-1"/>
        </w:rPr>
        <w:t>a/nebo</w:t>
      </w:r>
      <w:r w:rsidRPr="00381DC2">
        <w:rPr>
          <w:color w:val="000000"/>
        </w:rPr>
        <w:t xml:space="preserve"> </w:t>
      </w:r>
      <w:r w:rsidRPr="00381DC2">
        <w:rPr>
          <w:color w:val="000000"/>
          <w:spacing w:val="-1"/>
        </w:rPr>
        <w:t>arteriálních</w:t>
      </w:r>
      <w:r w:rsidRPr="00381DC2">
        <w:rPr>
          <w:color w:val="000000"/>
          <w:spacing w:val="-2"/>
        </w:rPr>
        <w:t xml:space="preserve"> </w:t>
      </w:r>
      <w:r w:rsidRPr="00381DC2">
        <w:rPr>
          <w:color w:val="000000"/>
          <w:spacing w:val="-1"/>
        </w:rPr>
        <w:t>disekcí.</w:t>
      </w:r>
      <w:r w:rsidRPr="00381DC2">
        <w:rPr>
          <w:color w:val="000000"/>
          <w:spacing w:val="-2"/>
        </w:rPr>
        <w:t xml:space="preserve"> </w:t>
      </w:r>
      <w:r w:rsidRPr="00381DC2">
        <w:rPr>
          <w:color w:val="000000"/>
        </w:rPr>
        <w:t>U</w:t>
      </w:r>
      <w:r w:rsidRPr="00381DC2">
        <w:rPr>
          <w:color w:val="000000"/>
          <w:spacing w:val="-1"/>
        </w:rPr>
        <w:t xml:space="preserve"> pacientů</w:t>
      </w:r>
      <w:r w:rsidRPr="00381DC2">
        <w:rPr>
          <w:color w:val="000000"/>
          <w:spacing w:val="-3"/>
        </w:rPr>
        <w:t xml:space="preserve"> </w:t>
      </w:r>
      <w:r w:rsidRPr="00381DC2">
        <w:rPr>
          <w:color w:val="000000"/>
        </w:rPr>
        <w:t>s</w:t>
      </w:r>
      <w:r w:rsidRPr="00381DC2">
        <w:rPr>
          <w:color w:val="000000"/>
          <w:spacing w:val="1"/>
        </w:rPr>
        <w:t xml:space="preserve"> </w:t>
      </w:r>
      <w:r w:rsidRPr="00381DC2">
        <w:rPr>
          <w:color w:val="000000"/>
          <w:spacing w:val="-1"/>
        </w:rPr>
        <w:t>rizikovými</w:t>
      </w:r>
      <w:r w:rsidRPr="00381DC2">
        <w:rPr>
          <w:color w:val="000000"/>
        </w:rPr>
        <w:t xml:space="preserve"> </w:t>
      </w:r>
      <w:r w:rsidRPr="00381DC2">
        <w:rPr>
          <w:color w:val="000000"/>
          <w:spacing w:val="-1"/>
        </w:rPr>
        <w:t>faktory, jako</w:t>
      </w:r>
      <w:r w:rsidRPr="00381DC2">
        <w:rPr>
          <w:color w:val="000000"/>
          <w:spacing w:val="1"/>
        </w:rPr>
        <w:t xml:space="preserve"> </w:t>
      </w:r>
      <w:r w:rsidRPr="00381DC2">
        <w:rPr>
          <w:color w:val="000000"/>
        </w:rPr>
        <w:t>jsou</w:t>
      </w:r>
      <w:r w:rsidRPr="00381DC2">
        <w:rPr>
          <w:color w:val="000000"/>
          <w:spacing w:val="-3"/>
        </w:rPr>
        <w:t xml:space="preserve"> </w:t>
      </w:r>
      <w:r w:rsidRPr="00381DC2">
        <w:rPr>
          <w:color w:val="000000"/>
          <w:spacing w:val="-1"/>
        </w:rPr>
        <w:t>hypertenze</w:t>
      </w:r>
      <w:r w:rsidRPr="00381DC2">
        <w:rPr>
          <w:color w:val="000000"/>
        </w:rPr>
        <w:t xml:space="preserve"> </w:t>
      </w:r>
      <w:r w:rsidRPr="00381DC2">
        <w:rPr>
          <w:color w:val="000000"/>
          <w:spacing w:val="-1"/>
        </w:rPr>
        <w:t>nebo</w:t>
      </w:r>
      <w:r w:rsidRPr="00381DC2">
        <w:rPr>
          <w:color w:val="000000"/>
          <w:spacing w:val="91"/>
        </w:rPr>
        <w:t xml:space="preserve"> </w:t>
      </w:r>
      <w:r w:rsidRPr="00381DC2">
        <w:rPr>
          <w:color w:val="000000"/>
          <w:spacing w:val="-1"/>
        </w:rPr>
        <w:t>aneurysma</w:t>
      </w:r>
      <w:r w:rsidRPr="00381DC2">
        <w:rPr>
          <w:color w:val="000000"/>
          <w:spacing w:val="1"/>
        </w:rPr>
        <w:t xml:space="preserve"> </w:t>
      </w:r>
      <w:r w:rsidRPr="00381DC2">
        <w:rPr>
          <w:color w:val="000000"/>
        </w:rPr>
        <w:t>v</w:t>
      </w:r>
      <w:r w:rsidRPr="00381DC2">
        <w:rPr>
          <w:color w:val="000000"/>
          <w:spacing w:val="-2"/>
        </w:rPr>
        <w:t xml:space="preserve"> </w:t>
      </w:r>
      <w:r w:rsidRPr="00381DC2">
        <w:rPr>
          <w:color w:val="000000"/>
          <w:spacing w:val="-1"/>
        </w:rPr>
        <w:t>anamnéze,</w:t>
      </w:r>
      <w:r w:rsidRPr="00381DC2">
        <w:rPr>
          <w:color w:val="000000"/>
        </w:rPr>
        <w:t xml:space="preserve"> </w:t>
      </w:r>
      <w:r w:rsidRPr="00381DC2">
        <w:rPr>
          <w:color w:val="000000"/>
          <w:spacing w:val="1"/>
        </w:rPr>
        <w:t>se</w:t>
      </w:r>
      <w:r w:rsidRPr="00381DC2">
        <w:rPr>
          <w:color w:val="000000"/>
          <w:spacing w:val="-1"/>
        </w:rPr>
        <w:t xml:space="preserve"> </w:t>
      </w:r>
      <w:r w:rsidRPr="00381DC2">
        <w:rPr>
          <w:color w:val="000000"/>
        </w:rPr>
        <w:t>má</w:t>
      </w:r>
      <w:r w:rsidRPr="00381DC2">
        <w:rPr>
          <w:color w:val="000000"/>
          <w:spacing w:val="-2"/>
        </w:rPr>
        <w:t xml:space="preserve"> </w:t>
      </w:r>
      <w:r w:rsidRPr="00381DC2">
        <w:rPr>
          <w:color w:val="000000"/>
          <w:spacing w:val="-1"/>
        </w:rPr>
        <w:t>před zahájením užívání</w:t>
      </w:r>
      <w:r w:rsidRPr="00381DC2">
        <w:rPr>
          <w:color w:val="000000"/>
          <w:spacing w:val="1"/>
        </w:rPr>
        <w:t xml:space="preserve"> </w:t>
      </w:r>
      <w:r w:rsidRPr="00381DC2">
        <w:rPr>
          <w:color w:val="000000"/>
          <w:spacing w:val="-1"/>
        </w:rPr>
        <w:t>přípravku</w:t>
      </w:r>
      <w:r w:rsidRPr="00381DC2">
        <w:rPr>
          <w:color w:val="000000"/>
          <w:spacing w:val="1"/>
        </w:rPr>
        <w:t xml:space="preserve"> </w:t>
      </w:r>
      <w:r w:rsidR="008A4147" w:rsidRPr="00381DC2">
        <w:rPr>
          <w:color w:val="000000"/>
          <w:spacing w:val="1"/>
        </w:rPr>
        <w:t>Zirabev</w:t>
      </w:r>
      <w:r w:rsidRPr="00381DC2">
        <w:rPr>
          <w:color w:val="000000"/>
          <w:spacing w:val="-2"/>
        </w:rPr>
        <w:t xml:space="preserve"> </w:t>
      </w:r>
      <w:r w:rsidRPr="00381DC2">
        <w:rPr>
          <w:color w:val="000000"/>
        </w:rPr>
        <w:t xml:space="preserve">toto </w:t>
      </w:r>
      <w:r w:rsidRPr="00381DC2">
        <w:rPr>
          <w:color w:val="000000"/>
          <w:spacing w:val="-1"/>
        </w:rPr>
        <w:t>riziko</w:t>
      </w:r>
      <w:r w:rsidRPr="00381DC2">
        <w:rPr>
          <w:color w:val="000000"/>
          <w:spacing w:val="1"/>
        </w:rPr>
        <w:t xml:space="preserve"> </w:t>
      </w:r>
      <w:r w:rsidRPr="00381DC2">
        <w:rPr>
          <w:color w:val="000000"/>
          <w:spacing w:val="-1"/>
        </w:rPr>
        <w:t>pečlivě zvážit.</w:t>
      </w:r>
    </w:p>
    <w:p w14:paraId="5E74B782" w14:textId="77777777" w:rsidR="00D15122" w:rsidRPr="00381DC2" w:rsidRDefault="00D15122" w:rsidP="00564363">
      <w:pPr>
        <w:rPr>
          <w:rFonts w:ascii="Times New Roman" w:eastAsia="Times New Roman" w:hAnsi="Times New Roman"/>
          <w:color w:val="000000"/>
        </w:rPr>
      </w:pPr>
    </w:p>
    <w:p w14:paraId="3EB0F036" w14:textId="77777777" w:rsidR="00D15122" w:rsidRPr="00381DC2" w:rsidRDefault="00FE2EAF" w:rsidP="00A45DD1">
      <w:pPr>
        <w:keepNext/>
        <w:rPr>
          <w:rFonts w:ascii="Times New Roman" w:eastAsia="Times New Roman" w:hAnsi="Times New Roman"/>
          <w:color w:val="000000"/>
          <w:u w:val="single"/>
        </w:rPr>
      </w:pPr>
      <w:r w:rsidRPr="00381DC2">
        <w:rPr>
          <w:rFonts w:ascii="Times New Roman" w:hAnsi="Times New Roman"/>
          <w:color w:val="000000"/>
          <w:u w:val="single"/>
        </w:rPr>
        <w:t>Syndrom zadní r</w:t>
      </w:r>
      <w:r w:rsidR="009B0756" w:rsidRPr="00381DC2">
        <w:rPr>
          <w:rFonts w:ascii="Times New Roman" w:hAnsi="Times New Roman"/>
          <w:color w:val="000000"/>
          <w:u w:val="single"/>
        </w:rPr>
        <w:t>everzibilní encefalopatie</w:t>
      </w:r>
      <w:r w:rsidR="0032022D" w:rsidRPr="00381DC2">
        <w:rPr>
          <w:rFonts w:ascii="Times New Roman" w:hAnsi="Times New Roman"/>
          <w:color w:val="000000"/>
          <w:u w:val="single"/>
        </w:rPr>
        <w:t xml:space="preserve"> </w:t>
      </w:r>
      <w:r w:rsidR="009B0756" w:rsidRPr="00381DC2">
        <w:rPr>
          <w:rFonts w:ascii="Times New Roman" w:hAnsi="Times New Roman"/>
          <w:color w:val="000000"/>
          <w:u w:val="single"/>
        </w:rPr>
        <w:t>(</w:t>
      </w:r>
      <w:r w:rsidRPr="00381DC2">
        <w:rPr>
          <w:rFonts w:ascii="Times New Roman" w:hAnsi="Times New Roman"/>
          <w:color w:val="000000"/>
          <w:u w:val="single"/>
        </w:rPr>
        <w:t xml:space="preserve">posterior reversible encephalopathy syndrome, </w:t>
      </w:r>
      <w:r w:rsidR="009B0756" w:rsidRPr="00381DC2">
        <w:rPr>
          <w:rFonts w:ascii="Times New Roman" w:hAnsi="Times New Roman"/>
          <w:color w:val="000000"/>
          <w:u w:val="single"/>
        </w:rPr>
        <w:t>PRES) (viz bod 4.8)</w:t>
      </w:r>
    </w:p>
    <w:p w14:paraId="24FC165E" w14:textId="77777777" w:rsidR="00701D3B" w:rsidRPr="00381DC2" w:rsidRDefault="00701D3B" w:rsidP="00A45DD1">
      <w:pPr>
        <w:pStyle w:val="BodyText"/>
        <w:keepNext/>
        <w:ind w:left="0" w:right="176"/>
        <w:rPr>
          <w:color w:val="000000"/>
        </w:rPr>
      </w:pPr>
    </w:p>
    <w:p w14:paraId="75F2EA50" w14:textId="77777777" w:rsidR="00D15122" w:rsidRPr="00381DC2" w:rsidRDefault="009B0756" w:rsidP="007F6E1B">
      <w:pPr>
        <w:pStyle w:val="BodyText"/>
        <w:ind w:left="0" w:right="176"/>
        <w:rPr>
          <w:color w:val="000000"/>
        </w:rPr>
      </w:pPr>
      <w:r w:rsidRPr="00381DC2">
        <w:rPr>
          <w:color w:val="000000"/>
        </w:rPr>
        <w:t xml:space="preserve">U pacientů léčených bevacizumabem byly vzácně hlášeny známky a příznaky odpovídající syndromu PRES, </w:t>
      </w:r>
      <w:r w:rsidR="00EC6CAA" w:rsidRPr="00381DC2">
        <w:rPr>
          <w:color w:val="000000"/>
        </w:rPr>
        <w:t xml:space="preserve">vzácně </w:t>
      </w:r>
      <w:r w:rsidRPr="00381DC2">
        <w:rPr>
          <w:color w:val="000000"/>
        </w:rPr>
        <w:t xml:space="preserve">se vyskytující neurologické poruchy, která se mimo jiné může projevovat těmito známkami a příznaky: </w:t>
      </w:r>
      <w:r w:rsidR="00FE2EAF" w:rsidRPr="00381DC2">
        <w:rPr>
          <w:color w:val="000000"/>
        </w:rPr>
        <w:t>epileptické záchvaty</w:t>
      </w:r>
      <w:r w:rsidRPr="00381DC2">
        <w:rPr>
          <w:color w:val="000000"/>
        </w:rPr>
        <w:t xml:space="preserve">, bolest hlavy, změny </w:t>
      </w:r>
      <w:r w:rsidR="00EC6CAA" w:rsidRPr="00381DC2">
        <w:rPr>
          <w:color w:val="000000"/>
        </w:rPr>
        <w:t xml:space="preserve">duševního </w:t>
      </w:r>
      <w:r w:rsidRPr="00381DC2">
        <w:rPr>
          <w:color w:val="000000"/>
        </w:rPr>
        <w:t>stavu, poruch</w:t>
      </w:r>
      <w:r w:rsidR="00503439" w:rsidRPr="00381DC2">
        <w:rPr>
          <w:color w:val="000000"/>
        </w:rPr>
        <w:t>a zraku</w:t>
      </w:r>
      <w:r w:rsidRPr="00381DC2">
        <w:rPr>
          <w:color w:val="000000"/>
        </w:rPr>
        <w:t xml:space="preserve"> nebo kortikální slepota, společně s hypertenzí nebo bez hypertenze. K potvrzení diagnózy syndromu PRES je nutné provedení zobrazovacího vyšetření mozku, přednostně pomocí magnetické rezonance (MRI). U pacientů</w:t>
      </w:r>
      <w:r w:rsidR="00EC6CAA" w:rsidRPr="00381DC2">
        <w:rPr>
          <w:color w:val="000000"/>
        </w:rPr>
        <w:t>, u nichž se rozvine syndrom</w:t>
      </w:r>
      <w:r w:rsidRPr="00381DC2">
        <w:rPr>
          <w:color w:val="000000"/>
        </w:rPr>
        <w:t xml:space="preserve"> PRES</w:t>
      </w:r>
      <w:r w:rsidR="00EC6CAA" w:rsidRPr="00381DC2">
        <w:rPr>
          <w:color w:val="000000"/>
        </w:rPr>
        <w:t>,</w:t>
      </w:r>
      <w:r w:rsidRPr="00381DC2">
        <w:rPr>
          <w:color w:val="000000"/>
        </w:rPr>
        <w:t xml:space="preserve"> se doporučuje ukončení terapie přípravkem </w:t>
      </w:r>
      <w:r w:rsidR="00CC0FAB" w:rsidRPr="00381DC2">
        <w:rPr>
          <w:color w:val="000000"/>
        </w:rPr>
        <w:t>Zirabev</w:t>
      </w:r>
      <w:r w:rsidRPr="00381DC2">
        <w:rPr>
          <w:color w:val="000000"/>
        </w:rPr>
        <w:t xml:space="preserve"> a léčba specifických příznaků včetně kontroly hypertenze. Bezpečnost opětovného zahájení terapie bevacizumabem u pacientů s předchozím výskytem syndromu PRES není známa.</w:t>
      </w:r>
    </w:p>
    <w:p w14:paraId="0313FAEC" w14:textId="77777777" w:rsidR="00D15122" w:rsidRPr="00381DC2" w:rsidRDefault="00D15122" w:rsidP="007F6E1B">
      <w:pPr>
        <w:rPr>
          <w:rFonts w:ascii="Times New Roman" w:eastAsia="Times New Roman" w:hAnsi="Times New Roman"/>
          <w:color w:val="000000"/>
        </w:rPr>
      </w:pPr>
    </w:p>
    <w:p w14:paraId="308DECF4" w14:textId="77777777" w:rsidR="00D15122" w:rsidRPr="00381DC2" w:rsidRDefault="009B0756" w:rsidP="007F6E1B">
      <w:pPr>
        <w:rPr>
          <w:rFonts w:ascii="Times New Roman" w:eastAsia="Times New Roman" w:hAnsi="Times New Roman"/>
          <w:color w:val="000000"/>
          <w:u w:val="single"/>
        </w:rPr>
      </w:pPr>
      <w:r w:rsidRPr="00381DC2">
        <w:rPr>
          <w:rFonts w:ascii="Times New Roman" w:hAnsi="Times New Roman"/>
          <w:color w:val="000000"/>
          <w:u w:val="single"/>
        </w:rPr>
        <w:t>Proteinurie (viz bod 4.8)</w:t>
      </w:r>
    </w:p>
    <w:p w14:paraId="4FC80F7A" w14:textId="77777777" w:rsidR="00701D3B" w:rsidRPr="00381DC2" w:rsidRDefault="00701D3B" w:rsidP="007F6E1B">
      <w:pPr>
        <w:pStyle w:val="BodyText"/>
        <w:ind w:left="0" w:right="185"/>
        <w:rPr>
          <w:color w:val="000000"/>
        </w:rPr>
      </w:pPr>
    </w:p>
    <w:p w14:paraId="4906AD10" w14:textId="77777777" w:rsidR="00D15122" w:rsidRPr="00381DC2" w:rsidRDefault="009B0756" w:rsidP="007F6E1B">
      <w:pPr>
        <w:pStyle w:val="BodyText"/>
        <w:ind w:left="0" w:right="185"/>
        <w:rPr>
          <w:color w:val="000000"/>
        </w:rPr>
      </w:pPr>
      <w:r w:rsidRPr="00381DC2">
        <w:rPr>
          <w:color w:val="000000"/>
        </w:rPr>
        <w:t xml:space="preserve">Pacienti s hypertenzí v anamnéze mohou mít během léčby bevacizumabem zvýšené riziko vzniku proteinurie. Bylo prokázáno, že proteinurie všech stupňů [dle Obecných terminologických kritérií nežádoucích </w:t>
      </w:r>
      <w:r w:rsidR="000D34AB" w:rsidRPr="00381DC2">
        <w:rPr>
          <w:color w:val="000000"/>
        </w:rPr>
        <w:t xml:space="preserve">příhod </w:t>
      </w:r>
      <w:r w:rsidRPr="00381DC2">
        <w:rPr>
          <w:color w:val="000000"/>
        </w:rPr>
        <w:t xml:space="preserve">amerického Národního ústavu pro zhoubné nádory – „US National Cancer Institute-Common Terminology Criteria for Adverse Events“ (NCI-CTCAE v.3)] může </w:t>
      </w:r>
      <w:r w:rsidR="000D34AB" w:rsidRPr="00381DC2">
        <w:rPr>
          <w:color w:val="000000"/>
        </w:rPr>
        <w:t>souviset s dávkou</w:t>
      </w:r>
      <w:r w:rsidRPr="00381DC2">
        <w:rPr>
          <w:color w:val="000000"/>
        </w:rPr>
        <w:t>. Před zahájením léčby a během léčby se doporučuje monitorovat proteinurii provedením rozboru moči testovacím proužkem. Proteinurie stupně 4 (nefrotický syndrom) byla pozorována až u 1,4 % pacientů léčených bevacizumabem. U pacientů, u kterých se vyskytne nefrotický syndrom (NCI-CTCAE v.3), je nutno léčbu trvale ukončit.</w:t>
      </w:r>
    </w:p>
    <w:p w14:paraId="202A0E50" w14:textId="77777777" w:rsidR="00D15122" w:rsidRPr="00381DC2" w:rsidRDefault="00D15122" w:rsidP="007F6E1B">
      <w:pPr>
        <w:rPr>
          <w:rFonts w:ascii="Times New Roman" w:eastAsia="Times New Roman" w:hAnsi="Times New Roman"/>
          <w:color w:val="000000"/>
        </w:rPr>
      </w:pPr>
    </w:p>
    <w:p w14:paraId="0873E231" w14:textId="77777777" w:rsidR="00D15122" w:rsidRPr="00381DC2" w:rsidRDefault="009B0756" w:rsidP="00333699">
      <w:pPr>
        <w:widowControl/>
        <w:rPr>
          <w:rFonts w:ascii="Times New Roman" w:eastAsia="Times New Roman" w:hAnsi="Times New Roman"/>
          <w:color w:val="000000"/>
          <w:u w:val="single"/>
        </w:rPr>
      </w:pPr>
      <w:r w:rsidRPr="00381DC2">
        <w:rPr>
          <w:rFonts w:ascii="Times New Roman" w:hAnsi="Times New Roman"/>
          <w:color w:val="000000"/>
          <w:u w:val="single"/>
        </w:rPr>
        <w:t>Arteriální tromboembolie (viz bod 4.8)</w:t>
      </w:r>
    </w:p>
    <w:p w14:paraId="60B91E15" w14:textId="77777777" w:rsidR="00701D3B" w:rsidRPr="00381DC2" w:rsidRDefault="00701D3B" w:rsidP="00333699">
      <w:pPr>
        <w:pStyle w:val="BodyText"/>
        <w:widowControl/>
        <w:ind w:left="0" w:right="238"/>
        <w:rPr>
          <w:color w:val="000000"/>
        </w:rPr>
      </w:pPr>
    </w:p>
    <w:p w14:paraId="38C3F2E1" w14:textId="77777777" w:rsidR="00D15122" w:rsidRPr="00381DC2" w:rsidRDefault="009B0756" w:rsidP="00333699">
      <w:pPr>
        <w:pStyle w:val="BodyText"/>
        <w:widowControl/>
        <w:ind w:left="0" w:right="238"/>
        <w:rPr>
          <w:color w:val="000000"/>
        </w:rPr>
      </w:pPr>
      <w:r w:rsidRPr="00381DC2">
        <w:rPr>
          <w:color w:val="000000"/>
        </w:rPr>
        <w:t xml:space="preserve">V klinických </w:t>
      </w:r>
      <w:r w:rsidR="00FE2EAF" w:rsidRPr="00381DC2">
        <w:rPr>
          <w:color w:val="000000"/>
        </w:rPr>
        <w:t>studiích</w:t>
      </w:r>
      <w:r w:rsidRPr="00381DC2">
        <w:rPr>
          <w:color w:val="000000"/>
        </w:rPr>
        <w:t xml:space="preserve"> byla zjištěna </w:t>
      </w:r>
      <w:r w:rsidR="00D50E6B" w:rsidRPr="00381DC2">
        <w:rPr>
          <w:color w:val="000000"/>
        </w:rPr>
        <w:t xml:space="preserve">vyšší </w:t>
      </w:r>
      <w:r w:rsidRPr="00381DC2">
        <w:rPr>
          <w:color w:val="000000"/>
        </w:rPr>
        <w:t xml:space="preserve">incidence arteriální tromboembolie, včetně </w:t>
      </w:r>
      <w:r w:rsidR="000D34AB" w:rsidRPr="00381DC2">
        <w:rPr>
          <w:color w:val="000000"/>
        </w:rPr>
        <w:t xml:space="preserve">cévních mozkových </w:t>
      </w:r>
      <w:r w:rsidRPr="00381DC2">
        <w:rPr>
          <w:color w:val="000000"/>
        </w:rPr>
        <w:t xml:space="preserve">příhod, </w:t>
      </w:r>
      <w:r w:rsidR="00FE2EAF" w:rsidRPr="00381DC2">
        <w:rPr>
          <w:color w:val="000000"/>
        </w:rPr>
        <w:t>tranzitorních</w:t>
      </w:r>
      <w:r w:rsidRPr="00381DC2">
        <w:rPr>
          <w:color w:val="000000"/>
        </w:rPr>
        <w:t xml:space="preserve"> ischemických </w:t>
      </w:r>
      <w:r w:rsidR="00D50E6B" w:rsidRPr="00381DC2">
        <w:rPr>
          <w:color w:val="000000"/>
        </w:rPr>
        <w:t xml:space="preserve">atak </w:t>
      </w:r>
      <w:r w:rsidRPr="00381DC2">
        <w:rPr>
          <w:color w:val="000000"/>
        </w:rPr>
        <w:t>a infarktů myokardu u pacientů, kterým byl podáván bevacizumab v kombinaci s chemoterapií, v porovnání s pacienty, kteří byli léčeni pouze chemoterapií.</w:t>
      </w:r>
    </w:p>
    <w:p w14:paraId="5049871E" w14:textId="77777777" w:rsidR="00D15122" w:rsidRPr="00381DC2" w:rsidRDefault="00D15122" w:rsidP="007F6E1B">
      <w:pPr>
        <w:rPr>
          <w:rFonts w:ascii="Times New Roman" w:eastAsia="Times New Roman" w:hAnsi="Times New Roman"/>
          <w:color w:val="000000"/>
        </w:rPr>
      </w:pPr>
    </w:p>
    <w:p w14:paraId="2FD15A86" w14:textId="77777777" w:rsidR="00D15122" w:rsidRPr="00381DC2" w:rsidRDefault="009B0756" w:rsidP="007F6E1B">
      <w:pPr>
        <w:pStyle w:val="BodyText"/>
        <w:ind w:left="0" w:right="209"/>
        <w:rPr>
          <w:color w:val="000000"/>
        </w:rPr>
      </w:pPr>
      <w:r w:rsidRPr="00381DC2">
        <w:rPr>
          <w:color w:val="000000"/>
        </w:rPr>
        <w:t>Pacienti léčení bevacizumabem plus chemoterapií, kteří mají v anamnéze arteriální tromboemboli</w:t>
      </w:r>
      <w:r w:rsidR="00D50E6B" w:rsidRPr="00381DC2">
        <w:rPr>
          <w:color w:val="000000"/>
        </w:rPr>
        <w:t>i</w:t>
      </w:r>
      <w:r w:rsidRPr="00381DC2">
        <w:rPr>
          <w:color w:val="000000"/>
        </w:rPr>
        <w:t xml:space="preserve">, diabetes nebo jsou starší než 65 let, mají v průběhu léčby </w:t>
      </w:r>
      <w:r w:rsidR="00D50E6B" w:rsidRPr="00381DC2">
        <w:rPr>
          <w:color w:val="000000"/>
        </w:rPr>
        <w:t xml:space="preserve">zvýšené </w:t>
      </w:r>
      <w:r w:rsidRPr="00381DC2">
        <w:rPr>
          <w:color w:val="000000"/>
        </w:rPr>
        <w:t xml:space="preserve">riziko vzniku arteriálních tromboembolických reakcí. Proto je nutné věnovat těmto pacientům během léčby přípravkem </w:t>
      </w:r>
      <w:r w:rsidR="00CC0FAB" w:rsidRPr="00381DC2">
        <w:rPr>
          <w:color w:val="000000"/>
        </w:rPr>
        <w:t>Zirabev</w:t>
      </w:r>
      <w:r w:rsidRPr="00381DC2">
        <w:rPr>
          <w:color w:val="000000"/>
        </w:rPr>
        <w:t xml:space="preserve"> zvýšenou pozornost.</w:t>
      </w:r>
    </w:p>
    <w:p w14:paraId="0D8A8B3E" w14:textId="77777777" w:rsidR="00D15122" w:rsidRPr="00381DC2" w:rsidRDefault="00D15122" w:rsidP="007F6E1B">
      <w:pPr>
        <w:rPr>
          <w:rFonts w:ascii="Times New Roman" w:eastAsia="Times New Roman" w:hAnsi="Times New Roman"/>
          <w:color w:val="000000"/>
        </w:rPr>
      </w:pPr>
    </w:p>
    <w:p w14:paraId="170C84B8" w14:textId="77777777" w:rsidR="00D15122" w:rsidRPr="00381DC2" w:rsidRDefault="009B0756" w:rsidP="007F6E1B">
      <w:pPr>
        <w:pStyle w:val="BodyText"/>
        <w:ind w:left="0" w:right="137"/>
        <w:rPr>
          <w:color w:val="000000"/>
        </w:rPr>
      </w:pPr>
      <w:r w:rsidRPr="00381DC2">
        <w:rPr>
          <w:color w:val="000000"/>
        </w:rPr>
        <w:t xml:space="preserve">U pacientů, u kterých se vyskytnou arteriální tromboembolické reakce, je nutné léčbu </w:t>
      </w:r>
      <w:r w:rsidR="00FE2EAF" w:rsidRPr="00381DC2">
        <w:rPr>
          <w:color w:val="000000"/>
        </w:rPr>
        <w:t xml:space="preserve">trvale </w:t>
      </w:r>
      <w:r w:rsidRPr="00381DC2">
        <w:rPr>
          <w:color w:val="000000"/>
        </w:rPr>
        <w:t>ukončit.</w:t>
      </w:r>
    </w:p>
    <w:p w14:paraId="564C4D5A" w14:textId="77777777" w:rsidR="00D15122" w:rsidRPr="00381DC2" w:rsidRDefault="00D15122" w:rsidP="007F6E1B">
      <w:pPr>
        <w:rPr>
          <w:rFonts w:ascii="Times New Roman" w:eastAsia="Times New Roman" w:hAnsi="Times New Roman"/>
          <w:color w:val="000000"/>
        </w:rPr>
      </w:pPr>
    </w:p>
    <w:p w14:paraId="48404C9D" w14:textId="77777777" w:rsidR="00D15122" w:rsidRPr="00381DC2" w:rsidRDefault="009B0756" w:rsidP="002F77B9">
      <w:pPr>
        <w:keepNext/>
        <w:keepLines/>
        <w:spacing w:line="252" w:lineRule="exact"/>
        <w:rPr>
          <w:rFonts w:ascii="Times New Roman" w:eastAsia="Times New Roman" w:hAnsi="Times New Roman"/>
          <w:color w:val="000000"/>
          <w:u w:val="single"/>
        </w:rPr>
      </w:pPr>
      <w:r w:rsidRPr="00381DC2">
        <w:rPr>
          <w:rFonts w:ascii="Times New Roman" w:hAnsi="Times New Roman"/>
          <w:color w:val="000000"/>
          <w:u w:val="single"/>
        </w:rPr>
        <w:t>Žilní tromboembolie (viz bod 4.8)</w:t>
      </w:r>
    </w:p>
    <w:p w14:paraId="65C7F17C" w14:textId="77777777" w:rsidR="00701D3B" w:rsidRPr="00381DC2" w:rsidRDefault="00701D3B" w:rsidP="007F6E1B">
      <w:pPr>
        <w:pStyle w:val="BodyText"/>
        <w:ind w:left="0" w:right="209"/>
        <w:rPr>
          <w:color w:val="000000"/>
        </w:rPr>
      </w:pPr>
    </w:p>
    <w:p w14:paraId="428802B4" w14:textId="77777777" w:rsidR="00D15122" w:rsidRPr="00381DC2" w:rsidRDefault="009B0756" w:rsidP="007F6E1B">
      <w:pPr>
        <w:pStyle w:val="BodyText"/>
        <w:ind w:left="0" w:right="209"/>
        <w:rPr>
          <w:color w:val="000000"/>
        </w:rPr>
      </w:pPr>
      <w:r w:rsidRPr="00381DC2">
        <w:rPr>
          <w:color w:val="000000"/>
        </w:rPr>
        <w:t xml:space="preserve">Při léčbě bevacizumabem může být u pacientů riziko vzniku žilních tromboembolických reakcí včetně plicní </w:t>
      </w:r>
      <w:r w:rsidR="008414BE" w:rsidRPr="00381DC2">
        <w:rPr>
          <w:color w:val="000000"/>
        </w:rPr>
        <w:t>embolie</w:t>
      </w:r>
      <w:r w:rsidRPr="00381DC2">
        <w:rPr>
          <w:color w:val="000000"/>
        </w:rPr>
        <w:t>.</w:t>
      </w:r>
    </w:p>
    <w:p w14:paraId="76DC995D" w14:textId="77777777" w:rsidR="00203535" w:rsidRPr="00381DC2" w:rsidRDefault="00203535" w:rsidP="007F6E1B">
      <w:pPr>
        <w:pStyle w:val="BodyText"/>
        <w:ind w:left="0" w:right="209"/>
        <w:rPr>
          <w:color w:val="000000"/>
        </w:rPr>
      </w:pPr>
    </w:p>
    <w:p w14:paraId="07F48D29" w14:textId="77777777" w:rsidR="00D15122" w:rsidRPr="00381DC2" w:rsidRDefault="008414BE" w:rsidP="007F6E1B">
      <w:pPr>
        <w:pStyle w:val="BodyText"/>
        <w:ind w:left="0" w:right="209"/>
        <w:rPr>
          <w:color w:val="000000"/>
        </w:rPr>
      </w:pPr>
      <w:r w:rsidRPr="00381DC2">
        <w:rPr>
          <w:color w:val="000000"/>
        </w:rPr>
        <w:t>P</w:t>
      </w:r>
      <w:r w:rsidR="009B0756" w:rsidRPr="00381DC2">
        <w:rPr>
          <w:color w:val="000000"/>
        </w:rPr>
        <w:t xml:space="preserve">acientky, které jsou léčeny </w:t>
      </w:r>
      <w:r w:rsidRPr="00381DC2">
        <w:rPr>
          <w:color w:val="000000"/>
        </w:rPr>
        <w:t>bevacizumabem v</w:t>
      </w:r>
      <w:r w:rsidR="007431A2" w:rsidRPr="00381DC2">
        <w:rPr>
          <w:color w:val="000000"/>
        </w:rPr>
        <w:t xml:space="preserve"> kombinaci s paklitaxelem a cisplatinou </w:t>
      </w:r>
      <w:r w:rsidR="009B0756" w:rsidRPr="00381DC2">
        <w:rPr>
          <w:color w:val="000000"/>
        </w:rPr>
        <w:t xml:space="preserve">z důvodu přetrvávajícího, rekurentního nebo </w:t>
      </w:r>
      <w:r w:rsidR="000834FE" w:rsidRPr="00381DC2">
        <w:rPr>
          <w:color w:val="000000"/>
        </w:rPr>
        <w:t>metasta</w:t>
      </w:r>
      <w:r w:rsidR="00FE2EAF" w:rsidRPr="00381DC2">
        <w:rPr>
          <w:color w:val="000000"/>
        </w:rPr>
        <w:t>zujícího</w:t>
      </w:r>
      <w:r w:rsidR="009B0756" w:rsidRPr="00381DC2">
        <w:rPr>
          <w:color w:val="000000"/>
        </w:rPr>
        <w:t xml:space="preserve"> karcinomu děložního </w:t>
      </w:r>
      <w:r w:rsidR="00FE2EAF" w:rsidRPr="00381DC2">
        <w:rPr>
          <w:color w:val="000000"/>
        </w:rPr>
        <w:t>čípku</w:t>
      </w:r>
      <w:r w:rsidR="009B0756" w:rsidRPr="00381DC2">
        <w:rPr>
          <w:color w:val="000000"/>
        </w:rPr>
        <w:t xml:space="preserve">, </w:t>
      </w:r>
      <w:r w:rsidR="007431A2" w:rsidRPr="00381DC2">
        <w:rPr>
          <w:color w:val="000000"/>
        </w:rPr>
        <w:t xml:space="preserve">mohou mít </w:t>
      </w:r>
      <w:r w:rsidR="009B0756" w:rsidRPr="00381DC2">
        <w:rPr>
          <w:color w:val="000000"/>
        </w:rPr>
        <w:t>zvýšené riziko žilních tromboembolických příhod.</w:t>
      </w:r>
    </w:p>
    <w:p w14:paraId="4BD8017C" w14:textId="77777777" w:rsidR="00203535" w:rsidRPr="00381DC2" w:rsidRDefault="00203535" w:rsidP="007F6E1B">
      <w:pPr>
        <w:pStyle w:val="BodyText"/>
        <w:ind w:left="0" w:right="137"/>
        <w:rPr>
          <w:color w:val="000000"/>
        </w:rPr>
      </w:pPr>
    </w:p>
    <w:p w14:paraId="38BDD69A" w14:textId="77777777" w:rsidR="00D15122" w:rsidRPr="00381DC2" w:rsidRDefault="00426DA8" w:rsidP="004F6645">
      <w:pPr>
        <w:pStyle w:val="BodyText"/>
        <w:widowControl/>
        <w:ind w:left="0" w:right="144"/>
        <w:rPr>
          <w:color w:val="000000"/>
        </w:rPr>
      </w:pPr>
      <w:r w:rsidRPr="00381DC2">
        <w:rPr>
          <w:color w:val="000000"/>
        </w:rPr>
        <w:t xml:space="preserve">U pacientů s život ohrožující (stupeň 4) tromboembolickou reakcí, včetně plicní </w:t>
      </w:r>
      <w:r w:rsidR="008414BE" w:rsidRPr="00381DC2">
        <w:rPr>
          <w:color w:val="000000"/>
        </w:rPr>
        <w:t xml:space="preserve">embolie </w:t>
      </w:r>
      <w:r w:rsidRPr="00381DC2">
        <w:rPr>
          <w:color w:val="000000"/>
        </w:rPr>
        <w:t xml:space="preserve">(NCI-CTCAE v.3), má být léčba přípravkem </w:t>
      </w:r>
      <w:r w:rsidR="00CC0FAB" w:rsidRPr="00381DC2">
        <w:rPr>
          <w:color w:val="000000"/>
        </w:rPr>
        <w:t>Zirabev</w:t>
      </w:r>
      <w:r w:rsidRPr="00381DC2">
        <w:rPr>
          <w:color w:val="000000"/>
        </w:rPr>
        <w:t xml:space="preserve"> ukončena. Pacienty s tromboembolickou reakcí stupně ≤ 3 (NCI-CTCAE v.3) je třeba pečlivě sledovat.</w:t>
      </w:r>
    </w:p>
    <w:p w14:paraId="65DEA2A4" w14:textId="77777777" w:rsidR="00D15122" w:rsidRPr="00381DC2" w:rsidRDefault="00D15122" w:rsidP="007F6E1B">
      <w:pPr>
        <w:rPr>
          <w:rFonts w:ascii="Times New Roman" w:eastAsia="Times New Roman" w:hAnsi="Times New Roman"/>
          <w:color w:val="000000"/>
        </w:rPr>
      </w:pPr>
    </w:p>
    <w:p w14:paraId="29125F79" w14:textId="77777777" w:rsidR="00D15122" w:rsidRPr="00381DC2" w:rsidRDefault="009B0756" w:rsidP="00B11B98">
      <w:pPr>
        <w:keepNext/>
        <w:rPr>
          <w:rFonts w:ascii="Times New Roman" w:eastAsia="Times New Roman" w:hAnsi="Times New Roman"/>
          <w:color w:val="000000"/>
          <w:u w:val="single"/>
        </w:rPr>
      </w:pPr>
      <w:r w:rsidRPr="00381DC2">
        <w:rPr>
          <w:rFonts w:ascii="Times New Roman" w:hAnsi="Times New Roman"/>
          <w:color w:val="000000"/>
          <w:u w:val="single"/>
        </w:rPr>
        <w:t>Krvácení</w:t>
      </w:r>
    </w:p>
    <w:p w14:paraId="40E55C08" w14:textId="77777777" w:rsidR="00701D3B" w:rsidRPr="00381DC2" w:rsidRDefault="00701D3B" w:rsidP="00B11B98">
      <w:pPr>
        <w:pStyle w:val="BodyText"/>
        <w:widowControl/>
        <w:ind w:left="0" w:right="144"/>
        <w:rPr>
          <w:color w:val="000000"/>
        </w:rPr>
      </w:pPr>
    </w:p>
    <w:p w14:paraId="3A0865CA" w14:textId="77777777" w:rsidR="00D15122" w:rsidRPr="00381DC2" w:rsidRDefault="009B0756" w:rsidP="00B11B98">
      <w:pPr>
        <w:pStyle w:val="BodyText"/>
        <w:widowControl/>
        <w:ind w:left="0" w:right="144"/>
        <w:rPr>
          <w:color w:val="000000"/>
        </w:rPr>
      </w:pPr>
      <w:r w:rsidRPr="00381DC2">
        <w:rPr>
          <w:color w:val="000000"/>
        </w:rPr>
        <w:t xml:space="preserve">U pacientů léčených bevacizumabem je zvýšené riziko krvácení, zejména krvácení souvisejícího s nádorem. U pacientů, u kterých se během léčby přípravkem </w:t>
      </w:r>
      <w:r w:rsidR="00CC0FAB" w:rsidRPr="00381DC2">
        <w:rPr>
          <w:color w:val="000000"/>
        </w:rPr>
        <w:t>Zirabev</w:t>
      </w:r>
      <w:r w:rsidRPr="00381DC2">
        <w:rPr>
          <w:color w:val="000000"/>
        </w:rPr>
        <w:t xml:space="preserve"> vyskytne krvácení stupně 3 nebo 4 (NCI-CTCAE v.3), je nutno léčbu tímto přípravkem trvale ukončit (viz bod 4.8).</w:t>
      </w:r>
    </w:p>
    <w:p w14:paraId="6F35C9C7" w14:textId="77777777" w:rsidR="00D15122" w:rsidRPr="00381DC2" w:rsidRDefault="00D15122" w:rsidP="007F6E1B">
      <w:pPr>
        <w:rPr>
          <w:rFonts w:ascii="Times New Roman" w:eastAsia="Times New Roman" w:hAnsi="Times New Roman"/>
          <w:color w:val="000000"/>
        </w:rPr>
      </w:pPr>
    </w:p>
    <w:p w14:paraId="7D8AB77F" w14:textId="77777777" w:rsidR="00D15122" w:rsidRPr="00381DC2" w:rsidRDefault="009B0756" w:rsidP="007F6E1B">
      <w:pPr>
        <w:pStyle w:val="BodyText"/>
        <w:ind w:left="0" w:right="160"/>
        <w:rPr>
          <w:color w:val="000000"/>
        </w:rPr>
      </w:pPr>
      <w:r w:rsidRPr="00381DC2">
        <w:rPr>
          <w:color w:val="000000"/>
        </w:rPr>
        <w:t xml:space="preserve">Pacienti s neléčenými metastázami v CNS byli </w:t>
      </w:r>
      <w:r w:rsidR="00FE2EAF" w:rsidRPr="00381DC2">
        <w:rPr>
          <w:color w:val="000000"/>
        </w:rPr>
        <w:t xml:space="preserve">na základě zobrazovacích vyšetření nebo známek a příznaků </w:t>
      </w:r>
      <w:r w:rsidRPr="00381DC2">
        <w:rPr>
          <w:color w:val="000000"/>
        </w:rPr>
        <w:t xml:space="preserve">rutinně vyloučeni z klinických </w:t>
      </w:r>
      <w:r w:rsidR="00FE2EAF" w:rsidRPr="00381DC2">
        <w:rPr>
          <w:color w:val="000000"/>
        </w:rPr>
        <w:t>studií</w:t>
      </w:r>
      <w:r w:rsidRPr="00381DC2">
        <w:rPr>
          <w:color w:val="000000"/>
        </w:rPr>
        <w:t xml:space="preserve"> s bevacizumabem. Riziko krvácení do CNS u takových pacientů proto nebylo prospektivně hodnoceno v randomizovaných klinických </w:t>
      </w:r>
      <w:r w:rsidR="00FE2EAF" w:rsidRPr="00381DC2">
        <w:rPr>
          <w:color w:val="000000"/>
        </w:rPr>
        <w:t>studiích</w:t>
      </w:r>
      <w:r w:rsidRPr="00381DC2">
        <w:rPr>
          <w:color w:val="000000"/>
        </w:rPr>
        <w:t xml:space="preserve"> (viz bod 4.8). Pacienti </w:t>
      </w:r>
      <w:r w:rsidR="00A24DC7" w:rsidRPr="00381DC2">
        <w:rPr>
          <w:color w:val="000000"/>
        </w:rPr>
        <w:t>mají</w:t>
      </w:r>
      <w:r w:rsidRPr="00381DC2">
        <w:rPr>
          <w:color w:val="000000"/>
        </w:rPr>
        <w:t xml:space="preserve"> být monitorováni kvůli známkám a příznakům krvácení do CNS a léčba přípravkem </w:t>
      </w:r>
      <w:r w:rsidR="00CC0FAB" w:rsidRPr="00381DC2">
        <w:rPr>
          <w:color w:val="000000"/>
        </w:rPr>
        <w:t>Zirabev</w:t>
      </w:r>
      <w:r w:rsidRPr="00381DC2">
        <w:rPr>
          <w:color w:val="000000"/>
        </w:rPr>
        <w:t xml:space="preserve"> má být v případech nitrolebního krvácení ukončena.</w:t>
      </w:r>
    </w:p>
    <w:p w14:paraId="4DAE8C08" w14:textId="77777777" w:rsidR="00D15122" w:rsidRPr="00381DC2" w:rsidRDefault="00D15122" w:rsidP="007F6E1B">
      <w:pPr>
        <w:rPr>
          <w:rFonts w:ascii="Times New Roman" w:eastAsia="Times New Roman" w:hAnsi="Times New Roman"/>
          <w:color w:val="000000"/>
        </w:rPr>
      </w:pPr>
    </w:p>
    <w:p w14:paraId="3C3EE35A" w14:textId="77777777" w:rsidR="00D15122" w:rsidRPr="00381DC2" w:rsidRDefault="009B0756" w:rsidP="007F6E1B">
      <w:pPr>
        <w:pStyle w:val="BodyText"/>
        <w:ind w:left="0" w:right="209"/>
        <w:rPr>
          <w:color w:val="000000"/>
        </w:rPr>
      </w:pPr>
      <w:r w:rsidRPr="00381DC2">
        <w:rPr>
          <w:color w:val="000000"/>
        </w:rPr>
        <w:t xml:space="preserve">Nejsou k dispozici </w:t>
      </w:r>
      <w:r w:rsidR="002F678D" w:rsidRPr="00381DC2">
        <w:rPr>
          <w:color w:val="000000"/>
        </w:rPr>
        <w:t xml:space="preserve">žádné </w:t>
      </w:r>
      <w:r w:rsidRPr="00381DC2">
        <w:rPr>
          <w:color w:val="000000"/>
        </w:rPr>
        <w:t>informace týkající se bezpečnostního profilu bevacizumabu u pacientů</w:t>
      </w:r>
      <w:r w:rsidR="002F678D" w:rsidRPr="00381DC2">
        <w:rPr>
          <w:color w:val="000000"/>
        </w:rPr>
        <w:t xml:space="preserve"> s </w:t>
      </w:r>
      <w:r w:rsidRPr="00381DC2">
        <w:rPr>
          <w:color w:val="000000"/>
        </w:rPr>
        <w:t>kongenitální hemoragick</w:t>
      </w:r>
      <w:r w:rsidR="002F678D" w:rsidRPr="00381DC2">
        <w:rPr>
          <w:color w:val="000000"/>
        </w:rPr>
        <w:t>ou</w:t>
      </w:r>
      <w:r w:rsidRPr="00381DC2">
        <w:rPr>
          <w:color w:val="000000"/>
        </w:rPr>
        <w:t xml:space="preserve"> diatéz</w:t>
      </w:r>
      <w:r w:rsidR="002F678D" w:rsidRPr="00381DC2">
        <w:rPr>
          <w:color w:val="000000"/>
        </w:rPr>
        <w:t>ou</w:t>
      </w:r>
      <w:r w:rsidRPr="00381DC2">
        <w:rPr>
          <w:color w:val="000000"/>
        </w:rPr>
        <w:t xml:space="preserve"> nebo získan</w:t>
      </w:r>
      <w:r w:rsidR="002F678D" w:rsidRPr="00381DC2">
        <w:rPr>
          <w:color w:val="000000"/>
        </w:rPr>
        <w:t>ou</w:t>
      </w:r>
      <w:r w:rsidRPr="00381DC2">
        <w:rPr>
          <w:color w:val="000000"/>
        </w:rPr>
        <w:t xml:space="preserve"> koagulopati</w:t>
      </w:r>
      <w:r w:rsidR="002F678D" w:rsidRPr="00381DC2">
        <w:rPr>
          <w:color w:val="000000"/>
        </w:rPr>
        <w:t>í</w:t>
      </w:r>
      <w:r w:rsidRPr="00381DC2">
        <w:rPr>
          <w:color w:val="000000"/>
        </w:rPr>
        <w:t xml:space="preserve"> nebo u pacientů, kterým se podává plná dávka antikoagulancií k léčbě tromboembolie před zahájením léčby bevacizumabem, neboť tito pacienti byli z klinických </w:t>
      </w:r>
      <w:r w:rsidR="00FE2EAF" w:rsidRPr="00381DC2">
        <w:rPr>
          <w:color w:val="000000"/>
        </w:rPr>
        <w:t>studií vyloučeni</w:t>
      </w:r>
      <w:r w:rsidRPr="00381DC2">
        <w:rPr>
          <w:color w:val="000000"/>
        </w:rPr>
        <w:t xml:space="preserve">. Proto je u těchto pacientů nutné postupovat před zahájením léčby opatrně. Avšak u pacientů, u kterých se během léčby objevila </w:t>
      </w:r>
      <w:r w:rsidR="002F678D" w:rsidRPr="00381DC2">
        <w:rPr>
          <w:color w:val="000000"/>
        </w:rPr>
        <w:t xml:space="preserve">žilní </w:t>
      </w:r>
      <w:r w:rsidRPr="00381DC2">
        <w:rPr>
          <w:color w:val="000000"/>
        </w:rPr>
        <w:t>trombóza, nebyl</w:t>
      </w:r>
      <w:r w:rsidR="00FE2EAF" w:rsidRPr="00381DC2">
        <w:rPr>
          <w:color w:val="000000"/>
        </w:rPr>
        <w:t>a</w:t>
      </w:r>
      <w:r w:rsidRPr="00381DC2">
        <w:rPr>
          <w:color w:val="000000"/>
        </w:rPr>
        <w:t xml:space="preserve"> </w:t>
      </w:r>
      <w:r w:rsidR="00FE2EAF" w:rsidRPr="00381DC2">
        <w:rPr>
          <w:color w:val="000000"/>
        </w:rPr>
        <w:t xml:space="preserve">při současném podávání plné dávky warfarinu a bevacizumabu </w:t>
      </w:r>
      <w:r w:rsidRPr="00381DC2">
        <w:rPr>
          <w:color w:val="000000"/>
        </w:rPr>
        <w:t>zaznamenán</w:t>
      </w:r>
      <w:r w:rsidR="00FE2EAF" w:rsidRPr="00381DC2">
        <w:rPr>
          <w:color w:val="000000"/>
        </w:rPr>
        <w:t>a</w:t>
      </w:r>
      <w:r w:rsidRPr="00381DC2">
        <w:rPr>
          <w:color w:val="000000"/>
        </w:rPr>
        <w:t xml:space="preserve"> </w:t>
      </w:r>
      <w:r w:rsidR="002F678D" w:rsidRPr="00381DC2">
        <w:rPr>
          <w:color w:val="000000"/>
        </w:rPr>
        <w:t xml:space="preserve">zvýšená četnost </w:t>
      </w:r>
      <w:r w:rsidRPr="00381DC2">
        <w:rPr>
          <w:color w:val="000000"/>
        </w:rPr>
        <w:t>krvácení stupně 3 nebo vyššího (NCI-CTCAE v.3).</w:t>
      </w:r>
    </w:p>
    <w:p w14:paraId="53A4C25F" w14:textId="77777777" w:rsidR="00D15122" w:rsidRPr="00381DC2" w:rsidRDefault="00D15122" w:rsidP="007F6E1B">
      <w:pPr>
        <w:rPr>
          <w:rFonts w:ascii="Times New Roman" w:eastAsia="Times New Roman" w:hAnsi="Times New Roman"/>
          <w:color w:val="000000"/>
        </w:rPr>
      </w:pPr>
    </w:p>
    <w:p w14:paraId="72C185B5" w14:textId="77777777" w:rsidR="00D15122" w:rsidRPr="00381DC2" w:rsidRDefault="009B0756" w:rsidP="007F6E1B">
      <w:pPr>
        <w:spacing w:line="252" w:lineRule="exact"/>
        <w:rPr>
          <w:rFonts w:ascii="Times New Roman" w:eastAsia="Times New Roman" w:hAnsi="Times New Roman"/>
          <w:color w:val="000000"/>
          <w:u w:val="single"/>
        </w:rPr>
      </w:pPr>
      <w:r w:rsidRPr="00381DC2">
        <w:rPr>
          <w:rFonts w:ascii="Times New Roman" w:hAnsi="Times New Roman"/>
          <w:color w:val="000000"/>
          <w:u w:val="single"/>
        </w:rPr>
        <w:t>Plicní krvácení/hemoptýza</w:t>
      </w:r>
    </w:p>
    <w:p w14:paraId="053370BC" w14:textId="77777777" w:rsidR="00701D3B" w:rsidRPr="00381DC2" w:rsidRDefault="00701D3B" w:rsidP="007F6E1B">
      <w:pPr>
        <w:pStyle w:val="BodyText"/>
        <w:ind w:left="0" w:right="137"/>
        <w:rPr>
          <w:color w:val="000000"/>
        </w:rPr>
      </w:pPr>
    </w:p>
    <w:p w14:paraId="21789911" w14:textId="77777777" w:rsidR="00D15122" w:rsidRPr="00381DC2" w:rsidRDefault="009B0756" w:rsidP="007F6E1B">
      <w:pPr>
        <w:pStyle w:val="BodyText"/>
        <w:ind w:left="0" w:right="137"/>
        <w:rPr>
          <w:color w:val="000000"/>
        </w:rPr>
      </w:pPr>
      <w:r w:rsidRPr="00381DC2">
        <w:rPr>
          <w:color w:val="000000"/>
        </w:rPr>
        <w:t xml:space="preserve">Pacienti s nemalobuněčným </w:t>
      </w:r>
      <w:r w:rsidR="00FE2EAF" w:rsidRPr="00381DC2">
        <w:rPr>
          <w:color w:val="000000"/>
        </w:rPr>
        <w:t>karcinomem</w:t>
      </w:r>
      <w:r w:rsidR="00F0199F" w:rsidRPr="00381DC2">
        <w:rPr>
          <w:color w:val="000000"/>
        </w:rPr>
        <w:t xml:space="preserve"> plic</w:t>
      </w:r>
      <w:r w:rsidRPr="00381DC2">
        <w:rPr>
          <w:color w:val="000000"/>
        </w:rPr>
        <w:t xml:space="preserve"> léčení bevacizumabem mohou mít riziko závažného a v některých případech fatálního plicního krvácení/hemoptýzy. Pacienti s nedávným plicním krvácením/hemoptýzou (&gt; 2,5 ml červené krve) </w:t>
      </w:r>
      <w:r w:rsidR="003F0C2A" w:rsidRPr="00381DC2">
        <w:rPr>
          <w:color w:val="000000"/>
        </w:rPr>
        <w:t xml:space="preserve">nemají </w:t>
      </w:r>
      <w:r w:rsidRPr="00381DC2">
        <w:rPr>
          <w:color w:val="000000"/>
        </w:rPr>
        <w:t xml:space="preserve">být přípravkem </w:t>
      </w:r>
      <w:r w:rsidR="00CC0FAB" w:rsidRPr="00381DC2">
        <w:rPr>
          <w:color w:val="000000"/>
        </w:rPr>
        <w:t>Zirabev</w:t>
      </w:r>
      <w:r w:rsidRPr="00381DC2">
        <w:rPr>
          <w:color w:val="000000"/>
        </w:rPr>
        <w:t xml:space="preserve"> léčeni.</w:t>
      </w:r>
    </w:p>
    <w:p w14:paraId="2A94E091" w14:textId="77777777" w:rsidR="00D15122" w:rsidRPr="00381DC2" w:rsidRDefault="00D15122" w:rsidP="007F6E1B">
      <w:pPr>
        <w:rPr>
          <w:rFonts w:ascii="Times New Roman" w:eastAsia="Times New Roman" w:hAnsi="Times New Roman"/>
          <w:color w:val="000000"/>
        </w:rPr>
      </w:pPr>
    </w:p>
    <w:p w14:paraId="2C77E7C7" w14:textId="77777777" w:rsidR="00D15122" w:rsidRPr="00381DC2" w:rsidRDefault="009B0756" w:rsidP="007F6E1B">
      <w:pPr>
        <w:spacing w:line="252" w:lineRule="exact"/>
        <w:rPr>
          <w:rFonts w:ascii="Times New Roman" w:eastAsia="Times New Roman" w:hAnsi="Times New Roman"/>
          <w:color w:val="000000"/>
          <w:u w:val="single"/>
        </w:rPr>
      </w:pPr>
      <w:r w:rsidRPr="00381DC2">
        <w:rPr>
          <w:rFonts w:ascii="Times New Roman" w:hAnsi="Times New Roman"/>
          <w:color w:val="000000"/>
          <w:u w:val="single"/>
        </w:rPr>
        <w:t>Městnavé srdeční selhání (</w:t>
      </w:r>
      <w:r w:rsidR="00FE2EAF" w:rsidRPr="00381DC2">
        <w:rPr>
          <w:rFonts w:ascii="Times New Roman" w:hAnsi="Times New Roman"/>
          <w:color w:val="000000"/>
          <w:u w:val="single"/>
        </w:rPr>
        <w:t xml:space="preserve">congestive heart failure, </w:t>
      </w:r>
      <w:r w:rsidRPr="00381DC2">
        <w:rPr>
          <w:rFonts w:ascii="Times New Roman" w:hAnsi="Times New Roman"/>
          <w:color w:val="000000"/>
          <w:u w:val="single"/>
        </w:rPr>
        <w:t>CHF) (viz bod 4.8)</w:t>
      </w:r>
    </w:p>
    <w:p w14:paraId="0F03939D" w14:textId="77777777" w:rsidR="00701D3B" w:rsidRPr="00381DC2" w:rsidRDefault="00701D3B" w:rsidP="004822DC">
      <w:pPr>
        <w:pStyle w:val="BodyText"/>
        <w:widowControl/>
        <w:ind w:left="0" w:right="144"/>
        <w:rPr>
          <w:color w:val="000000"/>
        </w:rPr>
      </w:pPr>
    </w:p>
    <w:p w14:paraId="1742AB1B" w14:textId="77777777" w:rsidR="00D15122" w:rsidRPr="00381DC2" w:rsidRDefault="009B0756" w:rsidP="004822DC">
      <w:pPr>
        <w:pStyle w:val="BodyText"/>
        <w:widowControl/>
        <w:ind w:left="0" w:right="144"/>
        <w:rPr>
          <w:color w:val="000000"/>
        </w:rPr>
      </w:pPr>
      <w:r w:rsidRPr="00381DC2">
        <w:rPr>
          <w:color w:val="000000"/>
        </w:rPr>
        <w:t xml:space="preserve">V klinických </w:t>
      </w:r>
      <w:r w:rsidR="00FE2EAF" w:rsidRPr="00381DC2">
        <w:rPr>
          <w:color w:val="000000"/>
        </w:rPr>
        <w:t>studiích</w:t>
      </w:r>
      <w:r w:rsidRPr="00381DC2">
        <w:rPr>
          <w:color w:val="000000"/>
        </w:rPr>
        <w:t xml:space="preserve"> byly zaznamenány reakce odpovídající CHF. Nálezy se pohybovaly od asymptomatického poklesu ejekční frakce levé komory po symptomatické CHF vyžadující léčbu nebo hospitalizaci. Opatrnost je nutná při léčbě </w:t>
      </w:r>
      <w:r w:rsidR="00FE2EAF" w:rsidRPr="00381DC2">
        <w:rPr>
          <w:color w:val="000000"/>
        </w:rPr>
        <w:t xml:space="preserve">přípravkem Zirabev u </w:t>
      </w:r>
      <w:r w:rsidRPr="00381DC2">
        <w:rPr>
          <w:color w:val="000000"/>
        </w:rPr>
        <w:t xml:space="preserve">pacientů s klinicky významným kardiovaskulárním onemocněním, jako jsou preexistující </w:t>
      </w:r>
      <w:r w:rsidR="003F0C2A" w:rsidRPr="00381DC2">
        <w:rPr>
          <w:color w:val="000000"/>
        </w:rPr>
        <w:t xml:space="preserve">koronární nemoc </w:t>
      </w:r>
      <w:r w:rsidRPr="00381DC2">
        <w:rPr>
          <w:color w:val="000000"/>
        </w:rPr>
        <w:t>nebo městnavé srdeční selhání.</w:t>
      </w:r>
    </w:p>
    <w:p w14:paraId="73AADFB5" w14:textId="77777777" w:rsidR="00D15122" w:rsidRPr="00381DC2" w:rsidRDefault="00D15122" w:rsidP="007F6E1B">
      <w:pPr>
        <w:rPr>
          <w:rFonts w:ascii="Times New Roman" w:eastAsia="Times New Roman" w:hAnsi="Times New Roman"/>
          <w:color w:val="000000"/>
        </w:rPr>
      </w:pPr>
    </w:p>
    <w:p w14:paraId="7D5505BB" w14:textId="77777777" w:rsidR="00D15122" w:rsidRPr="00381DC2" w:rsidRDefault="009B0756" w:rsidP="00DD4FC5">
      <w:pPr>
        <w:pStyle w:val="BodyText"/>
        <w:ind w:left="0" w:right="417"/>
        <w:rPr>
          <w:color w:val="000000"/>
        </w:rPr>
      </w:pPr>
      <w:r w:rsidRPr="00381DC2">
        <w:rPr>
          <w:color w:val="000000"/>
        </w:rPr>
        <w:t xml:space="preserve">Většina pacientů, u kterých se CHF vyskytlo, měla </w:t>
      </w:r>
      <w:r w:rsidR="00F0199F" w:rsidRPr="00381DC2">
        <w:rPr>
          <w:color w:val="000000"/>
        </w:rPr>
        <w:t>metasta</w:t>
      </w:r>
      <w:r w:rsidR="007E51BD" w:rsidRPr="00381DC2">
        <w:rPr>
          <w:color w:val="000000"/>
        </w:rPr>
        <w:t>zující</w:t>
      </w:r>
      <w:r w:rsidR="009569A1" w:rsidRPr="00381DC2">
        <w:rPr>
          <w:color w:val="000000"/>
        </w:rPr>
        <w:t xml:space="preserve"> karcinom</w:t>
      </w:r>
      <w:r w:rsidR="00F0199F" w:rsidRPr="00381DC2">
        <w:rPr>
          <w:color w:val="000000"/>
        </w:rPr>
        <w:t xml:space="preserve"> prsu</w:t>
      </w:r>
      <w:r w:rsidRPr="00381DC2">
        <w:rPr>
          <w:color w:val="000000"/>
        </w:rPr>
        <w:t xml:space="preserve"> a byla dříve léčena antracykliny či radioterapií lev</w:t>
      </w:r>
      <w:r w:rsidR="009569A1" w:rsidRPr="00381DC2">
        <w:rPr>
          <w:color w:val="000000"/>
        </w:rPr>
        <w:t>é</w:t>
      </w:r>
      <w:r w:rsidRPr="00381DC2">
        <w:rPr>
          <w:color w:val="000000"/>
        </w:rPr>
        <w:t xml:space="preserve"> polovin</w:t>
      </w:r>
      <w:r w:rsidR="009569A1" w:rsidRPr="00381DC2">
        <w:rPr>
          <w:color w:val="000000"/>
        </w:rPr>
        <w:t>y</w:t>
      </w:r>
      <w:r w:rsidRPr="00381DC2">
        <w:rPr>
          <w:color w:val="000000"/>
        </w:rPr>
        <w:t xml:space="preserve"> hrudníku, nebo měla další rizikové faktory vzniku CHF.</w:t>
      </w:r>
    </w:p>
    <w:p w14:paraId="41C9D530" w14:textId="77777777" w:rsidR="00D15122" w:rsidRPr="00381DC2" w:rsidRDefault="00D15122" w:rsidP="007F6E1B">
      <w:pPr>
        <w:rPr>
          <w:rFonts w:ascii="Times New Roman" w:eastAsia="Times New Roman" w:hAnsi="Times New Roman"/>
          <w:color w:val="000000"/>
        </w:rPr>
      </w:pPr>
    </w:p>
    <w:p w14:paraId="77046ED2" w14:textId="77777777" w:rsidR="00D15122" w:rsidRPr="00381DC2" w:rsidRDefault="009B0756" w:rsidP="007F6E1B">
      <w:pPr>
        <w:pStyle w:val="BodyText"/>
        <w:ind w:left="0" w:right="137"/>
        <w:rPr>
          <w:color w:val="000000"/>
        </w:rPr>
      </w:pPr>
      <w:r w:rsidRPr="00381DC2">
        <w:rPr>
          <w:color w:val="000000"/>
        </w:rPr>
        <w:t>U pacientů ve studii AVF3694g, kteří dostali léčbu antracykliny a kteří nebyli dříve léčen</w:t>
      </w:r>
      <w:r w:rsidR="003F0C2A" w:rsidRPr="00381DC2">
        <w:rPr>
          <w:color w:val="000000"/>
        </w:rPr>
        <w:t>i</w:t>
      </w:r>
      <w:r w:rsidRPr="00381DC2">
        <w:rPr>
          <w:color w:val="000000"/>
        </w:rPr>
        <w:t xml:space="preserve"> antracykliny, nebylo ve skupině léčené antracyklinem + bevacizumabem pozorováno zvýšení incidence CHF jakéhokoli stupně ve srovnání s léčbou samotnými antracykliny. CHF stupně 3 a vyššího bylo o něco častější u pacientů léčených bevacizumabem v kombinaci s chemoterapií než u pacientů, kteří dostali samotnou chemoterapii. To je konzistentní s výsledky u pacientů v jiných studiích s</w:t>
      </w:r>
      <w:r w:rsidR="009569A1" w:rsidRPr="00381DC2">
        <w:rPr>
          <w:color w:val="000000"/>
        </w:rPr>
        <w:t> </w:t>
      </w:r>
      <w:r w:rsidR="002274C3" w:rsidRPr="00381DC2">
        <w:rPr>
          <w:color w:val="000000"/>
        </w:rPr>
        <w:t>metasta</w:t>
      </w:r>
      <w:r w:rsidR="009569A1" w:rsidRPr="00381DC2">
        <w:rPr>
          <w:color w:val="000000"/>
        </w:rPr>
        <w:t>zujícím karcinomem</w:t>
      </w:r>
      <w:r w:rsidR="002274C3" w:rsidRPr="00381DC2">
        <w:rPr>
          <w:color w:val="000000"/>
        </w:rPr>
        <w:t xml:space="preserve"> prsu</w:t>
      </w:r>
      <w:r w:rsidRPr="00381DC2">
        <w:rPr>
          <w:color w:val="000000"/>
        </w:rPr>
        <w:t>, kteří nedostali současně léčbu antracykliny (NCI-CTCAE v.3) (viz bod 4.8).</w:t>
      </w:r>
    </w:p>
    <w:p w14:paraId="001C6D12" w14:textId="77777777" w:rsidR="00D15122" w:rsidRPr="00381DC2" w:rsidRDefault="00D15122" w:rsidP="007F6E1B">
      <w:pPr>
        <w:rPr>
          <w:rFonts w:ascii="Times New Roman" w:eastAsia="Times New Roman" w:hAnsi="Times New Roman"/>
          <w:color w:val="000000"/>
        </w:rPr>
      </w:pPr>
    </w:p>
    <w:p w14:paraId="5D910BE7" w14:textId="77777777" w:rsidR="00D15122" w:rsidRPr="00381DC2" w:rsidRDefault="009B0756" w:rsidP="007F6E1B">
      <w:pPr>
        <w:spacing w:line="252" w:lineRule="exact"/>
        <w:rPr>
          <w:rFonts w:ascii="Times New Roman" w:eastAsia="Times New Roman" w:hAnsi="Times New Roman"/>
          <w:color w:val="000000"/>
          <w:u w:val="single"/>
        </w:rPr>
      </w:pPr>
      <w:r w:rsidRPr="00381DC2">
        <w:rPr>
          <w:rFonts w:ascii="Times New Roman" w:hAnsi="Times New Roman"/>
          <w:color w:val="000000"/>
          <w:u w:val="single"/>
        </w:rPr>
        <w:t>Neutropenie a infekce (viz bod 4.8)</w:t>
      </w:r>
    </w:p>
    <w:p w14:paraId="208277E2" w14:textId="77777777" w:rsidR="00701D3B" w:rsidRPr="00381DC2" w:rsidRDefault="00701D3B" w:rsidP="007F6E1B">
      <w:pPr>
        <w:pStyle w:val="BodyText"/>
        <w:ind w:left="0" w:right="126"/>
        <w:rPr>
          <w:color w:val="000000"/>
        </w:rPr>
      </w:pPr>
    </w:p>
    <w:p w14:paraId="483DEE98" w14:textId="77777777" w:rsidR="00D15122" w:rsidRPr="00381DC2" w:rsidRDefault="009B0756" w:rsidP="007F6E1B">
      <w:pPr>
        <w:pStyle w:val="BodyText"/>
        <w:ind w:left="0" w:right="126"/>
        <w:rPr>
          <w:color w:val="000000"/>
        </w:rPr>
      </w:pPr>
      <w:r w:rsidRPr="00381DC2">
        <w:rPr>
          <w:color w:val="000000"/>
        </w:rPr>
        <w:t>U pacientů léčených některými myelotoxickými režimy chemoterapie a bevacizumabem byla ve srovnání s</w:t>
      </w:r>
      <w:r w:rsidR="005E6498" w:rsidRPr="00381DC2">
        <w:rPr>
          <w:color w:val="000000"/>
        </w:rPr>
        <w:t>e</w:t>
      </w:r>
      <w:r w:rsidRPr="00381DC2">
        <w:rPr>
          <w:color w:val="000000"/>
        </w:rPr>
        <w:t xml:space="preserve"> samotnou chemoterapií pozorována zvýšená četnost </w:t>
      </w:r>
      <w:r w:rsidR="009569A1" w:rsidRPr="00381DC2">
        <w:rPr>
          <w:color w:val="000000"/>
        </w:rPr>
        <w:t>těžké</w:t>
      </w:r>
      <w:r w:rsidRPr="00381DC2">
        <w:rPr>
          <w:color w:val="000000"/>
        </w:rPr>
        <w:t xml:space="preserve"> neutropenie, febrilní neutropenie nebo infekc</w:t>
      </w:r>
      <w:r w:rsidR="005E6498" w:rsidRPr="00381DC2">
        <w:rPr>
          <w:color w:val="000000"/>
        </w:rPr>
        <w:t>e</w:t>
      </w:r>
      <w:r w:rsidRPr="00381DC2">
        <w:rPr>
          <w:color w:val="000000"/>
        </w:rPr>
        <w:t xml:space="preserve"> se </w:t>
      </w:r>
      <w:r w:rsidR="009569A1" w:rsidRPr="00381DC2">
        <w:rPr>
          <w:color w:val="000000"/>
        </w:rPr>
        <w:t>těžkou</w:t>
      </w:r>
      <w:r w:rsidRPr="00381DC2">
        <w:rPr>
          <w:color w:val="000000"/>
        </w:rPr>
        <w:t xml:space="preserve"> neutropenií nebo bez </w:t>
      </w:r>
      <w:r w:rsidR="009569A1" w:rsidRPr="00381DC2">
        <w:rPr>
          <w:color w:val="000000"/>
        </w:rPr>
        <w:t>těžké</w:t>
      </w:r>
      <w:r w:rsidRPr="00381DC2">
        <w:rPr>
          <w:color w:val="000000"/>
        </w:rPr>
        <w:t xml:space="preserve"> neutropenie (včetně </w:t>
      </w:r>
      <w:r w:rsidR="005E6498" w:rsidRPr="00381DC2">
        <w:rPr>
          <w:color w:val="000000"/>
        </w:rPr>
        <w:t xml:space="preserve">některých </w:t>
      </w:r>
      <w:r w:rsidRPr="00381DC2">
        <w:rPr>
          <w:color w:val="000000"/>
        </w:rPr>
        <w:t xml:space="preserve">fatálních případů). Bylo to pozorováno zejména při léčbě </w:t>
      </w:r>
      <w:r w:rsidR="005E6498" w:rsidRPr="00381DC2">
        <w:rPr>
          <w:color w:val="000000"/>
        </w:rPr>
        <w:t xml:space="preserve">v kombinaci s terapií na bázi platiny nebo </w:t>
      </w:r>
      <w:r w:rsidR="005E6498" w:rsidRPr="00381DC2">
        <w:rPr>
          <w:color w:val="000000"/>
        </w:rPr>
        <w:lastRenderedPageBreak/>
        <w:t xml:space="preserve">taxanů u NSCLC </w:t>
      </w:r>
      <w:r w:rsidRPr="00381DC2">
        <w:rPr>
          <w:color w:val="000000"/>
        </w:rPr>
        <w:t xml:space="preserve">nebo </w:t>
      </w:r>
      <w:r w:rsidR="005E6498" w:rsidRPr="00381DC2">
        <w:rPr>
          <w:color w:val="000000"/>
        </w:rPr>
        <w:t xml:space="preserve">mBC </w:t>
      </w:r>
      <w:r w:rsidRPr="00381DC2">
        <w:rPr>
          <w:color w:val="000000"/>
        </w:rPr>
        <w:t xml:space="preserve">a při léčbě v kombinaci s paklitaxelem a topotekanem u přetrvávajícího, rekurentního nebo </w:t>
      </w:r>
      <w:r w:rsidR="000834FE" w:rsidRPr="00381DC2">
        <w:rPr>
          <w:color w:val="000000"/>
        </w:rPr>
        <w:t>metasta</w:t>
      </w:r>
      <w:r w:rsidR="009569A1" w:rsidRPr="00381DC2">
        <w:rPr>
          <w:color w:val="000000"/>
        </w:rPr>
        <w:t>zující</w:t>
      </w:r>
      <w:r w:rsidRPr="00381DC2">
        <w:rPr>
          <w:color w:val="000000"/>
        </w:rPr>
        <w:t xml:space="preserve"> karcinomu děložního </w:t>
      </w:r>
      <w:r w:rsidR="009569A1" w:rsidRPr="00381DC2">
        <w:rPr>
          <w:color w:val="000000"/>
        </w:rPr>
        <w:t>čípku</w:t>
      </w:r>
      <w:r w:rsidRPr="00381DC2">
        <w:rPr>
          <w:color w:val="000000"/>
        </w:rPr>
        <w:t>.</w:t>
      </w:r>
    </w:p>
    <w:p w14:paraId="0AF720BA" w14:textId="77777777" w:rsidR="00D15122" w:rsidRPr="00381DC2" w:rsidRDefault="00D15122" w:rsidP="007F6E1B">
      <w:pPr>
        <w:rPr>
          <w:rFonts w:ascii="Times New Roman" w:eastAsia="Times New Roman" w:hAnsi="Times New Roman"/>
          <w:color w:val="000000"/>
        </w:rPr>
      </w:pPr>
    </w:p>
    <w:p w14:paraId="45AF3B70" w14:textId="77777777" w:rsidR="00D15122" w:rsidRPr="00381DC2" w:rsidRDefault="009B0756" w:rsidP="00564363">
      <w:pPr>
        <w:keepNext/>
        <w:rPr>
          <w:rFonts w:ascii="Times New Roman" w:eastAsia="Times New Roman" w:hAnsi="Times New Roman"/>
          <w:color w:val="000000"/>
          <w:u w:val="single"/>
        </w:rPr>
      </w:pPr>
      <w:r w:rsidRPr="00381DC2">
        <w:rPr>
          <w:rFonts w:ascii="Times New Roman" w:hAnsi="Times New Roman"/>
          <w:color w:val="000000"/>
          <w:u w:val="single"/>
        </w:rPr>
        <w:t>Hypersenzitivní reakce</w:t>
      </w:r>
      <w:r w:rsidR="00023C10">
        <w:rPr>
          <w:rFonts w:ascii="Times New Roman" w:hAnsi="Times New Roman"/>
          <w:color w:val="000000"/>
          <w:u w:val="single"/>
        </w:rPr>
        <w:t xml:space="preserve"> (včetně anafylaktického šoku)</w:t>
      </w:r>
      <w:r w:rsidRPr="00381DC2">
        <w:rPr>
          <w:rFonts w:ascii="Times New Roman" w:hAnsi="Times New Roman"/>
          <w:color w:val="000000"/>
          <w:u w:val="single"/>
        </w:rPr>
        <w:t>/reakce na infuzi (viz bod 4.8)</w:t>
      </w:r>
    </w:p>
    <w:p w14:paraId="6E88168B" w14:textId="77777777" w:rsidR="00701D3B" w:rsidRPr="00381DC2" w:rsidRDefault="00701D3B" w:rsidP="004F6645">
      <w:pPr>
        <w:pStyle w:val="BodyText"/>
        <w:widowControl/>
        <w:ind w:left="0" w:right="187"/>
        <w:rPr>
          <w:color w:val="000000"/>
        </w:rPr>
      </w:pPr>
    </w:p>
    <w:p w14:paraId="75D5D10C" w14:textId="77777777" w:rsidR="00D15122" w:rsidRPr="00381DC2" w:rsidRDefault="009B0756" w:rsidP="004F6645">
      <w:pPr>
        <w:pStyle w:val="BodyText"/>
        <w:widowControl/>
        <w:ind w:left="0" w:right="187"/>
        <w:rPr>
          <w:color w:val="000000"/>
        </w:rPr>
      </w:pPr>
      <w:r w:rsidRPr="00381DC2">
        <w:rPr>
          <w:color w:val="000000"/>
        </w:rPr>
        <w:t>U pacientů může být riziko vzniku reakcí na infuzi/hypersenzitivních reakcí</w:t>
      </w:r>
      <w:r w:rsidR="00023C10">
        <w:rPr>
          <w:color w:val="000000"/>
        </w:rPr>
        <w:t xml:space="preserve"> (včetně anafylaktického šoku)</w:t>
      </w:r>
      <w:r w:rsidRPr="00381DC2">
        <w:rPr>
          <w:color w:val="000000"/>
        </w:rPr>
        <w:t xml:space="preserve">. Během podání bevacizumabu a po jeho </w:t>
      </w:r>
      <w:r w:rsidR="00D3530F" w:rsidRPr="00381DC2">
        <w:rPr>
          <w:color w:val="000000"/>
        </w:rPr>
        <w:t>do</w:t>
      </w:r>
      <w:r w:rsidRPr="00381DC2">
        <w:rPr>
          <w:color w:val="000000"/>
        </w:rPr>
        <w:t xml:space="preserve">končení se doporučuje pečlivé sledování pacienta, jak je běžné při jakékoli infuzi léčebné humanizované monoklonální protilátky. V případě reakce </w:t>
      </w:r>
      <w:r w:rsidR="00D3530F" w:rsidRPr="00381DC2">
        <w:rPr>
          <w:color w:val="000000"/>
        </w:rPr>
        <w:t xml:space="preserve">má </w:t>
      </w:r>
      <w:r w:rsidRPr="00381DC2">
        <w:rPr>
          <w:color w:val="000000"/>
        </w:rPr>
        <w:t>být infuze přerušena a </w:t>
      </w:r>
      <w:r w:rsidR="00D3530F" w:rsidRPr="00381DC2">
        <w:rPr>
          <w:color w:val="000000"/>
        </w:rPr>
        <w:t xml:space="preserve">má </w:t>
      </w:r>
      <w:r w:rsidRPr="00381DC2">
        <w:rPr>
          <w:color w:val="000000"/>
        </w:rPr>
        <w:t xml:space="preserve">být zahájena </w:t>
      </w:r>
      <w:r w:rsidR="009569A1" w:rsidRPr="00381DC2">
        <w:rPr>
          <w:color w:val="000000"/>
        </w:rPr>
        <w:t>vhodná</w:t>
      </w:r>
      <w:r w:rsidRPr="00381DC2">
        <w:rPr>
          <w:color w:val="000000"/>
        </w:rPr>
        <w:t xml:space="preserve"> léčba. Systémová premedikace není vyžadována.</w:t>
      </w:r>
    </w:p>
    <w:p w14:paraId="26C1B19F" w14:textId="77777777" w:rsidR="00D15122" w:rsidRPr="00381DC2" w:rsidRDefault="00D15122" w:rsidP="007F6E1B">
      <w:pPr>
        <w:rPr>
          <w:rFonts w:ascii="Times New Roman" w:eastAsia="Times New Roman" w:hAnsi="Times New Roman"/>
          <w:color w:val="000000"/>
        </w:rPr>
      </w:pPr>
    </w:p>
    <w:p w14:paraId="6FC7E8C4" w14:textId="77777777" w:rsidR="00D15122" w:rsidRPr="00381DC2" w:rsidRDefault="009B0756" w:rsidP="00203535">
      <w:pPr>
        <w:keepNext/>
        <w:rPr>
          <w:rFonts w:ascii="Times New Roman" w:eastAsia="Times New Roman" w:hAnsi="Times New Roman"/>
          <w:color w:val="000000"/>
          <w:u w:val="single"/>
        </w:rPr>
      </w:pPr>
      <w:r w:rsidRPr="00381DC2">
        <w:rPr>
          <w:rFonts w:ascii="Times New Roman" w:hAnsi="Times New Roman"/>
          <w:color w:val="000000"/>
          <w:u w:val="single"/>
        </w:rPr>
        <w:t>Osteonekróza čelisti (</w:t>
      </w:r>
      <w:r w:rsidR="009569A1" w:rsidRPr="00381DC2">
        <w:rPr>
          <w:rFonts w:ascii="Times New Roman" w:hAnsi="Times New Roman"/>
          <w:color w:val="000000"/>
          <w:u w:val="single"/>
        </w:rPr>
        <w:t xml:space="preserve">osteonecrosis of the jaw, </w:t>
      </w:r>
      <w:r w:rsidRPr="00381DC2">
        <w:rPr>
          <w:rFonts w:ascii="Times New Roman" w:hAnsi="Times New Roman"/>
          <w:color w:val="000000"/>
          <w:u w:val="single"/>
        </w:rPr>
        <w:t>ONJ) (viz bod 4.8)</w:t>
      </w:r>
    </w:p>
    <w:p w14:paraId="63399665" w14:textId="77777777" w:rsidR="00701D3B" w:rsidRPr="00381DC2" w:rsidRDefault="00701D3B" w:rsidP="007F6E1B">
      <w:pPr>
        <w:pStyle w:val="BodyText"/>
        <w:ind w:left="0" w:right="285"/>
        <w:rPr>
          <w:color w:val="000000"/>
        </w:rPr>
      </w:pPr>
    </w:p>
    <w:p w14:paraId="334B8FD0" w14:textId="77777777" w:rsidR="00D15122" w:rsidRPr="00381DC2" w:rsidRDefault="009B0756" w:rsidP="007F6E1B">
      <w:pPr>
        <w:pStyle w:val="BodyText"/>
        <w:ind w:left="0" w:right="285"/>
        <w:rPr>
          <w:color w:val="000000"/>
        </w:rPr>
      </w:pPr>
      <w:r w:rsidRPr="00381DC2">
        <w:rPr>
          <w:color w:val="000000"/>
        </w:rPr>
        <w:t xml:space="preserve">U onkologických pacientů léčených bevacizumabem byly hlášeny případy ONJ. Většina těchto pacientů byla dříve nebo současně léčena </w:t>
      </w:r>
      <w:r w:rsidR="00B97027" w:rsidRPr="00381DC2">
        <w:rPr>
          <w:color w:val="000000"/>
        </w:rPr>
        <w:t>intravenózními</w:t>
      </w:r>
      <w:r w:rsidRPr="00381DC2">
        <w:rPr>
          <w:color w:val="000000"/>
        </w:rPr>
        <w:t xml:space="preserve"> bisfosfonáty, u kterých je ONJ známým rizikem. Při současném nebo následném podávání přípravku </w:t>
      </w:r>
      <w:r w:rsidR="00CC0FAB" w:rsidRPr="00381DC2">
        <w:rPr>
          <w:color w:val="000000"/>
        </w:rPr>
        <w:t>Zirabev</w:t>
      </w:r>
      <w:r w:rsidRPr="00381DC2">
        <w:rPr>
          <w:color w:val="000000"/>
        </w:rPr>
        <w:t xml:space="preserve"> a </w:t>
      </w:r>
      <w:r w:rsidR="00B97027" w:rsidRPr="00381DC2">
        <w:rPr>
          <w:color w:val="000000"/>
        </w:rPr>
        <w:t>intravenózních</w:t>
      </w:r>
      <w:r w:rsidRPr="00381DC2">
        <w:rPr>
          <w:color w:val="000000"/>
        </w:rPr>
        <w:t xml:space="preserve"> bisfosfonátů je nutná zvýšená opatrnost.</w:t>
      </w:r>
    </w:p>
    <w:p w14:paraId="74D8E059" w14:textId="77777777" w:rsidR="00203535" w:rsidRPr="00381DC2" w:rsidRDefault="00203535" w:rsidP="007F6E1B">
      <w:pPr>
        <w:pStyle w:val="BodyText"/>
        <w:ind w:left="0" w:right="285"/>
        <w:rPr>
          <w:color w:val="000000"/>
        </w:rPr>
      </w:pPr>
    </w:p>
    <w:p w14:paraId="3F23A29B" w14:textId="77777777" w:rsidR="00D15122" w:rsidRPr="00381DC2" w:rsidRDefault="009B0756" w:rsidP="007F6E1B">
      <w:pPr>
        <w:pStyle w:val="BodyText"/>
        <w:ind w:left="0" w:right="192"/>
        <w:rPr>
          <w:color w:val="000000"/>
        </w:rPr>
      </w:pPr>
      <w:r w:rsidRPr="00381DC2">
        <w:rPr>
          <w:color w:val="000000"/>
        </w:rPr>
        <w:t xml:space="preserve">Známým </w:t>
      </w:r>
      <w:r w:rsidR="00D3530F" w:rsidRPr="00381DC2">
        <w:rPr>
          <w:color w:val="000000"/>
        </w:rPr>
        <w:t xml:space="preserve">rizikovým faktorem </w:t>
      </w:r>
      <w:r w:rsidRPr="00381DC2">
        <w:rPr>
          <w:color w:val="000000"/>
        </w:rPr>
        <w:t xml:space="preserve">jsou také invazivní stomatologické zákroky. Před zahájením léčby přípravkem </w:t>
      </w:r>
      <w:r w:rsidR="00CC0FAB" w:rsidRPr="00381DC2">
        <w:rPr>
          <w:color w:val="000000"/>
        </w:rPr>
        <w:t>Zirabev</w:t>
      </w:r>
      <w:r w:rsidRPr="00381DC2">
        <w:rPr>
          <w:color w:val="000000"/>
        </w:rPr>
        <w:t xml:space="preserve"> </w:t>
      </w:r>
      <w:r w:rsidR="00D3530F" w:rsidRPr="00381DC2">
        <w:rPr>
          <w:color w:val="000000"/>
        </w:rPr>
        <w:t>má</w:t>
      </w:r>
      <w:r w:rsidRPr="00381DC2">
        <w:rPr>
          <w:color w:val="000000"/>
        </w:rPr>
        <w:t xml:space="preserve"> být zváženo stomatologické vyšetření a přiměřené preventivní stomatologické ošetření. U pacientů, kteří dříve byli nebo jsou léčeni </w:t>
      </w:r>
      <w:r w:rsidR="00B97027" w:rsidRPr="00381DC2">
        <w:rPr>
          <w:color w:val="000000"/>
        </w:rPr>
        <w:t>intravenózními</w:t>
      </w:r>
      <w:r w:rsidRPr="00381DC2">
        <w:rPr>
          <w:color w:val="000000"/>
        </w:rPr>
        <w:t xml:space="preserve"> bisfosfonáty, by pokud možno neměly být prováděny invazivní stomatologické zákroky.</w:t>
      </w:r>
    </w:p>
    <w:p w14:paraId="5521D9EA" w14:textId="77777777" w:rsidR="00D15122" w:rsidRPr="00381DC2" w:rsidRDefault="00D15122" w:rsidP="007F6E1B">
      <w:pPr>
        <w:rPr>
          <w:rFonts w:ascii="Times New Roman" w:eastAsia="Times New Roman" w:hAnsi="Times New Roman"/>
          <w:color w:val="000000"/>
        </w:rPr>
      </w:pPr>
    </w:p>
    <w:p w14:paraId="0EB1DC66" w14:textId="77777777" w:rsidR="00D15122" w:rsidRPr="00381DC2" w:rsidRDefault="00D3530F" w:rsidP="007F6E1B">
      <w:pPr>
        <w:rPr>
          <w:rFonts w:ascii="Times New Roman" w:eastAsia="Times New Roman" w:hAnsi="Times New Roman"/>
          <w:color w:val="000000"/>
          <w:u w:val="single"/>
        </w:rPr>
      </w:pPr>
      <w:r w:rsidRPr="00381DC2">
        <w:rPr>
          <w:rFonts w:ascii="Times New Roman" w:hAnsi="Times New Roman"/>
          <w:color w:val="000000"/>
          <w:u w:val="single"/>
        </w:rPr>
        <w:t>Intravitreální podání</w:t>
      </w:r>
    </w:p>
    <w:p w14:paraId="5860E83B" w14:textId="77777777" w:rsidR="00701D3B" w:rsidRPr="00381DC2" w:rsidRDefault="00701D3B" w:rsidP="007F6E1B">
      <w:pPr>
        <w:pStyle w:val="BodyText"/>
        <w:ind w:left="0"/>
        <w:rPr>
          <w:color w:val="000000"/>
        </w:rPr>
      </w:pPr>
    </w:p>
    <w:p w14:paraId="18B9FB99" w14:textId="77777777" w:rsidR="00D15122" w:rsidRPr="00381DC2" w:rsidRDefault="00426DA8" w:rsidP="007F6E1B">
      <w:pPr>
        <w:pStyle w:val="BodyText"/>
        <w:ind w:left="0"/>
        <w:rPr>
          <w:color w:val="000000"/>
        </w:rPr>
      </w:pPr>
      <w:r w:rsidRPr="00381DC2">
        <w:rPr>
          <w:color w:val="000000"/>
        </w:rPr>
        <w:t xml:space="preserve">Léková forma přípravku </w:t>
      </w:r>
      <w:r w:rsidR="00CC0FAB" w:rsidRPr="00381DC2">
        <w:rPr>
          <w:color w:val="000000"/>
        </w:rPr>
        <w:t>Zirabev</w:t>
      </w:r>
      <w:r w:rsidRPr="00381DC2">
        <w:rPr>
          <w:color w:val="000000"/>
        </w:rPr>
        <w:t xml:space="preserve"> není určena k </w:t>
      </w:r>
      <w:r w:rsidR="00D3530F" w:rsidRPr="00381DC2">
        <w:rPr>
          <w:color w:val="000000"/>
        </w:rPr>
        <w:t xml:space="preserve">intravitreálnímu </w:t>
      </w:r>
      <w:r w:rsidRPr="00381DC2">
        <w:rPr>
          <w:color w:val="000000"/>
        </w:rPr>
        <w:t>podání.</w:t>
      </w:r>
    </w:p>
    <w:p w14:paraId="31F5E018" w14:textId="77777777" w:rsidR="00D15122" w:rsidRPr="00381DC2" w:rsidRDefault="00D15122" w:rsidP="007F6E1B">
      <w:pPr>
        <w:rPr>
          <w:rFonts w:ascii="Times New Roman" w:eastAsia="Times New Roman" w:hAnsi="Times New Roman"/>
          <w:color w:val="000000"/>
        </w:rPr>
      </w:pPr>
    </w:p>
    <w:p w14:paraId="40A2C572" w14:textId="77777777" w:rsidR="00D15122" w:rsidRPr="00381DC2" w:rsidRDefault="009B0756" w:rsidP="007F6E1B">
      <w:pPr>
        <w:spacing w:line="252" w:lineRule="exact"/>
        <w:rPr>
          <w:rFonts w:ascii="Times New Roman" w:eastAsia="Times New Roman" w:hAnsi="Times New Roman"/>
          <w:color w:val="000000"/>
          <w:u w:val="single"/>
        </w:rPr>
      </w:pPr>
      <w:r w:rsidRPr="00381DC2">
        <w:rPr>
          <w:rFonts w:ascii="Times New Roman" w:hAnsi="Times New Roman"/>
          <w:color w:val="000000"/>
          <w:u w:val="single"/>
        </w:rPr>
        <w:t>Poruchy oka</w:t>
      </w:r>
    </w:p>
    <w:p w14:paraId="3F7D8041" w14:textId="77777777" w:rsidR="00701D3B" w:rsidRPr="00381DC2" w:rsidRDefault="00701D3B" w:rsidP="007F6E1B">
      <w:pPr>
        <w:pStyle w:val="BodyText"/>
        <w:ind w:left="0" w:right="285"/>
        <w:rPr>
          <w:color w:val="000000"/>
        </w:rPr>
      </w:pPr>
    </w:p>
    <w:p w14:paraId="4CAE0F49" w14:textId="77777777" w:rsidR="00D15122" w:rsidRPr="00381DC2" w:rsidRDefault="009B0756" w:rsidP="007F6E1B">
      <w:pPr>
        <w:pStyle w:val="BodyText"/>
        <w:ind w:left="0" w:right="285"/>
        <w:rPr>
          <w:color w:val="000000"/>
        </w:rPr>
      </w:pPr>
      <w:r w:rsidRPr="00381DC2">
        <w:rPr>
          <w:color w:val="000000"/>
        </w:rPr>
        <w:t xml:space="preserve">Po </w:t>
      </w:r>
      <w:r w:rsidR="00E03CE1" w:rsidRPr="00381DC2">
        <w:rPr>
          <w:color w:val="000000"/>
        </w:rPr>
        <w:t xml:space="preserve">neschváleném intravitreálním podání </w:t>
      </w:r>
      <w:r w:rsidRPr="00381DC2">
        <w:rPr>
          <w:color w:val="000000"/>
        </w:rPr>
        <w:t xml:space="preserve">bevacizumabu připraveného z injekčních lahviček schválených k intravenóznímu podání </w:t>
      </w:r>
      <w:r w:rsidR="00E03CE1" w:rsidRPr="00381DC2">
        <w:rPr>
          <w:color w:val="000000"/>
        </w:rPr>
        <w:t xml:space="preserve">onkologickým </w:t>
      </w:r>
      <w:r w:rsidRPr="00381DC2">
        <w:rPr>
          <w:color w:val="000000"/>
        </w:rPr>
        <w:t>pacientům byly hlášeny jednotlivé i vícečetné případy závažných očních nežádoucích účinků. Tyto účinky zahrnovaly infekční endoftalmitidu, nitrooční záněty, jako jsou sterilní endoftalmitida, uveitida a vitritida, odchlípení sítnice, trhliny pigmentové</w:t>
      </w:r>
      <w:r w:rsidR="00E03CE1" w:rsidRPr="00381DC2">
        <w:rPr>
          <w:color w:val="000000"/>
        </w:rPr>
        <w:t>ho</w:t>
      </w:r>
      <w:r w:rsidRPr="00381DC2">
        <w:rPr>
          <w:color w:val="000000"/>
        </w:rPr>
        <w:t xml:space="preserve"> epitelu sítnice, zvýšený nitrooční tlak, nitrooční krvácení jako </w:t>
      </w:r>
      <w:r w:rsidR="00F50B17" w:rsidRPr="00381DC2">
        <w:rPr>
          <w:color w:val="000000"/>
        </w:rPr>
        <w:t xml:space="preserve">sklivcové </w:t>
      </w:r>
      <w:r w:rsidRPr="00381DC2">
        <w:rPr>
          <w:color w:val="000000"/>
        </w:rPr>
        <w:t xml:space="preserve">krvácení nebo </w:t>
      </w:r>
      <w:r w:rsidR="00F50B17" w:rsidRPr="00381DC2">
        <w:rPr>
          <w:color w:val="000000"/>
        </w:rPr>
        <w:t xml:space="preserve">retinální krvácení </w:t>
      </w:r>
      <w:r w:rsidRPr="00381DC2">
        <w:rPr>
          <w:color w:val="000000"/>
        </w:rPr>
        <w:t>a krvácení spojivky. Některé z těchto účinků vyústily ve ztrátu zraku různého stupně včetně trvalé slepoty.</w:t>
      </w:r>
    </w:p>
    <w:p w14:paraId="4C8D3CE9" w14:textId="77777777" w:rsidR="00D15122" w:rsidRPr="00381DC2" w:rsidRDefault="00D15122" w:rsidP="007F6E1B">
      <w:pPr>
        <w:rPr>
          <w:rFonts w:ascii="Times New Roman" w:eastAsia="Times New Roman" w:hAnsi="Times New Roman"/>
          <w:color w:val="000000"/>
        </w:rPr>
      </w:pPr>
    </w:p>
    <w:p w14:paraId="616684DE" w14:textId="77777777" w:rsidR="00D15122" w:rsidRPr="00381DC2" w:rsidRDefault="009B0756" w:rsidP="007F6E1B">
      <w:pPr>
        <w:rPr>
          <w:rFonts w:ascii="Times New Roman" w:eastAsia="Times New Roman" w:hAnsi="Times New Roman"/>
          <w:color w:val="000000"/>
          <w:u w:val="single"/>
        </w:rPr>
      </w:pPr>
      <w:r w:rsidRPr="00381DC2">
        <w:rPr>
          <w:rFonts w:ascii="Times New Roman" w:hAnsi="Times New Roman"/>
          <w:color w:val="000000"/>
          <w:u w:val="single"/>
        </w:rPr>
        <w:t xml:space="preserve">Systémové účinky po </w:t>
      </w:r>
      <w:r w:rsidR="00F50B17" w:rsidRPr="00381DC2">
        <w:rPr>
          <w:rFonts w:ascii="Times New Roman" w:hAnsi="Times New Roman"/>
          <w:color w:val="000000"/>
          <w:u w:val="single"/>
        </w:rPr>
        <w:t xml:space="preserve">intravitreálním </w:t>
      </w:r>
      <w:r w:rsidRPr="00381DC2">
        <w:rPr>
          <w:rFonts w:ascii="Times New Roman" w:hAnsi="Times New Roman"/>
          <w:color w:val="000000"/>
          <w:u w:val="single"/>
        </w:rPr>
        <w:t>podání</w:t>
      </w:r>
    </w:p>
    <w:p w14:paraId="35042AC4" w14:textId="77777777" w:rsidR="00701D3B" w:rsidRPr="00381DC2" w:rsidRDefault="00701D3B" w:rsidP="007F6E1B">
      <w:pPr>
        <w:pStyle w:val="BodyText"/>
        <w:ind w:left="0" w:right="192"/>
        <w:rPr>
          <w:color w:val="000000"/>
        </w:rPr>
      </w:pPr>
    </w:p>
    <w:p w14:paraId="7BE96D2D" w14:textId="77777777" w:rsidR="00D15122" w:rsidRPr="00381DC2" w:rsidRDefault="009B0756" w:rsidP="007F6E1B">
      <w:pPr>
        <w:pStyle w:val="BodyText"/>
        <w:ind w:left="0" w:right="192"/>
        <w:rPr>
          <w:color w:val="000000"/>
        </w:rPr>
      </w:pPr>
      <w:r w:rsidRPr="00381DC2">
        <w:rPr>
          <w:color w:val="000000"/>
        </w:rPr>
        <w:t xml:space="preserve">Po </w:t>
      </w:r>
      <w:r w:rsidR="00F50B17" w:rsidRPr="00381DC2">
        <w:rPr>
          <w:color w:val="000000"/>
        </w:rPr>
        <w:t xml:space="preserve">intravitreální </w:t>
      </w:r>
      <w:r w:rsidRPr="00381DC2">
        <w:rPr>
          <w:color w:val="000000"/>
        </w:rPr>
        <w:t xml:space="preserve">anti-VEGF léčbě bylo pozorováno snížení koncentrace cirkulujícího VEGF. Po </w:t>
      </w:r>
      <w:r w:rsidR="00F50B17" w:rsidRPr="00381DC2">
        <w:rPr>
          <w:color w:val="000000"/>
        </w:rPr>
        <w:t xml:space="preserve">intravitreální </w:t>
      </w:r>
      <w:r w:rsidRPr="00381DC2">
        <w:rPr>
          <w:color w:val="000000"/>
        </w:rPr>
        <w:t>injekci inhibitorů VEGF byly hlášeny systémové nežádoucí účinky zahrnující krvácení mimo oko a arteriální tromboembolické reakce.</w:t>
      </w:r>
    </w:p>
    <w:p w14:paraId="450E5E98" w14:textId="77777777" w:rsidR="00D15122" w:rsidRPr="00381DC2" w:rsidRDefault="00D15122" w:rsidP="007F6E1B">
      <w:pPr>
        <w:rPr>
          <w:rFonts w:ascii="Times New Roman" w:eastAsia="Times New Roman" w:hAnsi="Times New Roman"/>
          <w:color w:val="000000"/>
        </w:rPr>
      </w:pPr>
    </w:p>
    <w:p w14:paraId="534FC1D0" w14:textId="77777777" w:rsidR="00D15122" w:rsidRPr="00381DC2" w:rsidRDefault="009B0756" w:rsidP="007F6E1B">
      <w:pPr>
        <w:rPr>
          <w:rFonts w:ascii="Times New Roman" w:eastAsia="Times New Roman" w:hAnsi="Times New Roman"/>
          <w:color w:val="000000"/>
          <w:u w:val="single"/>
        </w:rPr>
      </w:pPr>
      <w:r w:rsidRPr="00381DC2">
        <w:rPr>
          <w:rFonts w:ascii="Times New Roman" w:hAnsi="Times New Roman"/>
          <w:color w:val="000000"/>
          <w:u w:val="single"/>
        </w:rPr>
        <w:t>Selhání vaječníků/fertilita</w:t>
      </w:r>
    </w:p>
    <w:p w14:paraId="35CB252D" w14:textId="77777777" w:rsidR="00701D3B" w:rsidRPr="00381DC2" w:rsidRDefault="00701D3B" w:rsidP="007F6E1B">
      <w:pPr>
        <w:pStyle w:val="BodyText"/>
        <w:ind w:left="0" w:right="285"/>
        <w:rPr>
          <w:color w:val="000000"/>
        </w:rPr>
      </w:pPr>
    </w:p>
    <w:p w14:paraId="4D5DF64E" w14:textId="77777777" w:rsidR="00D15122" w:rsidRPr="00381DC2" w:rsidRDefault="00007842" w:rsidP="007F6E1B">
      <w:pPr>
        <w:pStyle w:val="BodyText"/>
        <w:ind w:left="0" w:right="285"/>
        <w:rPr>
          <w:color w:val="000000"/>
        </w:rPr>
      </w:pPr>
      <w:r w:rsidRPr="00381DC2">
        <w:rPr>
          <w:color w:val="000000"/>
        </w:rPr>
        <w:t xml:space="preserve">Bevacizumab může narušit ženskou fertilitu (viz body 4.6 a 4.8). U žen ve fertilním věku mají proto být před zahájením léčby přípravkem </w:t>
      </w:r>
      <w:r w:rsidR="00CC0FAB" w:rsidRPr="00381DC2">
        <w:rPr>
          <w:color w:val="000000"/>
        </w:rPr>
        <w:t>Zirabev</w:t>
      </w:r>
      <w:r w:rsidRPr="00381DC2">
        <w:rPr>
          <w:color w:val="000000"/>
        </w:rPr>
        <w:t xml:space="preserve"> prodiskutovány strategie k zachování fertility.</w:t>
      </w:r>
    </w:p>
    <w:p w14:paraId="28BEE8B4" w14:textId="77777777" w:rsidR="00D15122" w:rsidRPr="00381DC2" w:rsidRDefault="00D15122" w:rsidP="007F6E1B">
      <w:pPr>
        <w:rPr>
          <w:rFonts w:ascii="Times New Roman" w:eastAsia="Times New Roman" w:hAnsi="Times New Roman"/>
          <w:color w:val="000000"/>
        </w:rPr>
      </w:pPr>
    </w:p>
    <w:p w14:paraId="3EF1F71D" w14:textId="77777777" w:rsidR="000C3129" w:rsidRPr="00381DC2" w:rsidRDefault="000C3129" w:rsidP="002B0DE8">
      <w:pPr>
        <w:pStyle w:val="Normln1"/>
        <w:keepNext/>
        <w:keepLines/>
        <w:suppressAutoHyphens/>
        <w:rPr>
          <w:bCs/>
          <w:color w:val="000000"/>
          <w:szCs w:val="22"/>
          <w:u w:val="single"/>
        </w:rPr>
      </w:pPr>
      <w:r w:rsidRPr="00381DC2">
        <w:rPr>
          <w:bCs/>
          <w:color w:val="000000"/>
          <w:szCs w:val="22"/>
          <w:u w:val="single"/>
        </w:rPr>
        <w:t>Pomocné látky</w:t>
      </w:r>
    </w:p>
    <w:p w14:paraId="63A1F670" w14:textId="77777777" w:rsidR="000C3129" w:rsidRPr="00381DC2" w:rsidRDefault="000C3129" w:rsidP="002B0DE8">
      <w:pPr>
        <w:pStyle w:val="Normln1"/>
        <w:keepNext/>
        <w:keepLines/>
        <w:suppressAutoHyphens/>
        <w:rPr>
          <w:bCs/>
          <w:color w:val="000000"/>
          <w:szCs w:val="22"/>
          <w:u w:val="single"/>
        </w:rPr>
      </w:pPr>
    </w:p>
    <w:p w14:paraId="2F7D77F0" w14:textId="20159B3D" w:rsidR="00703329" w:rsidRPr="0051337F" w:rsidRDefault="00703329" w:rsidP="000C3129">
      <w:pPr>
        <w:rPr>
          <w:rFonts w:ascii="Times New Roman" w:eastAsia="Times New Roman" w:hAnsi="Times New Roman"/>
          <w:i/>
          <w:iCs/>
          <w:color w:val="000000"/>
          <w:u w:val="single"/>
        </w:rPr>
      </w:pPr>
      <w:r w:rsidRPr="0051337F">
        <w:rPr>
          <w:rFonts w:ascii="Times New Roman" w:eastAsia="Times New Roman" w:hAnsi="Times New Roman"/>
          <w:i/>
          <w:iCs/>
          <w:color w:val="000000"/>
          <w:u w:val="single"/>
        </w:rPr>
        <w:t>Sodík</w:t>
      </w:r>
    </w:p>
    <w:p w14:paraId="686B8DBD" w14:textId="77777777" w:rsidR="00703329" w:rsidRDefault="00703329" w:rsidP="000C3129">
      <w:pPr>
        <w:rPr>
          <w:rFonts w:ascii="Times New Roman" w:eastAsia="Times New Roman" w:hAnsi="Times New Roman"/>
          <w:color w:val="000000"/>
        </w:rPr>
      </w:pPr>
    </w:p>
    <w:p w14:paraId="57781DE6" w14:textId="3831C551" w:rsidR="000C3129" w:rsidRPr="00381DC2" w:rsidRDefault="000C3129" w:rsidP="000C3129">
      <w:pPr>
        <w:rPr>
          <w:rFonts w:ascii="Times New Roman" w:eastAsia="Times New Roman" w:hAnsi="Times New Roman"/>
          <w:color w:val="000000"/>
        </w:rPr>
      </w:pPr>
      <w:r w:rsidRPr="00381DC2">
        <w:rPr>
          <w:rFonts w:ascii="Times New Roman" w:eastAsia="Times New Roman" w:hAnsi="Times New Roman"/>
          <w:color w:val="000000"/>
        </w:rPr>
        <w:t>Tento léčivý přípravek obsahuje 3,0 mg sodíku v 4 ml, což odpovídá 0,15 % maximálního doporučeného denního příjmu sodíku potravou podle WHO pro dospělého, který činí 2 g sodíku.</w:t>
      </w:r>
    </w:p>
    <w:p w14:paraId="361FDA05" w14:textId="77777777" w:rsidR="000C3129" w:rsidRPr="00381DC2" w:rsidRDefault="000C3129" w:rsidP="000C3129">
      <w:pPr>
        <w:rPr>
          <w:rFonts w:ascii="Times New Roman" w:eastAsia="Times New Roman" w:hAnsi="Times New Roman"/>
          <w:color w:val="000000"/>
        </w:rPr>
      </w:pPr>
    </w:p>
    <w:p w14:paraId="7EFBC702" w14:textId="77777777" w:rsidR="000C3129" w:rsidRDefault="000C3129" w:rsidP="000C3129">
      <w:pPr>
        <w:rPr>
          <w:rFonts w:ascii="Times New Roman" w:eastAsia="Times New Roman" w:hAnsi="Times New Roman"/>
          <w:color w:val="000000"/>
        </w:rPr>
      </w:pPr>
      <w:r w:rsidRPr="00381DC2">
        <w:rPr>
          <w:rFonts w:ascii="Times New Roman" w:eastAsia="Times New Roman" w:hAnsi="Times New Roman"/>
          <w:color w:val="000000"/>
        </w:rPr>
        <w:t>Tento léčivý přípravek obsahuje 12,1 mg sodíku v 16 ml, což odpovídá 0,61 % maximálního doporučeného denního příjmu sodíku potravou podle WHO pro dospělého, který činí 2 g sodíku.</w:t>
      </w:r>
    </w:p>
    <w:p w14:paraId="413BFD16" w14:textId="77777777" w:rsidR="004529D2" w:rsidRDefault="004529D2" w:rsidP="000C3129">
      <w:pPr>
        <w:rPr>
          <w:rFonts w:ascii="Times New Roman" w:eastAsia="Times New Roman" w:hAnsi="Times New Roman"/>
          <w:color w:val="000000"/>
        </w:rPr>
      </w:pPr>
    </w:p>
    <w:p w14:paraId="5EF3F8C5" w14:textId="77D1D84D" w:rsidR="004529D2" w:rsidRDefault="004529D2" w:rsidP="000C3129">
      <w:pPr>
        <w:rPr>
          <w:rFonts w:ascii="Times New Roman" w:eastAsia="Times New Roman" w:hAnsi="Times New Roman"/>
          <w:color w:val="000000"/>
        </w:rPr>
      </w:pPr>
      <w:r>
        <w:rPr>
          <w:rFonts w:ascii="Times New Roman" w:eastAsia="Times New Roman" w:hAnsi="Times New Roman"/>
          <w:i/>
          <w:iCs/>
          <w:color w:val="000000"/>
          <w:u w:val="single"/>
        </w:rPr>
        <w:lastRenderedPageBreak/>
        <w:t>Polysorbát</w:t>
      </w:r>
    </w:p>
    <w:p w14:paraId="061D2FA7" w14:textId="77777777" w:rsidR="004529D2" w:rsidRDefault="004529D2" w:rsidP="000C3129">
      <w:pPr>
        <w:rPr>
          <w:rFonts w:ascii="Times New Roman" w:eastAsia="Times New Roman" w:hAnsi="Times New Roman"/>
          <w:color w:val="000000"/>
        </w:rPr>
      </w:pPr>
    </w:p>
    <w:p w14:paraId="2D84F1C3" w14:textId="103CCDCE" w:rsidR="004529D2" w:rsidRPr="004529D2" w:rsidRDefault="00D946E5" w:rsidP="000C3129">
      <w:pPr>
        <w:rPr>
          <w:rFonts w:ascii="Times New Roman" w:eastAsia="Times New Roman" w:hAnsi="Times New Roman"/>
          <w:color w:val="000000"/>
        </w:rPr>
      </w:pPr>
      <w:r>
        <w:rPr>
          <w:rFonts w:ascii="Times New Roman" w:eastAsia="Times New Roman" w:hAnsi="Times New Roman"/>
          <w:color w:val="000000"/>
        </w:rPr>
        <w:t xml:space="preserve">Tento léčivý přípravek obsahuje 0,8 mg polysorbátu 80 v jedné </w:t>
      </w:r>
      <w:r w:rsidR="00AB7DC1">
        <w:rPr>
          <w:rFonts w:ascii="Times New Roman" w:eastAsia="Times New Roman" w:hAnsi="Times New Roman"/>
          <w:color w:val="000000"/>
        </w:rPr>
        <w:t xml:space="preserve">injekční </w:t>
      </w:r>
      <w:r>
        <w:rPr>
          <w:rFonts w:ascii="Times New Roman" w:eastAsia="Times New Roman" w:hAnsi="Times New Roman"/>
          <w:color w:val="000000"/>
        </w:rPr>
        <w:t xml:space="preserve">lahvičce o obsahu 100 mg/4 ml a 3,2 mg v jedné </w:t>
      </w:r>
      <w:r w:rsidR="00AB7DC1">
        <w:rPr>
          <w:rFonts w:ascii="Times New Roman" w:eastAsia="Times New Roman" w:hAnsi="Times New Roman"/>
          <w:color w:val="000000"/>
        </w:rPr>
        <w:t xml:space="preserve">injekční </w:t>
      </w:r>
      <w:r>
        <w:rPr>
          <w:rFonts w:ascii="Times New Roman" w:eastAsia="Times New Roman" w:hAnsi="Times New Roman"/>
          <w:color w:val="000000"/>
        </w:rPr>
        <w:t>la</w:t>
      </w:r>
      <w:r w:rsidR="0062254B">
        <w:rPr>
          <w:rFonts w:ascii="Times New Roman" w:eastAsia="Times New Roman" w:hAnsi="Times New Roman"/>
          <w:color w:val="000000"/>
        </w:rPr>
        <w:t xml:space="preserve">hvičce o obsahu 400 mg/16 ml, což odpovídá 0,2 mg/ml. Polysorbáty mohou </w:t>
      </w:r>
      <w:r w:rsidR="009C469E">
        <w:rPr>
          <w:rFonts w:ascii="Times New Roman" w:eastAsia="Times New Roman" w:hAnsi="Times New Roman"/>
          <w:color w:val="000000"/>
        </w:rPr>
        <w:t>způsobit alergické reakce.</w:t>
      </w:r>
    </w:p>
    <w:p w14:paraId="1C0E85B9" w14:textId="77777777" w:rsidR="000C3129" w:rsidRPr="00381DC2" w:rsidRDefault="000C3129" w:rsidP="007F6E1B">
      <w:pPr>
        <w:rPr>
          <w:rFonts w:ascii="Times New Roman" w:eastAsia="Times New Roman" w:hAnsi="Times New Roman"/>
          <w:color w:val="000000"/>
        </w:rPr>
      </w:pPr>
    </w:p>
    <w:p w14:paraId="742CD68E" w14:textId="77777777" w:rsidR="00D15122" w:rsidRPr="00974445" w:rsidRDefault="003E4A60" w:rsidP="0099575F">
      <w:pPr>
        <w:keepNext/>
        <w:tabs>
          <w:tab w:val="left" w:pos="685"/>
        </w:tabs>
        <w:rPr>
          <w:rFonts w:ascii="Times New Roman" w:hAnsi="Times New Roman"/>
          <w:b/>
          <w:color w:val="000000"/>
          <w:lang w:val="en-US"/>
        </w:rPr>
      </w:pPr>
      <w:r w:rsidRPr="00381DC2">
        <w:rPr>
          <w:rFonts w:ascii="Times New Roman" w:hAnsi="Times New Roman"/>
          <w:b/>
          <w:color w:val="000000"/>
        </w:rPr>
        <w:t>4.5</w:t>
      </w:r>
      <w:r w:rsidRPr="00381DC2">
        <w:rPr>
          <w:rFonts w:ascii="Times New Roman" w:hAnsi="Times New Roman"/>
          <w:b/>
          <w:color w:val="000000"/>
        </w:rPr>
        <w:tab/>
        <w:t>Interakce s jinými léčivými přípravky a jiné formy interakce</w:t>
      </w:r>
    </w:p>
    <w:p w14:paraId="7730094F" w14:textId="77777777" w:rsidR="00D15122" w:rsidRPr="00381DC2" w:rsidRDefault="00D15122" w:rsidP="0099575F">
      <w:pPr>
        <w:keepNext/>
        <w:rPr>
          <w:rFonts w:ascii="Times New Roman" w:eastAsia="Times New Roman" w:hAnsi="Times New Roman"/>
          <w:bCs/>
          <w:color w:val="000000"/>
        </w:rPr>
      </w:pPr>
    </w:p>
    <w:p w14:paraId="08E20221" w14:textId="77777777" w:rsidR="00D15122" w:rsidRPr="00381DC2" w:rsidRDefault="009B0756" w:rsidP="0099575F">
      <w:pPr>
        <w:keepNext/>
        <w:rPr>
          <w:rFonts w:ascii="Times New Roman" w:eastAsia="Times New Roman" w:hAnsi="Times New Roman"/>
          <w:color w:val="000000"/>
          <w:u w:val="single"/>
        </w:rPr>
      </w:pPr>
      <w:r w:rsidRPr="00381DC2">
        <w:rPr>
          <w:rFonts w:ascii="Times New Roman" w:hAnsi="Times New Roman"/>
          <w:color w:val="000000"/>
          <w:u w:val="single"/>
        </w:rPr>
        <w:t xml:space="preserve">Vliv </w:t>
      </w:r>
      <w:r w:rsidR="0078572E" w:rsidRPr="00381DC2">
        <w:rPr>
          <w:rFonts w:ascii="Times New Roman" w:hAnsi="Times New Roman"/>
          <w:color w:val="000000"/>
          <w:u w:val="single"/>
        </w:rPr>
        <w:t xml:space="preserve">cytostatik </w:t>
      </w:r>
      <w:r w:rsidRPr="00381DC2">
        <w:rPr>
          <w:rFonts w:ascii="Times New Roman" w:hAnsi="Times New Roman"/>
          <w:color w:val="000000"/>
          <w:u w:val="single"/>
        </w:rPr>
        <w:t>na farmakokinetiku bevacizumabu</w:t>
      </w:r>
    </w:p>
    <w:p w14:paraId="61786B27" w14:textId="77777777" w:rsidR="00701D3B" w:rsidRPr="00381DC2" w:rsidRDefault="00701D3B" w:rsidP="007F6E1B">
      <w:pPr>
        <w:pStyle w:val="BodyText"/>
        <w:ind w:left="0" w:right="192"/>
        <w:rPr>
          <w:color w:val="000000"/>
        </w:rPr>
      </w:pPr>
    </w:p>
    <w:p w14:paraId="63B395BA" w14:textId="77777777" w:rsidR="00D15122" w:rsidRPr="00381DC2" w:rsidRDefault="009B0756" w:rsidP="007F6E1B">
      <w:pPr>
        <w:pStyle w:val="BodyText"/>
        <w:ind w:left="0" w:right="192"/>
        <w:rPr>
          <w:color w:val="000000"/>
        </w:rPr>
      </w:pPr>
      <w:r w:rsidRPr="00381DC2">
        <w:rPr>
          <w:color w:val="000000"/>
        </w:rPr>
        <w:t xml:space="preserve">Výsledky populačních farmakokinetických analýz neukázaly žádné klinicky </w:t>
      </w:r>
      <w:r w:rsidR="004D239D" w:rsidRPr="00381DC2">
        <w:rPr>
          <w:color w:val="000000"/>
        </w:rPr>
        <w:t xml:space="preserve">relevantní </w:t>
      </w:r>
      <w:r w:rsidRPr="00381DC2">
        <w:rPr>
          <w:color w:val="000000"/>
        </w:rPr>
        <w:t>interakce současně podávané chemoterapie na farmakokinetiku bevacizumabu. Nebyly ani statisticky významné, ani klinicky relevantní rozdíly v clearance bevacizumabu u pacientů léčených bevacizumabem v monoterapii při srovnání s pacienty, kteří dostali bevacizumab v kombinaci s interferonem alfa-2a, erlotinibem nebo chemoterapií (IFL, 5-FU/LV, karboplatin</w:t>
      </w:r>
      <w:r w:rsidR="004D239D" w:rsidRPr="00381DC2">
        <w:rPr>
          <w:color w:val="000000"/>
        </w:rPr>
        <w:t>ou</w:t>
      </w:r>
      <w:r w:rsidRPr="00381DC2">
        <w:rPr>
          <w:color w:val="000000"/>
        </w:rPr>
        <w:t>/paklitaxel</w:t>
      </w:r>
      <w:r w:rsidR="004D239D" w:rsidRPr="00381DC2">
        <w:rPr>
          <w:color w:val="000000"/>
        </w:rPr>
        <w:t>em</w:t>
      </w:r>
      <w:r w:rsidRPr="00381DC2">
        <w:rPr>
          <w:color w:val="000000"/>
        </w:rPr>
        <w:t>, kapecitabin</w:t>
      </w:r>
      <w:r w:rsidR="004D239D" w:rsidRPr="00381DC2">
        <w:rPr>
          <w:color w:val="000000"/>
        </w:rPr>
        <w:t>em</w:t>
      </w:r>
      <w:r w:rsidRPr="00381DC2">
        <w:rPr>
          <w:color w:val="000000"/>
        </w:rPr>
        <w:t>, doxorubicin</w:t>
      </w:r>
      <w:r w:rsidR="004D239D" w:rsidRPr="00381DC2">
        <w:rPr>
          <w:color w:val="000000"/>
        </w:rPr>
        <w:t>em</w:t>
      </w:r>
      <w:r w:rsidRPr="00381DC2">
        <w:rPr>
          <w:color w:val="000000"/>
        </w:rPr>
        <w:t xml:space="preserve"> nebo cisplatin</w:t>
      </w:r>
      <w:r w:rsidR="004D239D" w:rsidRPr="00381DC2">
        <w:rPr>
          <w:color w:val="000000"/>
        </w:rPr>
        <w:t>ou</w:t>
      </w:r>
      <w:r w:rsidRPr="00381DC2">
        <w:rPr>
          <w:color w:val="000000"/>
        </w:rPr>
        <w:t>/gemcitabin</w:t>
      </w:r>
      <w:r w:rsidR="004D239D" w:rsidRPr="00381DC2">
        <w:rPr>
          <w:color w:val="000000"/>
        </w:rPr>
        <w:t>em</w:t>
      </w:r>
      <w:r w:rsidRPr="00381DC2">
        <w:rPr>
          <w:color w:val="000000"/>
        </w:rPr>
        <w:t>).</w:t>
      </w:r>
    </w:p>
    <w:p w14:paraId="7B83E33F" w14:textId="77777777" w:rsidR="00D15122" w:rsidRPr="00381DC2" w:rsidRDefault="00D15122" w:rsidP="007F6E1B">
      <w:pPr>
        <w:rPr>
          <w:rFonts w:ascii="Times New Roman" w:eastAsia="Times New Roman" w:hAnsi="Times New Roman"/>
          <w:color w:val="000000"/>
        </w:rPr>
      </w:pPr>
    </w:p>
    <w:p w14:paraId="0DB1F08F" w14:textId="77777777" w:rsidR="00D15122" w:rsidRPr="00381DC2" w:rsidRDefault="009B0756" w:rsidP="007F6E1B">
      <w:pPr>
        <w:keepNext/>
        <w:rPr>
          <w:rFonts w:ascii="Times New Roman" w:eastAsia="Times New Roman" w:hAnsi="Times New Roman"/>
          <w:color w:val="000000"/>
          <w:u w:val="single"/>
        </w:rPr>
      </w:pPr>
      <w:r w:rsidRPr="00381DC2">
        <w:rPr>
          <w:rFonts w:ascii="Times New Roman" w:hAnsi="Times New Roman"/>
          <w:color w:val="000000"/>
          <w:u w:val="single"/>
        </w:rPr>
        <w:t xml:space="preserve">Vliv bevacizumabu na farmakokinetiku </w:t>
      </w:r>
      <w:r w:rsidR="004D239D" w:rsidRPr="00381DC2">
        <w:rPr>
          <w:rFonts w:ascii="Times New Roman" w:hAnsi="Times New Roman"/>
          <w:color w:val="000000"/>
          <w:u w:val="single"/>
        </w:rPr>
        <w:t xml:space="preserve">jiných </w:t>
      </w:r>
      <w:r w:rsidR="0078572E" w:rsidRPr="00381DC2">
        <w:rPr>
          <w:rFonts w:ascii="Times New Roman" w:hAnsi="Times New Roman"/>
          <w:color w:val="000000"/>
          <w:u w:val="single"/>
        </w:rPr>
        <w:t xml:space="preserve">cytostatik </w:t>
      </w:r>
    </w:p>
    <w:p w14:paraId="7E665D69" w14:textId="77777777" w:rsidR="00701D3B" w:rsidRPr="00381DC2" w:rsidRDefault="00701D3B" w:rsidP="007F6E1B">
      <w:pPr>
        <w:pStyle w:val="BodyText"/>
        <w:keepNext/>
        <w:ind w:left="0" w:right="291"/>
        <w:rPr>
          <w:color w:val="000000"/>
        </w:rPr>
      </w:pPr>
    </w:p>
    <w:p w14:paraId="381A7F94" w14:textId="77777777" w:rsidR="00D15122" w:rsidRPr="00381DC2" w:rsidRDefault="009B0756" w:rsidP="007F6E1B">
      <w:pPr>
        <w:pStyle w:val="BodyText"/>
        <w:keepNext/>
        <w:ind w:left="0" w:right="291"/>
        <w:rPr>
          <w:color w:val="000000"/>
        </w:rPr>
      </w:pPr>
      <w:r w:rsidRPr="00381DC2">
        <w:rPr>
          <w:color w:val="000000"/>
        </w:rPr>
        <w:t xml:space="preserve">Nebyly pozorovány žádné klinicky </w:t>
      </w:r>
      <w:r w:rsidR="004D239D" w:rsidRPr="00381DC2">
        <w:rPr>
          <w:color w:val="000000"/>
        </w:rPr>
        <w:t xml:space="preserve">relevantní </w:t>
      </w:r>
      <w:r w:rsidRPr="00381DC2">
        <w:rPr>
          <w:color w:val="000000"/>
        </w:rPr>
        <w:t xml:space="preserve">interakce bevacizumabu na farmakokinetiku současně podávaného interferonu alfa-2a, erlotinibu (a jeho aktivního metabolitu OSI-420) nebo </w:t>
      </w:r>
      <w:r w:rsidR="00597642" w:rsidRPr="00381DC2">
        <w:rPr>
          <w:color w:val="000000"/>
        </w:rPr>
        <w:t>chemoterapií</w:t>
      </w:r>
      <w:r w:rsidRPr="00381DC2">
        <w:rPr>
          <w:color w:val="000000"/>
        </w:rPr>
        <w:t>: irinotekanu (a jeho aktivního metabolitu SN38), kapecitabinu, oxaliplatiny (která byla stanovena měřením volné a celkové platiny) a cisplatiny. Nelze stanovit jasné závěry o vlivu bevacizumabu na farmakokinetiku gemcitabinu.</w:t>
      </w:r>
    </w:p>
    <w:p w14:paraId="6B9D231C" w14:textId="77777777" w:rsidR="00D15122" w:rsidRPr="00381DC2" w:rsidRDefault="00D15122" w:rsidP="007F6E1B">
      <w:pPr>
        <w:rPr>
          <w:rFonts w:ascii="Times New Roman" w:eastAsia="Times New Roman" w:hAnsi="Times New Roman"/>
          <w:color w:val="000000"/>
        </w:rPr>
      </w:pPr>
    </w:p>
    <w:p w14:paraId="0658DAEB" w14:textId="77777777" w:rsidR="00D15122" w:rsidRPr="00381DC2" w:rsidRDefault="009B0756" w:rsidP="007F6E1B">
      <w:pPr>
        <w:keepNext/>
        <w:spacing w:line="252" w:lineRule="exact"/>
        <w:rPr>
          <w:rFonts w:ascii="Times New Roman" w:eastAsia="Times New Roman" w:hAnsi="Times New Roman"/>
          <w:color w:val="000000"/>
          <w:u w:val="single"/>
        </w:rPr>
      </w:pPr>
      <w:r w:rsidRPr="00381DC2">
        <w:rPr>
          <w:rFonts w:ascii="Times New Roman" w:hAnsi="Times New Roman"/>
          <w:color w:val="000000"/>
          <w:u w:val="single"/>
        </w:rPr>
        <w:t>Kombinace bevacizumabu a sunitinib</w:t>
      </w:r>
      <w:r w:rsidR="004D239D" w:rsidRPr="00381DC2">
        <w:rPr>
          <w:rFonts w:ascii="Times New Roman" w:hAnsi="Times New Roman"/>
          <w:color w:val="000000"/>
          <w:u w:val="single"/>
        </w:rPr>
        <w:t>-</w:t>
      </w:r>
      <w:r w:rsidRPr="00381DC2">
        <w:rPr>
          <w:rFonts w:ascii="Times New Roman" w:hAnsi="Times New Roman"/>
          <w:color w:val="000000"/>
          <w:u w:val="single"/>
        </w:rPr>
        <w:t>malátu</w:t>
      </w:r>
    </w:p>
    <w:p w14:paraId="19D312A9" w14:textId="77777777" w:rsidR="00701D3B" w:rsidRPr="00381DC2" w:rsidRDefault="00701D3B" w:rsidP="004F6645">
      <w:pPr>
        <w:pStyle w:val="BodyText"/>
        <w:widowControl/>
        <w:ind w:left="0" w:right="288"/>
        <w:rPr>
          <w:color w:val="000000"/>
        </w:rPr>
      </w:pPr>
    </w:p>
    <w:p w14:paraId="517F9417" w14:textId="77777777" w:rsidR="00D15122" w:rsidRPr="00381DC2" w:rsidRDefault="009B0756" w:rsidP="004F6645">
      <w:pPr>
        <w:pStyle w:val="BodyText"/>
        <w:widowControl/>
        <w:ind w:left="0" w:right="288"/>
        <w:rPr>
          <w:color w:val="000000"/>
        </w:rPr>
      </w:pPr>
      <w:r w:rsidRPr="00381DC2">
        <w:rPr>
          <w:color w:val="000000"/>
        </w:rPr>
        <w:t xml:space="preserve">Ve dvou klinických </w:t>
      </w:r>
      <w:r w:rsidR="00B97027" w:rsidRPr="00381DC2">
        <w:rPr>
          <w:color w:val="000000"/>
        </w:rPr>
        <w:t>studiích</w:t>
      </w:r>
      <w:r w:rsidRPr="00381DC2">
        <w:rPr>
          <w:color w:val="000000"/>
        </w:rPr>
        <w:t xml:space="preserve"> u </w:t>
      </w:r>
      <w:r w:rsidR="000834FE" w:rsidRPr="00381DC2">
        <w:rPr>
          <w:color w:val="000000"/>
        </w:rPr>
        <w:t>metasta</w:t>
      </w:r>
      <w:r w:rsidR="00B97027" w:rsidRPr="00381DC2">
        <w:rPr>
          <w:color w:val="000000"/>
        </w:rPr>
        <w:t>zujícícho karcinomu</w:t>
      </w:r>
      <w:r w:rsidR="000834FE" w:rsidRPr="00381DC2">
        <w:rPr>
          <w:color w:val="000000"/>
        </w:rPr>
        <w:t xml:space="preserve"> ledvin </w:t>
      </w:r>
      <w:r w:rsidRPr="00381DC2">
        <w:rPr>
          <w:color w:val="000000"/>
        </w:rPr>
        <w:t>byla u 7 z 19 pacientů léčených kombinací bevacizumabu (10 mg/kg každé dva týdny) a sunitinib-malátu (50 mg denně) hlášena mikroangiopatická hemolytická anémie (MAHA).</w:t>
      </w:r>
    </w:p>
    <w:p w14:paraId="26612720" w14:textId="77777777" w:rsidR="00D15122" w:rsidRPr="00381DC2" w:rsidRDefault="00D15122" w:rsidP="007F6E1B">
      <w:pPr>
        <w:rPr>
          <w:rFonts w:ascii="Times New Roman" w:eastAsia="Times New Roman" w:hAnsi="Times New Roman"/>
          <w:color w:val="000000"/>
        </w:rPr>
      </w:pPr>
    </w:p>
    <w:p w14:paraId="7826B842" w14:textId="77777777" w:rsidR="00D15122" w:rsidRPr="00381DC2" w:rsidRDefault="009B0756" w:rsidP="007F6E1B">
      <w:pPr>
        <w:pStyle w:val="BodyText"/>
        <w:ind w:left="0" w:right="137"/>
        <w:rPr>
          <w:color w:val="000000"/>
        </w:rPr>
      </w:pPr>
      <w:r w:rsidRPr="00381DC2">
        <w:rPr>
          <w:color w:val="000000"/>
        </w:rPr>
        <w:t xml:space="preserve">MAHA je hemolytická porucha, která se může projevit fragmentací </w:t>
      </w:r>
      <w:r w:rsidR="00B97027" w:rsidRPr="00381DC2">
        <w:rPr>
          <w:color w:val="000000"/>
        </w:rPr>
        <w:t>erytrocytů</w:t>
      </w:r>
      <w:r w:rsidRPr="00381DC2">
        <w:rPr>
          <w:color w:val="000000"/>
        </w:rPr>
        <w:t xml:space="preserve">, anémií a trombocytopenií. U některých </w:t>
      </w:r>
      <w:r w:rsidR="004D239D" w:rsidRPr="00381DC2">
        <w:rPr>
          <w:color w:val="000000"/>
        </w:rPr>
        <w:t xml:space="preserve">z těchto </w:t>
      </w:r>
      <w:r w:rsidRPr="00381DC2">
        <w:rPr>
          <w:color w:val="000000"/>
        </w:rPr>
        <w:t xml:space="preserve">pacientů byly kromě toho pozorovány hypertenze (včetně hypertenzní krize), zvýšená hladina kreatininu a neurologické </w:t>
      </w:r>
      <w:r w:rsidR="00B97027" w:rsidRPr="00381DC2">
        <w:rPr>
          <w:color w:val="000000"/>
        </w:rPr>
        <w:t>symptomy</w:t>
      </w:r>
      <w:r w:rsidRPr="00381DC2">
        <w:rPr>
          <w:color w:val="000000"/>
        </w:rPr>
        <w:t xml:space="preserve">. Všechny tyto nálezy byly po ukončení léčby bevacizumabem a sunitinib-malátem reverzibilní (viz </w:t>
      </w:r>
      <w:r w:rsidR="00B97027" w:rsidRPr="00381DC2">
        <w:rPr>
          <w:color w:val="000000"/>
        </w:rPr>
        <w:t>h</w:t>
      </w:r>
      <w:r w:rsidRPr="00381DC2">
        <w:rPr>
          <w:color w:val="000000"/>
        </w:rPr>
        <w:t xml:space="preserve">ypertenze, </w:t>
      </w:r>
      <w:r w:rsidR="00B97027" w:rsidRPr="00381DC2">
        <w:rPr>
          <w:color w:val="000000"/>
        </w:rPr>
        <w:t>p</w:t>
      </w:r>
      <w:r w:rsidRPr="00381DC2">
        <w:rPr>
          <w:color w:val="000000"/>
        </w:rPr>
        <w:t xml:space="preserve">roteinurie, </w:t>
      </w:r>
      <w:r w:rsidR="00B97027" w:rsidRPr="00381DC2">
        <w:rPr>
          <w:color w:val="000000"/>
        </w:rPr>
        <w:t>s</w:t>
      </w:r>
      <w:r w:rsidRPr="00381DC2">
        <w:rPr>
          <w:color w:val="000000"/>
        </w:rPr>
        <w:t>yndrom PRES v bodě 4.4).</w:t>
      </w:r>
    </w:p>
    <w:p w14:paraId="0077C0AE" w14:textId="77777777" w:rsidR="00D15122" w:rsidRPr="00381DC2" w:rsidRDefault="00D15122" w:rsidP="007F6E1B">
      <w:pPr>
        <w:rPr>
          <w:rFonts w:ascii="Times New Roman" w:eastAsia="Times New Roman" w:hAnsi="Times New Roman"/>
          <w:color w:val="000000"/>
        </w:rPr>
      </w:pPr>
    </w:p>
    <w:p w14:paraId="0D277AB4" w14:textId="77777777" w:rsidR="00D15122" w:rsidRPr="00381DC2" w:rsidRDefault="009B0756" w:rsidP="007F6E1B">
      <w:pPr>
        <w:rPr>
          <w:rFonts w:ascii="Times New Roman" w:eastAsia="Times New Roman" w:hAnsi="Times New Roman"/>
          <w:color w:val="000000"/>
          <w:u w:val="single"/>
        </w:rPr>
      </w:pPr>
      <w:r w:rsidRPr="00381DC2">
        <w:rPr>
          <w:rFonts w:ascii="Times New Roman" w:hAnsi="Times New Roman"/>
          <w:color w:val="000000"/>
          <w:u w:val="single"/>
        </w:rPr>
        <w:t>Kombinace s </w:t>
      </w:r>
      <w:r w:rsidR="00B36263" w:rsidRPr="00381DC2">
        <w:rPr>
          <w:rFonts w:ascii="Times New Roman" w:hAnsi="Times New Roman"/>
          <w:color w:val="000000"/>
          <w:u w:val="single"/>
        </w:rPr>
        <w:t xml:space="preserve">terapiemi na bázi platiny nebo taxanů </w:t>
      </w:r>
      <w:r w:rsidRPr="00381DC2">
        <w:rPr>
          <w:rFonts w:ascii="Times New Roman" w:hAnsi="Times New Roman"/>
          <w:color w:val="000000"/>
          <w:u w:val="single"/>
        </w:rPr>
        <w:t>(viz body 4.4 a 4.8)</w:t>
      </w:r>
    </w:p>
    <w:p w14:paraId="3E9AF44E" w14:textId="77777777" w:rsidR="00701D3B" w:rsidRPr="00381DC2" w:rsidRDefault="00701D3B" w:rsidP="007F6E1B">
      <w:pPr>
        <w:pStyle w:val="BodyText"/>
        <w:ind w:left="0" w:right="291"/>
        <w:rPr>
          <w:color w:val="000000"/>
        </w:rPr>
      </w:pPr>
    </w:p>
    <w:p w14:paraId="599B1A0E" w14:textId="77777777" w:rsidR="00D15122" w:rsidRPr="00381DC2" w:rsidRDefault="009B0756" w:rsidP="007F6E1B">
      <w:pPr>
        <w:pStyle w:val="BodyText"/>
        <w:ind w:left="0" w:right="291"/>
        <w:rPr>
          <w:color w:val="000000"/>
        </w:rPr>
      </w:pPr>
      <w:r w:rsidRPr="00381DC2">
        <w:rPr>
          <w:color w:val="000000"/>
        </w:rPr>
        <w:t>Zvýšen</w:t>
      </w:r>
      <w:r w:rsidR="00B36263" w:rsidRPr="00381DC2">
        <w:rPr>
          <w:color w:val="000000"/>
        </w:rPr>
        <w:t>á četnost</w:t>
      </w:r>
      <w:r w:rsidRPr="00381DC2">
        <w:rPr>
          <w:color w:val="000000"/>
        </w:rPr>
        <w:t xml:space="preserve"> </w:t>
      </w:r>
      <w:r w:rsidR="00B97027" w:rsidRPr="00381DC2">
        <w:rPr>
          <w:color w:val="000000"/>
        </w:rPr>
        <w:t>těžké</w:t>
      </w:r>
      <w:r w:rsidRPr="00381DC2">
        <w:rPr>
          <w:color w:val="000000"/>
        </w:rPr>
        <w:t xml:space="preserve"> neutropenie, febrilní neutropenie nebo infekce s těžkou neutropenií nebo bez ní (včetně </w:t>
      </w:r>
      <w:r w:rsidR="00B36263" w:rsidRPr="00381DC2">
        <w:rPr>
          <w:color w:val="000000"/>
        </w:rPr>
        <w:t>něk</w:t>
      </w:r>
      <w:r w:rsidR="00B97027" w:rsidRPr="00381DC2">
        <w:rPr>
          <w:color w:val="000000"/>
        </w:rPr>
        <w:t>olika</w:t>
      </w:r>
      <w:r w:rsidR="00B36263" w:rsidRPr="00381DC2">
        <w:rPr>
          <w:color w:val="000000"/>
        </w:rPr>
        <w:t xml:space="preserve"> fatálních případů</w:t>
      </w:r>
      <w:r w:rsidRPr="00381DC2">
        <w:rPr>
          <w:color w:val="000000"/>
        </w:rPr>
        <w:t>) byl</w:t>
      </w:r>
      <w:r w:rsidR="00B36263" w:rsidRPr="00381DC2">
        <w:rPr>
          <w:color w:val="000000"/>
        </w:rPr>
        <w:t>a</w:t>
      </w:r>
      <w:r w:rsidRPr="00381DC2">
        <w:rPr>
          <w:color w:val="000000"/>
        </w:rPr>
        <w:t xml:space="preserve"> pozorován</w:t>
      </w:r>
      <w:r w:rsidR="00B36263" w:rsidRPr="00381DC2">
        <w:rPr>
          <w:color w:val="000000"/>
        </w:rPr>
        <w:t>a</w:t>
      </w:r>
      <w:r w:rsidRPr="00381DC2">
        <w:rPr>
          <w:color w:val="000000"/>
        </w:rPr>
        <w:t xml:space="preserve"> zejména u pacientů léčených </w:t>
      </w:r>
      <w:r w:rsidR="00B97027" w:rsidRPr="00381DC2">
        <w:rPr>
          <w:color w:val="000000"/>
        </w:rPr>
        <w:t>kvůli</w:t>
      </w:r>
      <w:r w:rsidRPr="00381DC2">
        <w:rPr>
          <w:color w:val="000000"/>
        </w:rPr>
        <w:t xml:space="preserve"> </w:t>
      </w:r>
      <w:r w:rsidR="00B36263" w:rsidRPr="00381DC2">
        <w:rPr>
          <w:color w:val="000000"/>
        </w:rPr>
        <w:t xml:space="preserve">NSCLC </w:t>
      </w:r>
      <w:r w:rsidRPr="00381DC2">
        <w:rPr>
          <w:color w:val="000000"/>
        </w:rPr>
        <w:t xml:space="preserve">nebo </w:t>
      </w:r>
      <w:r w:rsidR="00B36263" w:rsidRPr="00381DC2">
        <w:rPr>
          <w:color w:val="000000"/>
        </w:rPr>
        <w:t>mBC</w:t>
      </w:r>
      <w:r w:rsidR="007176FA" w:rsidRPr="00381DC2">
        <w:rPr>
          <w:color w:val="000000"/>
        </w:rPr>
        <w:t xml:space="preserve"> </w:t>
      </w:r>
      <w:r w:rsidR="00B36263" w:rsidRPr="00381DC2">
        <w:rPr>
          <w:color w:val="000000"/>
        </w:rPr>
        <w:t>terapiemi na bázi platiny nebo taxanů</w:t>
      </w:r>
      <w:r w:rsidRPr="00381DC2">
        <w:rPr>
          <w:color w:val="000000"/>
        </w:rPr>
        <w:t>.</w:t>
      </w:r>
    </w:p>
    <w:p w14:paraId="2E4378C8" w14:textId="77777777" w:rsidR="00D15122" w:rsidRPr="00381DC2" w:rsidRDefault="00D15122" w:rsidP="007F6E1B">
      <w:pPr>
        <w:rPr>
          <w:rFonts w:ascii="Times New Roman" w:eastAsia="Times New Roman" w:hAnsi="Times New Roman"/>
          <w:color w:val="000000"/>
        </w:rPr>
      </w:pPr>
    </w:p>
    <w:p w14:paraId="6D7D677F" w14:textId="77777777" w:rsidR="00D15122" w:rsidRPr="00381DC2" w:rsidRDefault="009B0756" w:rsidP="007F6E1B">
      <w:pPr>
        <w:spacing w:line="252" w:lineRule="exact"/>
        <w:rPr>
          <w:rFonts w:ascii="Times New Roman" w:eastAsia="Times New Roman" w:hAnsi="Times New Roman"/>
          <w:color w:val="000000"/>
          <w:u w:val="single"/>
        </w:rPr>
      </w:pPr>
      <w:r w:rsidRPr="00381DC2">
        <w:rPr>
          <w:rFonts w:ascii="Times New Roman" w:hAnsi="Times New Roman"/>
          <w:color w:val="000000"/>
          <w:u w:val="single"/>
        </w:rPr>
        <w:t>Radioterapie</w:t>
      </w:r>
    </w:p>
    <w:p w14:paraId="7EF860FA" w14:textId="77777777" w:rsidR="00701D3B" w:rsidRPr="00381DC2" w:rsidRDefault="00701D3B" w:rsidP="007F6E1B">
      <w:pPr>
        <w:pStyle w:val="BodyText"/>
        <w:ind w:left="0" w:right="209"/>
        <w:rPr>
          <w:color w:val="000000"/>
        </w:rPr>
      </w:pPr>
    </w:p>
    <w:p w14:paraId="19AD621D" w14:textId="77777777" w:rsidR="00D15122" w:rsidRPr="00381DC2" w:rsidRDefault="009B0756" w:rsidP="007F6E1B">
      <w:pPr>
        <w:pStyle w:val="BodyText"/>
        <w:ind w:left="0" w:right="209"/>
        <w:rPr>
          <w:color w:val="000000"/>
        </w:rPr>
      </w:pPr>
      <w:r w:rsidRPr="00381DC2">
        <w:rPr>
          <w:color w:val="000000"/>
        </w:rPr>
        <w:t xml:space="preserve">Bezpečnost a účinnost </w:t>
      </w:r>
      <w:r w:rsidR="00B36263" w:rsidRPr="00381DC2">
        <w:rPr>
          <w:color w:val="000000"/>
        </w:rPr>
        <w:t>při současné léčbě radioterapií a bevacizumabem</w:t>
      </w:r>
      <w:r w:rsidRPr="00381DC2">
        <w:rPr>
          <w:color w:val="000000"/>
        </w:rPr>
        <w:t xml:space="preserve"> nebyla stanovena.</w:t>
      </w:r>
    </w:p>
    <w:p w14:paraId="2B99BFCA" w14:textId="77777777" w:rsidR="00D15122" w:rsidRPr="00381DC2" w:rsidRDefault="00D15122" w:rsidP="007F6E1B">
      <w:pPr>
        <w:rPr>
          <w:rFonts w:ascii="Times New Roman" w:eastAsia="Times New Roman" w:hAnsi="Times New Roman"/>
          <w:color w:val="000000"/>
        </w:rPr>
      </w:pPr>
    </w:p>
    <w:p w14:paraId="445F6646" w14:textId="77777777" w:rsidR="00D15122" w:rsidRPr="00381DC2" w:rsidRDefault="009B0756" w:rsidP="007F6E1B">
      <w:pPr>
        <w:rPr>
          <w:rFonts w:ascii="Times New Roman" w:eastAsia="Times New Roman" w:hAnsi="Times New Roman"/>
          <w:color w:val="000000"/>
          <w:u w:val="single"/>
        </w:rPr>
      </w:pPr>
      <w:r w:rsidRPr="00381DC2">
        <w:rPr>
          <w:rFonts w:ascii="Times New Roman" w:hAnsi="Times New Roman"/>
          <w:color w:val="000000"/>
          <w:u w:val="single"/>
        </w:rPr>
        <w:t>Monoklonální protilátky proti EGFR v kombinaci s </w:t>
      </w:r>
      <w:r w:rsidR="00425FA7" w:rsidRPr="00381DC2">
        <w:rPr>
          <w:rFonts w:ascii="Times New Roman" w:hAnsi="Times New Roman"/>
          <w:color w:val="000000"/>
          <w:u w:val="single"/>
        </w:rPr>
        <w:t xml:space="preserve">režimy </w:t>
      </w:r>
      <w:r w:rsidRPr="00381DC2">
        <w:rPr>
          <w:rFonts w:ascii="Times New Roman" w:hAnsi="Times New Roman"/>
          <w:color w:val="000000"/>
          <w:u w:val="single"/>
        </w:rPr>
        <w:t>chemoterapie s bevacizumabem</w:t>
      </w:r>
    </w:p>
    <w:p w14:paraId="1AE3669F" w14:textId="77777777" w:rsidR="00701D3B" w:rsidRPr="00381DC2" w:rsidRDefault="00701D3B" w:rsidP="007F6E1B">
      <w:pPr>
        <w:pStyle w:val="BodyText"/>
        <w:ind w:left="0" w:right="209"/>
        <w:rPr>
          <w:color w:val="000000"/>
        </w:rPr>
      </w:pPr>
    </w:p>
    <w:p w14:paraId="20E4976A" w14:textId="77777777" w:rsidR="00D15122" w:rsidRPr="00381DC2" w:rsidRDefault="009B0756" w:rsidP="007F6E1B">
      <w:pPr>
        <w:pStyle w:val="BodyText"/>
        <w:ind w:left="0" w:right="209"/>
        <w:rPr>
          <w:color w:val="000000"/>
        </w:rPr>
      </w:pPr>
      <w:r w:rsidRPr="00381DC2">
        <w:rPr>
          <w:color w:val="000000"/>
        </w:rPr>
        <w:t xml:space="preserve">Nebyly provedeny žádné studie interakcí. Monoklonální protilátky proti EGFR nemají být podávány k léčbě </w:t>
      </w:r>
      <w:r w:rsidR="00425FA7" w:rsidRPr="00381DC2">
        <w:rPr>
          <w:color w:val="000000"/>
        </w:rPr>
        <w:t xml:space="preserve">mCRC </w:t>
      </w:r>
      <w:r w:rsidRPr="00381DC2">
        <w:rPr>
          <w:color w:val="000000"/>
        </w:rPr>
        <w:t>v kombinaci s chemoterapi</w:t>
      </w:r>
      <w:r w:rsidR="00425FA7" w:rsidRPr="00381DC2">
        <w:rPr>
          <w:color w:val="000000"/>
        </w:rPr>
        <w:t>í</w:t>
      </w:r>
      <w:r w:rsidRPr="00381DC2">
        <w:rPr>
          <w:color w:val="000000"/>
        </w:rPr>
        <w:t xml:space="preserve"> zahrnující bevacizumab. Výsledky randomizovaných studií fáze III PACCE a CAIRO-2 u pacientů s </w:t>
      </w:r>
      <w:r w:rsidR="00425FA7" w:rsidRPr="00381DC2">
        <w:rPr>
          <w:color w:val="000000"/>
        </w:rPr>
        <w:t xml:space="preserve">mCRC </w:t>
      </w:r>
      <w:r w:rsidRPr="00381DC2">
        <w:rPr>
          <w:color w:val="000000"/>
        </w:rPr>
        <w:t xml:space="preserve">naznačují, že </w:t>
      </w:r>
      <w:r w:rsidR="00425FA7" w:rsidRPr="00381DC2">
        <w:rPr>
          <w:color w:val="000000"/>
        </w:rPr>
        <w:t>po</w:t>
      </w:r>
      <w:r w:rsidRPr="00381DC2">
        <w:rPr>
          <w:color w:val="000000"/>
        </w:rPr>
        <w:t>užití anti-EGFR monoklonálních protilátek panitumumabu a cetuximabu v kombinaci s bevacizumabem a chemoterapií je ve srovnání se samotným bevacizumabem plus chemoterapií spojeno s poklesem přežití bez progrese a/nebo celkového přežití a se zvýšenou toxicitou.</w:t>
      </w:r>
    </w:p>
    <w:p w14:paraId="7C917314" w14:textId="77777777" w:rsidR="00D15122" w:rsidRPr="00381DC2" w:rsidRDefault="00D15122" w:rsidP="007F6E1B">
      <w:pPr>
        <w:rPr>
          <w:rFonts w:ascii="Times New Roman" w:eastAsia="Times New Roman" w:hAnsi="Times New Roman"/>
          <w:color w:val="000000"/>
        </w:rPr>
      </w:pPr>
    </w:p>
    <w:p w14:paraId="72F8C198" w14:textId="77777777" w:rsidR="00D15122" w:rsidRPr="00381DC2" w:rsidRDefault="003E4A60" w:rsidP="00856BB0">
      <w:pPr>
        <w:keepNext/>
        <w:keepLines/>
        <w:tabs>
          <w:tab w:val="left" w:pos="685"/>
        </w:tabs>
        <w:rPr>
          <w:rFonts w:ascii="Times New Roman" w:hAnsi="Times New Roman"/>
          <w:b/>
          <w:color w:val="000000"/>
        </w:rPr>
      </w:pPr>
      <w:r w:rsidRPr="00381DC2">
        <w:rPr>
          <w:rFonts w:ascii="Times New Roman" w:hAnsi="Times New Roman"/>
          <w:b/>
          <w:color w:val="000000"/>
        </w:rPr>
        <w:lastRenderedPageBreak/>
        <w:t>4.6</w:t>
      </w:r>
      <w:r w:rsidRPr="00381DC2">
        <w:rPr>
          <w:rFonts w:ascii="Times New Roman" w:hAnsi="Times New Roman"/>
          <w:b/>
          <w:color w:val="000000"/>
        </w:rPr>
        <w:tab/>
        <w:t>Fertilita, těhotenství a kojení</w:t>
      </w:r>
    </w:p>
    <w:p w14:paraId="4C27E3D2" w14:textId="77777777" w:rsidR="00D15122" w:rsidRPr="00381DC2" w:rsidRDefault="00D15122" w:rsidP="00856BB0">
      <w:pPr>
        <w:keepNext/>
        <w:keepLines/>
        <w:rPr>
          <w:rFonts w:ascii="Times New Roman" w:eastAsia="Times New Roman" w:hAnsi="Times New Roman"/>
          <w:bCs/>
          <w:color w:val="000000"/>
        </w:rPr>
      </w:pPr>
    </w:p>
    <w:p w14:paraId="315BD604" w14:textId="77777777" w:rsidR="00D15122" w:rsidRPr="00381DC2" w:rsidRDefault="009B0756" w:rsidP="00856BB0">
      <w:pPr>
        <w:keepNext/>
        <w:keepLines/>
        <w:rPr>
          <w:rFonts w:ascii="Times New Roman" w:hAnsi="Times New Roman"/>
          <w:color w:val="000000"/>
          <w:u w:val="single"/>
        </w:rPr>
      </w:pPr>
      <w:r w:rsidRPr="00381DC2">
        <w:rPr>
          <w:rFonts w:ascii="Times New Roman" w:hAnsi="Times New Roman"/>
          <w:color w:val="000000"/>
          <w:u w:val="single"/>
        </w:rPr>
        <w:t>Ženy ve fertilním věku</w:t>
      </w:r>
    </w:p>
    <w:p w14:paraId="2B2E326B" w14:textId="77777777" w:rsidR="00701D3B" w:rsidRPr="00381DC2" w:rsidRDefault="00701D3B" w:rsidP="00856BB0">
      <w:pPr>
        <w:pStyle w:val="BodyText"/>
        <w:keepNext/>
        <w:keepLines/>
        <w:ind w:left="0" w:right="137"/>
        <w:rPr>
          <w:color w:val="000000"/>
        </w:rPr>
      </w:pPr>
    </w:p>
    <w:p w14:paraId="2650F9FB" w14:textId="77777777" w:rsidR="00D15122" w:rsidRPr="00381DC2" w:rsidRDefault="009B0756" w:rsidP="007F6E1B">
      <w:pPr>
        <w:pStyle w:val="BodyText"/>
        <w:ind w:left="0" w:right="137"/>
        <w:rPr>
          <w:color w:val="000000"/>
        </w:rPr>
      </w:pPr>
      <w:r w:rsidRPr="00381DC2">
        <w:rPr>
          <w:color w:val="000000"/>
        </w:rPr>
        <w:t>Ženy ve fertilním věku musí během léčby (a </w:t>
      </w:r>
      <w:r w:rsidR="00A05455" w:rsidRPr="00381DC2">
        <w:rPr>
          <w:color w:val="000000"/>
        </w:rPr>
        <w:t xml:space="preserve">ještě </w:t>
      </w:r>
      <w:r w:rsidRPr="00381DC2">
        <w:rPr>
          <w:color w:val="000000"/>
        </w:rPr>
        <w:t>6 měsíců po ukončení</w:t>
      </w:r>
      <w:r w:rsidR="00A05455" w:rsidRPr="00381DC2">
        <w:rPr>
          <w:color w:val="000000"/>
        </w:rPr>
        <w:t xml:space="preserve"> terapie</w:t>
      </w:r>
      <w:r w:rsidRPr="00381DC2">
        <w:rPr>
          <w:color w:val="000000"/>
        </w:rPr>
        <w:t>) používat účinnou antikoncepci.</w:t>
      </w:r>
    </w:p>
    <w:p w14:paraId="0B92D420" w14:textId="77777777" w:rsidR="00D15122" w:rsidRPr="00381DC2" w:rsidRDefault="00D15122" w:rsidP="007F6E1B">
      <w:pPr>
        <w:rPr>
          <w:rFonts w:ascii="Times New Roman" w:eastAsia="Times New Roman" w:hAnsi="Times New Roman"/>
          <w:color w:val="000000"/>
        </w:rPr>
      </w:pPr>
    </w:p>
    <w:p w14:paraId="1AE07D1C" w14:textId="77777777" w:rsidR="00D15122" w:rsidRPr="00381DC2" w:rsidRDefault="009B0756" w:rsidP="00E93E96">
      <w:pPr>
        <w:rPr>
          <w:rFonts w:ascii="Times New Roman" w:hAnsi="Times New Roman"/>
          <w:color w:val="000000"/>
          <w:u w:val="single"/>
        </w:rPr>
      </w:pPr>
      <w:r w:rsidRPr="00381DC2">
        <w:rPr>
          <w:rFonts w:ascii="Times New Roman" w:hAnsi="Times New Roman"/>
          <w:color w:val="000000"/>
          <w:u w:val="single"/>
        </w:rPr>
        <w:t>Těhotenství</w:t>
      </w:r>
    </w:p>
    <w:p w14:paraId="312C5877" w14:textId="77777777" w:rsidR="00701D3B" w:rsidRPr="00381DC2" w:rsidRDefault="00701D3B" w:rsidP="007F6E1B">
      <w:pPr>
        <w:pStyle w:val="BodyText"/>
        <w:ind w:left="0" w:right="184"/>
        <w:rPr>
          <w:color w:val="000000"/>
        </w:rPr>
      </w:pPr>
    </w:p>
    <w:p w14:paraId="0D4A970A" w14:textId="77777777" w:rsidR="00D15122" w:rsidRPr="00381DC2" w:rsidRDefault="002F1E3E" w:rsidP="007F6E1B">
      <w:pPr>
        <w:pStyle w:val="BodyText"/>
        <w:ind w:left="0" w:right="184"/>
        <w:rPr>
          <w:color w:val="000000"/>
        </w:rPr>
      </w:pPr>
      <w:r w:rsidRPr="00381DC2">
        <w:rPr>
          <w:color w:val="000000"/>
        </w:rPr>
        <w:t>Ú</w:t>
      </w:r>
      <w:r w:rsidR="009B0756" w:rsidRPr="00381DC2">
        <w:rPr>
          <w:color w:val="000000"/>
        </w:rPr>
        <w:t xml:space="preserve">daje z klinických </w:t>
      </w:r>
      <w:r w:rsidR="00B97027" w:rsidRPr="00381DC2">
        <w:rPr>
          <w:color w:val="000000"/>
        </w:rPr>
        <w:t>studií</w:t>
      </w:r>
      <w:r w:rsidR="009B0756" w:rsidRPr="00381DC2">
        <w:rPr>
          <w:color w:val="000000"/>
        </w:rPr>
        <w:t xml:space="preserve"> týkající se podávání bevacizumabu těhotným ženám</w:t>
      </w:r>
      <w:r w:rsidRPr="00381DC2">
        <w:rPr>
          <w:color w:val="000000"/>
        </w:rPr>
        <w:t xml:space="preserve"> nejsou k dispozici</w:t>
      </w:r>
      <w:r w:rsidR="009B0756" w:rsidRPr="00381DC2">
        <w:rPr>
          <w:color w:val="000000"/>
        </w:rPr>
        <w:t xml:space="preserve">. </w:t>
      </w:r>
      <w:r w:rsidRPr="00381DC2">
        <w:rPr>
          <w:color w:val="000000"/>
        </w:rPr>
        <w:t>Studie na zvířatech prokázaly</w:t>
      </w:r>
      <w:r w:rsidR="009B0756" w:rsidRPr="00381DC2">
        <w:rPr>
          <w:color w:val="000000"/>
        </w:rPr>
        <w:t xml:space="preserve"> reprodukční toxicit</w:t>
      </w:r>
      <w:r w:rsidRPr="00381DC2">
        <w:rPr>
          <w:color w:val="000000"/>
        </w:rPr>
        <w:t>u</w:t>
      </w:r>
      <w:r w:rsidR="009B0756" w:rsidRPr="00381DC2">
        <w:rPr>
          <w:color w:val="000000"/>
        </w:rPr>
        <w:t xml:space="preserve">, včetně malformací (viz bod 5.3). Je známo, že </w:t>
      </w:r>
      <w:r w:rsidRPr="00381DC2">
        <w:rPr>
          <w:color w:val="000000"/>
        </w:rPr>
        <w:t>Ig</w:t>
      </w:r>
      <w:r w:rsidR="009B0756" w:rsidRPr="00381DC2">
        <w:rPr>
          <w:color w:val="000000"/>
        </w:rPr>
        <w:t xml:space="preserve">G prostupují placentou. Předpokládá se, že bevacizumab inhibuje angiogenezi u plodu, a proto existuje podezření, že </w:t>
      </w:r>
      <w:r w:rsidR="007C0CED" w:rsidRPr="00381DC2">
        <w:rPr>
          <w:color w:val="000000"/>
        </w:rPr>
        <w:t xml:space="preserve">při podávání v těhotenství může způsobit závažné </w:t>
      </w:r>
      <w:r w:rsidR="00B97027" w:rsidRPr="00381DC2">
        <w:rPr>
          <w:color w:val="000000"/>
        </w:rPr>
        <w:t>vrozené vady</w:t>
      </w:r>
      <w:r w:rsidR="009B0756" w:rsidRPr="00381DC2">
        <w:rPr>
          <w:color w:val="000000"/>
        </w:rPr>
        <w:t>. Po uvedení přípravku na trh byly u žen léčených bevacizumabem samotným nebo v kombinaci se známými embryotoxickými chemoterapeutiky pozorovány případy fetálních abnormalit (viz bod 4.8). Bevacizumab je v těhotenství kontraindikován (viz bod 4.3).</w:t>
      </w:r>
    </w:p>
    <w:p w14:paraId="01910AE4" w14:textId="77777777" w:rsidR="00D15122" w:rsidRPr="00381DC2" w:rsidRDefault="00D15122" w:rsidP="007F6E1B">
      <w:pPr>
        <w:rPr>
          <w:rFonts w:ascii="Times New Roman" w:eastAsia="Times New Roman" w:hAnsi="Times New Roman"/>
          <w:color w:val="000000"/>
        </w:rPr>
      </w:pPr>
    </w:p>
    <w:p w14:paraId="345B7F68" w14:textId="77777777" w:rsidR="00D15122" w:rsidRPr="00381DC2" w:rsidRDefault="009B0756" w:rsidP="00564363">
      <w:pPr>
        <w:keepNext/>
        <w:rPr>
          <w:rFonts w:ascii="Times New Roman" w:hAnsi="Times New Roman"/>
          <w:color w:val="000000"/>
          <w:u w:val="single"/>
        </w:rPr>
      </w:pPr>
      <w:r w:rsidRPr="00381DC2">
        <w:rPr>
          <w:rFonts w:ascii="Times New Roman" w:hAnsi="Times New Roman"/>
          <w:color w:val="000000"/>
          <w:u w:val="single"/>
        </w:rPr>
        <w:t>Kojení</w:t>
      </w:r>
    </w:p>
    <w:p w14:paraId="35338390" w14:textId="77777777" w:rsidR="00701D3B" w:rsidRPr="00381DC2" w:rsidRDefault="00701D3B" w:rsidP="00544E53">
      <w:pPr>
        <w:pStyle w:val="BodyText"/>
        <w:widowControl/>
        <w:ind w:left="0" w:right="144"/>
        <w:rPr>
          <w:color w:val="000000"/>
        </w:rPr>
      </w:pPr>
    </w:p>
    <w:p w14:paraId="144AF4EF" w14:textId="77777777" w:rsidR="00D15122" w:rsidRPr="00381DC2" w:rsidRDefault="009B0756" w:rsidP="00544E53">
      <w:pPr>
        <w:pStyle w:val="BodyText"/>
        <w:widowControl/>
        <w:ind w:left="0" w:right="144"/>
        <w:rPr>
          <w:color w:val="000000"/>
        </w:rPr>
      </w:pPr>
      <w:r w:rsidRPr="00381DC2">
        <w:rPr>
          <w:color w:val="000000"/>
        </w:rPr>
        <w:t xml:space="preserve">Není známo, zda </w:t>
      </w:r>
      <w:r w:rsidR="007C0CED" w:rsidRPr="00381DC2">
        <w:rPr>
          <w:color w:val="000000"/>
        </w:rPr>
        <w:t xml:space="preserve">se </w:t>
      </w:r>
      <w:r w:rsidRPr="00381DC2">
        <w:rPr>
          <w:color w:val="000000"/>
        </w:rPr>
        <w:t xml:space="preserve">bevacizumab </w:t>
      </w:r>
      <w:r w:rsidR="007C0CED" w:rsidRPr="00381DC2">
        <w:rPr>
          <w:color w:val="000000"/>
        </w:rPr>
        <w:t xml:space="preserve">vylučuje </w:t>
      </w:r>
      <w:r w:rsidRPr="00381DC2">
        <w:rPr>
          <w:color w:val="000000"/>
        </w:rPr>
        <w:t xml:space="preserve">do lidského </w:t>
      </w:r>
      <w:r w:rsidR="007C0CED" w:rsidRPr="00381DC2">
        <w:rPr>
          <w:color w:val="000000"/>
        </w:rPr>
        <w:t xml:space="preserve">mateřského </w:t>
      </w:r>
      <w:r w:rsidRPr="00381DC2">
        <w:rPr>
          <w:color w:val="000000"/>
        </w:rPr>
        <w:t xml:space="preserve">mléka. Jelikož se mateřské </w:t>
      </w:r>
      <w:r w:rsidR="007C0CED" w:rsidRPr="00381DC2">
        <w:rPr>
          <w:color w:val="000000"/>
        </w:rPr>
        <w:t>Ig</w:t>
      </w:r>
      <w:r w:rsidRPr="00381DC2">
        <w:rPr>
          <w:color w:val="000000"/>
        </w:rPr>
        <w:t xml:space="preserve">G vylučují do mléka a bevacizumab by mohl poškodit růst a vývoj </w:t>
      </w:r>
      <w:r w:rsidR="007C0CED" w:rsidRPr="00381DC2">
        <w:rPr>
          <w:color w:val="000000"/>
        </w:rPr>
        <w:t xml:space="preserve">dítěte </w:t>
      </w:r>
      <w:r w:rsidRPr="00381DC2">
        <w:rPr>
          <w:color w:val="000000"/>
        </w:rPr>
        <w:t xml:space="preserve">(viz bod 5.3), je nutné, aby ženy během léčby přestaly kojit a nekojily alespoň po dobu dalších šesti měsíců po poslední </w:t>
      </w:r>
      <w:r w:rsidR="007C0CED" w:rsidRPr="00381DC2">
        <w:rPr>
          <w:color w:val="000000"/>
        </w:rPr>
        <w:t xml:space="preserve">dávce </w:t>
      </w:r>
      <w:r w:rsidRPr="00381DC2">
        <w:rPr>
          <w:color w:val="000000"/>
        </w:rPr>
        <w:t>bevacizumabu.</w:t>
      </w:r>
    </w:p>
    <w:p w14:paraId="1AA326D7" w14:textId="77777777" w:rsidR="00226BE0" w:rsidRPr="00381DC2" w:rsidRDefault="00226BE0" w:rsidP="00544E53">
      <w:pPr>
        <w:pStyle w:val="BodyText"/>
        <w:widowControl/>
        <w:ind w:left="0" w:right="144"/>
        <w:rPr>
          <w:color w:val="000000"/>
        </w:rPr>
      </w:pPr>
    </w:p>
    <w:p w14:paraId="0015D62C" w14:textId="77777777" w:rsidR="00D15122" w:rsidRPr="00381DC2" w:rsidRDefault="009B0756" w:rsidP="00A45DD1">
      <w:pPr>
        <w:keepNext/>
        <w:rPr>
          <w:rFonts w:ascii="Times New Roman" w:hAnsi="Times New Roman"/>
          <w:color w:val="000000"/>
          <w:u w:val="single"/>
        </w:rPr>
      </w:pPr>
      <w:r w:rsidRPr="00381DC2">
        <w:rPr>
          <w:rFonts w:ascii="Times New Roman" w:hAnsi="Times New Roman"/>
          <w:color w:val="000000"/>
          <w:u w:val="single"/>
        </w:rPr>
        <w:t>Fertilita</w:t>
      </w:r>
    </w:p>
    <w:p w14:paraId="60C5F976" w14:textId="77777777" w:rsidR="00701D3B" w:rsidRPr="00381DC2" w:rsidRDefault="00701D3B" w:rsidP="00A45DD1">
      <w:pPr>
        <w:pStyle w:val="BodyText"/>
        <w:keepNext/>
        <w:ind w:left="0" w:right="157"/>
        <w:rPr>
          <w:color w:val="000000"/>
        </w:rPr>
      </w:pPr>
    </w:p>
    <w:p w14:paraId="26001127" w14:textId="77777777" w:rsidR="00D15122" w:rsidRPr="00381DC2" w:rsidRDefault="009B0756" w:rsidP="007F6E1B">
      <w:pPr>
        <w:pStyle w:val="BodyText"/>
        <w:ind w:left="0" w:right="157"/>
        <w:rPr>
          <w:color w:val="000000"/>
        </w:rPr>
      </w:pPr>
      <w:r w:rsidRPr="00381DC2">
        <w:rPr>
          <w:color w:val="000000"/>
        </w:rPr>
        <w:t xml:space="preserve">Studie toxicity po opakovaném podávání u zvířat ukázaly, že bevacizumab </w:t>
      </w:r>
      <w:r w:rsidR="005E6C8E" w:rsidRPr="00381DC2">
        <w:rPr>
          <w:color w:val="000000"/>
        </w:rPr>
        <w:t>může</w:t>
      </w:r>
      <w:r w:rsidR="007176FA" w:rsidRPr="00381DC2">
        <w:rPr>
          <w:color w:val="000000"/>
        </w:rPr>
        <w:t xml:space="preserve"> </w:t>
      </w:r>
      <w:r w:rsidRPr="00381DC2">
        <w:rPr>
          <w:color w:val="000000"/>
        </w:rPr>
        <w:t xml:space="preserve">mít </w:t>
      </w:r>
      <w:r w:rsidR="005E6C8E" w:rsidRPr="00381DC2">
        <w:rPr>
          <w:color w:val="000000"/>
        </w:rPr>
        <w:t xml:space="preserve">nežádoucí účinek </w:t>
      </w:r>
      <w:r w:rsidRPr="00381DC2">
        <w:rPr>
          <w:color w:val="000000"/>
        </w:rPr>
        <w:t>na fertilitu žen (viz bod 5.3). V hodnocení fáze III s adjuvantní léčbou pacientů s </w:t>
      </w:r>
      <w:r w:rsidR="00B97027" w:rsidRPr="00381DC2">
        <w:rPr>
          <w:color w:val="000000"/>
        </w:rPr>
        <w:t>karcinomem</w:t>
      </w:r>
      <w:r w:rsidR="005E6C8E" w:rsidRPr="00381DC2">
        <w:rPr>
          <w:color w:val="000000"/>
        </w:rPr>
        <w:t xml:space="preserve"> </w:t>
      </w:r>
      <w:r w:rsidRPr="00381DC2">
        <w:rPr>
          <w:color w:val="000000"/>
        </w:rPr>
        <w:t xml:space="preserve">tlustého střeva prokázala substudie u premenopauzálních žen vyšší incidenci nových případů </w:t>
      </w:r>
      <w:r w:rsidR="005E6C8E" w:rsidRPr="00381DC2">
        <w:rPr>
          <w:color w:val="000000"/>
        </w:rPr>
        <w:t xml:space="preserve">ovariálního </w:t>
      </w:r>
      <w:r w:rsidRPr="00381DC2">
        <w:rPr>
          <w:color w:val="000000"/>
        </w:rPr>
        <w:t>selhání ve skupině s bevacizumabem v porovnání s kontrolní skupinou. Po ukončení léčby bevacizumabem se u většiny pacientek funkce vaječníků upravila. Dlouhodob</w:t>
      </w:r>
      <w:r w:rsidR="005E6C8E" w:rsidRPr="00381DC2">
        <w:rPr>
          <w:color w:val="000000"/>
        </w:rPr>
        <w:t>é účinky</w:t>
      </w:r>
      <w:r w:rsidRPr="00381DC2">
        <w:rPr>
          <w:color w:val="000000"/>
        </w:rPr>
        <w:t xml:space="preserve"> léčby bevacizumabem na fertilitu </w:t>
      </w:r>
      <w:r w:rsidR="005E6C8E" w:rsidRPr="00381DC2">
        <w:rPr>
          <w:color w:val="000000"/>
        </w:rPr>
        <w:t xml:space="preserve">nejsou </w:t>
      </w:r>
      <w:r w:rsidRPr="00381DC2">
        <w:rPr>
          <w:color w:val="000000"/>
        </w:rPr>
        <w:t>znám</w:t>
      </w:r>
      <w:r w:rsidR="005E6C8E" w:rsidRPr="00381DC2">
        <w:rPr>
          <w:color w:val="000000"/>
        </w:rPr>
        <w:t>y</w:t>
      </w:r>
      <w:r w:rsidRPr="00381DC2">
        <w:rPr>
          <w:color w:val="000000"/>
        </w:rPr>
        <w:t>.</w:t>
      </w:r>
    </w:p>
    <w:p w14:paraId="6B9ED68A" w14:textId="77777777" w:rsidR="00D15122" w:rsidRPr="00381DC2" w:rsidRDefault="00D15122" w:rsidP="007F6E1B">
      <w:pPr>
        <w:rPr>
          <w:rFonts w:ascii="Times New Roman" w:eastAsia="Times New Roman" w:hAnsi="Times New Roman"/>
          <w:color w:val="000000"/>
        </w:rPr>
      </w:pPr>
    </w:p>
    <w:p w14:paraId="47995003" w14:textId="77777777" w:rsidR="00D15122" w:rsidRPr="00381DC2" w:rsidRDefault="003E4A60" w:rsidP="00363CA4">
      <w:pPr>
        <w:keepNext/>
        <w:keepLines/>
        <w:tabs>
          <w:tab w:val="left" w:pos="685"/>
        </w:tabs>
        <w:rPr>
          <w:rFonts w:ascii="Times New Roman" w:hAnsi="Times New Roman"/>
          <w:b/>
          <w:color w:val="000000"/>
        </w:rPr>
      </w:pPr>
      <w:r w:rsidRPr="00381DC2">
        <w:rPr>
          <w:rFonts w:ascii="Times New Roman" w:hAnsi="Times New Roman"/>
          <w:b/>
          <w:color w:val="000000"/>
        </w:rPr>
        <w:t>4.7</w:t>
      </w:r>
      <w:r w:rsidRPr="00381DC2">
        <w:rPr>
          <w:rFonts w:ascii="Times New Roman" w:hAnsi="Times New Roman"/>
          <w:b/>
          <w:color w:val="000000"/>
        </w:rPr>
        <w:tab/>
        <w:t>Účinky na schopnost řídit a obsluhovat stroje</w:t>
      </w:r>
    </w:p>
    <w:p w14:paraId="5F9F61DF" w14:textId="77777777" w:rsidR="00D15122" w:rsidRPr="00381DC2" w:rsidRDefault="00D15122" w:rsidP="006A2145">
      <w:pPr>
        <w:keepNext/>
        <w:keepLines/>
        <w:rPr>
          <w:rFonts w:ascii="Times New Roman" w:eastAsia="Times New Roman" w:hAnsi="Times New Roman"/>
          <w:b/>
          <w:bCs/>
          <w:color w:val="000000"/>
        </w:rPr>
      </w:pPr>
    </w:p>
    <w:p w14:paraId="007A9F9A" w14:textId="77777777" w:rsidR="00D15122" w:rsidRPr="00381DC2" w:rsidRDefault="00007842" w:rsidP="007F6E1B">
      <w:pPr>
        <w:pStyle w:val="BodyText"/>
        <w:ind w:left="0" w:right="157"/>
        <w:rPr>
          <w:color w:val="000000"/>
        </w:rPr>
      </w:pPr>
      <w:r w:rsidRPr="00381DC2">
        <w:rPr>
          <w:color w:val="000000"/>
        </w:rPr>
        <w:t>Bevacizumab nemá žádný nebo má zanedbatelný vliv na schopnost řídit nebo obsluhovat stroje. Byl</w:t>
      </w:r>
      <w:r w:rsidR="005E6C8E" w:rsidRPr="00381DC2">
        <w:rPr>
          <w:color w:val="000000"/>
        </w:rPr>
        <w:t>a</w:t>
      </w:r>
      <w:r w:rsidRPr="00381DC2">
        <w:rPr>
          <w:color w:val="000000"/>
        </w:rPr>
        <w:t xml:space="preserve"> však hlášen</w:t>
      </w:r>
      <w:r w:rsidR="005E6C8E" w:rsidRPr="00381DC2">
        <w:rPr>
          <w:color w:val="000000"/>
        </w:rPr>
        <w:t xml:space="preserve">a </w:t>
      </w:r>
      <w:r w:rsidRPr="00381DC2">
        <w:rPr>
          <w:color w:val="000000"/>
        </w:rPr>
        <w:t>somnolence a synkop</w:t>
      </w:r>
      <w:r w:rsidR="005E6C8E" w:rsidRPr="00381DC2">
        <w:rPr>
          <w:color w:val="000000"/>
        </w:rPr>
        <w:t>a</w:t>
      </w:r>
      <w:r w:rsidRPr="00381DC2">
        <w:rPr>
          <w:color w:val="000000"/>
        </w:rPr>
        <w:t xml:space="preserve"> při použití bevacizumabu (viz </w:t>
      </w:r>
      <w:r w:rsidR="005E6C8E" w:rsidRPr="00381DC2">
        <w:rPr>
          <w:color w:val="000000"/>
        </w:rPr>
        <w:t>t</w:t>
      </w:r>
      <w:r w:rsidRPr="00381DC2">
        <w:rPr>
          <w:color w:val="000000"/>
        </w:rPr>
        <w:t xml:space="preserve">abulka 1 v bodě 4.8). Pokud se u pacientů objeví </w:t>
      </w:r>
      <w:r w:rsidR="00B97027" w:rsidRPr="00381DC2">
        <w:rPr>
          <w:color w:val="000000"/>
        </w:rPr>
        <w:t>symptomy</w:t>
      </w:r>
      <w:r w:rsidRPr="00381DC2">
        <w:rPr>
          <w:color w:val="000000"/>
        </w:rPr>
        <w:t>, které ovlivňují jejich zrak nebo koncentraci nebo jejich schopnost reagovat, nemají řídit nebo obsluhovat stroje, dokud příznaky neodezní.</w:t>
      </w:r>
    </w:p>
    <w:p w14:paraId="7B498686" w14:textId="77777777" w:rsidR="00D15122" w:rsidRPr="00381DC2" w:rsidRDefault="00D15122" w:rsidP="007F6E1B">
      <w:pPr>
        <w:rPr>
          <w:rFonts w:ascii="Times New Roman" w:eastAsia="Times New Roman" w:hAnsi="Times New Roman"/>
          <w:color w:val="000000"/>
        </w:rPr>
      </w:pPr>
    </w:p>
    <w:p w14:paraId="4EBAA9A2" w14:textId="77777777" w:rsidR="00D15122" w:rsidRPr="00381DC2" w:rsidRDefault="003E4A60" w:rsidP="001B6CD8">
      <w:pPr>
        <w:tabs>
          <w:tab w:val="left" w:pos="685"/>
        </w:tabs>
        <w:rPr>
          <w:rFonts w:ascii="Times New Roman" w:hAnsi="Times New Roman"/>
          <w:b/>
          <w:color w:val="000000"/>
        </w:rPr>
      </w:pPr>
      <w:r w:rsidRPr="00381DC2">
        <w:rPr>
          <w:rFonts w:ascii="Times New Roman" w:hAnsi="Times New Roman"/>
          <w:b/>
          <w:color w:val="000000"/>
        </w:rPr>
        <w:t>4.8</w:t>
      </w:r>
      <w:r w:rsidRPr="00381DC2">
        <w:rPr>
          <w:rFonts w:ascii="Times New Roman" w:hAnsi="Times New Roman"/>
          <w:b/>
          <w:color w:val="000000"/>
        </w:rPr>
        <w:tab/>
        <w:t>Nežádoucí účinky</w:t>
      </w:r>
    </w:p>
    <w:p w14:paraId="6A0A80E5" w14:textId="77777777" w:rsidR="00D15122" w:rsidRPr="00381DC2" w:rsidRDefault="00D15122" w:rsidP="0001647E">
      <w:pPr>
        <w:keepNext/>
        <w:rPr>
          <w:rFonts w:ascii="Times New Roman" w:eastAsia="Times New Roman" w:hAnsi="Times New Roman"/>
          <w:bCs/>
          <w:color w:val="000000"/>
        </w:rPr>
      </w:pPr>
    </w:p>
    <w:p w14:paraId="2FFFB140" w14:textId="77777777" w:rsidR="00D15122" w:rsidRPr="00381DC2" w:rsidRDefault="009B0756" w:rsidP="007F6E1B">
      <w:pPr>
        <w:pStyle w:val="BodyText"/>
        <w:ind w:left="0"/>
        <w:rPr>
          <w:color w:val="000000"/>
        </w:rPr>
      </w:pPr>
      <w:r w:rsidRPr="00381DC2">
        <w:rPr>
          <w:color w:val="000000"/>
          <w:u w:val="single" w:color="000000"/>
        </w:rPr>
        <w:t>Souhrn bezpečnostního profilu</w:t>
      </w:r>
    </w:p>
    <w:p w14:paraId="7F3FB8D7" w14:textId="77777777" w:rsidR="00D15122" w:rsidRPr="00381DC2" w:rsidRDefault="00D15122" w:rsidP="007F6E1B">
      <w:pPr>
        <w:rPr>
          <w:rFonts w:ascii="Times New Roman" w:eastAsia="Times New Roman" w:hAnsi="Times New Roman"/>
          <w:color w:val="000000"/>
        </w:rPr>
      </w:pPr>
    </w:p>
    <w:p w14:paraId="4AA31314" w14:textId="77777777" w:rsidR="00D15122" w:rsidRPr="00381DC2" w:rsidRDefault="009B0756" w:rsidP="007F6E1B">
      <w:pPr>
        <w:pStyle w:val="BodyText"/>
        <w:ind w:left="0" w:right="157"/>
        <w:rPr>
          <w:color w:val="000000"/>
        </w:rPr>
      </w:pPr>
      <w:r w:rsidRPr="00381DC2">
        <w:rPr>
          <w:color w:val="000000"/>
        </w:rPr>
        <w:t xml:space="preserve">Celkový bezpečnostní profil bevacizumabu je stanoven na základě dat získaných u více než 5 700 pacientů s různými </w:t>
      </w:r>
      <w:r w:rsidR="00B97027" w:rsidRPr="00381DC2">
        <w:rPr>
          <w:color w:val="000000"/>
        </w:rPr>
        <w:t>malignitami</w:t>
      </w:r>
      <w:r w:rsidRPr="00381DC2">
        <w:rPr>
          <w:color w:val="000000"/>
        </w:rPr>
        <w:t xml:space="preserve">, kterým byl podáván v klinických </w:t>
      </w:r>
      <w:r w:rsidR="00B97027" w:rsidRPr="00381DC2">
        <w:rPr>
          <w:color w:val="000000"/>
        </w:rPr>
        <w:t>studiích</w:t>
      </w:r>
      <w:r w:rsidRPr="00381DC2">
        <w:rPr>
          <w:color w:val="000000"/>
        </w:rPr>
        <w:t xml:space="preserve"> </w:t>
      </w:r>
      <w:r w:rsidR="006A1360" w:rsidRPr="00381DC2">
        <w:rPr>
          <w:color w:val="000000"/>
        </w:rPr>
        <w:t xml:space="preserve">především </w:t>
      </w:r>
      <w:r w:rsidRPr="00381DC2">
        <w:rPr>
          <w:color w:val="000000"/>
        </w:rPr>
        <w:t>bevacizumab v kombinaci s chemoterapií.</w:t>
      </w:r>
    </w:p>
    <w:p w14:paraId="6D1FD395" w14:textId="77777777" w:rsidR="00D15122" w:rsidRPr="00381DC2" w:rsidRDefault="00D15122" w:rsidP="007F6E1B">
      <w:pPr>
        <w:rPr>
          <w:rFonts w:ascii="Times New Roman" w:eastAsia="Times New Roman" w:hAnsi="Times New Roman"/>
          <w:color w:val="000000"/>
        </w:rPr>
      </w:pPr>
    </w:p>
    <w:p w14:paraId="7904FBDA" w14:textId="77777777" w:rsidR="00D15122" w:rsidRPr="00381DC2" w:rsidRDefault="009B0756" w:rsidP="007F6E1B">
      <w:pPr>
        <w:pStyle w:val="BodyText"/>
        <w:ind w:left="0"/>
        <w:rPr>
          <w:color w:val="000000"/>
        </w:rPr>
      </w:pPr>
      <w:r w:rsidRPr="00381DC2">
        <w:rPr>
          <w:color w:val="000000"/>
        </w:rPr>
        <w:t>Nejzávažnější nežádoucí účinky byly:</w:t>
      </w:r>
    </w:p>
    <w:p w14:paraId="4F3EDCCB" w14:textId="77777777" w:rsidR="00D15122" w:rsidRPr="00381DC2" w:rsidRDefault="00D15122" w:rsidP="007F6E1B">
      <w:pPr>
        <w:rPr>
          <w:rFonts w:ascii="Times New Roman" w:eastAsia="Times New Roman" w:hAnsi="Times New Roman"/>
          <w:color w:val="000000"/>
        </w:rPr>
      </w:pPr>
    </w:p>
    <w:p w14:paraId="39A948AA" w14:textId="77777777" w:rsidR="00D15122" w:rsidRPr="00381DC2" w:rsidRDefault="006A1360" w:rsidP="00E93E96">
      <w:pPr>
        <w:pStyle w:val="BodyText"/>
        <w:numPr>
          <w:ilvl w:val="0"/>
          <w:numId w:val="26"/>
        </w:numPr>
        <w:tabs>
          <w:tab w:val="left" w:pos="685"/>
        </w:tabs>
        <w:spacing w:line="252" w:lineRule="exact"/>
        <w:rPr>
          <w:color w:val="000000"/>
        </w:rPr>
      </w:pPr>
      <w:r w:rsidRPr="00381DC2">
        <w:rPr>
          <w:color w:val="000000"/>
        </w:rPr>
        <w:t>g</w:t>
      </w:r>
      <w:r w:rsidR="009B0756" w:rsidRPr="00381DC2">
        <w:rPr>
          <w:color w:val="000000"/>
        </w:rPr>
        <w:t>astrointestinální perforace (viz bod 4.4)</w:t>
      </w:r>
      <w:r w:rsidRPr="00381DC2">
        <w:rPr>
          <w:color w:val="000000"/>
        </w:rPr>
        <w:t>,</w:t>
      </w:r>
    </w:p>
    <w:p w14:paraId="2E557155" w14:textId="77777777" w:rsidR="00D15122" w:rsidRPr="00381DC2" w:rsidRDefault="006A1360" w:rsidP="00E93E96">
      <w:pPr>
        <w:pStyle w:val="BodyText"/>
        <w:numPr>
          <w:ilvl w:val="0"/>
          <w:numId w:val="26"/>
        </w:numPr>
        <w:tabs>
          <w:tab w:val="left" w:pos="685"/>
        </w:tabs>
        <w:ind w:right="238"/>
        <w:rPr>
          <w:color w:val="000000"/>
        </w:rPr>
      </w:pPr>
      <w:r w:rsidRPr="00381DC2">
        <w:rPr>
          <w:color w:val="000000"/>
        </w:rPr>
        <w:t>k</w:t>
      </w:r>
      <w:r w:rsidR="009B0756" w:rsidRPr="00381DC2">
        <w:rPr>
          <w:color w:val="000000"/>
        </w:rPr>
        <w:t xml:space="preserve">rvácení, včetně plicního krvácení / hemoptýzy, které je častější u pacientů s nemalobuněčným </w:t>
      </w:r>
      <w:r w:rsidR="00B97027" w:rsidRPr="00381DC2">
        <w:rPr>
          <w:color w:val="000000"/>
        </w:rPr>
        <w:t>karcinomem</w:t>
      </w:r>
      <w:r w:rsidR="00F0199F" w:rsidRPr="00381DC2">
        <w:rPr>
          <w:color w:val="000000"/>
        </w:rPr>
        <w:t xml:space="preserve"> plic</w:t>
      </w:r>
      <w:r w:rsidR="009B0756" w:rsidRPr="00381DC2">
        <w:rPr>
          <w:color w:val="000000"/>
        </w:rPr>
        <w:t xml:space="preserve"> (viz bod 4.4)</w:t>
      </w:r>
      <w:r w:rsidRPr="00381DC2">
        <w:rPr>
          <w:color w:val="000000"/>
        </w:rPr>
        <w:t>,</w:t>
      </w:r>
    </w:p>
    <w:p w14:paraId="1EE99FF9" w14:textId="77777777" w:rsidR="00D15122" w:rsidRPr="00381DC2" w:rsidRDefault="006A1360" w:rsidP="00E93E96">
      <w:pPr>
        <w:pStyle w:val="BodyText"/>
        <w:numPr>
          <w:ilvl w:val="0"/>
          <w:numId w:val="26"/>
        </w:numPr>
        <w:tabs>
          <w:tab w:val="left" w:pos="685"/>
        </w:tabs>
        <w:rPr>
          <w:color w:val="000000"/>
        </w:rPr>
      </w:pPr>
      <w:r w:rsidRPr="00381DC2">
        <w:rPr>
          <w:color w:val="000000"/>
        </w:rPr>
        <w:t>a</w:t>
      </w:r>
      <w:r w:rsidR="009B0756" w:rsidRPr="00381DC2">
        <w:rPr>
          <w:color w:val="000000"/>
        </w:rPr>
        <w:t>rteriální tromboembolie (viz bod 4.4).</w:t>
      </w:r>
    </w:p>
    <w:p w14:paraId="03AAE1FC" w14:textId="77777777" w:rsidR="00D15122" w:rsidRPr="00381DC2" w:rsidRDefault="00D15122" w:rsidP="007F6E1B">
      <w:pPr>
        <w:rPr>
          <w:rFonts w:ascii="Times New Roman" w:eastAsia="Times New Roman" w:hAnsi="Times New Roman"/>
          <w:color w:val="000000"/>
        </w:rPr>
      </w:pPr>
    </w:p>
    <w:p w14:paraId="4DAC41CF" w14:textId="77777777" w:rsidR="00D15122" w:rsidRPr="00381DC2" w:rsidRDefault="009B0756" w:rsidP="007F6E1B">
      <w:pPr>
        <w:pStyle w:val="BodyText"/>
        <w:ind w:left="0" w:right="438"/>
        <w:rPr>
          <w:color w:val="000000"/>
        </w:rPr>
      </w:pPr>
      <w:r w:rsidRPr="00381DC2">
        <w:rPr>
          <w:color w:val="000000"/>
        </w:rPr>
        <w:t xml:space="preserve">Nejčastěji pozorovanými nežádoucími účinky v klinických </w:t>
      </w:r>
      <w:r w:rsidR="00B97027" w:rsidRPr="00381DC2">
        <w:rPr>
          <w:color w:val="000000"/>
        </w:rPr>
        <w:t>studiích</w:t>
      </w:r>
      <w:r w:rsidR="006A1360" w:rsidRPr="00381DC2">
        <w:rPr>
          <w:color w:val="000000"/>
        </w:rPr>
        <w:t xml:space="preserve"> </w:t>
      </w:r>
      <w:r w:rsidRPr="00381DC2">
        <w:rPr>
          <w:color w:val="000000"/>
        </w:rPr>
        <w:t>u pacientů léčených bevacizumabem byly hypertenze, únava nebo astenie, průjem a bolest břicha.</w:t>
      </w:r>
    </w:p>
    <w:p w14:paraId="6465840E" w14:textId="77777777" w:rsidR="00D15122" w:rsidRPr="00381DC2" w:rsidRDefault="00D15122" w:rsidP="007F6E1B">
      <w:pPr>
        <w:rPr>
          <w:rFonts w:ascii="Times New Roman" w:eastAsia="Times New Roman" w:hAnsi="Times New Roman"/>
          <w:color w:val="000000"/>
        </w:rPr>
      </w:pPr>
    </w:p>
    <w:p w14:paraId="2587EF78" w14:textId="77777777" w:rsidR="00D15122" w:rsidRPr="00381DC2" w:rsidRDefault="009B0756" w:rsidP="007F6E1B">
      <w:pPr>
        <w:pStyle w:val="BodyText"/>
        <w:ind w:left="0" w:right="176"/>
        <w:rPr>
          <w:color w:val="000000"/>
        </w:rPr>
      </w:pPr>
      <w:r w:rsidRPr="00381DC2">
        <w:rPr>
          <w:color w:val="000000"/>
        </w:rPr>
        <w:t xml:space="preserve">Analýzy </w:t>
      </w:r>
      <w:r w:rsidR="006A1360" w:rsidRPr="00381DC2">
        <w:rPr>
          <w:color w:val="000000"/>
        </w:rPr>
        <w:t>klinických údajů vztahujících se k bezpečnosti</w:t>
      </w:r>
      <w:r w:rsidRPr="00381DC2">
        <w:rPr>
          <w:color w:val="000000"/>
        </w:rPr>
        <w:t xml:space="preserve"> naznačují, že výskyt hypertenze a proteinurie při léčbě bevacizumabem je pravděpodobně závislý na dávce.</w:t>
      </w:r>
    </w:p>
    <w:p w14:paraId="6AFA9506" w14:textId="77777777" w:rsidR="00D15122" w:rsidRPr="00381DC2" w:rsidRDefault="00D15122" w:rsidP="007F6E1B">
      <w:pPr>
        <w:rPr>
          <w:rFonts w:ascii="Times New Roman" w:eastAsia="Times New Roman" w:hAnsi="Times New Roman"/>
          <w:color w:val="000000"/>
        </w:rPr>
      </w:pPr>
    </w:p>
    <w:p w14:paraId="2A33FD7E" w14:textId="77777777" w:rsidR="00D15122" w:rsidRPr="00381DC2" w:rsidRDefault="009B0756" w:rsidP="007F6E1B">
      <w:pPr>
        <w:pStyle w:val="BodyText"/>
        <w:ind w:left="0"/>
        <w:rPr>
          <w:color w:val="000000"/>
        </w:rPr>
      </w:pPr>
      <w:r w:rsidRPr="00381DC2">
        <w:rPr>
          <w:color w:val="000000"/>
          <w:u w:val="single" w:color="000000"/>
        </w:rPr>
        <w:t>Tabulkový seznam nežádoucích účinků</w:t>
      </w:r>
    </w:p>
    <w:p w14:paraId="27909D6C" w14:textId="77777777" w:rsidR="00D15122" w:rsidRPr="00381DC2" w:rsidRDefault="00D15122" w:rsidP="007F6E1B">
      <w:pPr>
        <w:rPr>
          <w:rFonts w:ascii="Times New Roman" w:eastAsia="Times New Roman" w:hAnsi="Times New Roman"/>
          <w:color w:val="000000"/>
        </w:rPr>
      </w:pPr>
    </w:p>
    <w:p w14:paraId="71F3F91F" w14:textId="77777777" w:rsidR="00D15122" w:rsidRPr="00381DC2" w:rsidRDefault="009B0756" w:rsidP="007F6E1B">
      <w:pPr>
        <w:pStyle w:val="BodyText"/>
        <w:ind w:left="0" w:right="157"/>
        <w:rPr>
          <w:color w:val="000000"/>
        </w:rPr>
      </w:pPr>
      <w:r w:rsidRPr="00381DC2">
        <w:rPr>
          <w:color w:val="000000"/>
        </w:rPr>
        <w:t>Nežádoucí účinky uvedené v tomto bodě spadají do následujících kategorií frekvence: velmi časté (≥ 1/10); časté (≥ 1/100 až &lt; 1/10); méně časté (≥ 1/1000 až &lt; 1/100); vzácné (≥ 1/10 000 až &lt; 1/1000); velmi vzácné (&lt; 1/10 000); není známo (z dostupných údajů nelze určit).</w:t>
      </w:r>
    </w:p>
    <w:p w14:paraId="37A8FFA4" w14:textId="77777777" w:rsidR="00D15122" w:rsidRPr="00381DC2" w:rsidRDefault="00D15122" w:rsidP="007F6E1B">
      <w:pPr>
        <w:rPr>
          <w:rFonts w:ascii="Times New Roman" w:eastAsia="Times New Roman" w:hAnsi="Times New Roman"/>
          <w:color w:val="000000"/>
        </w:rPr>
      </w:pPr>
    </w:p>
    <w:p w14:paraId="69640746" w14:textId="77777777" w:rsidR="00D15122" w:rsidRPr="00381DC2" w:rsidRDefault="009B0756" w:rsidP="007F6E1B">
      <w:pPr>
        <w:pStyle w:val="BodyText"/>
        <w:ind w:left="0" w:right="157"/>
        <w:rPr>
          <w:color w:val="000000"/>
        </w:rPr>
      </w:pPr>
      <w:r w:rsidRPr="00381DC2">
        <w:rPr>
          <w:color w:val="000000"/>
        </w:rPr>
        <w:t>Tabulky 1 a 2 uvádějí nežádoucí účinky související s podáním bevacizumabu v kombinaci s různými režimy chemoterapie v různých indikacích</w:t>
      </w:r>
      <w:r w:rsidR="00301388" w:rsidRPr="00381DC2">
        <w:rPr>
          <w:color w:val="000000"/>
        </w:rPr>
        <w:t xml:space="preserve"> podle tříd orgánových systémů databáze MedDRA</w:t>
      </w:r>
      <w:r w:rsidRPr="00381DC2">
        <w:rPr>
          <w:color w:val="000000"/>
        </w:rPr>
        <w:t>.</w:t>
      </w:r>
    </w:p>
    <w:p w14:paraId="3D77FA52" w14:textId="77777777" w:rsidR="00D15122" w:rsidRPr="00381DC2" w:rsidRDefault="00D15122" w:rsidP="007F6E1B">
      <w:pPr>
        <w:rPr>
          <w:rFonts w:ascii="Times New Roman" w:eastAsia="Times New Roman" w:hAnsi="Times New Roman"/>
          <w:color w:val="000000"/>
        </w:rPr>
      </w:pPr>
    </w:p>
    <w:p w14:paraId="3ECAF93A" w14:textId="77777777" w:rsidR="00D15122" w:rsidRPr="00381DC2" w:rsidRDefault="009B0756" w:rsidP="007F6E1B">
      <w:pPr>
        <w:pStyle w:val="BodyText"/>
        <w:ind w:left="0" w:right="157"/>
        <w:rPr>
          <w:color w:val="000000"/>
        </w:rPr>
      </w:pPr>
      <w:r w:rsidRPr="00381DC2">
        <w:rPr>
          <w:color w:val="000000"/>
        </w:rPr>
        <w:t>Dle frekvence jsou v tabulce 1 uvedeny všechny nežádoucí účinky, u kterých bylo stanoveno, že mají příčinnou souvislost s bevacizumabem:</w:t>
      </w:r>
    </w:p>
    <w:p w14:paraId="0BC7ECF5" w14:textId="77777777" w:rsidR="00D15122" w:rsidRPr="00381DC2" w:rsidRDefault="009B0756" w:rsidP="00E93E96">
      <w:pPr>
        <w:pStyle w:val="BodyText"/>
        <w:numPr>
          <w:ilvl w:val="0"/>
          <w:numId w:val="27"/>
        </w:numPr>
        <w:spacing w:line="252" w:lineRule="exact"/>
        <w:rPr>
          <w:color w:val="000000"/>
        </w:rPr>
      </w:pPr>
      <w:r w:rsidRPr="00381DC2">
        <w:rPr>
          <w:color w:val="000000"/>
        </w:rPr>
        <w:t xml:space="preserve">porovnáním </w:t>
      </w:r>
      <w:r w:rsidR="00796B02" w:rsidRPr="00381DC2">
        <w:rPr>
          <w:color w:val="000000"/>
        </w:rPr>
        <w:t xml:space="preserve">incidencí </w:t>
      </w:r>
      <w:r w:rsidRPr="00381DC2">
        <w:rPr>
          <w:color w:val="000000"/>
        </w:rPr>
        <w:t xml:space="preserve">zaznamenaných mezi léčebnými rameny klinických </w:t>
      </w:r>
      <w:r w:rsidR="004C3775" w:rsidRPr="00381DC2">
        <w:rPr>
          <w:color w:val="000000"/>
        </w:rPr>
        <w:t>studií</w:t>
      </w:r>
      <w:r w:rsidR="00796B02" w:rsidRPr="00381DC2">
        <w:rPr>
          <w:color w:val="000000"/>
        </w:rPr>
        <w:t xml:space="preserve"> </w:t>
      </w:r>
      <w:r w:rsidRPr="00381DC2">
        <w:rPr>
          <w:color w:val="000000"/>
        </w:rPr>
        <w:t>(s alespoň 10%</w:t>
      </w:r>
      <w:r w:rsidR="00584AC4" w:rsidRPr="00381DC2">
        <w:rPr>
          <w:color w:val="000000"/>
        </w:rPr>
        <w:t xml:space="preserve"> rozdílem oproti kontrolnímu rameni u účinků stupně </w:t>
      </w:r>
      <w:r w:rsidRPr="00381DC2">
        <w:rPr>
          <w:color w:val="000000"/>
        </w:rPr>
        <w:t xml:space="preserve">1–5 dle NCI-CTCAE, nebo s alespoň 2% </w:t>
      </w:r>
      <w:r w:rsidR="00584AC4" w:rsidRPr="00381DC2">
        <w:rPr>
          <w:color w:val="000000"/>
        </w:rPr>
        <w:t xml:space="preserve">rozdílem oproti kontrolnímu rameni u účinků stupně </w:t>
      </w:r>
      <w:r w:rsidRPr="00381DC2">
        <w:rPr>
          <w:color w:val="000000"/>
        </w:rPr>
        <w:t>3–5 dle NCI-CTCAE),</w:t>
      </w:r>
    </w:p>
    <w:p w14:paraId="0FDA200A" w14:textId="77777777" w:rsidR="00D15122" w:rsidRPr="00381DC2" w:rsidRDefault="009B0756" w:rsidP="00E93E96">
      <w:pPr>
        <w:pStyle w:val="BodyText"/>
        <w:numPr>
          <w:ilvl w:val="0"/>
          <w:numId w:val="27"/>
        </w:numPr>
        <w:spacing w:line="252" w:lineRule="exact"/>
        <w:rPr>
          <w:color w:val="000000"/>
        </w:rPr>
      </w:pPr>
      <w:r w:rsidRPr="00381DC2">
        <w:rPr>
          <w:color w:val="000000"/>
        </w:rPr>
        <w:t>v poregistračních studiích bezpečnosti,</w:t>
      </w:r>
    </w:p>
    <w:p w14:paraId="3E0BD97A" w14:textId="77777777" w:rsidR="00D15122" w:rsidRPr="00381DC2" w:rsidRDefault="009B0756" w:rsidP="00E93E96">
      <w:pPr>
        <w:pStyle w:val="BodyText"/>
        <w:numPr>
          <w:ilvl w:val="0"/>
          <w:numId w:val="27"/>
        </w:numPr>
        <w:tabs>
          <w:tab w:val="left" w:pos="685"/>
        </w:tabs>
        <w:spacing w:line="252" w:lineRule="exact"/>
        <w:rPr>
          <w:color w:val="000000"/>
        </w:rPr>
      </w:pPr>
      <w:r w:rsidRPr="00381DC2">
        <w:rPr>
          <w:color w:val="000000"/>
        </w:rPr>
        <w:t>ve spontánních hlášeních,</w:t>
      </w:r>
    </w:p>
    <w:p w14:paraId="67A2FFD9" w14:textId="77777777" w:rsidR="00D15122" w:rsidRPr="00381DC2" w:rsidRDefault="009B0756" w:rsidP="00E93E96">
      <w:pPr>
        <w:pStyle w:val="BodyText"/>
        <w:numPr>
          <w:ilvl w:val="0"/>
          <w:numId w:val="27"/>
        </w:numPr>
        <w:tabs>
          <w:tab w:val="left" w:pos="685"/>
        </w:tabs>
        <w:rPr>
          <w:color w:val="000000"/>
        </w:rPr>
      </w:pPr>
      <w:r w:rsidRPr="00381DC2">
        <w:rPr>
          <w:color w:val="000000"/>
        </w:rPr>
        <w:t>v epidemiologických studiích / neintervenčních nebo observačních studiích,</w:t>
      </w:r>
    </w:p>
    <w:p w14:paraId="733E2290" w14:textId="77777777" w:rsidR="00D15122" w:rsidRPr="00F60460" w:rsidRDefault="009B0756" w:rsidP="00E93E96">
      <w:pPr>
        <w:pStyle w:val="BodyText"/>
        <w:numPr>
          <w:ilvl w:val="0"/>
          <w:numId w:val="27"/>
        </w:numPr>
        <w:tabs>
          <w:tab w:val="left" w:pos="685"/>
        </w:tabs>
        <w:rPr>
          <w:color w:val="000000"/>
          <w:sz w:val="21"/>
          <w:szCs w:val="21"/>
        </w:rPr>
      </w:pPr>
      <w:r w:rsidRPr="00381DC2">
        <w:rPr>
          <w:color w:val="000000"/>
        </w:rPr>
        <w:t xml:space="preserve">nebo hodnocením </w:t>
      </w:r>
      <w:r w:rsidR="00584AC4" w:rsidRPr="00381DC2">
        <w:rPr>
          <w:color w:val="000000"/>
        </w:rPr>
        <w:t xml:space="preserve">hlášení </w:t>
      </w:r>
      <w:r w:rsidRPr="00381DC2">
        <w:rPr>
          <w:color w:val="000000"/>
        </w:rPr>
        <w:t>o jednotlivých případech</w:t>
      </w:r>
      <w:r w:rsidR="00422275" w:rsidRPr="00381DC2">
        <w:rPr>
          <w:color w:val="000000"/>
        </w:rPr>
        <w:t>.</w:t>
      </w:r>
    </w:p>
    <w:p w14:paraId="31C0DC62" w14:textId="77777777" w:rsidR="00A37F62" w:rsidRPr="00381DC2" w:rsidRDefault="00A37F62" w:rsidP="007F6E1B">
      <w:pPr>
        <w:pStyle w:val="BodyText"/>
        <w:ind w:left="0"/>
        <w:rPr>
          <w:color w:val="000000"/>
        </w:rPr>
      </w:pPr>
    </w:p>
    <w:p w14:paraId="4ED36EFF" w14:textId="77777777" w:rsidR="00D15122" w:rsidRPr="00381DC2" w:rsidRDefault="009B0756" w:rsidP="007F6E1B">
      <w:pPr>
        <w:pStyle w:val="BodyText"/>
        <w:ind w:left="0" w:right="328"/>
        <w:rPr>
          <w:color w:val="000000"/>
        </w:rPr>
      </w:pPr>
      <w:r w:rsidRPr="00381DC2">
        <w:rPr>
          <w:color w:val="000000"/>
        </w:rPr>
        <w:t xml:space="preserve">V tabulce 2 jsou dle frekvence uvedeny </w:t>
      </w:r>
      <w:r w:rsidR="004C3775" w:rsidRPr="00381DC2">
        <w:rPr>
          <w:color w:val="000000"/>
        </w:rPr>
        <w:t>těžké</w:t>
      </w:r>
      <w:r w:rsidRPr="00381DC2">
        <w:rPr>
          <w:color w:val="000000"/>
        </w:rPr>
        <w:t xml:space="preserve"> nežádoucí účinky. </w:t>
      </w:r>
      <w:r w:rsidR="004C3775" w:rsidRPr="00381DC2">
        <w:rPr>
          <w:color w:val="000000"/>
        </w:rPr>
        <w:t>Těžké</w:t>
      </w:r>
      <w:r w:rsidRPr="00381DC2">
        <w:rPr>
          <w:color w:val="000000"/>
        </w:rPr>
        <w:t xml:space="preserve"> účinky jsou definovány jako nežádoucí </w:t>
      </w:r>
      <w:r w:rsidR="00701D3B" w:rsidRPr="00381DC2">
        <w:rPr>
          <w:color w:val="000000"/>
        </w:rPr>
        <w:t xml:space="preserve">účinky </w:t>
      </w:r>
      <w:r w:rsidRPr="00381DC2">
        <w:rPr>
          <w:color w:val="000000"/>
        </w:rPr>
        <w:t xml:space="preserve">stupně 3–5 dle NCI-CTCAE s alespoň 2% </w:t>
      </w:r>
      <w:r w:rsidR="00584AC4" w:rsidRPr="00381DC2">
        <w:rPr>
          <w:color w:val="000000"/>
        </w:rPr>
        <w:t xml:space="preserve">rozdílem oproti kontrolnímu rameni </w:t>
      </w:r>
      <w:r w:rsidR="00072596" w:rsidRPr="00381DC2">
        <w:rPr>
          <w:color w:val="000000"/>
        </w:rPr>
        <w:t>v </w:t>
      </w:r>
      <w:r w:rsidRPr="00381DC2">
        <w:rPr>
          <w:color w:val="000000"/>
        </w:rPr>
        <w:t>klinických studií</w:t>
      </w:r>
      <w:r w:rsidR="00072596" w:rsidRPr="00381DC2">
        <w:rPr>
          <w:color w:val="000000"/>
        </w:rPr>
        <w:t>ch</w:t>
      </w:r>
      <w:r w:rsidRPr="00381DC2">
        <w:rPr>
          <w:color w:val="000000"/>
        </w:rPr>
        <w:t xml:space="preserve">. V tabulce 2 jsou také uvedeny nežádoucí účinky, které byly vyhodnoceny držitelem rozhodnutí o registraci jako klinicky významné </w:t>
      </w:r>
      <w:r w:rsidR="00BE7E00" w:rsidRPr="00381DC2">
        <w:rPr>
          <w:color w:val="000000"/>
        </w:rPr>
        <w:t xml:space="preserve">nebo </w:t>
      </w:r>
      <w:r w:rsidRPr="00381DC2">
        <w:rPr>
          <w:color w:val="000000"/>
        </w:rPr>
        <w:t>závažné.</w:t>
      </w:r>
    </w:p>
    <w:p w14:paraId="20560CD9" w14:textId="77777777" w:rsidR="00D15122" w:rsidRPr="00381DC2" w:rsidRDefault="00D15122" w:rsidP="007F6E1B">
      <w:pPr>
        <w:rPr>
          <w:rFonts w:ascii="Times New Roman" w:eastAsia="Times New Roman" w:hAnsi="Times New Roman"/>
          <w:color w:val="000000"/>
        </w:rPr>
      </w:pPr>
    </w:p>
    <w:p w14:paraId="20379D00" w14:textId="77777777" w:rsidR="00D15122" w:rsidRPr="00381DC2" w:rsidRDefault="009B0756" w:rsidP="007F6E1B">
      <w:pPr>
        <w:pStyle w:val="BodyText"/>
        <w:ind w:left="0" w:right="511"/>
        <w:rPr>
          <w:color w:val="000000"/>
        </w:rPr>
      </w:pPr>
      <w:r w:rsidRPr="00381DC2">
        <w:rPr>
          <w:color w:val="000000"/>
        </w:rPr>
        <w:t>Do obou tabulek 1 a 2, kde to bylo možné, byly zahrnuty nežádoucí účinky hlášené po uvedení na trh. Bližší informace o nežádoucích účincích hlášených po uvedení na trh jsou uvedeny v tabulce 3.</w:t>
      </w:r>
    </w:p>
    <w:p w14:paraId="108EDD5F" w14:textId="77777777" w:rsidR="00D15122" w:rsidRPr="00381DC2" w:rsidRDefault="00D15122" w:rsidP="007F6E1B">
      <w:pPr>
        <w:rPr>
          <w:rFonts w:ascii="Times New Roman" w:eastAsia="Times New Roman" w:hAnsi="Times New Roman"/>
          <w:color w:val="000000"/>
        </w:rPr>
      </w:pPr>
    </w:p>
    <w:p w14:paraId="53CF4D38" w14:textId="77777777" w:rsidR="00D15122" w:rsidRPr="00381DC2" w:rsidRDefault="009B0756" w:rsidP="007F6E1B">
      <w:pPr>
        <w:pStyle w:val="BodyText"/>
        <w:ind w:left="0" w:right="511"/>
        <w:rPr>
          <w:color w:val="000000"/>
        </w:rPr>
      </w:pPr>
      <w:r w:rsidRPr="00381DC2">
        <w:rPr>
          <w:color w:val="000000"/>
        </w:rPr>
        <w:t>Nežádoucí účinky jsou v tabulkách uvedeny v příslušné kategorii frekvence dle nejvyšší</w:t>
      </w:r>
      <w:r w:rsidR="00BE7E00" w:rsidRPr="00381DC2">
        <w:rPr>
          <w:color w:val="000000"/>
        </w:rPr>
        <w:t xml:space="preserve"> incidence</w:t>
      </w:r>
      <w:r w:rsidRPr="00381DC2">
        <w:rPr>
          <w:color w:val="000000"/>
        </w:rPr>
        <w:t xml:space="preserve"> v kterékoli indikaci.</w:t>
      </w:r>
    </w:p>
    <w:p w14:paraId="52D230AA" w14:textId="77777777" w:rsidR="00301388" w:rsidRPr="00381DC2" w:rsidRDefault="00301388" w:rsidP="007F6E1B">
      <w:pPr>
        <w:pStyle w:val="BodyText"/>
        <w:ind w:left="0" w:hanging="1"/>
        <w:rPr>
          <w:color w:val="000000"/>
        </w:rPr>
      </w:pPr>
    </w:p>
    <w:p w14:paraId="64A1C2FF" w14:textId="77777777" w:rsidR="00D15122" w:rsidRPr="00381DC2" w:rsidRDefault="009B0756" w:rsidP="007F6E1B">
      <w:pPr>
        <w:pStyle w:val="BodyText"/>
        <w:ind w:left="0" w:hanging="1"/>
        <w:rPr>
          <w:color w:val="000000"/>
        </w:rPr>
      </w:pPr>
      <w:r w:rsidRPr="00381DC2">
        <w:rPr>
          <w:color w:val="000000"/>
        </w:rPr>
        <w:t>V každé kategorii frekvence jsou nežádoucí účinky seřazeny podle klesající závažnosti.</w:t>
      </w:r>
    </w:p>
    <w:p w14:paraId="2CC2974A" w14:textId="77777777" w:rsidR="00D15122" w:rsidRPr="00381DC2" w:rsidRDefault="00D15122" w:rsidP="007F6E1B">
      <w:pPr>
        <w:rPr>
          <w:rFonts w:ascii="Times New Roman" w:eastAsia="Times New Roman" w:hAnsi="Times New Roman"/>
          <w:color w:val="000000"/>
        </w:rPr>
      </w:pPr>
    </w:p>
    <w:p w14:paraId="4032C5E1" w14:textId="77777777" w:rsidR="00D15122" w:rsidRPr="00381DC2" w:rsidRDefault="009B0756" w:rsidP="007F6E1B">
      <w:pPr>
        <w:pStyle w:val="BodyText"/>
        <w:ind w:left="0" w:right="511"/>
        <w:rPr>
          <w:color w:val="000000"/>
        </w:rPr>
      </w:pPr>
      <w:r w:rsidRPr="00381DC2">
        <w:rPr>
          <w:color w:val="000000"/>
        </w:rPr>
        <w:t xml:space="preserve">Některé z uvedených nežádoucích účinků lze </w:t>
      </w:r>
      <w:r w:rsidR="00BE7E00" w:rsidRPr="00381DC2">
        <w:rPr>
          <w:color w:val="000000"/>
        </w:rPr>
        <w:t xml:space="preserve">často </w:t>
      </w:r>
      <w:r w:rsidRPr="00381DC2">
        <w:rPr>
          <w:color w:val="000000"/>
        </w:rPr>
        <w:t xml:space="preserve">pozorovat při chemoterapii, avšak bevacizumab v kombinaci s chemoterapeutickými látkami může tyto </w:t>
      </w:r>
      <w:r w:rsidR="00BE7E00" w:rsidRPr="00381DC2">
        <w:rPr>
          <w:color w:val="000000"/>
        </w:rPr>
        <w:t xml:space="preserve">účinky </w:t>
      </w:r>
      <w:r w:rsidRPr="00381DC2">
        <w:rPr>
          <w:color w:val="000000"/>
        </w:rPr>
        <w:t>zhoršovat. To například zahrnuje syndrom palmoplantární erytrodysestezie při léčbě s pegylovaným liposomálním doxorubicinem nebo kapecitabinem, periferní senzorickou neuropatii při léčbě paklitaxelem nebo oxaliplatinou, poruchy nehtů nebo alopecii při léčbě paklitaxelem a paronychium při léčbě erlotinibem.</w:t>
      </w:r>
    </w:p>
    <w:p w14:paraId="76DE13F7" w14:textId="77777777" w:rsidR="00D15122" w:rsidRPr="00381DC2" w:rsidRDefault="00D15122" w:rsidP="007F6E1B">
      <w:pPr>
        <w:rPr>
          <w:rFonts w:ascii="Times New Roman" w:eastAsia="Times New Roman" w:hAnsi="Times New Roman"/>
          <w:color w:val="000000"/>
        </w:rPr>
      </w:pPr>
    </w:p>
    <w:p w14:paraId="40B0D2A8" w14:textId="77777777" w:rsidR="00D15122" w:rsidRPr="00381DC2" w:rsidRDefault="002E590F" w:rsidP="00A330A9">
      <w:pPr>
        <w:keepNext/>
        <w:keepLines/>
        <w:rPr>
          <w:rFonts w:ascii="Times New Roman" w:eastAsia="Times New Roman" w:hAnsi="Times New Roman"/>
          <w:b/>
          <w:color w:val="000000"/>
        </w:rPr>
      </w:pPr>
      <w:r w:rsidRPr="00381DC2">
        <w:rPr>
          <w:rFonts w:ascii="Times New Roman" w:eastAsia="Times New Roman" w:hAnsi="Times New Roman"/>
          <w:b/>
          <w:color w:val="000000"/>
        </w:rPr>
        <w:lastRenderedPageBreak/>
        <w:t>Tabulka 1</w:t>
      </w:r>
      <w:r w:rsidRPr="00381DC2">
        <w:rPr>
          <w:rFonts w:ascii="Times New Roman" w:eastAsia="Times New Roman" w:hAnsi="Times New Roman"/>
          <w:b/>
          <w:color w:val="000000"/>
        </w:rPr>
        <w:tab/>
        <w:t>Nežádoucí účinky rozdělené dle frekvence</w:t>
      </w:r>
    </w:p>
    <w:p w14:paraId="5A8E4E79" w14:textId="77777777" w:rsidR="003C7D89" w:rsidRPr="00F60460" w:rsidRDefault="003C7D89" w:rsidP="00A330A9">
      <w:pPr>
        <w:keepNext/>
        <w:keepLines/>
        <w:rPr>
          <w:bCs/>
          <w:color w:val="000000"/>
        </w:rPr>
      </w:pPr>
    </w:p>
    <w:tbl>
      <w:tblPr>
        <w:tblW w:w="9506" w:type="dxa"/>
        <w:tblInd w:w="6" w:type="dxa"/>
        <w:tblLayout w:type="fixed"/>
        <w:tblCellMar>
          <w:left w:w="0" w:type="dxa"/>
          <w:right w:w="0" w:type="dxa"/>
        </w:tblCellMar>
        <w:tblLook w:val="01E0" w:firstRow="1" w:lastRow="1" w:firstColumn="1" w:lastColumn="1" w:noHBand="0" w:noVBand="0"/>
      </w:tblPr>
      <w:tblGrid>
        <w:gridCol w:w="1744"/>
        <w:gridCol w:w="1570"/>
        <w:gridCol w:w="1483"/>
        <w:gridCol w:w="1046"/>
        <w:gridCol w:w="1151"/>
        <w:gridCol w:w="1236"/>
        <w:gridCol w:w="1276"/>
      </w:tblGrid>
      <w:tr w:rsidR="003C7D89" w:rsidRPr="00F60460" w14:paraId="3BEE91AA" w14:textId="77777777" w:rsidTr="00D43C6F">
        <w:trPr>
          <w:trHeight w:val="452"/>
          <w:tblHeader/>
        </w:trPr>
        <w:tc>
          <w:tcPr>
            <w:tcW w:w="1744" w:type="dxa"/>
            <w:tcBorders>
              <w:top w:val="single" w:sz="5" w:space="0" w:color="000000"/>
              <w:left w:val="single" w:sz="5" w:space="0" w:color="000000"/>
              <w:bottom w:val="single" w:sz="5" w:space="0" w:color="000000"/>
              <w:right w:val="single" w:sz="5" w:space="0" w:color="000000"/>
            </w:tcBorders>
          </w:tcPr>
          <w:p w14:paraId="206550D3" w14:textId="77777777" w:rsidR="003C7D89" w:rsidRPr="00F60460" w:rsidRDefault="003C7D89" w:rsidP="00A330A9">
            <w:pPr>
              <w:pStyle w:val="Footer"/>
              <w:keepNext/>
              <w:keepLines/>
              <w:jc w:val="center"/>
              <w:rPr>
                <w:color w:val="000000"/>
                <w:sz w:val="20"/>
              </w:rPr>
            </w:pPr>
            <w:r w:rsidRPr="00F60460">
              <w:rPr>
                <w:color w:val="000000"/>
                <w:sz w:val="20"/>
              </w:rPr>
              <w:t>Třídy orgánových</w:t>
            </w:r>
          </w:p>
          <w:p w14:paraId="69DA7276" w14:textId="77777777" w:rsidR="003C7D89" w:rsidRPr="00F60460" w:rsidRDefault="003C7D89" w:rsidP="00A330A9">
            <w:pPr>
              <w:pStyle w:val="Footer"/>
              <w:keepNext/>
              <w:keepLines/>
              <w:jc w:val="center"/>
              <w:rPr>
                <w:color w:val="000000"/>
                <w:sz w:val="20"/>
              </w:rPr>
            </w:pPr>
            <w:r w:rsidRPr="00F60460">
              <w:rPr>
                <w:color w:val="000000"/>
                <w:sz w:val="20"/>
              </w:rPr>
              <w:t>systémů</w:t>
            </w:r>
          </w:p>
        </w:tc>
        <w:tc>
          <w:tcPr>
            <w:tcW w:w="1570" w:type="dxa"/>
            <w:tcBorders>
              <w:top w:val="single" w:sz="5" w:space="0" w:color="000000"/>
              <w:left w:val="single" w:sz="5" w:space="0" w:color="000000"/>
              <w:bottom w:val="single" w:sz="5" w:space="0" w:color="000000"/>
              <w:right w:val="single" w:sz="5" w:space="0" w:color="000000"/>
            </w:tcBorders>
          </w:tcPr>
          <w:p w14:paraId="7C660177" w14:textId="77777777" w:rsidR="003C7D89" w:rsidRPr="00F60460" w:rsidRDefault="003C7D89" w:rsidP="00A330A9">
            <w:pPr>
              <w:pStyle w:val="Footer"/>
              <w:keepNext/>
              <w:keepLines/>
              <w:jc w:val="center"/>
              <w:rPr>
                <w:color w:val="000000"/>
                <w:sz w:val="20"/>
              </w:rPr>
            </w:pPr>
            <w:r w:rsidRPr="00F60460">
              <w:rPr>
                <w:color w:val="000000"/>
                <w:sz w:val="20"/>
              </w:rPr>
              <w:t>Velmi časté</w:t>
            </w:r>
          </w:p>
        </w:tc>
        <w:tc>
          <w:tcPr>
            <w:tcW w:w="1483" w:type="dxa"/>
            <w:tcBorders>
              <w:top w:val="single" w:sz="5" w:space="0" w:color="000000"/>
              <w:left w:val="single" w:sz="5" w:space="0" w:color="000000"/>
              <w:bottom w:val="single" w:sz="5" w:space="0" w:color="000000"/>
              <w:right w:val="single" w:sz="5" w:space="0" w:color="000000"/>
            </w:tcBorders>
          </w:tcPr>
          <w:p w14:paraId="705321F2" w14:textId="77777777" w:rsidR="003C7D89" w:rsidRPr="00F60460" w:rsidRDefault="003C7D89" w:rsidP="00A330A9">
            <w:pPr>
              <w:pStyle w:val="Footer"/>
              <w:keepNext/>
              <w:keepLines/>
              <w:jc w:val="center"/>
              <w:rPr>
                <w:color w:val="000000"/>
                <w:sz w:val="20"/>
              </w:rPr>
            </w:pPr>
            <w:r w:rsidRPr="00F60460">
              <w:rPr>
                <w:color w:val="000000"/>
                <w:sz w:val="20"/>
              </w:rPr>
              <w:t>Časté</w:t>
            </w:r>
          </w:p>
        </w:tc>
        <w:tc>
          <w:tcPr>
            <w:tcW w:w="1046" w:type="dxa"/>
            <w:tcBorders>
              <w:top w:val="single" w:sz="5" w:space="0" w:color="000000"/>
              <w:left w:val="single" w:sz="5" w:space="0" w:color="000000"/>
              <w:bottom w:val="single" w:sz="5" w:space="0" w:color="000000"/>
              <w:right w:val="single" w:sz="5" w:space="0" w:color="000000"/>
            </w:tcBorders>
          </w:tcPr>
          <w:p w14:paraId="404A3A86" w14:textId="77777777" w:rsidR="003C7D89" w:rsidRPr="00F60460" w:rsidRDefault="003C7D89" w:rsidP="00A330A9">
            <w:pPr>
              <w:pStyle w:val="Footer"/>
              <w:keepNext/>
              <w:keepLines/>
              <w:jc w:val="center"/>
              <w:rPr>
                <w:color w:val="000000"/>
                <w:sz w:val="20"/>
              </w:rPr>
            </w:pPr>
            <w:r w:rsidRPr="00F60460">
              <w:rPr>
                <w:color w:val="000000"/>
                <w:sz w:val="20"/>
              </w:rPr>
              <w:t>Méně časté</w:t>
            </w:r>
          </w:p>
        </w:tc>
        <w:tc>
          <w:tcPr>
            <w:tcW w:w="1151" w:type="dxa"/>
            <w:tcBorders>
              <w:top w:val="single" w:sz="5" w:space="0" w:color="000000"/>
              <w:left w:val="single" w:sz="5" w:space="0" w:color="000000"/>
              <w:bottom w:val="single" w:sz="5" w:space="0" w:color="000000"/>
              <w:right w:val="single" w:sz="5" w:space="0" w:color="000000"/>
            </w:tcBorders>
          </w:tcPr>
          <w:p w14:paraId="7AB3F906" w14:textId="77777777" w:rsidR="003C7D89" w:rsidRPr="00F60460" w:rsidRDefault="003C7D89" w:rsidP="00A330A9">
            <w:pPr>
              <w:pStyle w:val="Footer"/>
              <w:keepNext/>
              <w:keepLines/>
              <w:jc w:val="center"/>
              <w:rPr>
                <w:color w:val="000000"/>
                <w:sz w:val="20"/>
              </w:rPr>
            </w:pPr>
            <w:r w:rsidRPr="00F60460">
              <w:rPr>
                <w:color w:val="000000"/>
                <w:sz w:val="20"/>
              </w:rPr>
              <w:t>Vzácné</w:t>
            </w:r>
          </w:p>
        </w:tc>
        <w:tc>
          <w:tcPr>
            <w:tcW w:w="1236" w:type="dxa"/>
            <w:tcBorders>
              <w:top w:val="single" w:sz="5" w:space="0" w:color="000000"/>
              <w:left w:val="single" w:sz="5" w:space="0" w:color="000000"/>
              <w:bottom w:val="single" w:sz="5" w:space="0" w:color="000000"/>
              <w:right w:val="single" w:sz="5" w:space="0" w:color="000000"/>
            </w:tcBorders>
          </w:tcPr>
          <w:p w14:paraId="65654CEB" w14:textId="77777777" w:rsidR="003C7D89" w:rsidRPr="00F60460" w:rsidRDefault="003C7D89" w:rsidP="00A330A9">
            <w:pPr>
              <w:pStyle w:val="Footer"/>
              <w:keepNext/>
              <w:keepLines/>
              <w:jc w:val="center"/>
              <w:rPr>
                <w:color w:val="000000"/>
                <w:sz w:val="20"/>
              </w:rPr>
            </w:pPr>
            <w:r w:rsidRPr="00F60460">
              <w:rPr>
                <w:color w:val="000000"/>
                <w:sz w:val="20"/>
              </w:rPr>
              <w:t>Velmi vzácné</w:t>
            </w:r>
          </w:p>
        </w:tc>
        <w:tc>
          <w:tcPr>
            <w:tcW w:w="1276" w:type="dxa"/>
            <w:tcBorders>
              <w:top w:val="single" w:sz="5" w:space="0" w:color="000000"/>
              <w:left w:val="single" w:sz="5" w:space="0" w:color="000000"/>
              <w:bottom w:val="single" w:sz="5" w:space="0" w:color="000000"/>
              <w:right w:val="single" w:sz="5" w:space="0" w:color="000000"/>
            </w:tcBorders>
          </w:tcPr>
          <w:p w14:paraId="7A44C961" w14:textId="77777777" w:rsidR="003C7D89" w:rsidRPr="00F60460" w:rsidRDefault="003C7D89" w:rsidP="00A330A9">
            <w:pPr>
              <w:pStyle w:val="Footer"/>
              <w:keepNext/>
              <w:keepLines/>
              <w:jc w:val="center"/>
              <w:rPr>
                <w:color w:val="000000"/>
                <w:sz w:val="20"/>
              </w:rPr>
            </w:pPr>
            <w:r w:rsidRPr="00F60460">
              <w:rPr>
                <w:color w:val="000000"/>
                <w:sz w:val="20"/>
              </w:rPr>
              <w:t>Frekvence není známa</w:t>
            </w:r>
          </w:p>
        </w:tc>
      </w:tr>
      <w:tr w:rsidR="003C7D89" w:rsidRPr="00F60460" w14:paraId="4944A4A5" w14:textId="77777777" w:rsidTr="00D43C6F">
        <w:trPr>
          <w:trHeight w:val="935"/>
        </w:trPr>
        <w:tc>
          <w:tcPr>
            <w:tcW w:w="1744" w:type="dxa"/>
            <w:tcBorders>
              <w:top w:val="single" w:sz="5" w:space="0" w:color="000000"/>
              <w:left w:val="single" w:sz="5" w:space="0" w:color="000000"/>
              <w:bottom w:val="single" w:sz="5" w:space="0" w:color="000000"/>
              <w:right w:val="single" w:sz="5" w:space="0" w:color="000000"/>
            </w:tcBorders>
          </w:tcPr>
          <w:p w14:paraId="4A56F150" w14:textId="77777777" w:rsidR="003C7D89" w:rsidRPr="00F60460" w:rsidRDefault="003C7D89" w:rsidP="00A330A9">
            <w:pPr>
              <w:pStyle w:val="TableText"/>
              <w:keepNext/>
              <w:keepLines/>
              <w:rPr>
                <w:rFonts w:cs="Times New Roman"/>
                <w:color w:val="000000"/>
              </w:rPr>
            </w:pPr>
            <w:r w:rsidRPr="00F60460">
              <w:rPr>
                <w:color w:val="000000"/>
              </w:rPr>
              <w:t>Infekce a infestace</w:t>
            </w:r>
          </w:p>
        </w:tc>
        <w:tc>
          <w:tcPr>
            <w:tcW w:w="1570" w:type="dxa"/>
            <w:tcBorders>
              <w:top w:val="single" w:sz="5" w:space="0" w:color="000000"/>
              <w:left w:val="single" w:sz="5" w:space="0" w:color="000000"/>
              <w:bottom w:val="single" w:sz="5" w:space="0" w:color="000000"/>
              <w:right w:val="single" w:sz="5" w:space="0" w:color="000000"/>
            </w:tcBorders>
          </w:tcPr>
          <w:p w14:paraId="047459A4" w14:textId="77777777" w:rsidR="003C7D89" w:rsidRPr="00F60460" w:rsidRDefault="003C7D89" w:rsidP="00A330A9">
            <w:pPr>
              <w:pStyle w:val="TableText"/>
              <w:keepNext/>
              <w:keepLines/>
              <w:rPr>
                <w:rFonts w:cs="Times New Roman"/>
                <w:color w:val="000000"/>
              </w:rPr>
            </w:pPr>
          </w:p>
        </w:tc>
        <w:tc>
          <w:tcPr>
            <w:tcW w:w="1483" w:type="dxa"/>
            <w:tcBorders>
              <w:top w:val="single" w:sz="5" w:space="0" w:color="000000"/>
              <w:left w:val="single" w:sz="5" w:space="0" w:color="000000"/>
              <w:bottom w:val="single" w:sz="5" w:space="0" w:color="000000"/>
              <w:right w:val="single" w:sz="5" w:space="0" w:color="000000"/>
            </w:tcBorders>
          </w:tcPr>
          <w:p w14:paraId="7E9F984E" w14:textId="77777777" w:rsidR="003C7D89" w:rsidRPr="00F60460" w:rsidRDefault="003C7D89" w:rsidP="00A330A9">
            <w:pPr>
              <w:pStyle w:val="TableText"/>
              <w:keepNext/>
              <w:keepLines/>
              <w:rPr>
                <w:rFonts w:cs="Times New Roman"/>
                <w:color w:val="000000"/>
              </w:rPr>
            </w:pPr>
            <w:r w:rsidRPr="00F60460">
              <w:rPr>
                <w:color w:val="000000"/>
              </w:rPr>
              <w:t>Sepse, absces</w:t>
            </w:r>
            <w:r w:rsidRPr="00F60460">
              <w:rPr>
                <w:color w:val="000000"/>
                <w:vertAlign w:val="superscript"/>
              </w:rPr>
              <w:t>b,d</w:t>
            </w:r>
            <w:r w:rsidRPr="00F60460">
              <w:rPr>
                <w:color w:val="000000"/>
              </w:rPr>
              <w:t>, celulitida, infekce, infekce močových cest</w:t>
            </w:r>
          </w:p>
        </w:tc>
        <w:tc>
          <w:tcPr>
            <w:tcW w:w="1046" w:type="dxa"/>
            <w:tcBorders>
              <w:top w:val="single" w:sz="5" w:space="0" w:color="000000"/>
              <w:left w:val="single" w:sz="5" w:space="0" w:color="000000"/>
              <w:bottom w:val="single" w:sz="5" w:space="0" w:color="000000"/>
              <w:right w:val="single" w:sz="5" w:space="0" w:color="000000"/>
            </w:tcBorders>
          </w:tcPr>
          <w:p w14:paraId="4BA2DD39" w14:textId="77777777" w:rsidR="003C7D89" w:rsidRPr="00F60460" w:rsidRDefault="003C7D89" w:rsidP="00A330A9">
            <w:pPr>
              <w:pStyle w:val="Footer"/>
              <w:keepNext/>
              <w:keepLines/>
              <w:rPr>
                <w:color w:val="000000"/>
                <w:sz w:val="20"/>
              </w:rPr>
            </w:pPr>
          </w:p>
        </w:tc>
        <w:tc>
          <w:tcPr>
            <w:tcW w:w="1151" w:type="dxa"/>
            <w:tcBorders>
              <w:top w:val="single" w:sz="5" w:space="0" w:color="000000"/>
              <w:left w:val="single" w:sz="5" w:space="0" w:color="000000"/>
              <w:bottom w:val="single" w:sz="5" w:space="0" w:color="000000"/>
              <w:right w:val="single" w:sz="5" w:space="0" w:color="000000"/>
            </w:tcBorders>
          </w:tcPr>
          <w:p w14:paraId="420DBB55" w14:textId="77777777" w:rsidR="003C7D89" w:rsidRPr="00F60460" w:rsidRDefault="003C7D89" w:rsidP="00A330A9">
            <w:pPr>
              <w:pStyle w:val="Footer"/>
              <w:keepNext/>
              <w:keepLines/>
              <w:rPr>
                <w:color w:val="000000"/>
                <w:sz w:val="20"/>
              </w:rPr>
            </w:pPr>
            <w:r w:rsidRPr="00F60460">
              <w:rPr>
                <w:color w:val="000000"/>
                <w:sz w:val="20"/>
              </w:rPr>
              <w:t>Nekrotizující fasciitida</w:t>
            </w:r>
            <w:r w:rsidRPr="00F60460">
              <w:rPr>
                <w:color w:val="000000"/>
                <w:sz w:val="20"/>
                <w:vertAlign w:val="superscript"/>
              </w:rPr>
              <w:t>a</w:t>
            </w:r>
          </w:p>
        </w:tc>
        <w:tc>
          <w:tcPr>
            <w:tcW w:w="1236" w:type="dxa"/>
            <w:tcBorders>
              <w:top w:val="single" w:sz="5" w:space="0" w:color="000000"/>
              <w:left w:val="single" w:sz="5" w:space="0" w:color="000000"/>
              <w:bottom w:val="single" w:sz="5" w:space="0" w:color="000000"/>
              <w:right w:val="single" w:sz="5" w:space="0" w:color="000000"/>
            </w:tcBorders>
          </w:tcPr>
          <w:p w14:paraId="23D88DBD" w14:textId="77777777" w:rsidR="003C7D89" w:rsidRPr="00F60460" w:rsidRDefault="003C7D89" w:rsidP="00A330A9">
            <w:pPr>
              <w:pStyle w:val="Footer"/>
              <w:keepNext/>
              <w:keepLines/>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45C247AD" w14:textId="77777777" w:rsidR="003C7D89" w:rsidRPr="00F60460" w:rsidRDefault="003C7D89" w:rsidP="00A330A9">
            <w:pPr>
              <w:pStyle w:val="Footer"/>
              <w:keepNext/>
              <w:keepLines/>
              <w:rPr>
                <w:color w:val="000000"/>
                <w:sz w:val="20"/>
              </w:rPr>
            </w:pPr>
          </w:p>
        </w:tc>
      </w:tr>
      <w:tr w:rsidR="003C7D89" w:rsidRPr="00F60460" w14:paraId="6715FEF6" w14:textId="77777777" w:rsidTr="00D43C6F">
        <w:trPr>
          <w:trHeight w:val="1146"/>
        </w:trPr>
        <w:tc>
          <w:tcPr>
            <w:tcW w:w="1744" w:type="dxa"/>
            <w:tcBorders>
              <w:top w:val="single" w:sz="5" w:space="0" w:color="000000"/>
              <w:left w:val="single" w:sz="5" w:space="0" w:color="000000"/>
              <w:bottom w:val="single" w:sz="5" w:space="0" w:color="000000"/>
              <w:right w:val="single" w:sz="5" w:space="0" w:color="000000"/>
            </w:tcBorders>
          </w:tcPr>
          <w:p w14:paraId="696D1DE3" w14:textId="77777777" w:rsidR="003C7D89" w:rsidRPr="00F60460" w:rsidRDefault="003C7D89" w:rsidP="00A330A9">
            <w:pPr>
              <w:pStyle w:val="Footer"/>
              <w:keepNext/>
              <w:keepLines/>
              <w:rPr>
                <w:color w:val="000000"/>
                <w:sz w:val="20"/>
              </w:rPr>
            </w:pPr>
            <w:r w:rsidRPr="00F60460">
              <w:rPr>
                <w:color w:val="000000"/>
                <w:sz w:val="20"/>
              </w:rPr>
              <w:t>Poruchy krve a lymfatického systému</w:t>
            </w:r>
          </w:p>
        </w:tc>
        <w:tc>
          <w:tcPr>
            <w:tcW w:w="1570" w:type="dxa"/>
            <w:tcBorders>
              <w:top w:val="single" w:sz="5" w:space="0" w:color="000000"/>
              <w:left w:val="single" w:sz="5" w:space="0" w:color="000000"/>
              <w:bottom w:val="single" w:sz="5" w:space="0" w:color="000000"/>
              <w:right w:val="single" w:sz="5" w:space="0" w:color="000000"/>
            </w:tcBorders>
          </w:tcPr>
          <w:p w14:paraId="1A208667" w14:textId="77777777" w:rsidR="003C7D89" w:rsidRPr="00F60460" w:rsidRDefault="003C7D89" w:rsidP="00A330A9">
            <w:pPr>
              <w:pStyle w:val="Footer"/>
              <w:keepNext/>
              <w:keepLines/>
              <w:rPr>
                <w:color w:val="000000"/>
                <w:sz w:val="20"/>
              </w:rPr>
            </w:pPr>
            <w:r w:rsidRPr="00F60460">
              <w:rPr>
                <w:color w:val="000000"/>
                <w:sz w:val="20"/>
              </w:rPr>
              <w:t>Febrilní neutropenie, leukopenie, neutropenie</w:t>
            </w:r>
            <w:r w:rsidRPr="00F60460">
              <w:rPr>
                <w:color w:val="000000"/>
                <w:sz w:val="20"/>
                <w:vertAlign w:val="superscript"/>
              </w:rPr>
              <w:t>b</w:t>
            </w:r>
            <w:r w:rsidRPr="00F60460">
              <w:rPr>
                <w:color w:val="000000"/>
                <w:sz w:val="20"/>
              </w:rPr>
              <w:t>, trombocytopenie</w:t>
            </w:r>
          </w:p>
        </w:tc>
        <w:tc>
          <w:tcPr>
            <w:tcW w:w="1483" w:type="dxa"/>
            <w:tcBorders>
              <w:top w:val="single" w:sz="5" w:space="0" w:color="000000"/>
              <w:left w:val="single" w:sz="5" w:space="0" w:color="000000"/>
              <w:bottom w:val="single" w:sz="5" w:space="0" w:color="000000"/>
              <w:right w:val="single" w:sz="5" w:space="0" w:color="000000"/>
            </w:tcBorders>
          </w:tcPr>
          <w:p w14:paraId="6CD0D756" w14:textId="77777777" w:rsidR="003C7D89" w:rsidRPr="00F60460" w:rsidRDefault="003C7D89" w:rsidP="00A330A9">
            <w:pPr>
              <w:pStyle w:val="Footer"/>
              <w:keepNext/>
              <w:keepLines/>
              <w:rPr>
                <w:color w:val="000000"/>
                <w:sz w:val="20"/>
              </w:rPr>
            </w:pPr>
            <w:r w:rsidRPr="00F60460">
              <w:rPr>
                <w:color w:val="000000"/>
                <w:sz w:val="20"/>
              </w:rPr>
              <w:t>Anémie, lymfopenie</w:t>
            </w:r>
          </w:p>
        </w:tc>
        <w:tc>
          <w:tcPr>
            <w:tcW w:w="1046" w:type="dxa"/>
            <w:tcBorders>
              <w:top w:val="single" w:sz="5" w:space="0" w:color="000000"/>
              <w:left w:val="single" w:sz="5" w:space="0" w:color="000000"/>
              <w:bottom w:val="single" w:sz="5" w:space="0" w:color="000000"/>
              <w:right w:val="single" w:sz="5" w:space="0" w:color="000000"/>
            </w:tcBorders>
          </w:tcPr>
          <w:p w14:paraId="22E1E7BE" w14:textId="77777777" w:rsidR="003C7D89" w:rsidRPr="00F60460" w:rsidRDefault="003C7D89" w:rsidP="00A330A9">
            <w:pPr>
              <w:pStyle w:val="Footer"/>
              <w:keepNext/>
              <w:keepLines/>
              <w:rPr>
                <w:color w:val="000000"/>
                <w:sz w:val="20"/>
              </w:rPr>
            </w:pPr>
          </w:p>
        </w:tc>
        <w:tc>
          <w:tcPr>
            <w:tcW w:w="1151" w:type="dxa"/>
            <w:tcBorders>
              <w:top w:val="single" w:sz="5" w:space="0" w:color="000000"/>
              <w:left w:val="single" w:sz="5" w:space="0" w:color="000000"/>
              <w:bottom w:val="single" w:sz="5" w:space="0" w:color="000000"/>
              <w:right w:val="single" w:sz="5" w:space="0" w:color="000000"/>
            </w:tcBorders>
          </w:tcPr>
          <w:p w14:paraId="4F843445" w14:textId="77777777" w:rsidR="003C7D89" w:rsidRPr="00F60460" w:rsidRDefault="003C7D89" w:rsidP="00A330A9">
            <w:pPr>
              <w:pStyle w:val="Footer"/>
              <w:keepNext/>
              <w:keepLines/>
              <w:rPr>
                <w:color w:val="000000"/>
                <w:sz w:val="20"/>
              </w:rPr>
            </w:pPr>
          </w:p>
        </w:tc>
        <w:tc>
          <w:tcPr>
            <w:tcW w:w="1236" w:type="dxa"/>
            <w:tcBorders>
              <w:top w:val="single" w:sz="5" w:space="0" w:color="000000"/>
              <w:left w:val="single" w:sz="5" w:space="0" w:color="000000"/>
              <w:bottom w:val="single" w:sz="5" w:space="0" w:color="000000"/>
              <w:right w:val="single" w:sz="5" w:space="0" w:color="000000"/>
            </w:tcBorders>
          </w:tcPr>
          <w:p w14:paraId="1DD62983" w14:textId="77777777" w:rsidR="003C7D89" w:rsidRPr="00F60460" w:rsidRDefault="003C7D89" w:rsidP="00A330A9">
            <w:pPr>
              <w:pStyle w:val="Footer"/>
              <w:keepNext/>
              <w:keepLines/>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3C035664" w14:textId="77777777" w:rsidR="003C7D89" w:rsidRPr="00F60460" w:rsidRDefault="003C7D89" w:rsidP="00A330A9">
            <w:pPr>
              <w:pStyle w:val="Footer"/>
              <w:keepNext/>
              <w:keepLines/>
              <w:rPr>
                <w:color w:val="000000"/>
                <w:sz w:val="20"/>
              </w:rPr>
            </w:pPr>
          </w:p>
        </w:tc>
      </w:tr>
      <w:tr w:rsidR="003C7D89" w:rsidRPr="00F60460" w14:paraId="1B791C93" w14:textId="77777777" w:rsidTr="00D43C6F">
        <w:trPr>
          <w:trHeight w:val="694"/>
        </w:trPr>
        <w:tc>
          <w:tcPr>
            <w:tcW w:w="1744" w:type="dxa"/>
            <w:tcBorders>
              <w:top w:val="single" w:sz="5" w:space="0" w:color="000000"/>
              <w:left w:val="single" w:sz="5" w:space="0" w:color="000000"/>
              <w:bottom w:val="single" w:sz="5" w:space="0" w:color="000000"/>
              <w:right w:val="single" w:sz="5" w:space="0" w:color="000000"/>
            </w:tcBorders>
          </w:tcPr>
          <w:p w14:paraId="51E30BE4" w14:textId="77777777" w:rsidR="003C7D89" w:rsidRPr="00F60460" w:rsidRDefault="003C7D89" w:rsidP="00A330A9">
            <w:pPr>
              <w:pStyle w:val="Footer"/>
              <w:keepNext/>
              <w:keepLines/>
              <w:rPr>
                <w:color w:val="000000"/>
                <w:sz w:val="20"/>
              </w:rPr>
            </w:pPr>
            <w:r w:rsidRPr="00F60460">
              <w:rPr>
                <w:color w:val="000000"/>
                <w:sz w:val="20"/>
              </w:rPr>
              <w:t>Poruchy imunitního systému</w:t>
            </w:r>
          </w:p>
        </w:tc>
        <w:tc>
          <w:tcPr>
            <w:tcW w:w="1570" w:type="dxa"/>
            <w:tcBorders>
              <w:top w:val="single" w:sz="5" w:space="0" w:color="000000"/>
              <w:left w:val="single" w:sz="5" w:space="0" w:color="000000"/>
              <w:bottom w:val="single" w:sz="5" w:space="0" w:color="000000"/>
              <w:right w:val="single" w:sz="5" w:space="0" w:color="000000"/>
            </w:tcBorders>
          </w:tcPr>
          <w:p w14:paraId="0E4C1295" w14:textId="77777777" w:rsidR="003C7D89" w:rsidRPr="00F60460" w:rsidRDefault="003C7D89" w:rsidP="00A330A9">
            <w:pPr>
              <w:pStyle w:val="Footer"/>
              <w:keepNext/>
              <w:keepLines/>
              <w:rPr>
                <w:color w:val="000000"/>
                <w:sz w:val="20"/>
              </w:rPr>
            </w:pPr>
          </w:p>
        </w:tc>
        <w:tc>
          <w:tcPr>
            <w:tcW w:w="1483" w:type="dxa"/>
            <w:tcBorders>
              <w:top w:val="single" w:sz="5" w:space="0" w:color="000000"/>
              <w:left w:val="single" w:sz="5" w:space="0" w:color="000000"/>
              <w:bottom w:val="single" w:sz="5" w:space="0" w:color="000000"/>
              <w:right w:val="single" w:sz="5" w:space="0" w:color="000000"/>
            </w:tcBorders>
          </w:tcPr>
          <w:p w14:paraId="17718F0F" w14:textId="77777777" w:rsidR="003C7D89" w:rsidRPr="00F60460" w:rsidRDefault="003C7D89" w:rsidP="00A330A9">
            <w:pPr>
              <w:pStyle w:val="Footer"/>
              <w:keepNext/>
              <w:keepLines/>
              <w:rPr>
                <w:color w:val="000000"/>
                <w:sz w:val="20"/>
              </w:rPr>
            </w:pPr>
            <w:r w:rsidRPr="00F60460">
              <w:rPr>
                <w:color w:val="000000"/>
                <w:sz w:val="20"/>
              </w:rPr>
              <w:t>Hypersenzitivita, reakce na infuzi</w:t>
            </w:r>
            <w:r w:rsidRPr="00F60460">
              <w:rPr>
                <w:color w:val="000000"/>
                <w:sz w:val="20"/>
                <w:vertAlign w:val="superscript"/>
              </w:rPr>
              <w:t>a,b,d</w:t>
            </w:r>
          </w:p>
        </w:tc>
        <w:tc>
          <w:tcPr>
            <w:tcW w:w="1046" w:type="dxa"/>
            <w:tcBorders>
              <w:top w:val="single" w:sz="5" w:space="0" w:color="000000"/>
              <w:left w:val="single" w:sz="5" w:space="0" w:color="000000"/>
              <w:bottom w:val="single" w:sz="5" w:space="0" w:color="000000"/>
              <w:right w:val="single" w:sz="5" w:space="0" w:color="000000"/>
            </w:tcBorders>
          </w:tcPr>
          <w:p w14:paraId="7A89FD60" w14:textId="77777777" w:rsidR="003C7D89" w:rsidRPr="00F60460" w:rsidRDefault="003C7D89" w:rsidP="00A330A9">
            <w:pPr>
              <w:pStyle w:val="Footer"/>
              <w:keepNext/>
              <w:keepLines/>
              <w:rPr>
                <w:color w:val="000000"/>
                <w:sz w:val="20"/>
              </w:rPr>
            </w:pPr>
          </w:p>
        </w:tc>
        <w:tc>
          <w:tcPr>
            <w:tcW w:w="1151" w:type="dxa"/>
            <w:tcBorders>
              <w:top w:val="single" w:sz="5" w:space="0" w:color="000000"/>
              <w:left w:val="single" w:sz="5" w:space="0" w:color="000000"/>
              <w:bottom w:val="single" w:sz="5" w:space="0" w:color="000000"/>
              <w:right w:val="single" w:sz="5" w:space="0" w:color="000000"/>
            </w:tcBorders>
          </w:tcPr>
          <w:p w14:paraId="1ACA3E4B" w14:textId="77777777" w:rsidR="003C7D89" w:rsidRPr="00F60460" w:rsidRDefault="006257C4" w:rsidP="00A330A9">
            <w:pPr>
              <w:pStyle w:val="Footer"/>
              <w:keepNext/>
              <w:keepLines/>
              <w:rPr>
                <w:color w:val="000000"/>
                <w:sz w:val="20"/>
                <w:vertAlign w:val="superscript"/>
              </w:rPr>
            </w:pPr>
            <w:r w:rsidRPr="00F60460">
              <w:rPr>
                <w:color w:val="000000"/>
                <w:sz w:val="20"/>
              </w:rPr>
              <w:t>Anafylaktický šok</w:t>
            </w:r>
            <w:r w:rsidRPr="00F60460">
              <w:rPr>
                <w:color w:val="000000"/>
                <w:sz w:val="20"/>
                <w:vertAlign w:val="superscript"/>
              </w:rPr>
              <w:t>a,d</w:t>
            </w:r>
          </w:p>
        </w:tc>
        <w:tc>
          <w:tcPr>
            <w:tcW w:w="1236" w:type="dxa"/>
            <w:tcBorders>
              <w:top w:val="single" w:sz="5" w:space="0" w:color="000000"/>
              <w:left w:val="single" w:sz="5" w:space="0" w:color="000000"/>
              <w:bottom w:val="single" w:sz="5" w:space="0" w:color="000000"/>
              <w:right w:val="single" w:sz="5" w:space="0" w:color="000000"/>
            </w:tcBorders>
          </w:tcPr>
          <w:p w14:paraId="5BC484CF" w14:textId="77777777" w:rsidR="003C7D89" w:rsidRPr="00F60460" w:rsidRDefault="003C7D89" w:rsidP="00A330A9">
            <w:pPr>
              <w:pStyle w:val="Footer"/>
              <w:keepNext/>
              <w:keepLines/>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1D27D091" w14:textId="77777777" w:rsidR="003C7D89" w:rsidRPr="00F60460" w:rsidRDefault="003C7D89" w:rsidP="00A330A9">
            <w:pPr>
              <w:pStyle w:val="Footer"/>
              <w:keepNext/>
              <w:keepLines/>
              <w:rPr>
                <w:color w:val="000000"/>
                <w:sz w:val="20"/>
              </w:rPr>
            </w:pPr>
          </w:p>
        </w:tc>
      </w:tr>
      <w:tr w:rsidR="003C7D89" w:rsidRPr="00F60460" w14:paraId="02AB8461" w14:textId="77777777" w:rsidTr="00D43C6F">
        <w:trPr>
          <w:trHeight w:val="694"/>
        </w:trPr>
        <w:tc>
          <w:tcPr>
            <w:tcW w:w="1744" w:type="dxa"/>
            <w:tcBorders>
              <w:top w:val="single" w:sz="5" w:space="0" w:color="000000"/>
              <w:left w:val="single" w:sz="5" w:space="0" w:color="000000"/>
              <w:bottom w:val="single" w:sz="5" w:space="0" w:color="000000"/>
              <w:right w:val="single" w:sz="5" w:space="0" w:color="000000"/>
            </w:tcBorders>
          </w:tcPr>
          <w:p w14:paraId="1049FB56" w14:textId="77777777" w:rsidR="003C7D89" w:rsidRPr="00F60460" w:rsidRDefault="003C7D89" w:rsidP="00615D31">
            <w:pPr>
              <w:pStyle w:val="Footer"/>
              <w:rPr>
                <w:color w:val="000000"/>
                <w:sz w:val="20"/>
              </w:rPr>
            </w:pPr>
            <w:r w:rsidRPr="00F60460">
              <w:rPr>
                <w:color w:val="000000"/>
                <w:sz w:val="20"/>
              </w:rPr>
              <w:t>Poruchy metabolismu a výživy</w:t>
            </w:r>
          </w:p>
        </w:tc>
        <w:tc>
          <w:tcPr>
            <w:tcW w:w="1570" w:type="dxa"/>
            <w:tcBorders>
              <w:top w:val="single" w:sz="5" w:space="0" w:color="000000"/>
              <w:left w:val="single" w:sz="5" w:space="0" w:color="000000"/>
              <w:bottom w:val="single" w:sz="5" w:space="0" w:color="000000"/>
              <w:right w:val="single" w:sz="5" w:space="0" w:color="000000"/>
            </w:tcBorders>
          </w:tcPr>
          <w:p w14:paraId="013BD41C" w14:textId="77777777" w:rsidR="003C7D89" w:rsidRPr="00F60460" w:rsidRDefault="003C7D89">
            <w:pPr>
              <w:pStyle w:val="Footer"/>
              <w:rPr>
                <w:color w:val="000000"/>
                <w:sz w:val="20"/>
              </w:rPr>
            </w:pPr>
            <w:r w:rsidRPr="00F60460">
              <w:rPr>
                <w:color w:val="000000"/>
                <w:sz w:val="20"/>
              </w:rPr>
              <w:t>Anorexie, hypomagnezemie, hyponatremie</w:t>
            </w:r>
          </w:p>
        </w:tc>
        <w:tc>
          <w:tcPr>
            <w:tcW w:w="1483" w:type="dxa"/>
            <w:tcBorders>
              <w:top w:val="single" w:sz="5" w:space="0" w:color="000000"/>
              <w:left w:val="single" w:sz="5" w:space="0" w:color="000000"/>
              <w:bottom w:val="single" w:sz="5" w:space="0" w:color="000000"/>
              <w:right w:val="single" w:sz="5" w:space="0" w:color="000000"/>
            </w:tcBorders>
          </w:tcPr>
          <w:p w14:paraId="6F44DCAF" w14:textId="77777777" w:rsidR="003C7D89" w:rsidRPr="00F60460" w:rsidRDefault="003C7D89" w:rsidP="00615D31">
            <w:pPr>
              <w:pStyle w:val="Footer"/>
              <w:rPr>
                <w:color w:val="000000"/>
                <w:sz w:val="20"/>
              </w:rPr>
            </w:pPr>
            <w:r w:rsidRPr="00F60460">
              <w:rPr>
                <w:color w:val="000000"/>
                <w:sz w:val="20"/>
              </w:rPr>
              <w:t>Dehydratace</w:t>
            </w:r>
          </w:p>
        </w:tc>
        <w:tc>
          <w:tcPr>
            <w:tcW w:w="1046" w:type="dxa"/>
            <w:tcBorders>
              <w:top w:val="single" w:sz="5" w:space="0" w:color="000000"/>
              <w:left w:val="single" w:sz="5" w:space="0" w:color="000000"/>
              <w:bottom w:val="single" w:sz="5" w:space="0" w:color="000000"/>
              <w:right w:val="single" w:sz="5" w:space="0" w:color="000000"/>
            </w:tcBorders>
          </w:tcPr>
          <w:p w14:paraId="3FD30D5A" w14:textId="77777777" w:rsidR="003C7D89" w:rsidRPr="00F60460" w:rsidRDefault="003C7D89" w:rsidP="00615D31">
            <w:pPr>
              <w:pStyle w:val="Footer"/>
              <w:rPr>
                <w:color w:val="000000"/>
                <w:sz w:val="20"/>
              </w:rPr>
            </w:pPr>
          </w:p>
        </w:tc>
        <w:tc>
          <w:tcPr>
            <w:tcW w:w="1151" w:type="dxa"/>
            <w:tcBorders>
              <w:top w:val="single" w:sz="5" w:space="0" w:color="000000"/>
              <w:left w:val="single" w:sz="5" w:space="0" w:color="000000"/>
              <w:bottom w:val="single" w:sz="5" w:space="0" w:color="000000"/>
              <w:right w:val="single" w:sz="5" w:space="0" w:color="000000"/>
            </w:tcBorders>
          </w:tcPr>
          <w:p w14:paraId="1EB40ABE" w14:textId="77777777" w:rsidR="003C7D89" w:rsidRPr="00F60460" w:rsidRDefault="003C7D89" w:rsidP="00615D31">
            <w:pPr>
              <w:pStyle w:val="Footer"/>
              <w:rPr>
                <w:color w:val="000000"/>
                <w:sz w:val="20"/>
              </w:rPr>
            </w:pPr>
          </w:p>
        </w:tc>
        <w:tc>
          <w:tcPr>
            <w:tcW w:w="1236" w:type="dxa"/>
            <w:tcBorders>
              <w:top w:val="single" w:sz="5" w:space="0" w:color="000000"/>
              <w:left w:val="single" w:sz="5" w:space="0" w:color="000000"/>
              <w:bottom w:val="single" w:sz="5" w:space="0" w:color="000000"/>
              <w:right w:val="single" w:sz="5" w:space="0" w:color="000000"/>
            </w:tcBorders>
          </w:tcPr>
          <w:p w14:paraId="7C0CD4B7" w14:textId="77777777" w:rsidR="003C7D89" w:rsidRPr="00F60460" w:rsidRDefault="003C7D89" w:rsidP="00615D31">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13496B71" w14:textId="77777777" w:rsidR="003C7D89" w:rsidRPr="00F60460" w:rsidRDefault="003C7D89" w:rsidP="00615D31">
            <w:pPr>
              <w:pStyle w:val="Footer"/>
              <w:rPr>
                <w:color w:val="000000"/>
                <w:sz w:val="20"/>
              </w:rPr>
            </w:pPr>
          </w:p>
        </w:tc>
      </w:tr>
      <w:tr w:rsidR="003C7D89" w:rsidRPr="00F60460" w14:paraId="0D8CAFAD" w14:textId="77777777" w:rsidTr="00D43C6F">
        <w:trPr>
          <w:trHeight w:val="1146"/>
        </w:trPr>
        <w:tc>
          <w:tcPr>
            <w:tcW w:w="1744" w:type="dxa"/>
            <w:tcBorders>
              <w:top w:val="single" w:sz="5" w:space="0" w:color="000000"/>
              <w:left w:val="single" w:sz="5" w:space="0" w:color="000000"/>
              <w:bottom w:val="single" w:sz="5" w:space="0" w:color="000000"/>
              <w:right w:val="single" w:sz="5" w:space="0" w:color="000000"/>
            </w:tcBorders>
          </w:tcPr>
          <w:p w14:paraId="090224CE" w14:textId="77777777" w:rsidR="003C7D89" w:rsidRPr="00F60460" w:rsidRDefault="003C7D89" w:rsidP="00615D31">
            <w:pPr>
              <w:pStyle w:val="Footer"/>
              <w:rPr>
                <w:color w:val="000000"/>
                <w:sz w:val="20"/>
              </w:rPr>
            </w:pPr>
            <w:r w:rsidRPr="00F60460">
              <w:rPr>
                <w:color w:val="000000"/>
                <w:sz w:val="20"/>
              </w:rPr>
              <w:t>Poruchy nervového systému</w:t>
            </w:r>
          </w:p>
        </w:tc>
        <w:tc>
          <w:tcPr>
            <w:tcW w:w="1570" w:type="dxa"/>
            <w:tcBorders>
              <w:top w:val="single" w:sz="5" w:space="0" w:color="000000"/>
              <w:left w:val="single" w:sz="5" w:space="0" w:color="000000"/>
              <w:bottom w:val="single" w:sz="5" w:space="0" w:color="000000"/>
              <w:right w:val="single" w:sz="5" w:space="0" w:color="000000"/>
            </w:tcBorders>
          </w:tcPr>
          <w:p w14:paraId="324AA2B8" w14:textId="77777777" w:rsidR="003C7D89" w:rsidRPr="00F60460" w:rsidRDefault="003C7D89" w:rsidP="00615D31">
            <w:pPr>
              <w:pStyle w:val="Footer"/>
              <w:rPr>
                <w:color w:val="000000"/>
                <w:sz w:val="20"/>
              </w:rPr>
            </w:pPr>
            <w:r w:rsidRPr="00F60460">
              <w:rPr>
                <w:color w:val="000000"/>
                <w:sz w:val="20"/>
              </w:rPr>
              <w:t>Periferní senzorická neuropatie</w:t>
            </w:r>
            <w:r w:rsidRPr="00F60460">
              <w:rPr>
                <w:color w:val="000000"/>
                <w:sz w:val="20"/>
                <w:vertAlign w:val="superscript"/>
              </w:rPr>
              <w:t>b</w:t>
            </w:r>
            <w:r w:rsidRPr="00F60460">
              <w:rPr>
                <w:color w:val="000000"/>
                <w:sz w:val="20"/>
              </w:rPr>
              <w:t>, dysartrie, bolest hlavy, dysgeuzie</w:t>
            </w:r>
          </w:p>
        </w:tc>
        <w:tc>
          <w:tcPr>
            <w:tcW w:w="1483" w:type="dxa"/>
            <w:tcBorders>
              <w:top w:val="single" w:sz="5" w:space="0" w:color="000000"/>
              <w:left w:val="single" w:sz="5" w:space="0" w:color="000000"/>
              <w:bottom w:val="single" w:sz="5" w:space="0" w:color="000000"/>
              <w:right w:val="single" w:sz="5" w:space="0" w:color="000000"/>
            </w:tcBorders>
          </w:tcPr>
          <w:p w14:paraId="745139EF" w14:textId="77777777" w:rsidR="003C7D89" w:rsidRPr="00F60460" w:rsidRDefault="003C7D89" w:rsidP="00615D31">
            <w:pPr>
              <w:pStyle w:val="Footer"/>
              <w:rPr>
                <w:color w:val="000000"/>
                <w:sz w:val="20"/>
              </w:rPr>
            </w:pPr>
            <w:r w:rsidRPr="00F60460">
              <w:rPr>
                <w:color w:val="000000"/>
                <w:sz w:val="20"/>
              </w:rPr>
              <w:t>Cévní mozková příhoda, synkopa, somnolence</w:t>
            </w:r>
          </w:p>
        </w:tc>
        <w:tc>
          <w:tcPr>
            <w:tcW w:w="1046" w:type="dxa"/>
            <w:tcBorders>
              <w:top w:val="single" w:sz="5" w:space="0" w:color="000000"/>
              <w:left w:val="single" w:sz="5" w:space="0" w:color="000000"/>
              <w:bottom w:val="single" w:sz="5" w:space="0" w:color="000000"/>
              <w:right w:val="single" w:sz="5" w:space="0" w:color="000000"/>
            </w:tcBorders>
          </w:tcPr>
          <w:p w14:paraId="6B287341" w14:textId="77777777" w:rsidR="003C7D89" w:rsidRPr="00F60460" w:rsidRDefault="003C7D89" w:rsidP="00615D31">
            <w:pPr>
              <w:pStyle w:val="Footer"/>
              <w:rPr>
                <w:color w:val="000000"/>
                <w:sz w:val="20"/>
              </w:rPr>
            </w:pPr>
          </w:p>
        </w:tc>
        <w:tc>
          <w:tcPr>
            <w:tcW w:w="1151" w:type="dxa"/>
            <w:tcBorders>
              <w:top w:val="single" w:sz="5" w:space="0" w:color="000000"/>
              <w:left w:val="single" w:sz="5" w:space="0" w:color="000000"/>
              <w:bottom w:val="single" w:sz="5" w:space="0" w:color="000000"/>
              <w:right w:val="single" w:sz="5" w:space="0" w:color="000000"/>
            </w:tcBorders>
          </w:tcPr>
          <w:p w14:paraId="09DA7CBA" w14:textId="77777777" w:rsidR="003C7D89" w:rsidRPr="00F60460" w:rsidRDefault="003C7D89">
            <w:pPr>
              <w:pStyle w:val="Footer"/>
              <w:rPr>
                <w:color w:val="000000"/>
                <w:sz w:val="20"/>
              </w:rPr>
            </w:pPr>
            <w:r w:rsidRPr="00F60460">
              <w:rPr>
                <w:color w:val="000000"/>
                <w:sz w:val="20"/>
              </w:rPr>
              <w:t xml:space="preserve">Syndrom posteriorní reverzibilní encefalopatie </w:t>
            </w:r>
            <w:r w:rsidRPr="00F60460">
              <w:rPr>
                <w:color w:val="000000"/>
                <w:sz w:val="20"/>
                <w:vertAlign w:val="superscript"/>
              </w:rPr>
              <w:t>a,b,d</w:t>
            </w:r>
          </w:p>
        </w:tc>
        <w:tc>
          <w:tcPr>
            <w:tcW w:w="1236" w:type="dxa"/>
            <w:tcBorders>
              <w:top w:val="single" w:sz="5" w:space="0" w:color="000000"/>
              <w:left w:val="single" w:sz="5" w:space="0" w:color="000000"/>
              <w:bottom w:val="single" w:sz="5" w:space="0" w:color="000000"/>
              <w:right w:val="single" w:sz="5" w:space="0" w:color="000000"/>
            </w:tcBorders>
          </w:tcPr>
          <w:p w14:paraId="1DEFA5A4" w14:textId="77777777" w:rsidR="003C7D89" w:rsidRPr="00F60460" w:rsidRDefault="003C7D89" w:rsidP="00615D31">
            <w:pPr>
              <w:pStyle w:val="Footer"/>
              <w:rPr>
                <w:color w:val="000000"/>
                <w:sz w:val="20"/>
              </w:rPr>
            </w:pPr>
            <w:r w:rsidRPr="00F60460">
              <w:rPr>
                <w:color w:val="000000"/>
                <w:sz w:val="20"/>
              </w:rPr>
              <w:t>Hypertenzní encefalopatie</w:t>
            </w:r>
            <w:r w:rsidRPr="00F60460">
              <w:rPr>
                <w:color w:val="000000"/>
                <w:sz w:val="20"/>
                <w:vertAlign w:val="superscript"/>
              </w:rPr>
              <w:t>a</w:t>
            </w:r>
          </w:p>
        </w:tc>
        <w:tc>
          <w:tcPr>
            <w:tcW w:w="1276" w:type="dxa"/>
            <w:tcBorders>
              <w:top w:val="single" w:sz="5" w:space="0" w:color="000000"/>
              <w:left w:val="single" w:sz="5" w:space="0" w:color="000000"/>
              <w:bottom w:val="single" w:sz="5" w:space="0" w:color="000000"/>
              <w:right w:val="single" w:sz="5" w:space="0" w:color="000000"/>
            </w:tcBorders>
          </w:tcPr>
          <w:p w14:paraId="0DB255A7" w14:textId="77777777" w:rsidR="003C7D89" w:rsidRPr="00F60460" w:rsidRDefault="003C7D89" w:rsidP="00615D31">
            <w:pPr>
              <w:pStyle w:val="Footer"/>
              <w:rPr>
                <w:color w:val="000000"/>
                <w:sz w:val="20"/>
              </w:rPr>
            </w:pPr>
          </w:p>
        </w:tc>
      </w:tr>
      <w:tr w:rsidR="003C7D89" w:rsidRPr="00F60460" w14:paraId="14AA90F5" w14:textId="77777777" w:rsidTr="00D43C6F">
        <w:trPr>
          <w:trHeight w:val="467"/>
        </w:trPr>
        <w:tc>
          <w:tcPr>
            <w:tcW w:w="1744" w:type="dxa"/>
            <w:tcBorders>
              <w:top w:val="single" w:sz="5" w:space="0" w:color="000000"/>
              <w:left w:val="single" w:sz="5" w:space="0" w:color="000000"/>
              <w:bottom w:val="single" w:sz="4" w:space="0" w:color="000000"/>
              <w:right w:val="single" w:sz="5" w:space="0" w:color="000000"/>
            </w:tcBorders>
          </w:tcPr>
          <w:p w14:paraId="693C48AD" w14:textId="77777777" w:rsidR="003C7D89" w:rsidRPr="00F60460" w:rsidRDefault="003C7D89" w:rsidP="00615D31">
            <w:pPr>
              <w:pStyle w:val="Footer"/>
              <w:rPr>
                <w:color w:val="000000"/>
                <w:sz w:val="20"/>
              </w:rPr>
            </w:pPr>
            <w:r w:rsidRPr="00F60460">
              <w:rPr>
                <w:color w:val="000000"/>
                <w:sz w:val="20"/>
              </w:rPr>
              <w:t>Poruchy oka</w:t>
            </w:r>
          </w:p>
        </w:tc>
        <w:tc>
          <w:tcPr>
            <w:tcW w:w="1570" w:type="dxa"/>
            <w:tcBorders>
              <w:top w:val="single" w:sz="5" w:space="0" w:color="000000"/>
              <w:left w:val="single" w:sz="5" w:space="0" w:color="000000"/>
              <w:bottom w:val="single" w:sz="4" w:space="0" w:color="000000"/>
              <w:right w:val="single" w:sz="5" w:space="0" w:color="000000"/>
            </w:tcBorders>
          </w:tcPr>
          <w:p w14:paraId="48BD03F7" w14:textId="77777777" w:rsidR="003C7D89" w:rsidRPr="00F60460" w:rsidRDefault="003C7D89" w:rsidP="00615D31">
            <w:pPr>
              <w:pStyle w:val="Footer"/>
              <w:rPr>
                <w:color w:val="000000"/>
                <w:sz w:val="20"/>
              </w:rPr>
            </w:pPr>
            <w:r w:rsidRPr="00F60460">
              <w:rPr>
                <w:color w:val="000000"/>
                <w:sz w:val="20"/>
              </w:rPr>
              <w:t>Porucha oka, zvýšené slzení</w:t>
            </w:r>
          </w:p>
        </w:tc>
        <w:tc>
          <w:tcPr>
            <w:tcW w:w="1483" w:type="dxa"/>
            <w:tcBorders>
              <w:top w:val="single" w:sz="5" w:space="0" w:color="000000"/>
              <w:left w:val="single" w:sz="5" w:space="0" w:color="000000"/>
              <w:bottom w:val="single" w:sz="4" w:space="0" w:color="000000"/>
              <w:right w:val="single" w:sz="5" w:space="0" w:color="000000"/>
            </w:tcBorders>
          </w:tcPr>
          <w:p w14:paraId="164E02E2" w14:textId="77777777" w:rsidR="003C7D89" w:rsidRPr="00F60460" w:rsidRDefault="003C7D89" w:rsidP="00615D31">
            <w:pPr>
              <w:pStyle w:val="Footer"/>
              <w:rPr>
                <w:color w:val="000000"/>
                <w:sz w:val="20"/>
              </w:rPr>
            </w:pPr>
          </w:p>
        </w:tc>
        <w:tc>
          <w:tcPr>
            <w:tcW w:w="1046" w:type="dxa"/>
            <w:tcBorders>
              <w:top w:val="single" w:sz="5" w:space="0" w:color="000000"/>
              <w:left w:val="single" w:sz="5" w:space="0" w:color="000000"/>
              <w:bottom w:val="single" w:sz="4" w:space="0" w:color="000000"/>
              <w:right w:val="single" w:sz="5" w:space="0" w:color="000000"/>
            </w:tcBorders>
          </w:tcPr>
          <w:p w14:paraId="49D15E02" w14:textId="77777777" w:rsidR="003C7D89" w:rsidRPr="00F60460" w:rsidRDefault="003C7D89" w:rsidP="00615D31">
            <w:pPr>
              <w:pStyle w:val="Footer"/>
              <w:rPr>
                <w:color w:val="000000"/>
                <w:sz w:val="20"/>
              </w:rPr>
            </w:pPr>
          </w:p>
        </w:tc>
        <w:tc>
          <w:tcPr>
            <w:tcW w:w="1151" w:type="dxa"/>
            <w:tcBorders>
              <w:top w:val="single" w:sz="5" w:space="0" w:color="000000"/>
              <w:left w:val="single" w:sz="5" w:space="0" w:color="000000"/>
              <w:bottom w:val="single" w:sz="4" w:space="0" w:color="000000"/>
              <w:right w:val="single" w:sz="5" w:space="0" w:color="000000"/>
            </w:tcBorders>
          </w:tcPr>
          <w:p w14:paraId="00105EA1" w14:textId="77777777" w:rsidR="003C7D89" w:rsidRPr="00F60460" w:rsidRDefault="003C7D89" w:rsidP="00615D31">
            <w:pPr>
              <w:pStyle w:val="Footer"/>
              <w:rPr>
                <w:color w:val="000000"/>
                <w:sz w:val="20"/>
              </w:rPr>
            </w:pPr>
          </w:p>
        </w:tc>
        <w:tc>
          <w:tcPr>
            <w:tcW w:w="1236" w:type="dxa"/>
            <w:tcBorders>
              <w:top w:val="single" w:sz="5" w:space="0" w:color="000000"/>
              <w:left w:val="single" w:sz="5" w:space="0" w:color="000000"/>
              <w:bottom w:val="single" w:sz="4" w:space="0" w:color="000000"/>
              <w:right w:val="single" w:sz="5" w:space="0" w:color="000000"/>
            </w:tcBorders>
          </w:tcPr>
          <w:p w14:paraId="0F0AE92F" w14:textId="77777777" w:rsidR="003C7D89" w:rsidRPr="00F60460" w:rsidRDefault="003C7D89" w:rsidP="00615D31">
            <w:pPr>
              <w:pStyle w:val="Footer"/>
              <w:rPr>
                <w:color w:val="000000"/>
                <w:sz w:val="20"/>
              </w:rPr>
            </w:pPr>
          </w:p>
        </w:tc>
        <w:tc>
          <w:tcPr>
            <w:tcW w:w="1276" w:type="dxa"/>
            <w:tcBorders>
              <w:top w:val="single" w:sz="5" w:space="0" w:color="000000"/>
              <w:left w:val="single" w:sz="5" w:space="0" w:color="000000"/>
              <w:bottom w:val="single" w:sz="4" w:space="0" w:color="000000"/>
              <w:right w:val="single" w:sz="5" w:space="0" w:color="000000"/>
            </w:tcBorders>
          </w:tcPr>
          <w:p w14:paraId="30A06760" w14:textId="77777777" w:rsidR="003C7D89" w:rsidRPr="00F60460" w:rsidRDefault="003C7D89" w:rsidP="00615D31">
            <w:pPr>
              <w:pStyle w:val="Footer"/>
              <w:rPr>
                <w:color w:val="000000"/>
                <w:sz w:val="20"/>
              </w:rPr>
            </w:pPr>
          </w:p>
        </w:tc>
      </w:tr>
      <w:tr w:rsidR="003C7D89" w:rsidRPr="00F60460" w14:paraId="4E1AB2AC" w14:textId="77777777" w:rsidTr="00D43C6F">
        <w:trPr>
          <w:trHeight w:val="920"/>
        </w:trPr>
        <w:tc>
          <w:tcPr>
            <w:tcW w:w="1744" w:type="dxa"/>
            <w:tcBorders>
              <w:top w:val="single" w:sz="4" w:space="0" w:color="000000"/>
              <w:left w:val="single" w:sz="4" w:space="0" w:color="000000"/>
              <w:bottom w:val="single" w:sz="4" w:space="0" w:color="000000"/>
              <w:right w:val="single" w:sz="4" w:space="0" w:color="000000"/>
            </w:tcBorders>
          </w:tcPr>
          <w:p w14:paraId="6E87C86A" w14:textId="77777777" w:rsidR="003C7D89" w:rsidRPr="00F60460" w:rsidRDefault="003C7D89" w:rsidP="00615D31">
            <w:pPr>
              <w:pStyle w:val="Footer"/>
              <w:rPr>
                <w:color w:val="000000"/>
                <w:sz w:val="20"/>
              </w:rPr>
            </w:pPr>
            <w:r w:rsidRPr="00F60460">
              <w:rPr>
                <w:color w:val="000000"/>
                <w:sz w:val="20"/>
              </w:rPr>
              <w:t>Srdeční poruchy</w:t>
            </w:r>
          </w:p>
        </w:tc>
        <w:tc>
          <w:tcPr>
            <w:tcW w:w="1570" w:type="dxa"/>
            <w:tcBorders>
              <w:top w:val="single" w:sz="4" w:space="0" w:color="000000"/>
              <w:left w:val="single" w:sz="4" w:space="0" w:color="000000"/>
              <w:bottom w:val="single" w:sz="4" w:space="0" w:color="000000"/>
              <w:right w:val="single" w:sz="4" w:space="0" w:color="000000"/>
            </w:tcBorders>
          </w:tcPr>
          <w:p w14:paraId="6A207A4C" w14:textId="77777777" w:rsidR="003C7D89" w:rsidRPr="00F60460" w:rsidRDefault="003C7D89" w:rsidP="00615D31">
            <w:pPr>
              <w:pStyle w:val="Footer"/>
              <w:rPr>
                <w:color w:val="000000"/>
                <w:sz w:val="20"/>
              </w:rPr>
            </w:pPr>
          </w:p>
        </w:tc>
        <w:tc>
          <w:tcPr>
            <w:tcW w:w="1483" w:type="dxa"/>
            <w:tcBorders>
              <w:top w:val="single" w:sz="4" w:space="0" w:color="000000"/>
              <w:left w:val="single" w:sz="4" w:space="0" w:color="000000"/>
              <w:bottom w:val="single" w:sz="4" w:space="0" w:color="000000"/>
              <w:right w:val="single" w:sz="4" w:space="0" w:color="000000"/>
            </w:tcBorders>
          </w:tcPr>
          <w:p w14:paraId="7B00B61C" w14:textId="77777777" w:rsidR="003C7D89" w:rsidRPr="00F60460" w:rsidRDefault="003C7D89" w:rsidP="00615D31">
            <w:pPr>
              <w:pStyle w:val="Footer"/>
              <w:rPr>
                <w:color w:val="000000"/>
                <w:sz w:val="20"/>
              </w:rPr>
            </w:pPr>
            <w:r w:rsidRPr="00F60460">
              <w:rPr>
                <w:color w:val="000000"/>
                <w:sz w:val="20"/>
              </w:rPr>
              <w:t>Městnavé srdeční selhání</w:t>
            </w:r>
            <w:r w:rsidRPr="00F60460">
              <w:rPr>
                <w:color w:val="000000"/>
                <w:sz w:val="20"/>
                <w:vertAlign w:val="superscript"/>
              </w:rPr>
              <w:t>b,d</w:t>
            </w:r>
            <w:r w:rsidRPr="00F60460">
              <w:rPr>
                <w:color w:val="000000"/>
                <w:sz w:val="20"/>
              </w:rPr>
              <w:t>, supraventrikulární tachykardie</w:t>
            </w:r>
          </w:p>
        </w:tc>
        <w:tc>
          <w:tcPr>
            <w:tcW w:w="1046" w:type="dxa"/>
            <w:tcBorders>
              <w:top w:val="single" w:sz="4" w:space="0" w:color="000000"/>
              <w:left w:val="single" w:sz="4" w:space="0" w:color="000000"/>
              <w:bottom w:val="single" w:sz="4" w:space="0" w:color="000000"/>
              <w:right w:val="single" w:sz="4" w:space="0" w:color="000000"/>
            </w:tcBorders>
          </w:tcPr>
          <w:p w14:paraId="65573DB7" w14:textId="77777777" w:rsidR="003C7D89" w:rsidRPr="00F60460" w:rsidRDefault="003C7D89" w:rsidP="00615D31">
            <w:pPr>
              <w:pStyle w:val="Footer"/>
              <w:rPr>
                <w:color w:val="000000"/>
                <w:sz w:val="20"/>
              </w:rPr>
            </w:pPr>
          </w:p>
        </w:tc>
        <w:tc>
          <w:tcPr>
            <w:tcW w:w="1151" w:type="dxa"/>
            <w:tcBorders>
              <w:top w:val="single" w:sz="4" w:space="0" w:color="000000"/>
              <w:left w:val="single" w:sz="4" w:space="0" w:color="000000"/>
              <w:bottom w:val="single" w:sz="4" w:space="0" w:color="000000"/>
              <w:right w:val="single" w:sz="4" w:space="0" w:color="000000"/>
            </w:tcBorders>
          </w:tcPr>
          <w:p w14:paraId="5EE784E6" w14:textId="77777777" w:rsidR="003C7D89" w:rsidRPr="00F60460" w:rsidRDefault="003C7D89" w:rsidP="00615D31">
            <w:pPr>
              <w:pStyle w:val="Footer"/>
              <w:rPr>
                <w:color w:val="000000"/>
                <w:sz w:val="20"/>
              </w:rPr>
            </w:pPr>
          </w:p>
        </w:tc>
        <w:tc>
          <w:tcPr>
            <w:tcW w:w="1236" w:type="dxa"/>
            <w:tcBorders>
              <w:top w:val="single" w:sz="4" w:space="0" w:color="000000"/>
              <w:left w:val="single" w:sz="4" w:space="0" w:color="000000"/>
              <w:bottom w:val="single" w:sz="4" w:space="0" w:color="000000"/>
              <w:right w:val="single" w:sz="4" w:space="0" w:color="000000"/>
            </w:tcBorders>
          </w:tcPr>
          <w:p w14:paraId="72E24936" w14:textId="77777777" w:rsidR="003C7D89" w:rsidRPr="00F60460" w:rsidRDefault="003C7D89" w:rsidP="00615D31">
            <w:pPr>
              <w:pStyle w:val="Footer"/>
              <w:rPr>
                <w:color w:val="000000"/>
                <w:sz w:val="20"/>
              </w:rPr>
            </w:pPr>
          </w:p>
        </w:tc>
        <w:tc>
          <w:tcPr>
            <w:tcW w:w="1276" w:type="dxa"/>
            <w:tcBorders>
              <w:top w:val="single" w:sz="4" w:space="0" w:color="000000"/>
              <w:left w:val="single" w:sz="4" w:space="0" w:color="000000"/>
              <w:bottom w:val="single" w:sz="4" w:space="0" w:color="000000"/>
              <w:right w:val="single" w:sz="4" w:space="0" w:color="000000"/>
            </w:tcBorders>
          </w:tcPr>
          <w:p w14:paraId="6E1F9EC4" w14:textId="77777777" w:rsidR="003C7D89" w:rsidRPr="00F60460" w:rsidRDefault="003C7D89" w:rsidP="00615D31">
            <w:pPr>
              <w:pStyle w:val="Footer"/>
              <w:rPr>
                <w:color w:val="000000"/>
                <w:sz w:val="20"/>
              </w:rPr>
            </w:pPr>
          </w:p>
        </w:tc>
      </w:tr>
      <w:tr w:rsidR="003C7D89" w:rsidRPr="00F60460" w14:paraId="5CEFEE4C" w14:textId="77777777" w:rsidTr="00D43C6F">
        <w:trPr>
          <w:trHeight w:val="1373"/>
        </w:trPr>
        <w:tc>
          <w:tcPr>
            <w:tcW w:w="1744" w:type="dxa"/>
            <w:tcBorders>
              <w:top w:val="single" w:sz="4" w:space="0" w:color="000000"/>
              <w:left w:val="single" w:sz="5" w:space="0" w:color="000000"/>
              <w:bottom w:val="single" w:sz="5" w:space="0" w:color="000000"/>
              <w:right w:val="single" w:sz="5" w:space="0" w:color="000000"/>
            </w:tcBorders>
          </w:tcPr>
          <w:p w14:paraId="714558DB" w14:textId="77777777" w:rsidR="003C7D89" w:rsidRPr="00F60460" w:rsidRDefault="003C7D89" w:rsidP="00615D31">
            <w:pPr>
              <w:pStyle w:val="TableText"/>
              <w:ind w:right="-180"/>
              <w:rPr>
                <w:rFonts w:cs="Times New Roman"/>
                <w:color w:val="000000"/>
              </w:rPr>
            </w:pPr>
            <w:r w:rsidRPr="00F60460">
              <w:rPr>
                <w:color w:val="000000"/>
              </w:rPr>
              <w:t>Cévní poruchy</w:t>
            </w:r>
          </w:p>
        </w:tc>
        <w:tc>
          <w:tcPr>
            <w:tcW w:w="1570" w:type="dxa"/>
            <w:tcBorders>
              <w:top w:val="single" w:sz="4" w:space="0" w:color="000000"/>
              <w:left w:val="single" w:sz="5" w:space="0" w:color="000000"/>
              <w:bottom w:val="single" w:sz="5" w:space="0" w:color="000000"/>
              <w:right w:val="single" w:sz="5" w:space="0" w:color="000000"/>
            </w:tcBorders>
          </w:tcPr>
          <w:p w14:paraId="0C6ECABD" w14:textId="77777777" w:rsidR="003C7D89" w:rsidRPr="00F60460" w:rsidRDefault="003C7D89" w:rsidP="00615D31">
            <w:pPr>
              <w:pStyle w:val="TableText"/>
              <w:rPr>
                <w:rFonts w:cs="Times New Roman"/>
                <w:color w:val="000000"/>
              </w:rPr>
            </w:pPr>
            <w:r w:rsidRPr="00F60460">
              <w:rPr>
                <w:color w:val="000000"/>
              </w:rPr>
              <w:t>Hypertenze</w:t>
            </w:r>
            <w:r w:rsidRPr="00F60460">
              <w:rPr>
                <w:color w:val="000000"/>
                <w:vertAlign w:val="superscript"/>
              </w:rPr>
              <w:t>b,d</w:t>
            </w:r>
            <w:r w:rsidRPr="00F60460">
              <w:rPr>
                <w:color w:val="000000"/>
              </w:rPr>
              <w:t>, tromboembolie (žilní)</w:t>
            </w:r>
            <w:r w:rsidRPr="00F60460">
              <w:rPr>
                <w:color w:val="000000"/>
                <w:vertAlign w:val="superscript"/>
              </w:rPr>
              <w:t>b,d</w:t>
            </w:r>
          </w:p>
        </w:tc>
        <w:tc>
          <w:tcPr>
            <w:tcW w:w="1483" w:type="dxa"/>
            <w:tcBorders>
              <w:top w:val="single" w:sz="4" w:space="0" w:color="000000"/>
              <w:left w:val="single" w:sz="5" w:space="0" w:color="000000"/>
              <w:bottom w:val="single" w:sz="5" w:space="0" w:color="000000"/>
              <w:right w:val="single" w:sz="5" w:space="0" w:color="000000"/>
            </w:tcBorders>
          </w:tcPr>
          <w:p w14:paraId="11646DD5" w14:textId="77777777" w:rsidR="003C7D89" w:rsidRPr="00F60460" w:rsidRDefault="003C7D89" w:rsidP="00615D31">
            <w:pPr>
              <w:pStyle w:val="TableText"/>
              <w:rPr>
                <w:rFonts w:cs="Times New Roman"/>
                <w:color w:val="000000"/>
              </w:rPr>
            </w:pPr>
            <w:r w:rsidRPr="00F60460">
              <w:rPr>
                <w:color w:val="000000"/>
              </w:rPr>
              <w:t>Tromboembolie (arteriální)</w:t>
            </w:r>
            <w:r w:rsidRPr="00F60460">
              <w:rPr>
                <w:color w:val="000000"/>
                <w:vertAlign w:val="superscript"/>
              </w:rPr>
              <w:t>b,d</w:t>
            </w:r>
            <w:r w:rsidRPr="00F60460">
              <w:rPr>
                <w:color w:val="000000"/>
              </w:rPr>
              <w:t>, krvácení</w:t>
            </w:r>
            <w:r w:rsidRPr="00F60460">
              <w:rPr>
                <w:color w:val="000000"/>
                <w:vertAlign w:val="superscript"/>
              </w:rPr>
              <w:t>b,d</w:t>
            </w:r>
            <w:r w:rsidRPr="00F60460">
              <w:rPr>
                <w:color w:val="000000"/>
              </w:rPr>
              <w:t>, hluboká žilní trombóza</w:t>
            </w:r>
          </w:p>
        </w:tc>
        <w:tc>
          <w:tcPr>
            <w:tcW w:w="1046" w:type="dxa"/>
            <w:tcBorders>
              <w:top w:val="single" w:sz="4" w:space="0" w:color="000000"/>
              <w:left w:val="single" w:sz="5" w:space="0" w:color="000000"/>
              <w:bottom w:val="single" w:sz="5" w:space="0" w:color="000000"/>
              <w:right w:val="single" w:sz="5" w:space="0" w:color="000000"/>
            </w:tcBorders>
          </w:tcPr>
          <w:p w14:paraId="54D64E8F" w14:textId="77777777" w:rsidR="003C7D89" w:rsidRPr="00F60460" w:rsidRDefault="003C7D89" w:rsidP="00615D31">
            <w:pPr>
              <w:pStyle w:val="Footer"/>
              <w:rPr>
                <w:color w:val="000000"/>
                <w:sz w:val="20"/>
              </w:rPr>
            </w:pPr>
          </w:p>
        </w:tc>
        <w:tc>
          <w:tcPr>
            <w:tcW w:w="1151" w:type="dxa"/>
            <w:tcBorders>
              <w:top w:val="single" w:sz="4" w:space="0" w:color="000000"/>
              <w:left w:val="single" w:sz="5" w:space="0" w:color="000000"/>
              <w:bottom w:val="single" w:sz="5" w:space="0" w:color="000000"/>
              <w:right w:val="single" w:sz="5" w:space="0" w:color="000000"/>
            </w:tcBorders>
          </w:tcPr>
          <w:p w14:paraId="3C90970C" w14:textId="77777777" w:rsidR="003C7D89" w:rsidRPr="00F60460" w:rsidRDefault="003C7D89" w:rsidP="00615D31">
            <w:pPr>
              <w:pStyle w:val="Footer"/>
              <w:rPr>
                <w:color w:val="000000"/>
                <w:sz w:val="20"/>
              </w:rPr>
            </w:pPr>
          </w:p>
        </w:tc>
        <w:tc>
          <w:tcPr>
            <w:tcW w:w="1236" w:type="dxa"/>
            <w:tcBorders>
              <w:top w:val="single" w:sz="4" w:space="0" w:color="000000"/>
              <w:left w:val="single" w:sz="5" w:space="0" w:color="000000"/>
              <w:bottom w:val="single" w:sz="5" w:space="0" w:color="000000"/>
              <w:right w:val="single" w:sz="5" w:space="0" w:color="000000"/>
            </w:tcBorders>
          </w:tcPr>
          <w:p w14:paraId="11FF6BB2" w14:textId="77777777" w:rsidR="003C7D89" w:rsidRPr="00F60460" w:rsidRDefault="003C7D89" w:rsidP="00615D31">
            <w:pPr>
              <w:pStyle w:val="Footer"/>
              <w:rPr>
                <w:color w:val="000000"/>
                <w:sz w:val="20"/>
              </w:rPr>
            </w:pPr>
          </w:p>
        </w:tc>
        <w:tc>
          <w:tcPr>
            <w:tcW w:w="1276" w:type="dxa"/>
            <w:tcBorders>
              <w:top w:val="single" w:sz="4" w:space="0" w:color="000000"/>
              <w:left w:val="single" w:sz="5" w:space="0" w:color="000000"/>
              <w:bottom w:val="single" w:sz="5" w:space="0" w:color="000000"/>
              <w:right w:val="single" w:sz="5" w:space="0" w:color="000000"/>
            </w:tcBorders>
          </w:tcPr>
          <w:p w14:paraId="0ED35852" w14:textId="77777777" w:rsidR="003C7D89" w:rsidRPr="00F60460" w:rsidRDefault="008A4147" w:rsidP="00615D31">
            <w:pPr>
              <w:pStyle w:val="Footer"/>
              <w:rPr>
                <w:color w:val="000000"/>
                <w:sz w:val="20"/>
              </w:rPr>
            </w:pPr>
            <w:r w:rsidRPr="00F60460">
              <w:rPr>
                <w:color w:val="000000"/>
                <w:sz w:val="20"/>
              </w:rPr>
              <w:t>Aneurysmata a arteriální disekce, r</w:t>
            </w:r>
            <w:r w:rsidR="003C7D89" w:rsidRPr="00F60460">
              <w:rPr>
                <w:color w:val="000000"/>
                <w:sz w:val="20"/>
              </w:rPr>
              <w:t>enální trombotická mikroangiopatie</w:t>
            </w:r>
            <w:r w:rsidR="003C7D89" w:rsidRPr="00F60460">
              <w:rPr>
                <w:color w:val="000000"/>
                <w:sz w:val="20"/>
                <w:vertAlign w:val="superscript"/>
              </w:rPr>
              <w:t>a,b</w:t>
            </w:r>
          </w:p>
        </w:tc>
      </w:tr>
      <w:tr w:rsidR="003C7D89" w:rsidRPr="00F60460" w14:paraId="7EC9E8FD" w14:textId="77777777" w:rsidTr="00D43C6F">
        <w:trPr>
          <w:trHeight w:val="920"/>
        </w:trPr>
        <w:tc>
          <w:tcPr>
            <w:tcW w:w="1744" w:type="dxa"/>
            <w:tcBorders>
              <w:top w:val="single" w:sz="5" w:space="0" w:color="000000"/>
              <w:left w:val="single" w:sz="5" w:space="0" w:color="000000"/>
              <w:bottom w:val="single" w:sz="5" w:space="0" w:color="000000"/>
              <w:right w:val="single" w:sz="5" w:space="0" w:color="000000"/>
            </w:tcBorders>
          </w:tcPr>
          <w:p w14:paraId="7B95AF66" w14:textId="77777777" w:rsidR="003C7D89" w:rsidRPr="00F60460" w:rsidRDefault="003C7D89" w:rsidP="00615D31">
            <w:pPr>
              <w:pStyle w:val="Footer"/>
              <w:rPr>
                <w:color w:val="000000"/>
                <w:sz w:val="20"/>
              </w:rPr>
            </w:pPr>
            <w:r w:rsidRPr="00F60460">
              <w:rPr>
                <w:color w:val="000000"/>
                <w:sz w:val="20"/>
              </w:rPr>
              <w:t>Respirační, hrudní a mediastinální poruchy</w:t>
            </w:r>
          </w:p>
        </w:tc>
        <w:tc>
          <w:tcPr>
            <w:tcW w:w="1570" w:type="dxa"/>
            <w:tcBorders>
              <w:top w:val="single" w:sz="5" w:space="0" w:color="000000"/>
              <w:left w:val="single" w:sz="5" w:space="0" w:color="000000"/>
              <w:bottom w:val="single" w:sz="5" w:space="0" w:color="000000"/>
              <w:right w:val="single" w:sz="5" w:space="0" w:color="000000"/>
            </w:tcBorders>
          </w:tcPr>
          <w:p w14:paraId="3876DB6F" w14:textId="77777777" w:rsidR="003C7D89" w:rsidRPr="00F60460" w:rsidRDefault="003C7D89" w:rsidP="00615D31">
            <w:pPr>
              <w:pStyle w:val="Footer"/>
              <w:rPr>
                <w:color w:val="000000"/>
                <w:sz w:val="20"/>
              </w:rPr>
            </w:pPr>
            <w:r w:rsidRPr="00F60460">
              <w:rPr>
                <w:color w:val="000000"/>
                <w:sz w:val="20"/>
              </w:rPr>
              <w:t>Dyspnoe, rinitida, epistaxe, kašel</w:t>
            </w:r>
          </w:p>
        </w:tc>
        <w:tc>
          <w:tcPr>
            <w:tcW w:w="1483" w:type="dxa"/>
            <w:tcBorders>
              <w:top w:val="single" w:sz="5" w:space="0" w:color="000000"/>
              <w:left w:val="single" w:sz="5" w:space="0" w:color="000000"/>
              <w:bottom w:val="single" w:sz="5" w:space="0" w:color="000000"/>
              <w:right w:val="single" w:sz="5" w:space="0" w:color="000000"/>
            </w:tcBorders>
          </w:tcPr>
          <w:p w14:paraId="42CD0312" w14:textId="77777777" w:rsidR="003C7D89" w:rsidRPr="00F60460" w:rsidRDefault="003C7D89" w:rsidP="00615D31">
            <w:pPr>
              <w:pStyle w:val="Footer"/>
              <w:rPr>
                <w:color w:val="000000"/>
                <w:sz w:val="20"/>
              </w:rPr>
            </w:pPr>
            <w:r w:rsidRPr="00F60460">
              <w:rPr>
                <w:color w:val="000000"/>
                <w:sz w:val="20"/>
              </w:rPr>
              <w:t>Plicní krvácení / hemoptýza</w:t>
            </w:r>
            <w:r w:rsidRPr="00F60460">
              <w:rPr>
                <w:color w:val="000000"/>
                <w:sz w:val="20"/>
                <w:vertAlign w:val="superscript"/>
              </w:rPr>
              <w:t>b,d</w:t>
            </w:r>
            <w:r w:rsidRPr="00F60460">
              <w:rPr>
                <w:color w:val="000000"/>
                <w:sz w:val="20"/>
              </w:rPr>
              <w:t>, plicní embolie, hypoxie, dysfonie</w:t>
            </w:r>
            <w:r w:rsidRPr="00F60460">
              <w:rPr>
                <w:color w:val="000000"/>
                <w:sz w:val="20"/>
                <w:vertAlign w:val="superscript"/>
              </w:rPr>
              <w:t>a</w:t>
            </w:r>
          </w:p>
        </w:tc>
        <w:tc>
          <w:tcPr>
            <w:tcW w:w="1046" w:type="dxa"/>
            <w:tcBorders>
              <w:top w:val="single" w:sz="5" w:space="0" w:color="000000"/>
              <w:left w:val="single" w:sz="5" w:space="0" w:color="000000"/>
              <w:bottom w:val="single" w:sz="5" w:space="0" w:color="000000"/>
              <w:right w:val="single" w:sz="5" w:space="0" w:color="000000"/>
            </w:tcBorders>
          </w:tcPr>
          <w:p w14:paraId="4DFBA9E5" w14:textId="77777777" w:rsidR="003C7D89" w:rsidRPr="00F60460" w:rsidRDefault="003C7D89" w:rsidP="00615D31">
            <w:pPr>
              <w:pStyle w:val="Footer"/>
              <w:rPr>
                <w:color w:val="000000"/>
                <w:sz w:val="20"/>
              </w:rPr>
            </w:pPr>
          </w:p>
        </w:tc>
        <w:tc>
          <w:tcPr>
            <w:tcW w:w="1151" w:type="dxa"/>
            <w:tcBorders>
              <w:top w:val="single" w:sz="5" w:space="0" w:color="000000"/>
              <w:left w:val="single" w:sz="5" w:space="0" w:color="000000"/>
              <w:bottom w:val="single" w:sz="5" w:space="0" w:color="000000"/>
              <w:right w:val="single" w:sz="5" w:space="0" w:color="000000"/>
            </w:tcBorders>
          </w:tcPr>
          <w:p w14:paraId="4AB1A6A9" w14:textId="77777777" w:rsidR="003C7D89" w:rsidRPr="00F60460" w:rsidRDefault="003C7D89" w:rsidP="00615D31">
            <w:pPr>
              <w:pStyle w:val="Footer"/>
              <w:rPr>
                <w:color w:val="000000"/>
                <w:sz w:val="20"/>
              </w:rPr>
            </w:pPr>
          </w:p>
        </w:tc>
        <w:tc>
          <w:tcPr>
            <w:tcW w:w="1236" w:type="dxa"/>
            <w:tcBorders>
              <w:top w:val="single" w:sz="5" w:space="0" w:color="000000"/>
              <w:left w:val="single" w:sz="5" w:space="0" w:color="000000"/>
              <w:bottom w:val="single" w:sz="5" w:space="0" w:color="000000"/>
              <w:right w:val="single" w:sz="5" w:space="0" w:color="000000"/>
            </w:tcBorders>
          </w:tcPr>
          <w:p w14:paraId="1C536D86" w14:textId="77777777" w:rsidR="003C7D89" w:rsidRPr="00F60460" w:rsidRDefault="003C7D89" w:rsidP="00615D31">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479D7623" w14:textId="77777777" w:rsidR="003C7D89" w:rsidRPr="00F60460" w:rsidRDefault="003C7D89" w:rsidP="00615D31">
            <w:pPr>
              <w:pStyle w:val="Footer"/>
              <w:rPr>
                <w:color w:val="000000"/>
                <w:sz w:val="20"/>
              </w:rPr>
            </w:pPr>
            <w:r w:rsidRPr="00F60460">
              <w:rPr>
                <w:color w:val="000000"/>
                <w:sz w:val="20"/>
              </w:rPr>
              <w:t>Plicní hypertenze</w:t>
            </w:r>
            <w:r w:rsidRPr="00F60460">
              <w:rPr>
                <w:color w:val="000000"/>
                <w:sz w:val="20"/>
                <w:vertAlign w:val="superscript"/>
              </w:rPr>
              <w:t>a</w:t>
            </w:r>
            <w:r w:rsidRPr="00F60460">
              <w:rPr>
                <w:color w:val="000000"/>
                <w:sz w:val="20"/>
              </w:rPr>
              <w:t>, perforace nosní přepážky</w:t>
            </w:r>
            <w:r w:rsidRPr="00F60460">
              <w:rPr>
                <w:color w:val="000000"/>
                <w:sz w:val="20"/>
                <w:vertAlign w:val="superscript"/>
              </w:rPr>
              <w:t>a</w:t>
            </w:r>
          </w:p>
        </w:tc>
      </w:tr>
      <w:tr w:rsidR="003C7D89" w:rsidRPr="00F60460" w14:paraId="126222E3" w14:textId="77777777" w:rsidTr="00D43C6F">
        <w:trPr>
          <w:trHeight w:val="2309"/>
        </w:trPr>
        <w:tc>
          <w:tcPr>
            <w:tcW w:w="1744" w:type="dxa"/>
            <w:tcBorders>
              <w:top w:val="single" w:sz="5" w:space="0" w:color="000000"/>
              <w:left w:val="single" w:sz="5" w:space="0" w:color="000000"/>
              <w:bottom w:val="single" w:sz="5" w:space="0" w:color="000000"/>
              <w:right w:val="single" w:sz="5" w:space="0" w:color="000000"/>
            </w:tcBorders>
          </w:tcPr>
          <w:p w14:paraId="22FC2EAB" w14:textId="77777777" w:rsidR="003C7D89" w:rsidRPr="00F60460" w:rsidRDefault="003C7D89" w:rsidP="00615D31">
            <w:pPr>
              <w:pStyle w:val="Footer"/>
              <w:rPr>
                <w:color w:val="000000"/>
                <w:sz w:val="20"/>
              </w:rPr>
            </w:pPr>
            <w:r w:rsidRPr="00F60460">
              <w:rPr>
                <w:color w:val="000000"/>
                <w:sz w:val="20"/>
              </w:rPr>
              <w:t>Gastrointestinální poruchy</w:t>
            </w:r>
          </w:p>
        </w:tc>
        <w:tc>
          <w:tcPr>
            <w:tcW w:w="1570" w:type="dxa"/>
            <w:tcBorders>
              <w:top w:val="single" w:sz="5" w:space="0" w:color="000000"/>
              <w:left w:val="single" w:sz="5" w:space="0" w:color="000000"/>
              <w:bottom w:val="single" w:sz="5" w:space="0" w:color="000000"/>
              <w:right w:val="single" w:sz="5" w:space="0" w:color="000000"/>
            </w:tcBorders>
          </w:tcPr>
          <w:p w14:paraId="3F971A3B" w14:textId="77777777" w:rsidR="003C7D89" w:rsidRPr="00F60460" w:rsidRDefault="003C7D89" w:rsidP="00615D31">
            <w:pPr>
              <w:pStyle w:val="Footer"/>
              <w:rPr>
                <w:color w:val="000000"/>
                <w:sz w:val="20"/>
              </w:rPr>
            </w:pPr>
            <w:r w:rsidRPr="00F60460">
              <w:rPr>
                <w:color w:val="000000"/>
                <w:sz w:val="20"/>
              </w:rPr>
              <w:t>Rektální krvácení, stomatitida, zácpa, průjem, nauzea, zvracení, bolest břicha</w:t>
            </w:r>
          </w:p>
        </w:tc>
        <w:tc>
          <w:tcPr>
            <w:tcW w:w="1483" w:type="dxa"/>
            <w:tcBorders>
              <w:top w:val="single" w:sz="5" w:space="0" w:color="000000"/>
              <w:left w:val="single" w:sz="5" w:space="0" w:color="000000"/>
              <w:bottom w:val="single" w:sz="5" w:space="0" w:color="000000"/>
              <w:right w:val="single" w:sz="5" w:space="0" w:color="000000"/>
            </w:tcBorders>
          </w:tcPr>
          <w:p w14:paraId="22D6278C" w14:textId="77777777" w:rsidR="003C7D89" w:rsidRPr="00F60460" w:rsidRDefault="003C7D89" w:rsidP="00615D31">
            <w:pPr>
              <w:pStyle w:val="Footer"/>
              <w:rPr>
                <w:color w:val="000000"/>
                <w:sz w:val="20"/>
              </w:rPr>
            </w:pPr>
            <w:r w:rsidRPr="00F60460">
              <w:rPr>
                <w:color w:val="000000"/>
                <w:sz w:val="20"/>
              </w:rPr>
              <w:t>Gastrointestinální perforace</w:t>
            </w:r>
            <w:r w:rsidRPr="00F60460">
              <w:rPr>
                <w:color w:val="000000"/>
                <w:sz w:val="20"/>
                <w:vertAlign w:val="superscript"/>
              </w:rPr>
              <w:t>b,d</w:t>
            </w:r>
            <w:r w:rsidRPr="00F60460">
              <w:rPr>
                <w:color w:val="000000"/>
                <w:sz w:val="20"/>
              </w:rPr>
              <w:t>, intestinální perforace, ileus,</w:t>
            </w:r>
          </w:p>
          <w:p w14:paraId="0CB7DEBC" w14:textId="77777777" w:rsidR="003C7D89" w:rsidRPr="00F60460" w:rsidRDefault="003C7D89">
            <w:pPr>
              <w:pStyle w:val="Footer"/>
              <w:rPr>
                <w:color w:val="000000"/>
                <w:sz w:val="20"/>
              </w:rPr>
            </w:pPr>
            <w:r w:rsidRPr="00F60460">
              <w:rPr>
                <w:color w:val="000000"/>
                <w:sz w:val="20"/>
              </w:rPr>
              <w:t>střevní obstrukce, rektovaginální píštěl</w:t>
            </w:r>
            <w:r w:rsidRPr="00F60460">
              <w:rPr>
                <w:color w:val="000000"/>
                <w:sz w:val="20"/>
                <w:vertAlign w:val="superscript"/>
              </w:rPr>
              <w:t>d,e</w:t>
            </w:r>
            <w:r w:rsidRPr="00F60460">
              <w:rPr>
                <w:color w:val="000000"/>
                <w:sz w:val="20"/>
              </w:rPr>
              <w:t>, gastrointestinální porucha, proktalgie</w:t>
            </w:r>
          </w:p>
        </w:tc>
        <w:tc>
          <w:tcPr>
            <w:tcW w:w="1046" w:type="dxa"/>
            <w:tcBorders>
              <w:top w:val="single" w:sz="5" w:space="0" w:color="000000"/>
              <w:left w:val="single" w:sz="5" w:space="0" w:color="000000"/>
              <w:bottom w:val="single" w:sz="5" w:space="0" w:color="000000"/>
              <w:right w:val="single" w:sz="5" w:space="0" w:color="000000"/>
            </w:tcBorders>
          </w:tcPr>
          <w:p w14:paraId="04E8809B" w14:textId="77777777" w:rsidR="003C7D89" w:rsidRPr="00F60460" w:rsidRDefault="003C7D89" w:rsidP="00615D31">
            <w:pPr>
              <w:pStyle w:val="Footer"/>
              <w:rPr>
                <w:color w:val="000000"/>
                <w:sz w:val="20"/>
              </w:rPr>
            </w:pPr>
          </w:p>
        </w:tc>
        <w:tc>
          <w:tcPr>
            <w:tcW w:w="1151" w:type="dxa"/>
            <w:tcBorders>
              <w:top w:val="single" w:sz="5" w:space="0" w:color="000000"/>
              <w:left w:val="single" w:sz="5" w:space="0" w:color="000000"/>
              <w:bottom w:val="single" w:sz="5" w:space="0" w:color="000000"/>
              <w:right w:val="single" w:sz="5" w:space="0" w:color="000000"/>
            </w:tcBorders>
          </w:tcPr>
          <w:p w14:paraId="669A7786" w14:textId="77777777" w:rsidR="003C7D89" w:rsidRPr="00F60460" w:rsidRDefault="003C7D89" w:rsidP="00615D31">
            <w:pPr>
              <w:pStyle w:val="Footer"/>
              <w:rPr>
                <w:color w:val="000000"/>
                <w:sz w:val="20"/>
              </w:rPr>
            </w:pPr>
          </w:p>
        </w:tc>
        <w:tc>
          <w:tcPr>
            <w:tcW w:w="1236" w:type="dxa"/>
            <w:tcBorders>
              <w:top w:val="single" w:sz="5" w:space="0" w:color="000000"/>
              <w:left w:val="single" w:sz="5" w:space="0" w:color="000000"/>
              <w:bottom w:val="single" w:sz="5" w:space="0" w:color="000000"/>
              <w:right w:val="single" w:sz="5" w:space="0" w:color="000000"/>
            </w:tcBorders>
          </w:tcPr>
          <w:p w14:paraId="4EE838E1" w14:textId="77777777" w:rsidR="003C7D89" w:rsidRPr="00F60460" w:rsidRDefault="003C7D89" w:rsidP="00615D31">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3DDAEA7A" w14:textId="77777777" w:rsidR="003C7D89" w:rsidRPr="00F60460" w:rsidRDefault="003C7D89" w:rsidP="00615D31">
            <w:pPr>
              <w:pStyle w:val="Footer"/>
              <w:rPr>
                <w:color w:val="000000"/>
                <w:sz w:val="20"/>
              </w:rPr>
            </w:pPr>
            <w:r w:rsidRPr="00F60460">
              <w:rPr>
                <w:color w:val="000000"/>
                <w:sz w:val="20"/>
              </w:rPr>
              <w:t>Gastrointestinální vřed</w:t>
            </w:r>
            <w:r w:rsidRPr="00F60460">
              <w:rPr>
                <w:color w:val="000000"/>
                <w:sz w:val="20"/>
                <w:vertAlign w:val="superscript"/>
              </w:rPr>
              <w:t>a</w:t>
            </w:r>
          </w:p>
        </w:tc>
      </w:tr>
      <w:tr w:rsidR="003C7D89" w:rsidRPr="00F60460" w14:paraId="375BD7B9" w14:textId="77777777" w:rsidTr="00D43C6F">
        <w:trPr>
          <w:trHeight w:val="467"/>
        </w:trPr>
        <w:tc>
          <w:tcPr>
            <w:tcW w:w="1744" w:type="dxa"/>
            <w:tcBorders>
              <w:top w:val="single" w:sz="5" w:space="0" w:color="000000"/>
              <w:left w:val="single" w:sz="5" w:space="0" w:color="000000"/>
              <w:bottom w:val="single" w:sz="4" w:space="0" w:color="000000"/>
              <w:right w:val="single" w:sz="5" w:space="0" w:color="000000"/>
            </w:tcBorders>
          </w:tcPr>
          <w:p w14:paraId="59E12CC3" w14:textId="77777777" w:rsidR="003C7D89" w:rsidRPr="00F60460" w:rsidRDefault="003C7D89" w:rsidP="00615D31">
            <w:pPr>
              <w:pStyle w:val="Footer"/>
              <w:rPr>
                <w:color w:val="000000"/>
                <w:sz w:val="20"/>
              </w:rPr>
            </w:pPr>
            <w:r w:rsidRPr="00F60460">
              <w:rPr>
                <w:color w:val="000000"/>
                <w:sz w:val="20"/>
              </w:rPr>
              <w:t>Poruchy jater a žlučových cest</w:t>
            </w:r>
          </w:p>
        </w:tc>
        <w:tc>
          <w:tcPr>
            <w:tcW w:w="1570" w:type="dxa"/>
            <w:tcBorders>
              <w:top w:val="single" w:sz="5" w:space="0" w:color="000000"/>
              <w:left w:val="single" w:sz="5" w:space="0" w:color="000000"/>
              <w:bottom w:val="single" w:sz="4" w:space="0" w:color="000000"/>
              <w:right w:val="single" w:sz="5" w:space="0" w:color="000000"/>
            </w:tcBorders>
          </w:tcPr>
          <w:p w14:paraId="2E7F2DED" w14:textId="77777777" w:rsidR="003C7D89" w:rsidRPr="00F60460" w:rsidRDefault="003C7D89" w:rsidP="00615D31">
            <w:pPr>
              <w:pStyle w:val="Footer"/>
              <w:rPr>
                <w:color w:val="000000"/>
                <w:sz w:val="20"/>
              </w:rPr>
            </w:pPr>
          </w:p>
        </w:tc>
        <w:tc>
          <w:tcPr>
            <w:tcW w:w="1483" w:type="dxa"/>
            <w:tcBorders>
              <w:top w:val="single" w:sz="5" w:space="0" w:color="000000"/>
              <w:left w:val="single" w:sz="5" w:space="0" w:color="000000"/>
              <w:bottom w:val="single" w:sz="4" w:space="0" w:color="000000"/>
              <w:right w:val="single" w:sz="5" w:space="0" w:color="000000"/>
            </w:tcBorders>
          </w:tcPr>
          <w:p w14:paraId="6011A4F4" w14:textId="77777777" w:rsidR="003C7D89" w:rsidRPr="00F60460" w:rsidRDefault="003C7D89" w:rsidP="00615D31">
            <w:pPr>
              <w:pStyle w:val="Footer"/>
              <w:rPr>
                <w:color w:val="000000"/>
                <w:sz w:val="20"/>
              </w:rPr>
            </w:pPr>
          </w:p>
        </w:tc>
        <w:tc>
          <w:tcPr>
            <w:tcW w:w="1046" w:type="dxa"/>
            <w:tcBorders>
              <w:top w:val="single" w:sz="5" w:space="0" w:color="000000"/>
              <w:left w:val="single" w:sz="5" w:space="0" w:color="000000"/>
              <w:bottom w:val="single" w:sz="4" w:space="0" w:color="000000"/>
              <w:right w:val="single" w:sz="5" w:space="0" w:color="000000"/>
            </w:tcBorders>
          </w:tcPr>
          <w:p w14:paraId="1FF205E6" w14:textId="77777777" w:rsidR="003C7D89" w:rsidRPr="00F60460" w:rsidRDefault="003C7D89" w:rsidP="00615D31">
            <w:pPr>
              <w:pStyle w:val="Footer"/>
              <w:rPr>
                <w:color w:val="000000"/>
                <w:sz w:val="20"/>
              </w:rPr>
            </w:pPr>
          </w:p>
        </w:tc>
        <w:tc>
          <w:tcPr>
            <w:tcW w:w="1151" w:type="dxa"/>
            <w:tcBorders>
              <w:top w:val="single" w:sz="5" w:space="0" w:color="000000"/>
              <w:left w:val="single" w:sz="5" w:space="0" w:color="000000"/>
              <w:bottom w:val="single" w:sz="4" w:space="0" w:color="000000"/>
              <w:right w:val="single" w:sz="5" w:space="0" w:color="000000"/>
            </w:tcBorders>
          </w:tcPr>
          <w:p w14:paraId="22D9198E" w14:textId="77777777" w:rsidR="003C7D89" w:rsidRPr="00F60460" w:rsidRDefault="003C7D89" w:rsidP="00615D31">
            <w:pPr>
              <w:pStyle w:val="Footer"/>
              <w:rPr>
                <w:color w:val="000000"/>
                <w:sz w:val="20"/>
              </w:rPr>
            </w:pPr>
          </w:p>
        </w:tc>
        <w:tc>
          <w:tcPr>
            <w:tcW w:w="1236" w:type="dxa"/>
            <w:tcBorders>
              <w:top w:val="single" w:sz="5" w:space="0" w:color="000000"/>
              <w:left w:val="single" w:sz="5" w:space="0" w:color="000000"/>
              <w:bottom w:val="single" w:sz="4" w:space="0" w:color="000000"/>
              <w:right w:val="single" w:sz="5" w:space="0" w:color="000000"/>
            </w:tcBorders>
          </w:tcPr>
          <w:p w14:paraId="7DB61D9F" w14:textId="77777777" w:rsidR="003C7D89" w:rsidRPr="00F60460" w:rsidRDefault="003C7D89" w:rsidP="00615D31">
            <w:pPr>
              <w:pStyle w:val="Footer"/>
              <w:rPr>
                <w:color w:val="000000"/>
                <w:sz w:val="20"/>
              </w:rPr>
            </w:pPr>
          </w:p>
        </w:tc>
        <w:tc>
          <w:tcPr>
            <w:tcW w:w="1276" w:type="dxa"/>
            <w:tcBorders>
              <w:top w:val="single" w:sz="5" w:space="0" w:color="000000"/>
              <w:left w:val="single" w:sz="5" w:space="0" w:color="000000"/>
              <w:bottom w:val="single" w:sz="4" w:space="0" w:color="000000"/>
              <w:right w:val="single" w:sz="5" w:space="0" w:color="000000"/>
            </w:tcBorders>
          </w:tcPr>
          <w:p w14:paraId="4E9B5013" w14:textId="77777777" w:rsidR="003C7D89" w:rsidRPr="00F60460" w:rsidRDefault="003C7D89" w:rsidP="00615D31">
            <w:pPr>
              <w:pStyle w:val="Footer"/>
              <w:rPr>
                <w:color w:val="000000"/>
                <w:sz w:val="20"/>
              </w:rPr>
            </w:pPr>
            <w:r w:rsidRPr="00F60460">
              <w:rPr>
                <w:color w:val="000000"/>
                <w:sz w:val="20"/>
              </w:rPr>
              <w:t>Perforace žlučníku</w:t>
            </w:r>
            <w:r w:rsidRPr="00F60460">
              <w:rPr>
                <w:color w:val="000000"/>
                <w:sz w:val="20"/>
                <w:vertAlign w:val="superscript"/>
              </w:rPr>
              <w:t>a,b</w:t>
            </w:r>
          </w:p>
        </w:tc>
      </w:tr>
      <w:tr w:rsidR="003C7D89" w:rsidRPr="00F60460" w14:paraId="06B9E550" w14:textId="77777777" w:rsidTr="00D43C6F">
        <w:trPr>
          <w:trHeight w:val="1388"/>
        </w:trPr>
        <w:tc>
          <w:tcPr>
            <w:tcW w:w="1744" w:type="dxa"/>
            <w:tcBorders>
              <w:top w:val="single" w:sz="4" w:space="0" w:color="000000"/>
              <w:left w:val="single" w:sz="4" w:space="0" w:color="000000"/>
              <w:bottom w:val="single" w:sz="4" w:space="0" w:color="000000"/>
              <w:right w:val="single" w:sz="4" w:space="0" w:color="000000"/>
            </w:tcBorders>
          </w:tcPr>
          <w:p w14:paraId="596FA07C" w14:textId="77777777" w:rsidR="003C7D89" w:rsidRPr="00F60460" w:rsidRDefault="003C7D89" w:rsidP="00615D31">
            <w:pPr>
              <w:pStyle w:val="Footer"/>
              <w:rPr>
                <w:color w:val="000000"/>
                <w:sz w:val="20"/>
              </w:rPr>
            </w:pPr>
            <w:r w:rsidRPr="00F60460">
              <w:rPr>
                <w:color w:val="000000"/>
                <w:sz w:val="20"/>
              </w:rPr>
              <w:t>Poruchy kůže a podkožní tkáně</w:t>
            </w:r>
          </w:p>
        </w:tc>
        <w:tc>
          <w:tcPr>
            <w:tcW w:w="1570" w:type="dxa"/>
            <w:tcBorders>
              <w:top w:val="single" w:sz="4" w:space="0" w:color="000000"/>
              <w:left w:val="single" w:sz="4" w:space="0" w:color="000000"/>
              <w:bottom w:val="single" w:sz="4" w:space="0" w:color="000000"/>
              <w:right w:val="single" w:sz="4" w:space="0" w:color="000000"/>
            </w:tcBorders>
          </w:tcPr>
          <w:p w14:paraId="2A6C8B71" w14:textId="77777777" w:rsidR="003C7D89" w:rsidRPr="00F60460" w:rsidRDefault="003C7D89" w:rsidP="00615D31">
            <w:pPr>
              <w:pStyle w:val="Footer"/>
              <w:rPr>
                <w:color w:val="000000"/>
                <w:sz w:val="20"/>
              </w:rPr>
            </w:pPr>
            <w:r w:rsidRPr="00F60460">
              <w:rPr>
                <w:color w:val="000000"/>
                <w:sz w:val="20"/>
              </w:rPr>
              <w:t>Komplikace při hojení ran</w:t>
            </w:r>
            <w:r w:rsidRPr="00F60460">
              <w:rPr>
                <w:color w:val="000000"/>
                <w:sz w:val="20"/>
                <w:vertAlign w:val="superscript"/>
              </w:rPr>
              <w:t>b,d</w:t>
            </w:r>
            <w:r w:rsidRPr="00F60460">
              <w:rPr>
                <w:color w:val="000000"/>
                <w:sz w:val="20"/>
              </w:rPr>
              <w:t>, exfoliativní dermatitida, suchá kůže, změny barvy kůže</w:t>
            </w:r>
          </w:p>
        </w:tc>
        <w:tc>
          <w:tcPr>
            <w:tcW w:w="1483" w:type="dxa"/>
            <w:tcBorders>
              <w:top w:val="single" w:sz="4" w:space="0" w:color="000000"/>
              <w:left w:val="single" w:sz="4" w:space="0" w:color="000000"/>
              <w:bottom w:val="single" w:sz="4" w:space="0" w:color="000000"/>
              <w:right w:val="single" w:sz="4" w:space="0" w:color="000000"/>
            </w:tcBorders>
          </w:tcPr>
          <w:p w14:paraId="212E3216" w14:textId="77777777" w:rsidR="003C7D89" w:rsidRPr="00F60460" w:rsidRDefault="003C7D89" w:rsidP="00615D31">
            <w:pPr>
              <w:pStyle w:val="Footer"/>
              <w:rPr>
                <w:color w:val="000000"/>
                <w:sz w:val="20"/>
              </w:rPr>
            </w:pPr>
            <w:r w:rsidRPr="00F60460">
              <w:rPr>
                <w:color w:val="000000"/>
                <w:sz w:val="20"/>
              </w:rPr>
              <w:t>Syndrom palmoplantární erytrodysestezie</w:t>
            </w:r>
          </w:p>
        </w:tc>
        <w:tc>
          <w:tcPr>
            <w:tcW w:w="1046" w:type="dxa"/>
            <w:tcBorders>
              <w:top w:val="single" w:sz="4" w:space="0" w:color="000000"/>
              <w:left w:val="single" w:sz="4" w:space="0" w:color="000000"/>
              <w:bottom w:val="single" w:sz="4" w:space="0" w:color="000000"/>
              <w:right w:val="single" w:sz="4" w:space="0" w:color="000000"/>
            </w:tcBorders>
          </w:tcPr>
          <w:p w14:paraId="04444D23" w14:textId="77777777" w:rsidR="003C7D89" w:rsidRPr="00F60460" w:rsidRDefault="003C7D89" w:rsidP="00615D31">
            <w:pPr>
              <w:pStyle w:val="Footer"/>
              <w:rPr>
                <w:color w:val="000000"/>
                <w:sz w:val="20"/>
              </w:rPr>
            </w:pPr>
          </w:p>
        </w:tc>
        <w:tc>
          <w:tcPr>
            <w:tcW w:w="1151" w:type="dxa"/>
            <w:tcBorders>
              <w:top w:val="single" w:sz="4" w:space="0" w:color="000000"/>
              <w:left w:val="single" w:sz="4" w:space="0" w:color="000000"/>
              <w:bottom w:val="single" w:sz="4" w:space="0" w:color="000000"/>
              <w:right w:val="single" w:sz="4" w:space="0" w:color="000000"/>
            </w:tcBorders>
          </w:tcPr>
          <w:p w14:paraId="4B4FF4B5" w14:textId="77777777" w:rsidR="003C7D89" w:rsidRPr="00F60460" w:rsidRDefault="003C7D89" w:rsidP="00615D31">
            <w:pPr>
              <w:pStyle w:val="Footer"/>
              <w:rPr>
                <w:color w:val="000000"/>
                <w:sz w:val="20"/>
              </w:rPr>
            </w:pPr>
          </w:p>
        </w:tc>
        <w:tc>
          <w:tcPr>
            <w:tcW w:w="1236" w:type="dxa"/>
            <w:tcBorders>
              <w:top w:val="single" w:sz="4" w:space="0" w:color="000000"/>
              <w:left w:val="single" w:sz="4" w:space="0" w:color="000000"/>
              <w:bottom w:val="single" w:sz="4" w:space="0" w:color="000000"/>
              <w:right w:val="single" w:sz="4" w:space="0" w:color="000000"/>
            </w:tcBorders>
          </w:tcPr>
          <w:p w14:paraId="556B980C" w14:textId="77777777" w:rsidR="003C7D89" w:rsidRPr="00F60460" w:rsidRDefault="003C7D89" w:rsidP="00615D31">
            <w:pPr>
              <w:pStyle w:val="Footer"/>
              <w:rPr>
                <w:color w:val="000000"/>
                <w:sz w:val="20"/>
              </w:rPr>
            </w:pPr>
          </w:p>
        </w:tc>
        <w:tc>
          <w:tcPr>
            <w:tcW w:w="1276" w:type="dxa"/>
            <w:tcBorders>
              <w:top w:val="single" w:sz="4" w:space="0" w:color="000000"/>
              <w:left w:val="single" w:sz="4" w:space="0" w:color="000000"/>
              <w:bottom w:val="single" w:sz="4" w:space="0" w:color="000000"/>
              <w:right w:val="single" w:sz="4" w:space="0" w:color="000000"/>
            </w:tcBorders>
          </w:tcPr>
          <w:p w14:paraId="1BB4EB77" w14:textId="77777777" w:rsidR="003C7D89" w:rsidRPr="00F60460" w:rsidRDefault="003C7D89" w:rsidP="00615D31">
            <w:pPr>
              <w:pStyle w:val="Footer"/>
              <w:rPr>
                <w:color w:val="000000"/>
                <w:sz w:val="20"/>
              </w:rPr>
            </w:pPr>
          </w:p>
        </w:tc>
      </w:tr>
      <w:tr w:rsidR="003C7D89" w:rsidRPr="00F60460" w14:paraId="6451FF63" w14:textId="77777777" w:rsidTr="00D43C6F">
        <w:trPr>
          <w:trHeight w:val="905"/>
        </w:trPr>
        <w:tc>
          <w:tcPr>
            <w:tcW w:w="1744" w:type="dxa"/>
            <w:tcBorders>
              <w:top w:val="single" w:sz="4" w:space="0" w:color="000000"/>
              <w:left w:val="single" w:sz="4" w:space="0" w:color="000000"/>
              <w:bottom w:val="single" w:sz="4" w:space="0" w:color="000000"/>
              <w:right w:val="single" w:sz="4" w:space="0" w:color="000000"/>
            </w:tcBorders>
          </w:tcPr>
          <w:p w14:paraId="249EE091" w14:textId="77777777" w:rsidR="003C7D89" w:rsidRPr="00F60460" w:rsidRDefault="003C7D89" w:rsidP="00615D31">
            <w:pPr>
              <w:pStyle w:val="Footer"/>
              <w:rPr>
                <w:color w:val="000000"/>
                <w:sz w:val="20"/>
              </w:rPr>
            </w:pPr>
            <w:r w:rsidRPr="00F60460">
              <w:rPr>
                <w:color w:val="000000"/>
                <w:sz w:val="20"/>
              </w:rPr>
              <w:lastRenderedPageBreak/>
              <w:t>Poruchy svalové a kosterní soustavy a pojivové tkáně</w:t>
            </w:r>
          </w:p>
        </w:tc>
        <w:tc>
          <w:tcPr>
            <w:tcW w:w="1570" w:type="dxa"/>
            <w:tcBorders>
              <w:top w:val="single" w:sz="4" w:space="0" w:color="000000"/>
              <w:left w:val="single" w:sz="4" w:space="0" w:color="000000"/>
              <w:bottom w:val="single" w:sz="4" w:space="0" w:color="000000"/>
              <w:right w:val="single" w:sz="4" w:space="0" w:color="000000"/>
            </w:tcBorders>
          </w:tcPr>
          <w:p w14:paraId="7E19DE7C" w14:textId="77777777" w:rsidR="003C7D89" w:rsidRPr="00F60460" w:rsidRDefault="003C7D89" w:rsidP="00615D31">
            <w:pPr>
              <w:pStyle w:val="Footer"/>
              <w:rPr>
                <w:color w:val="000000"/>
                <w:sz w:val="20"/>
              </w:rPr>
            </w:pPr>
            <w:r w:rsidRPr="00F60460">
              <w:rPr>
                <w:color w:val="000000"/>
                <w:sz w:val="20"/>
              </w:rPr>
              <w:t>Artralgie,</w:t>
            </w:r>
          </w:p>
          <w:p w14:paraId="417923A6" w14:textId="77777777" w:rsidR="003C7D89" w:rsidRPr="00F60460" w:rsidRDefault="003C7D89" w:rsidP="00615D31">
            <w:pPr>
              <w:pStyle w:val="Footer"/>
              <w:rPr>
                <w:color w:val="000000"/>
                <w:sz w:val="20"/>
              </w:rPr>
            </w:pPr>
            <w:r w:rsidRPr="00F60460">
              <w:rPr>
                <w:color w:val="000000"/>
                <w:sz w:val="20"/>
              </w:rPr>
              <w:t>myalgie</w:t>
            </w:r>
          </w:p>
        </w:tc>
        <w:tc>
          <w:tcPr>
            <w:tcW w:w="1483" w:type="dxa"/>
            <w:tcBorders>
              <w:top w:val="single" w:sz="4" w:space="0" w:color="000000"/>
              <w:left w:val="single" w:sz="4" w:space="0" w:color="000000"/>
              <w:bottom w:val="single" w:sz="4" w:space="0" w:color="000000"/>
              <w:right w:val="single" w:sz="4" w:space="0" w:color="000000"/>
            </w:tcBorders>
          </w:tcPr>
          <w:p w14:paraId="5F5960A8" w14:textId="77777777" w:rsidR="003C7D89" w:rsidRPr="00F60460" w:rsidRDefault="003C7D89" w:rsidP="00615D31">
            <w:pPr>
              <w:pStyle w:val="Footer"/>
              <w:rPr>
                <w:color w:val="000000"/>
                <w:sz w:val="20"/>
              </w:rPr>
            </w:pPr>
            <w:r w:rsidRPr="00F60460">
              <w:rPr>
                <w:color w:val="000000"/>
                <w:sz w:val="20"/>
              </w:rPr>
              <w:t>Píštěl</w:t>
            </w:r>
            <w:r w:rsidRPr="00F60460">
              <w:rPr>
                <w:color w:val="000000"/>
                <w:sz w:val="20"/>
                <w:vertAlign w:val="superscript"/>
              </w:rPr>
              <w:t>b,d</w:t>
            </w:r>
            <w:r w:rsidRPr="00F60460">
              <w:rPr>
                <w:color w:val="000000"/>
                <w:sz w:val="20"/>
              </w:rPr>
              <w:t>, svalová slabost, bolest zad</w:t>
            </w:r>
          </w:p>
        </w:tc>
        <w:tc>
          <w:tcPr>
            <w:tcW w:w="1046" w:type="dxa"/>
            <w:tcBorders>
              <w:top w:val="single" w:sz="4" w:space="0" w:color="000000"/>
              <w:left w:val="single" w:sz="4" w:space="0" w:color="000000"/>
              <w:bottom w:val="single" w:sz="4" w:space="0" w:color="000000"/>
              <w:right w:val="single" w:sz="4" w:space="0" w:color="000000"/>
            </w:tcBorders>
          </w:tcPr>
          <w:p w14:paraId="02DE0692" w14:textId="77777777" w:rsidR="003C7D89" w:rsidRPr="00F60460" w:rsidRDefault="003C7D89" w:rsidP="00615D31">
            <w:pPr>
              <w:pStyle w:val="Footer"/>
              <w:rPr>
                <w:color w:val="000000"/>
                <w:sz w:val="20"/>
              </w:rPr>
            </w:pPr>
          </w:p>
        </w:tc>
        <w:tc>
          <w:tcPr>
            <w:tcW w:w="1151" w:type="dxa"/>
            <w:tcBorders>
              <w:top w:val="single" w:sz="4" w:space="0" w:color="000000"/>
              <w:left w:val="single" w:sz="4" w:space="0" w:color="000000"/>
              <w:bottom w:val="single" w:sz="4" w:space="0" w:color="000000"/>
              <w:right w:val="single" w:sz="4" w:space="0" w:color="000000"/>
            </w:tcBorders>
          </w:tcPr>
          <w:p w14:paraId="1AAEB3FB" w14:textId="77777777" w:rsidR="003C7D89" w:rsidRPr="00F60460" w:rsidRDefault="003C7D89" w:rsidP="00615D31">
            <w:pPr>
              <w:pStyle w:val="Footer"/>
              <w:rPr>
                <w:color w:val="000000"/>
                <w:sz w:val="20"/>
              </w:rPr>
            </w:pPr>
          </w:p>
        </w:tc>
        <w:tc>
          <w:tcPr>
            <w:tcW w:w="1236" w:type="dxa"/>
            <w:tcBorders>
              <w:top w:val="single" w:sz="4" w:space="0" w:color="000000"/>
              <w:left w:val="single" w:sz="4" w:space="0" w:color="000000"/>
              <w:bottom w:val="single" w:sz="4" w:space="0" w:color="000000"/>
              <w:right w:val="single" w:sz="4" w:space="0" w:color="000000"/>
            </w:tcBorders>
          </w:tcPr>
          <w:p w14:paraId="3B3B6CB8" w14:textId="77777777" w:rsidR="003C7D89" w:rsidRPr="00F60460" w:rsidRDefault="003C7D89" w:rsidP="00615D31">
            <w:pPr>
              <w:pStyle w:val="Footer"/>
              <w:rPr>
                <w:color w:val="000000"/>
                <w:sz w:val="20"/>
              </w:rPr>
            </w:pPr>
          </w:p>
        </w:tc>
        <w:tc>
          <w:tcPr>
            <w:tcW w:w="1276" w:type="dxa"/>
            <w:tcBorders>
              <w:top w:val="single" w:sz="4" w:space="0" w:color="000000"/>
              <w:left w:val="single" w:sz="4" w:space="0" w:color="000000"/>
              <w:bottom w:val="single" w:sz="4" w:space="0" w:color="000000"/>
              <w:right w:val="single" w:sz="4" w:space="0" w:color="000000"/>
            </w:tcBorders>
          </w:tcPr>
          <w:p w14:paraId="71C692BA" w14:textId="77777777" w:rsidR="003C7D89" w:rsidRPr="00F60460" w:rsidRDefault="003C7D89" w:rsidP="00615D31">
            <w:pPr>
              <w:pStyle w:val="Footer"/>
              <w:rPr>
                <w:color w:val="000000"/>
                <w:sz w:val="20"/>
              </w:rPr>
            </w:pPr>
            <w:r w:rsidRPr="00F60460">
              <w:rPr>
                <w:color w:val="000000"/>
                <w:sz w:val="20"/>
              </w:rPr>
              <w:t>Osteonekróza čelisti</w:t>
            </w:r>
            <w:r w:rsidRPr="00F60460">
              <w:rPr>
                <w:color w:val="000000"/>
                <w:sz w:val="20"/>
                <w:vertAlign w:val="superscript"/>
              </w:rPr>
              <w:t>a,b</w:t>
            </w:r>
          </w:p>
          <w:p w14:paraId="69F7D923" w14:textId="77777777" w:rsidR="003C7D89" w:rsidRPr="00F60460" w:rsidRDefault="003C7D89">
            <w:pPr>
              <w:pStyle w:val="Footer"/>
              <w:rPr>
                <w:color w:val="000000"/>
                <w:sz w:val="20"/>
              </w:rPr>
            </w:pPr>
            <w:r w:rsidRPr="00F60460">
              <w:rPr>
                <w:color w:val="000000"/>
                <w:sz w:val="20"/>
              </w:rPr>
              <w:t>Nemandibulární osteonekróza</w:t>
            </w:r>
            <w:r w:rsidRPr="00F60460">
              <w:rPr>
                <w:color w:val="000000"/>
                <w:sz w:val="20"/>
                <w:vertAlign w:val="superscript"/>
              </w:rPr>
              <w:t>a,f</w:t>
            </w:r>
          </w:p>
        </w:tc>
      </w:tr>
      <w:tr w:rsidR="003C7D89" w:rsidRPr="00F60460" w14:paraId="14BC9E9D" w14:textId="77777777" w:rsidTr="00D43C6F">
        <w:trPr>
          <w:trHeight w:val="452"/>
        </w:trPr>
        <w:tc>
          <w:tcPr>
            <w:tcW w:w="1744" w:type="dxa"/>
            <w:tcBorders>
              <w:top w:val="single" w:sz="4" w:space="0" w:color="000000"/>
              <w:left w:val="single" w:sz="5" w:space="0" w:color="000000"/>
              <w:bottom w:val="single" w:sz="5" w:space="0" w:color="000000"/>
              <w:right w:val="single" w:sz="5" w:space="0" w:color="000000"/>
            </w:tcBorders>
          </w:tcPr>
          <w:p w14:paraId="38BF537B" w14:textId="77777777" w:rsidR="003C7D89" w:rsidRPr="00F60460" w:rsidRDefault="003C7D89" w:rsidP="00A330A9">
            <w:pPr>
              <w:pStyle w:val="Footer"/>
              <w:keepNext/>
              <w:keepLines/>
              <w:rPr>
                <w:color w:val="000000"/>
                <w:sz w:val="20"/>
              </w:rPr>
            </w:pPr>
            <w:r w:rsidRPr="00F60460">
              <w:rPr>
                <w:color w:val="000000"/>
                <w:sz w:val="20"/>
              </w:rPr>
              <w:t>Poruchy ledvin a močových cest</w:t>
            </w:r>
          </w:p>
        </w:tc>
        <w:tc>
          <w:tcPr>
            <w:tcW w:w="1570" w:type="dxa"/>
            <w:tcBorders>
              <w:top w:val="single" w:sz="4" w:space="0" w:color="000000"/>
              <w:left w:val="single" w:sz="5" w:space="0" w:color="000000"/>
              <w:bottom w:val="single" w:sz="5" w:space="0" w:color="000000"/>
              <w:right w:val="single" w:sz="5" w:space="0" w:color="000000"/>
            </w:tcBorders>
          </w:tcPr>
          <w:p w14:paraId="1EF25959" w14:textId="77777777" w:rsidR="003C7D89" w:rsidRPr="00F60460" w:rsidRDefault="003C7D89" w:rsidP="00A330A9">
            <w:pPr>
              <w:pStyle w:val="Footer"/>
              <w:keepNext/>
              <w:keepLines/>
              <w:rPr>
                <w:color w:val="000000"/>
                <w:sz w:val="20"/>
              </w:rPr>
            </w:pPr>
            <w:r w:rsidRPr="00F60460">
              <w:rPr>
                <w:color w:val="000000"/>
                <w:sz w:val="20"/>
              </w:rPr>
              <w:t>Proteinurie</w:t>
            </w:r>
            <w:r w:rsidRPr="00F60460">
              <w:rPr>
                <w:color w:val="000000"/>
                <w:sz w:val="20"/>
                <w:vertAlign w:val="superscript"/>
              </w:rPr>
              <w:t>b,d</w:t>
            </w:r>
          </w:p>
        </w:tc>
        <w:tc>
          <w:tcPr>
            <w:tcW w:w="1483" w:type="dxa"/>
            <w:tcBorders>
              <w:top w:val="single" w:sz="4" w:space="0" w:color="000000"/>
              <w:left w:val="single" w:sz="5" w:space="0" w:color="000000"/>
              <w:bottom w:val="single" w:sz="5" w:space="0" w:color="000000"/>
              <w:right w:val="single" w:sz="5" w:space="0" w:color="000000"/>
            </w:tcBorders>
          </w:tcPr>
          <w:p w14:paraId="525A5FA2" w14:textId="77777777" w:rsidR="003C7D89" w:rsidRPr="00F60460" w:rsidRDefault="003C7D89" w:rsidP="00A330A9">
            <w:pPr>
              <w:pStyle w:val="Footer"/>
              <w:keepNext/>
              <w:keepLines/>
              <w:rPr>
                <w:color w:val="000000"/>
                <w:sz w:val="20"/>
              </w:rPr>
            </w:pPr>
          </w:p>
        </w:tc>
        <w:tc>
          <w:tcPr>
            <w:tcW w:w="1046" w:type="dxa"/>
            <w:tcBorders>
              <w:top w:val="single" w:sz="4" w:space="0" w:color="000000"/>
              <w:left w:val="single" w:sz="5" w:space="0" w:color="000000"/>
              <w:bottom w:val="single" w:sz="5" w:space="0" w:color="000000"/>
              <w:right w:val="single" w:sz="5" w:space="0" w:color="000000"/>
            </w:tcBorders>
          </w:tcPr>
          <w:p w14:paraId="70139B72" w14:textId="77777777" w:rsidR="003C7D89" w:rsidRPr="00F60460" w:rsidRDefault="003C7D89" w:rsidP="00A330A9">
            <w:pPr>
              <w:pStyle w:val="Footer"/>
              <w:keepNext/>
              <w:keepLines/>
              <w:rPr>
                <w:color w:val="000000"/>
                <w:sz w:val="20"/>
              </w:rPr>
            </w:pPr>
          </w:p>
        </w:tc>
        <w:tc>
          <w:tcPr>
            <w:tcW w:w="1151" w:type="dxa"/>
            <w:tcBorders>
              <w:top w:val="single" w:sz="4" w:space="0" w:color="000000"/>
              <w:left w:val="single" w:sz="5" w:space="0" w:color="000000"/>
              <w:bottom w:val="single" w:sz="5" w:space="0" w:color="000000"/>
              <w:right w:val="single" w:sz="5" w:space="0" w:color="000000"/>
            </w:tcBorders>
          </w:tcPr>
          <w:p w14:paraId="3B3F5D33" w14:textId="77777777" w:rsidR="003C7D89" w:rsidRPr="00F60460" w:rsidRDefault="003C7D89" w:rsidP="00A330A9">
            <w:pPr>
              <w:pStyle w:val="Footer"/>
              <w:keepNext/>
              <w:keepLines/>
              <w:rPr>
                <w:color w:val="000000"/>
                <w:sz w:val="20"/>
              </w:rPr>
            </w:pPr>
          </w:p>
        </w:tc>
        <w:tc>
          <w:tcPr>
            <w:tcW w:w="1236" w:type="dxa"/>
            <w:tcBorders>
              <w:top w:val="single" w:sz="4" w:space="0" w:color="000000"/>
              <w:left w:val="single" w:sz="5" w:space="0" w:color="000000"/>
              <w:bottom w:val="single" w:sz="5" w:space="0" w:color="000000"/>
              <w:right w:val="single" w:sz="5" w:space="0" w:color="000000"/>
            </w:tcBorders>
          </w:tcPr>
          <w:p w14:paraId="08E73FE1" w14:textId="77777777" w:rsidR="003C7D89" w:rsidRPr="00F60460" w:rsidRDefault="003C7D89" w:rsidP="00A330A9">
            <w:pPr>
              <w:pStyle w:val="Footer"/>
              <w:keepNext/>
              <w:keepLines/>
              <w:rPr>
                <w:color w:val="000000"/>
                <w:sz w:val="20"/>
              </w:rPr>
            </w:pPr>
          </w:p>
        </w:tc>
        <w:tc>
          <w:tcPr>
            <w:tcW w:w="1276" w:type="dxa"/>
            <w:tcBorders>
              <w:top w:val="single" w:sz="4" w:space="0" w:color="000000"/>
              <w:left w:val="single" w:sz="5" w:space="0" w:color="000000"/>
              <w:bottom w:val="single" w:sz="5" w:space="0" w:color="000000"/>
              <w:right w:val="single" w:sz="5" w:space="0" w:color="000000"/>
            </w:tcBorders>
          </w:tcPr>
          <w:p w14:paraId="2A8A3FC1" w14:textId="77777777" w:rsidR="003C7D89" w:rsidRPr="00F60460" w:rsidRDefault="003C7D89" w:rsidP="00A330A9">
            <w:pPr>
              <w:pStyle w:val="Footer"/>
              <w:keepNext/>
              <w:keepLines/>
              <w:rPr>
                <w:color w:val="000000"/>
                <w:sz w:val="20"/>
              </w:rPr>
            </w:pPr>
          </w:p>
        </w:tc>
      </w:tr>
      <w:tr w:rsidR="003C7D89" w:rsidRPr="00F60460" w14:paraId="4B8D7A36" w14:textId="77777777" w:rsidTr="00D43C6F">
        <w:trPr>
          <w:trHeight w:val="694"/>
        </w:trPr>
        <w:tc>
          <w:tcPr>
            <w:tcW w:w="1744" w:type="dxa"/>
            <w:tcBorders>
              <w:top w:val="single" w:sz="5" w:space="0" w:color="000000"/>
              <w:left w:val="single" w:sz="5" w:space="0" w:color="000000"/>
              <w:bottom w:val="single" w:sz="5" w:space="0" w:color="000000"/>
              <w:right w:val="single" w:sz="5" w:space="0" w:color="000000"/>
            </w:tcBorders>
          </w:tcPr>
          <w:p w14:paraId="231DBC29" w14:textId="77777777" w:rsidR="003C7D89" w:rsidRPr="00F60460" w:rsidRDefault="003C7D89" w:rsidP="00615D31">
            <w:pPr>
              <w:pStyle w:val="Footer"/>
              <w:rPr>
                <w:color w:val="000000"/>
                <w:sz w:val="20"/>
              </w:rPr>
            </w:pPr>
            <w:r w:rsidRPr="00F60460">
              <w:rPr>
                <w:color w:val="000000"/>
                <w:sz w:val="20"/>
              </w:rPr>
              <w:t>Poruchy reprodukčního systému a prsu</w:t>
            </w:r>
          </w:p>
        </w:tc>
        <w:tc>
          <w:tcPr>
            <w:tcW w:w="1570" w:type="dxa"/>
            <w:tcBorders>
              <w:top w:val="single" w:sz="5" w:space="0" w:color="000000"/>
              <w:left w:val="single" w:sz="5" w:space="0" w:color="000000"/>
              <w:bottom w:val="single" w:sz="5" w:space="0" w:color="000000"/>
              <w:right w:val="single" w:sz="5" w:space="0" w:color="000000"/>
            </w:tcBorders>
          </w:tcPr>
          <w:p w14:paraId="46C8438A" w14:textId="77777777" w:rsidR="003C7D89" w:rsidRPr="00F60460" w:rsidRDefault="003C7D89" w:rsidP="00615D31">
            <w:pPr>
              <w:pStyle w:val="Footer"/>
              <w:rPr>
                <w:color w:val="000000"/>
                <w:sz w:val="20"/>
              </w:rPr>
            </w:pPr>
            <w:r w:rsidRPr="00F60460">
              <w:rPr>
                <w:color w:val="000000"/>
                <w:sz w:val="20"/>
              </w:rPr>
              <w:t xml:space="preserve">Ovariální </w:t>
            </w:r>
          </w:p>
          <w:p w14:paraId="0BD3EC63" w14:textId="77777777" w:rsidR="003C7D89" w:rsidRPr="00F60460" w:rsidRDefault="003C7D89" w:rsidP="00615D31">
            <w:pPr>
              <w:pStyle w:val="Footer"/>
              <w:rPr>
                <w:color w:val="000000"/>
                <w:sz w:val="20"/>
              </w:rPr>
            </w:pPr>
            <w:r w:rsidRPr="00F60460">
              <w:rPr>
                <w:color w:val="000000"/>
                <w:sz w:val="20"/>
              </w:rPr>
              <w:t>selhání</w:t>
            </w:r>
            <w:r w:rsidRPr="00F60460">
              <w:rPr>
                <w:color w:val="000000"/>
                <w:sz w:val="20"/>
                <w:vertAlign w:val="superscript"/>
              </w:rPr>
              <w:t>b,c,d</w:t>
            </w:r>
          </w:p>
        </w:tc>
        <w:tc>
          <w:tcPr>
            <w:tcW w:w="1483" w:type="dxa"/>
            <w:tcBorders>
              <w:top w:val="single" w:sz="5" w:space="0" w:color="000000"/>
              <w:left w:val="single" w:sz="5" w:space="0" w:color="000000"/>
              <w:bottom w:val="single" w:sz="5" w:space="0" w:color="000000"/>
              <w:right w:val="single" w:sz="5" w:space="0" w:color="000000"/>
            </w:tcBorders>
          </w:tcPr>
          <w:p w14:paraId="5C2050FA" w14:textId="77777777" w:rsidR="003C7D89" w:rsidRPr="00F60460" w:rsidRDefault="003C7D89">
            <w:pPr>
              <w:pStyle w:val="Footer"/>
              <w:rPr>
                <w:color w:val="000000"/>
                <w:sz w:val="20"/>
              </w:rPr>
            </w:pPr>
            <w:r w:rsidRPr="00F60460">
              <w:rPr>
                <w:color w:val="000000"/>
                <w:sz w:val="20"/>
              </w:rPr>
              <w:t>Bolest v oblasti pánve</w:t>
            </w:r>
          </w:p>
        </w:tc>
        <w:tc>
          <w:tcPr>
            <w:tcW w:w="1046" w:type="dxa"/>
            <w:tcBorders>
              <w:top w:val="single" w:sz="5" w:space="0" w:color="000000"/>
              <w:left w:val="single" w:sz="5" w:space="0" w:color="000000"/>
              <w:bottom w:val="single" w:sz="5" w:space="0" w:color="000000"/>
              <w:right w:val="single" w:sz="5" w:space="0" w:color="000000"/>
            </w:tcBorders>
          </w:tcPr>
          <w:p w14:paraId="5ECF7DCE" w14:textId="77777777" w:rsidR="003C7D89" w:rsidRPr="00F60460" w:rsidRDefault="003C7D89" w:rsidP="00615D31">
            <w:pPr>
              <w:pStyle w:val="Footer"/>
              <w:rPr>
                <w:color w:val="000000"/>
                <w:sz w:val="20"/>
              </w:rPr>
            </w:pPr>
          </w:p>
        </w:tc>
        <w:tc>
          <w:tcPr>
            <w:tcW w:w="1151" w:type="dxa"/>
            <w:tcBorders>
              <w:top w:val="single" w:sz="5" w:space="0" w:color="000000"/>
              <w:left w:val="single" w:sz="5" w:space="0" w:color="000000"/>
              <w:bottom w:val="single" w:sz="5" w:space="0" w:color="000000"/>
              <w:right w:val="single" w:sz="5" w:space="0" w:color="000000"/>
            </w:tcBorders>
          </w:tcPr>
          <w:p w14:paraId="591A32C2" w14:textId="77777777" w:rsidR="003C7D89" w:rsidRPr="00F60460" w:rsidRDefault="003C7D89" w:rsidP="00615D31">
            <w:pPr>
              <w:pStyle w:val="Footer"/>
              <w:rPr>
                <w:color w:val="000000"/>
                <w:sz w:val="20"/>
              </w:rPr>
            </w:pPr>
          </w:p>
        </w:tc>
        <w:tc>
          <w:tcPr>
            <w:tcW w:w="1236" w:type="dxa"/>
            <w:tcBorders>
              <w:top w:val="single" w:sz="5" w:space="0" w:color="000000"/>
              <w:left w:val="single" w:sz="5" w:space="0" w:color="000000"/>
              <w:bottom w:val="single" w:sz="5" w:space="0" w:color="000000"/>
              <w:right w:val="single" w:sz="5" w:space="0" w:color="000000"/>
            </w:tcBorders>
          </w:tcPr>
          <w:p w14:paraId="5D1A1E08" w14:textId="77777777" w:rsidR="003C7D89" w:rsidRPr="00F60460" w:rsidRDefault="003C7D89" w:rsidP="00615D31">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4DFF05C7" w14:textId="77777777" w:rsidR="003C7D89" w:rsidRPr="00F60460" w:rsidRDefault="003C7D89" w:rsidP="00615D31">
            <w:pPr>
              <w:pStyle w:val="Footer"/>
              <w:rPr>
                <w:color w:val="000000"/>
                <w:sz w:val="20"/>
              </w:rPr>
            </w:pPr>
          </w:p>
        </w:tc>
      </w:tr>
      <w:tr w:rsidR="003C7D89" w:rsidRPr="00F60460" w14:paraId="3C4624B1" w14:textId="77777777" w:rsidTr="00D43C6F">
        <w:trPr>
          <w:trHeight w:val="467"/>
        </w:trPr>
        <w:tc>
          <w:tcPr>
            <w:tcW w:w="1744" w:type="dxa"/>
            <w:tcBorders>
              <w:top w:val="single" w:sz="5" w:space="0" w:color="000000"/>
              <w:left w:val="single" w:sz="5" w:space="0" w:color="000000"/>
              <w:bottom w:val="single" w:sz="5" w:space="0" w:color="000000"/>
              <w:right w:val="single" w:sz="5" w:space="0" w:color="000000"/>
            </w:tcBorders>
          </w:tcPr>
          <w:p w14:paraId="0D963812" w14:textId="77777777" w:rsidR="003C7D89" w:rsidRPr="00F60460" w:rsidRDefault="003C7D89" w:rsidP="00615D31">
            <w:pPr>
              <w:pStyle w:val="Footer"/>
              <w:rPr>
                <w:color w:val="000000"/>
                <w:sz w:val="20"/>
              </w:rPr>
            </w:pPr>
            <w:r w:rsidRPr="00F60460">
              <w:rPr>
                <w:color w:val="000000"/>
                <w:sz w:val="20"/>
              </w:rPr>
              <w:t>Vrozené, familiální a genetické vady</w:t>
            </w:r>
          </w:p>
        </w:tc>
        <w:tc>
          <w:tcPr>
            <w:tcW w:w="1570" w:type="dxa"/>
            <w:tcBorders>
              <w:top w:val="single" w:sz="5" w:space="0" w:color="000000"/>
              <w:left w:val="single" w:sz="5" w:space="0" w:color="000000"/>
              <w:bottom w:val="single" w:sz="5" w:space="0" w:color="000000"/>
              <w:right w:val="single" w:sz="5" w:space="0" w:color="000000"/>
            </w:tcBorders>
          </w:tcPr>
          <w:p w14:paraId="56F1C4D5" w14:textId="77777777" w:rsidR="003C7D89" w:rsidRPr="00F60460" w:rsidRDefault="003C7D89" w:rsidP="00615D31">
            <w:pPr>
              <w:pStyle w:val="Footer"/>
              <w:rPr>
                <w:color w:val="000000"/>
                <w:sz w:val="20"/>
              </w:rPr>
            </w:pPr>
          </w:p>
        </w:tc>
        <w:tc>
          <w:tcPr>
            <w:tcW w:w="1483" w:type="dxa"/>
            <w:tcBorders>
              <w:top w:val="single" w:sz="5" w:space="0" w:color="000000"/>
              <w:left w:val="single" w:sz="5" w:space="0" w:color="000000"/>
              <w:bottom w:val="single" w:sz="5" w:space="0" w:color="000000"/>
              <w:right w:val="single" w:sz="5" w:space="0" w:color="000000"/>
            </w:tcBorders>
          </w:tcPr>
          <w:p w14:paraId="1419055C" w14:textId="77777777" w:rsidR="003C7D89" w:rsidRPr="00F60460" w:rsidRDefault="003C7D89" w:rsidP="00615D31">
            <w:pPr>
              <w:pStyle w:val="Footer"/>
              <w:rPr>
                <w:color w:val="000000"/>
                <w:sz w:val="20"/>
              </w:rPr>
            </w:pPr>
          </w:p>
        </w:tc>
        <w:tc>
          <w:tcPr>
            <w:tcW w:w="1046" w:type="dxa"/>
            <w:tcBorders>
              <w:top w:val="single" w:sz="5" w:space="0" w:color="000000"/>
              <w:left w:val="single" w:sz="5" w:space="0" w:color="000000"/>
              <w:bottom w:val="single" w:sz="5" w:space="0" w:color="000000"/>
              <w:right w:val="single" w:sz="5" w:space="0" w:color="000000"/>
            </w:tcBorders>
          </w:tcPr>
          <w:p w14:paraId="1EEF5611" w14:textId="77777777" w:rsidR="003C7D89" w:rsidRPr="00F60460" w:rsidRDefault="003C7D89" w:rsidP="00615D31">
            <w:pPr>
              <w:pStyle w:val="Footer"/>
              <w:rPr>
                <w:color w:val="000000"/>
                <w:sz w:val="20"/>
              </w:rPr>
            </w:pPr>
          </w:p>
        </w:tc>
        <w:tc>
          <w:tcPr>
            <w:tcW w:w="1151" w:type="dxa"/>
            <w:tcBorders>
              <w:top w:val="single" w:sz="5" w:space="0" w:color="000000"/>
              <w:left w:val="single" w:sz="5" w:space="0" w:color="000000"/>
              <w:bottom w:val="single" w:sz="5" w:space="0" w:color="000000"/>
              <w:right w:val="single" w:sz="5" w:space="0" w:color="000000"/>
            </w:tcBorders>
          </w:tcPr>
          <w:p w14:paraId="5EC59421" w14:textId="77777777" w:rsidR="003C7D89" w:rsidRPr="00F60460" w:rsidRDefault="003C7D89" w:rsidP="00615D31">
            <w:pPr>
              <w:pStyle w:val="Footer"/>
              <w:rPr>
                <w:color w:val="000000"/>
                <w:sz w:val="20"/>
              </w:rPr>
            </w:pPr>
          </w:p>
        </w:tc>
        <w:tc>
          <w:tcPr>
            <w:tcW w:w="1236" w:type="dxa"/>
            <w:tcBorders>
              <w:top w:val="single" w:sz="5" w:space="0" w:color="000000"/>
              <w:left w:val="single" w:sz="5" w:space="0" w:color="000000"/>
              <w:bottom w:val="single" w:sz="5" w:space="0" w:color="000000"/>
              <w:right w:val="single" w:sz="5" w:space="0" w:color="000000"/>
            </w:tcBorders>
          </w:tcPr>
          <w:p w14:paraId="5CD09A8A" w14:textId="77777777" w:rsidR="003C7D89" w:rsidRPr="00F60460" w:rsidRDefault="003C7D89" w:rsidP="00615D31">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49C59732" w14:textId="77777777" w:rsidR="003C7D89" w:rsidRPr="00F60460" w:rsidRDefault="003C7D89" w:rsidP="00615D31">
            <w:pPr>
              <w:pStyle w:val="Footer"/>
              <w:rPr>
                <w:color w:val="000000"/>
                <w:sz w:val="20"/>
              </w:rPr>
            </w:pPr>
            <w:r w:rsidRPr="00F60460">
              <w:rPr>
                <w:color w:val="000000"/>
                <w:sz w:val="20"/>
              </w:rPr>
              <w:t>Fetální abnormality</w:t>
            </w:r>
            <w:r w:rsidRPr="00F60460">
              <w:rPr>
                <w:color w:val="000000"/>
                <w:sz w:val="20"/>
                <w:vertAlign w:val="superscript"/>
              </w:rPr>
              <w:t>a,b</w:t>
            </w:r>
          </w:p>
        </w:tc>
      </w:tr>
      <w:tr w:rsidR="003C7D89" w:rsidRPr="00F60460" w14:paraId="3E433CAB" w14:textId="77777777" w:rsidTr="00D43C6F">
        <w:trPr>
          <w:trHeight w:val="679"/>
        </w:trPr>
        <w:tc>
          <w:tcPr>
            <w:tcW w:w="1744" w:type="dxa"/>
            <w:tcBorders>
              <w:top w:val="single" w:sz="5" w:space="0" w:color="000000"/>
              <w:left w:val="single" w:sz="5" w:space="0" w:color="000000"/>
              <w:bottom w:val="single" w:sz="5" w:space="0" w:color="000000"/>
              <w:right w:val="single" w:sz="5" w:space="0" w:color="000000"/>
            </w:tcBorders>
          </w:tcPr>
          <w:p w14:paraId="69FA77BC" w14:textId="77777777" w:rsidR="003C7D89" w:rsidRPr="00F60460" w:rsidRDefault="003C7D89" w:rsidP="00615D31">
            <w:pPr>
              <w:pStyle w:val="Footer"/>
              <w:rPr>
                <w:color w:val="000000"/>
                <w:sz w:val="20"/>
              </w:rPr>
            </w:pPr>
            <w:r w:rsidRPr="00F60460">
              <w:rPr>
                <w:color w:val="000000"/>
                <w:sz w:val="20"/>
              </w:rPr>
              <w:t>Celkové poruchy a reakce v místě aplikace</w:t>
            </w:r>
          </w:p>
        </w:tc>
        <w:tc>
          <w:tcPr>
            <w:tcW w:w="1570" w:type="dxa"/>
            <w:tcBorders>
              <w:top w:val="single" w:sz="5" w:space="0" w:color="000000"/>
              <w:left w:val="single" w:sz="5" w:space="0" w:color="000000"/>
              <w:bottom w:val="single" w:sz="5" w:space="0" w:color="000000"/>
              <w:right w:val="single" w:sz="5" w:space="0" w:color="000000"/>
            </w:tcBorders>
          </w:tcPr>
          <w:p w14:paraId="48D0548B" w14:textId="77777777" w:rsidR="003C7D89" w:rsidRPr="00F60460" w:rsidRDefault="003C7D89" w:rsidP="00615D31">
            <w:pPr>
              <w:pStyle w:val="Footer"/>
              <w:rPr>
                <w:color w:val="000000"/>
                <w:sz w:val="20"/>
              </w:rPr>
            </w:pPr>
            <w:r w:rsidRPr="00F60460">
              <w:rPr>
                <w:color w:val="000000"/>
                <w:sz w:val="20"/>
              </w:rPr>
              <w:t>Astenie, únava, pyrexie, bolest, zánět sliznice</w:t>
            </w:r>
          </w:p>
        </w:tc>
        <w:tc>
          <w:tcPr>
            <w:tcW w:w="1483" w:type="dxa"/>
            <w:tcBorders>
              <w:top w:val="single" w:sz="5" w:space="0" w:color="000000"/>
              <w:left w:val="single" w:sz="5" w:space="0" w:color="000000"/>
              <w:bottom w:val="single" w:sz="5" w:space="0" w:color="000000"/>
              <w:right w:val="single" w:sz="5" w:space="0" w:color="000000"/>
            </w:tcBorders>
          </w:tcPr>
          <w:p w14:paraId="7B482BE3" w14:textId="77777777" w:rsidR="003C7D89" w:rsidRPr="00F60460" w:rsidRDefault="003C7D89" w:rsidP="00615D31">
            <w:pPr>
              <w:pStyle w:val="Footer"/>
              <w:rPr>
                <w:color w:val="000000"/>
                <w:sz w:val="20"/>
              </w:rPr>
            </w:pPr>
            <w:r w:rsidRPr="00F60460">
              <w:rPr>
                <w:color w:val="000000"/>
                <w:sz w:val="20"/>
              </w:rPr>
              <w:t>Letargie</w:t>
            </w:r>
          </w:p>
        </w:tc>
        <w:tc>
          <w:tcPr>
            <w:tcW w:w="1046" w:type="dxa"/>
            <w:tcBorders>
              <w:top w:val="single" w:sz="5" w:space="0" w:color="000000"/>
              <w:left w:val="single" w:sz="5" w:space="0" w:color="000000"/>
              <w:bottom w:val="single" w:sz="5" w:space="0" w:color="000000"/>
              <w:right w:val="single" w:sz="5" w:space="0" w:color="000000"/>
            </w:tcBorders>
          </w:tcPr>
          <w:p w14:paraId="1AC8AA0A" w14:textId="77777777" w:rsidR="003C7D89" w:rsidRPr="00F60460" w:rsidRDefault="003C7D89" w:rsidP="00615D31">
            <w:pPr>
              <w:pStyle w:val="Footer"/>
              <w:rPr>
                <w:color w:val="000000"/>
                <w:sz w:val="20"/>
              </w:rPr>
            </w:pPr>
          </w:p>
        </w:tc>
        <w:tc>
          <w:tcPr>
            <w:tcW w:w="1151" w:type="dxa"/>
            <w:tcBorders>
              <w:top w:val="single" w:sz="5" w:space="0" w:color="000000"/>
              <w:left w:val="single" w:sz="5" w:space="0" w:color="000000"/>
              <w:bottom w:val="single" w:sz="5" w:space="0" w:color="000000"/>
              <w:right w:val="single" w:sz="5" w:space="0" w:color="000000"/>
            </w:tcBorders>
          </w:tcPr>
          <w:p w14:paraId="1F2FFDCD" w14:textId="77777777" w:rsidR="003C7D89" w:rsidRPr="00F60460" w:rsidRDefault="003C7D89" w:rsidP="00615D31">
            <w:pPr>
              <w:pStyle w:val="Footer"/>
              <w:rPr>
                <w:color w:val="000000"/>
                <w:sz w:val="20"/>
              </w:rPr>
            </w:pPr>
          </w:p>
        </w:tc>
        <w:tc>
          <w:tcPr>
            <w:tcW w:w="1236" w:type="dxa"/>
            <w:tcBorders>
              <w:top w:val="single" w:sz="5" w:space="0" w:color="000000"/>
              <w:left w:val="single" w:sz="5" w:space="0" w:color="000000"/>
              <w:bottom w:val="single" w:sz="5" w:space="0" w:color="000000"/>
              <w:right w:val="single" w:sz="5" w:space="0" w:color="000000"/>
            </w:tcBorders>
          </w:tcPr>
          <w:p w14:paraId="0F2875D8" w14:textId="77777777" w:rsidR="003C7D89" w:rsidRPr="00F60460" w:rsidRDefault="003C7D89" w:rsidP="00615D31">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1E3DA72D" w14:textId="77777777" w:rsidR="003C7D89" w:rsidRPr="00F60460" w:rsidRDefault="003C7D89" w:rsidP="00615D31">
            <w:pPr>
              <w:pStyle w:val="Footer"/>
              <w:rPr>
                <w:color w:val="000000"/>
                <w:sz w:val="20"/>
              </w:rPr>
            </w:pPr>
          </w:p>
        </w:tc>
      </w:tr>
      <w:tr w:rsidR="003C7D89" w:rsidRPr="00F60460" w14:paraId="41C74492" w14:textId="77777777" w:rsidTr="00D43C6F">
        <w:trPr>
          <w:trHeight w:val="226"/>
        </w:trPr>
        <w:tc>
          <w:tcPr>
            <w:tcW w:w="1744" w:type="dxa"/>
            <w:tcBorders>
              <w:top w:val="single" w:sz="5" w:space="0" w:color="000000"/>
              <w:left w:val="single" w:sz="5" w:space="0" w:color="000000"/>
              <w:bottom w:val="single" w:sz="5" w:space="0" w:color="000000"/>
              <w:right w:val="single" w:sz="5" w:space="0" w:color="000000"/>
            </w:tcBorders>
          </w:tcPr>
          <w:p w14:paraId="347B455D" w14:textId="77777777" w:rsidR="003C7D89" w:rsidRPr="00F60460" w:rsidRDefault="003C7D89" w:rsidP="00615D31">
            <w:pPr>
              <w:pStyle w:val="TableParagraph"/>
              <w:ind w:right="-2"/>
              <w:rPr>
                <w:rFonts w:ascii="Times New Roman" w:hAnsi="Times New Roman"/>
                <w:color w:val="000000"/>
                <w:sz w:val="20"/>
                <w:szCs w:val="20"/>
              </w:rPr>
            </w:pPr>
            <w:r w:rsidRPr="00F60460">
              <w:rPr>
                <w:rFonts w:ascii="Times New Roman" w:hAnsi="Times New Roman"/>
                <w:color w:val="000000"/>
                <w:sz w:val="20"/>
              </w:rPr>
              <w:t>Vyšetření</w:t>
            </w:r>
          </w:p>
        </w:tc>
        <w:tc>
          <w:tcPr>
            <w:tcW w:w="1570" w:type="dxa"/>
            <w:tcBorders>
              <w:top w:val="single" w:sz="5" w:space="0" w:color="000000"/>
              <w:left w:val="single" w:sz="5" w:space="0" w:color="000000"/>
              <w:bottom w:val="single" w:sz="5" w:space="0" w:color="000000"/>
              <w:right w:val="single" w:sz="5" w:space="0" w:color="000000"/>
            </w:tcBorders>
          </w:tcPr>
          <w:p w14:paraId="7820C112" w14:textId="77777777" w:rsidR="003C7D89" w:rsidRPr="00F60460" w:rsidRDefault="003C7D89" w:rsidP="00615D31">
            <w:pPr>
              <w:pStyle w:val="TableParagraph"/>
              <w:ind w:firstLine="6"/>
              <w:rPr>
                <w:rFonts w:ascii="Times New Roman" w:hAnsi="Times New Roman"/>
                <w:color w:val="000000"/>
                <w:sz w:val="20"/>
                <w:szCs w:val="20"/>
              </w:rPr>
            </w:pPr>
            <w:r w:rsidRPr="00F60460">
              <w:rPr>
                <w:rFonts w:ascii="Times New Roman" w:hAnsi="Times New Roman"/>
                <w:color w:val="000000"/>
                <w:sz w:val="20"/>
              </w:rPr>
              <w:t>Snížená hmotnost</w:t>
            </w:r>
          </w:p>
        </w:tc>
        <w:tc>
          <w:tcPr>
            <w:tcW w:w="1483" w:type="dxa"/>
            <w:tcBorders>
              <w:top w:val="single" w:sz="5" w:space="0" w:color="000000"/>
              <w:left w:val="single" w:sz="5" w:space="0" w:color="000000"/>
              <w:bottom w:val="single" w:sz="5" w:space="0" w:color="000000"/>
              <w:right w:val="single" w:sz="5" w:space="0" w:color="000000"/>
            </w:tcBorders>
          </w:tcPr>
          <w:p w14:paraId="1B9BC9E6" w14:textId="77777777" w:rsidR="003C7D89" w:rsidRPr="00F60460" w:rsidRDefault="003C7D89" w:rsidP="00615D31">
            <w:pPr>
              <w:pStyle w:val="TableParagraph"/>
              <w:ind w:right="188" w:hanging="108"/>
              <w:rPr>
                <w:rFonts w:ascii="Times New Roman" w:hAnsi="Times New Roman"/>
                <w:color w:val="000000"/>
                <w:sz w:val="20"/>
                <w:szCs w:val="20"/>
              </w:rPr>
            </w:pPr>
          </w:p>
        </w:tc>
        <w:tc>
          <w:tcPr>
            <w:tcW w:w="1046" w:type="dxa"/>
            <w:tcBorders>
              <w:top w:val="single" w:sz="5" w:space="0" w:color="000000"/>
              <w:left w:val="single" w:sz="5" w:space="0" w:color="000000"/>
              <w:bottom w:val="single" w:sz="5" w:space="0" w:color="000000"/>
              <w:right w:val="single" w:sz="5" w:space="0" w:color="000000"/>
            </w:tcBorders>
          </w:tcPr>
          <w:p w14:paraId="429D47DC" w14:textId="77777777" w:rsidR="003C7D89" w:rsidRPr="00F60460" w:rsidRDefault="003C7D89" w:rsidP="00615D31">
            <w:pPr>
              <w:pStyle w:val="Footer"/>
              <w:rPr>
                <w:color w:val="000000"/>
                <w:sz w:val="20"/>
              </w:rPr>
            </w:pPr>
          </w:p>
        </w:tc>
        <w:tc>
          <w:tcPr>
            <w:tcW w:w="1151" w:type="dxa"/>
            <w:tcBorders>
              <w:top w:val="single" w:sz="5" w:space="0" w:color="000000"/>
              <w:left w:val="single" w:sz="5" w:space="0" w:color="000000"/>
              <w:bottom w:val="single" w:sz="5" w:space="0" w:color="000000"/>
              <w:right w:val="single" w:sz="5" w:space="0" w:color="000000"/>
            </w:tcBorders>
          </w:tcPr>
          <w:p w14:paraId="26DA8B74" w14:textId="77777777" w:rsidR="003C7D89" w:rsidRPr="00F60460" w:rsidRDefault="003C7D89" w:rsidP="00615D31">
            <w:pPr>
              <w:pStyle w:val="Footer"/>
              <w:rPr>
                <w:color w:val="000000"/>
                <w:sz w:val="20"/>
              </w:rPr>
            </w:pPr>
          </w:p>
        </w:tc>
        <w:tc>
          <w:tcPr>
            <w:tcW w:w="1236" w:type="dxa"/>
            <w:tcBorders>
              <w:top w:val="single" w:sz="5" w:space="0" w:color="000000"/>
              <w:left w:val="single" w:sz="5" w:space="0" w:color="000000"/>
              <w:bottom w:val="single" w:sz="5" w:space="0" w:color="000000"/>
              <w:right w:val="single" w:sz="5" w:space="0" w:color="000000"/>
            </w:tcBorders>
          </w:tcPr>
          <w:p w14:paraId="2924B463" w14:textId="77777777" w:rsidR="003C7D89" w:rsidRPr="00F60460" w:rsidRDefault="003C7D89" w:rsidP="00615D31">
            <w:pPr>
              <w:pStyle w:val="Footer"/>
              <w:rPr>
                <w:color w:val="000000"/>
                <w:sz w:val="20"/>
              </w:rPr>
            </w:pPr>
          </w:p>
        </w:tc>
        <w:tc>
          <w:tcPr>
            <w:tcW w:w="1276" w:type="dxa"/>
            <w:tcBorders>
              <w:top w:val="single" w:sz="5" w:space="0" w:color="000000"/>
              <w:left w:val="single" w:sz="5" w:space="0" w:color="000000"/>
              <w:bottom w:val="single" w:sz="5" w:space="0" w:color="000000"/>
              <w:right w:val="single" w:sz="5" w:space="0" w:color="000000"/>
            </w:tcBorders>
          </w:tcPr>
          <w:p w14:paraId="00290C3E" w14:textId="77777777" w:rsidR="003C7D89" w:rsidRPr="00F60460" w:rsidRDefault="003C7D89" w:rsidP="00615D31">
            <w:pPr>
              <w:pStyle w:val="Footer"/>
              <w:rPr>
                <w:color w:val="000000"/>
                <w:sz w:val="20"/>
              </w:rPr>
            </w:pPr>
          </w:p>
        </w:tc>
      </w:tr>
    </w:tbl>
    <w:p w14:paraId="149E68AA" w14:textId="77777777" w:rsidR="00DA6D85" w:rsidRPr="00F60460" w:rsidRDefault="00DA6D85" w:rsidP="003C7D89">
      <w:pPr>
        <w:ind w:right="855"/>
        <w:rPr>
          <w:rFonts w:ascii="Times New Roman" w:hAnsi="Times New Roman"/>
          <w:color w:val="000000"/>
          <w:sz w:val="20"/>
        </w:rPr>
      </w:pPr>
    </w:p>
    <w:p w14:paraId="1C21F888" w14:textId="77777777" w:rsidR="003C7D89" w:rsidRPr="00F60460" w:rsidRDefault="003C7D89" w:rsidP="003C7D89">
      <w:pPr>
        <w:ind w:right="855"/>
        <w:rPr>
          <w:rFonts w:ascii="Times New Roman" w:eastAsia="Times New Roman" w:hAnsi="Times New Roman"/>
          <w:color w:val="000000"/>
          <w:sz w:val="20"/>
          <w:szCs w:val="20"/>
        </w:rPr>
      </w:pPr>
      <w:r w:rsidRPr="00F60460">
        <w:rPr>
          <w:rFonts w:ascii="Times New Roman" w:hAnsi="Times New Roman"/>
          <w:color w:val="000000"/>
          <w:sz w:val="20"/>
        </w:rPr>
        <w:t>Pokud byly příhody zaznamenány v klinických studiích ve všech stupních i stupních 3–5 nežádoucích účinků přípravku, byla hlášena nejvyšší frekvence pozorovaná u pacientů. Údaje nejsou upravené s ohledem na různé trvání léčby.</w:t>
      </w:r>
    </w:p>
    <w:p w14:paraId="5E484AC7" w14:textId="77777777" w:rsidR="003C7D89" w:rsidRPr="00381DC2" w:rsidRDefault="003C7D89" w:rsidP="003C7D89">
      <w:pPr>
        <w:rPr>
          <w:rFonts w:ascii="Times New Roman" w:eastAsia="Times New Roman" w:hAnsi="Times New Roman"/>
          <w:color w:val="000000"/>
        </w:rPr>
      </w:pPr>
    </w:p>
    <w:p w14:paraId="1669982D" w14:textId="77777777" w:rsidR="003C7D89" w:rsidRPr="00F60460" w:rsidRDefault="003C7D89" w:rsidP="000C3129">
      <w:pPr>
        <w:ind w:left="284" w:hanging="284"/>
        <w:rPr>
          <w:rFonts w:ascii="Times New Roman" w:eastAsia="Times New Roman" w:hAnsi="Times New Roman"/>
          <w:color w:val="000000"/>
          <w:sz w:val="20"/>
          <w:szCs w:val="20"/>
        </w:rPr>
      </w:pPr>
      <w:r w:rsidRPr="00381DC2">
        <w:rPr>
          <w:rFonts w:ascii="Times New Roman" w:hAnsi="Times New Roman"/>
          <w:color w:val="000000"/>
          <w:vertAlign w:val="superscript"/>
        </w:rPr>
        <w:t>a</w:t>
      </w:r>
      <w:r w:rsidRPr="00F60460">
        <w:rPr>
          <w:rFonts w:ascii="Times New Roman" w:hAnsi="Times New Roman"/>
          <w:color w:val="000000"/>
          <w:sz w:val="13"/>
        </w:rPr>
        <w:t xml:space="preserve"> </w:t>
      </w:r>
      <w:r w:rsidR="00EF58C4" w:rsidRPr="00F60460">
        <w:rPr>
          <w:rFonts w:ascii="Times New Roman" w:hAnsi="Times New Roman"/>
          <w:color w:val="000000"/>
          <w:sz w:val="13"/>
        </w:rPr>
        <w:tab/>
      </w:r>
      <w:r w:rsidRPr="00F60460">
        <w:rPr>
          <w:rFonts w:ascii="Times New Roman" w:hAnsi="Times New Roman"/>
          <w:color w:val="000000"/>
          <w:sz w:val="20"/>
        </w:rPr>
        <w:t>Bližší informace naleznete v tabulce 3 „Nežádoucí účinky hlášené po uvedení přípravku na trh“.</w:t>
      </w:r>
    </w:p>
    <w:p w14:paraId="6BFFAEB1" w14:textId="77777777" w:rsidR="003C7D89" w:rsidRPr="00F60460" w:rsidRDefault="003C7D89" w:rsidP="000C3129">
      <w:pPr>
        <w:ind w:left="270" w:right="331" w:hanging="270"/>
        <w:rPr>
          <w:rFonts w:ascii="Times New Roman" w:eastAsia="Times New Roman" w:hAnsi="Times New Roman"/>
          <w:color w:val="000000"/>
          <w:sz w:val="20"/>
          <w:szCs w:val="20"/>
        </w:rPr>
      </w:pPr>
      <w:r w:rsidRPr="00381DC2">
        <w:rPr>
          <w:rFonts w:ascii="Times New Roman" w:hAnsi="Times New Roman"/>
          <w:color w:val="000000"/>
          <w:vertAlign w:val="superscript"/>
        </w:rPr>
        <w:t xml:space="preserve">b </w:t>
      </w:r>
      <w:r w:rsidR="00EF58C4" w:rsidRPr="00381DC2">
        <w:rPr>
          <w:rFonts w:ascii="Times New Roman" w:hAnsi="Times New Roman"/>
          <w:color w:val="000000"/>
          <w:vertAlign w:val="superscript"/>
        </w:rPr>
        <w:tab/>
      </w:r>
      <w:r w:rsidRPr="00F60460">
        <w:rPr>
          <w:rFonts w:ascii="Times New Roman" w:hAnsi="Times New Roman"/>
          <w:color w:val="000000"/>
          <w:sz w:val="20"/>
        </w:rPr>
        <w:t>Pojmy zastupují skupinu příhod, které spíše popisují zdravotní koncepci než jednotlivý stav nebo preferovaný termín MedDRA (Medical Dictionary for Regulatory Activities). Tato skupina lékařských pojmů může zahrnovat stejnou základní patofyziologii (např. arteriální tromboembolické reakce zahrnují cévní mozkovou  příhodu, infarkt myokardu, tranzitorní ischemickou ataku a další arteriální tromboembolické reakce).</w:t>
      </w:r>
    </w:p>
    <w:p w14:paraId="4ADDACEB" w14:textId="77777777" w:rsidR="003C7D89" w:rsidRPr="00F60460" w:rsidRDefault="003C7D89" w:rsidP="000C3129">
      <w:pPr>
        <w:ind w:left="284" w:hanging="284"/>
        <w:rPr>
          <w:rFonts w:ascii="Times New Roman" w:eastAsia="Times New Roman" w:hAnsi="Times New Roman"/>
          <w:color w:val="000000"/>
          <w:sz w:val="20"/>
          <w:szCs w:val="20"/>
        </w:rPr>
      </w:pPr>
      <w:r w:rsidRPr="00381DC2">
        <w:rPr>
          <w:rFonts w:ascii="Times New Roman" w:hAnsi="Times New Roman"/>
          <w:color w:val="000000"/>
          <w:vertAlign w:val="superscript"/>
        </w:rPr>
        <w:t>c</w:t>
      </w:r>
      <w:r w:rsidRPr="00F60460">
        <w:rPr>
          <w:rFonts w:ascii="Times New Roman" w:hAnsi="Times New Roman"/>
          <w:color w:val="000000"/>
          <w:sz w:val="13"/>
        </w:rPr>
        <w:t xml:space="preserve"> </w:t>
      </w:r>
      <w:r w:rsidR="00EF58C4" w:rsidRPr="00F60460">
        <w:rPr>
          <w:rFonts w:ascii="Times New Roman" w:hAnsi="Times New Roman"/>
          <w:color w:val="000000"/>
          <w:sz w:val="13"/>
        </w:rPr>
        <w:tab/>
      </w:r>
      <w:r w:rsidRPr="00F60460">
        <w:rPr>
          <w:rFonts w:ascii="Times New Roman" w:hAnsi="Times New Roman"/>
          <w:color w:val="000000"/>
          <w:sz w:val="20"/>
        </w:rPr>
        <w:t>Dle substudie ve studii NSABP C-08 s 295 pacienty</w:t>
      </w:r>
    </w:p>
    <w:p w14:paraId="353F8D83" w14:textId="77777777" w:rsidR="003C7D89" w:rsidRPr="00F60460" w:rsidRDefault="003C7D89" w:rsidP="000C3129">
      <w:pPr>
        <w:ind w:left="284" w:hanging="284"/>
        <w:rPr>
          <w:rFonts w:ascii="Times New Roman" w:eastAsia="Times New Roman" w:hAnsi="Times New Roman"/>
          <w:color w:val="000000"/>
          <w:sz w:val="20"/>
          <w:szCs w:val="20"/>
        </w:rPr>
      </w:pPr>
      <w:r w:rsidRPr="00381DC2">
        <w:rPr>
          <w:rFonts w:ascii="Times New Roman" w:hAnsi="Times New Roman"/>
          <w:color w:val="000000"/>
          <w:vertAlign w:val="superscript"/>
        </w:rPr>
        <w:t>d</w:t>
      </w:r>
      <w:r w:rsidRPr="00F60460">
        <w:rPr>
          <w:rFonts w:ascii="Times New Roman" w:hAnsi="Times New Roman"/>
          <w:color w:val="000000"/>
          <w:sz w:val="13"/>
        </w:rPr>
        <w:t xml:space="preserve"> </w:t>
      </w:r>
      <w:r w:rsidR="00EF58C4" w:rsidRPr="00F60460">
        <w:rPr>
          <w:rFonts w:ascii="Times New Roman" w:hAnsi="Times New Roman"/>
          <w:color w:val="000000"/>
          <w:sz w:val="13"/>
        </w:rPr>
        <w:tab/>
      </w:r>
      <w:r w:rsidRPr="00F60460">
        <w:rPr>
          <w:rFonts w:ascii="Times New Roman" w:hAnsi="Times New Roman"/>
          <w:color w:val="000000"/>
          <w:sz w:val="20"/>
        </w:rPr>
        <w:t>Další informace naleznete níže v bodě „Další informace o vybraných závažných nežádoucích účincích“.</w:t>
      </w:r>
    </w:p>
    <w:p w14:paraId="6224A1C5" w14:textId="77777777" w:rsidR="003C7D89" w:rsidRPr="00F60460" w:rsidRDefault="003C7D89" w:rsidP="000C3129">
      <w:pPr>
        <w:ind w:left="284" w:hanging="284"/>
        <w:rPr>
          <w:rFonts w:ascii="Times New Roman" w:eastAsia="Times New Roman" w:hAnsi="Times New Roman"/>
          <w:color w:val="000000"/>
          <w:sz w:val="20"/>
          <w:szCs w:val="20"/>
        </w:rPr>
      </w:pPr>
      <w:r w:rsidRPr="00381DC2">
        <w:rPr>
          <w:rFonts w:ascii="Times New Roman" w:hAnsi="Times New Roman"/>
          <w:color w:val="000000"/>
          <w:vertAlign w:val="superscript"/>
        </w:rPr>
        <w:t>e</w:t>
      </w:r>
      <w:r w:rsidRPr="00F60460">
        <w:rPr>
          <w:rFonts w:ascii="Times New Roman" w:hAnsi="Times New Roman"/>
          <w:color w:val="000000"/>
          <w:sz w:val="13"/>
        </w:rPr>
        <w:t xml:space="preserve"> </w:t>
      </w:r>
      <w:r w:rsidR="00EF58C4" w:rsidRPr="00F60460">
        <w:rPr>
          <w:rFonts w:ascii="Times New Roman" w:hAnsi="Times New Roman"/>
          <w:color w:val="000000"/>
          <w:sz w:val="13"/>
        </w:rPr>
        <w:tab/>
      </w:r>
      <w:r w:rsidRPr="00F60460">
        <w:rPr>
          <w:rFonts w:ascii="Times New Roman" w:hAnsi="Times New Roman"/>
          <w:color w:val="000000"/>
          <w:sz w:val="20"/>
        </w:rPr>
        <w:t>Rektovaginální píštěle jsou nejčastěji se vyskytující píštěle v kategorii GI-vaginálních píštělí.</w:t>
      </w:r>
    </w:p>
    <w:p w14:paraId="325EF1D6" w14:textId="77777777" w:rsidR="002B0DE8" w:rsidRPr="00F60460" w:rsidRDefault="003C7D89" w:rsidP="002B0DE8">
      <w:pPr>
        <w:ind w:left="284" w:hanging="284"/>
        <w:rPr>
          <w:rFonts w:ascii="Times New Roman" w:hAnsi="Times New Roman"/>
          <w:color w:val="000000"/>
          <w:sz w:val="20"/>
        </w:rPr>
      </w:pPr>
      <w:r w:rsidRPr="00381DC2">
        <w:rPr>
          <w:rFonts w:ascii="Times New Roman" w:hAnsi="Times New Roman"/>
          <w:color w:val="000000"/>
          <w:vertAlign w:val="superscript"/>
        </w:rPr>
        <w:t>f</w:t>
      </w:r>
      <w:r w:rsidRPr="00F60460">
        <w:rPr>
          <w:rFonts w:ascii="Times New Roman" w:hAnsi="Times New Roman"/>
          <w:color w:val="000000"/>
          <w:sz w:val="13"/>
        </w:rPr>
        <w:t xml:space="preserve"> </w:t>
      </w:r>
      <w:r w:rsidR="00EF58C4" w:rsidRPr="00F60460">
        <w:rPr>
          <w:rFonts w:ascii="Times New Roman" w:hAnsi="Times New Roman"/>
          <w:color w:val="000000"/>
          <w:sz w:val="13"/>
        </w:rPr>
        <w:tab/>
      </w:r>
      <w:r w:rsidRPr="00F60460">
        <w:rPr>
          <w:rFonts w:ascii="Times New Roman" w:hAnsi="Times New Roman"/>
          <w:color w:val="000000"/>
          <w:sz w:val="20"/>
        </w:rPr>
        <w:t>Pozorováno pouze u pediatrické populace.</w:t>
      </w:r>
    </w:p>
    <w:p w14:paraId="7F706E76" w14:textId="77777777" w:rsidR="002B0DE8" w:rsidRPr="00F60460" w:rsidRDefault="002B0DE8" w:rsidP="002B0DE8">
      <w:pPr>
        <w:ind w:left="284" w:hanging="284"/>
        <w:rPr>
          <w:rFonts w:ascii="Times New Roman" w:hAnsi="Times New Roman"/>
          <w:color w:val="000000"/>
          <w:sz w:val="20"/>
        </w:rPr>
      </w:pPr>
    </w:p>
    <w:p w14:paraId="174AAF43" w14:textId="77777777" w:rsidR="00D15122" w:rsidRPr="00381DC2" w:rsidRDefault="002E590F" w:rsidP="002B0DE8">
      <w:pPr>
        <w:ind w:left="284" w:hanging="284"/>
        <w:rPr>
          <w:rFonts w:ascii="Times New Roman" w:eastAsia="Times New Roman" w:hAnsi="Times New Roman"/>
          <w:b/>
          <w:color w:val="000000"/>
        </w:rPr>
      </w:pPr>
      <w:r w:rsidRPr="00381DC2">
        <w:rPr>
          <w:rFonts w:ascii="Times New Roman" w:eastAsia="Times New Roman" w:hAnsi="Times New Roman"/>
          <w:b/>
          <w:color w:val="000000"/>
        </w:rPr>
        <w:t>Tabulka 2</w:t>
      </w:r>
      <w:r w:rsidRPr="00381DC2">
        <w:rPr>
          <w:rFonts w:ascii="Times New Roman" w:eastAsia="Times New Roman" w:hAnsi="Times New Roman"/>
          <w:b/>
          <w:color w:val="000000"/>
        </w:rPr>
        <w:tab/>
        <w:t>Závažné nežádoucí účinky rozdělené dle frekvence</w:t>
      </w:r>
    </w:p>
    <w:p w14:paraId="273263B3" w14:textId="77777777" w:rsidR="00D15122" w:rsidRPr="00381DC2" w:rsidRDefault="00D15122" w:rsidP="00A45DD1">
      <w:pPr>
        <w:keepNext/>
        <w:rPr>
          <w:rFonts w:ascii="Times New Roman" w:eastAsia="Times New Roman" w:hAnsi="Times New Roman"/>
          <w:bCs/>
          <w:color w:val="000000"/>
        </w:rPr>
      </w:pPr>
    </w:p>
    <w:tbl>
      <w:tblPr>
        <w:tblW w:w="9352" w:type="dxa"/>
        <w:tblInd w:w="6" w:type="dxa"/>
        <w:tblLayout w:type="fixed"/>
        <w:tblCellMar>
          <w:left w:w="0" w:type="dxa"/>
          <w:right w:w="0" w:type="dxa"/>
        </w:tblCellMar>
        <w:tblLook w:val="01E0" w:firstRow="1" w:lastRow="1" w:firstColumn="1" w:lastColumn="1" w:noHBand="0" w:noVBand="0"/>
      </w:tblPr>
      <w:tblGrid>
        <w:gridCol w:w="1336"/>
        <w:gridCol w:w="1336"/>
        <w:gridCol w:w="1336"/>
        <w:gridCol w:w="1336"/>
        <w:gridCol w:w="1336"/>
        <w:gridCol w:w="1336"/>
        <w:gridCol w:w="1336"/>
      </w:tblGrid>
      <w:tr w:rsidR="00FC7327" w:rsidRPr="00F60460" w14:paraId="4887F8B3" w14:textId="77777777" w:rsidTr="006A2145">
        <w:trPr>
          <w:tblHeader/>
        </w:trPr>
        <w:tc>
          <w:tcPr>
            <w:tcW w:w="1336" w:type="dxa"/>
            <w:tcBorders>
              <w:top w:val="single" w:sz="5" w:space="0" w:color="000000"/>
              <w:left w:val="single" w:sz="5" w:space="0" w:color="000000"/>
              <w:bottom w:val="single" w:sz="5" w:space="0" w:color="000000"/>
              <w:right w:val="single" w:sz="5" w:space="0" w:color="000000"/>
            </w:tcBorders>
          </w:tcPr>
          <w:p w14:paraId="53279302" w14:textId="77777777" w:rsidR="00FC7327" w:rsidRPr="00F60460" w:rsidRDefault="00FC7327" w:rsidP="00A45DD1">
            <w:pPr>
              <w:pStyle w:val="TableParagraph"/>
              <w:keepNext/>
              <w:ind w:firstLine="8"/>
              <w:jc w:val="center"/>
              <w:rPr>
                <w:rFonts w:ascii="Times New Roman" w:eastAsia="Times New Roman" w:hAnsi="Times New Roman"/>
                <w:color w:val="000000"/>
                <w:sz w:val="20"/>
                <w:szCs w:val="20"/>
              </w:rPr>
            </w:pPr>
            <w:r w:rsidRPr="00F60460">
              <w:rPr>
                <w:rFonts w:ascii="Times New Roman" w:hAnsi="Times New Roman"/>
                <w:color w:val="000000"/>
                <w:sz w:val="20"/>
              </w:rPr>
              <w:t>Třídy orgánových systémů</w:t>
            </w:r>
          </w:p>
        </w:tc>
        <w:tc>
          <w:tcPr>
            <w:tcW w:w="1336" w:type="dxa"/>
            <w:tcBorders>
              <w:top w:val="single" w:sz="5" w:space="0" w:color="000000"/>
              <w:left w:val="single" w:sz="5" w:space="0" w:color="000000"/>
              <w:bottom w:val="single" w:sz="5" w:space="0" w:color="000000"/>
              <w:right w:val="single" w:sz="5" w:space="0" w:color="000000"/>
            </w:tcBorders>
          </w:tcPr>
          <w:p w14:paraId="303F8A6B" w14:textId="77777777" w:rsidR="00FC7327" w:rsidRPr="00F60460" w:rsidRDefault="00FC7327" w:rsidP="00A45DD1">
            <w:pPr>
              <w:pStyle w:val="TableParagraph"/>
              <w:keepNext/>
              <w:spacing w:line="222" w:lineRule="exact"/>
              <w:jc w:val="center"/>
              <w:rPr>
                <w:rFonts w:ascii="Times New Roman" w:eastAsia="Times New Roman" w:hAnsi="Times New Roman"/>
                <w:color w:val="000000"/>
                <w:sz w:val="20"/>
                <w:szCs w:val="20"/>
              </w:rPr>
            </w:pPr>
            <w:r w:rsidRPr="00F60460">
              <w:rPr>
                <w:rFonts w:ascii="Times New Roman" w:hAnsi="Times New Roman"/>
                <w:color w:val="000000"/>
                <w:sz w:val="20"/>
              </w:rPr>
              <w:t>Velmi časté</w:t>
            </w:r>
          </w:p>
        </w:tc>
        <w:tc>
          <w:tcPr>
            <w:tcW w:w="1336" w:type="dxa"/>
            <w:tcBorders>
              <w:top w:val="single" w:sz="5" w:space="0" w:color="000000"/>
              <w:left w:val="single" w:sz="5" w:space="0" w:color="000000"/>
              <w:bottom w:val="single" w:sz="5" w:space="0" w:color="000000"/>
              <w:right w:val="single" w:sz="5" w:space="0" w:color="000000"/>
            </w:tcBorders>
          </w:tcPr>
          <w:p w14:paraId="10AE0AC8" w14:textId="77777777" w:rsidR="00FC7327" w:rsidRPr="00F60460" w:rsidRDefault="00FC7327" w:rsidP="00A45DD1">
            <w:pPr>
              <w:pStyle w:val="TableParagraph"/>
              <w:keepNext/>
              <w:spacing w:line="222" w:lineRule="exact"/>
              <w:jc w:val="center"/>
              <w:rPr>
                <w:rFonts w:ascii="Times New Roman" w:eastAsia="Times New Roman" w:hAnsi="Times New Roman"/>
                <w:color w:val="000000"/>
                <w:sz w:val="20"/>
                <w:szCs w:val="20"/>
              </w:rPr>
            </w:pPr>
            <w:r w:rsidRPr="00F60460">
              <w:rPr>
                <w:rFonts w:ascii="Times New Roman" w:hAnsi="Times New Roman"/>
                <w:color w:val="000000"/>
                <w:sz w:val="20"/>
              </w:rPr>
              <w:t>Časté</w:t>
            </w:r>
          </w:p>
        </w:tc>
        <w:tc>
          <w:tcPr>
            <w:tcW w:w="1336" w:type="dxa"/>
            <w:tcBorders>
              <w:top w:val="single" w:sz="5" w:space="0" w:color="000000"/>
              <w:left w:val="single" w:sz="5" w:space="0" w:color="000000"/>
              <w:bottom w:val="single" w:sz="5" w:space="0" w:color="000000"/>
              <w:right w:val="single" w:sz="5" w:space="0" w:color="000000"/>
            </w:tcBorders>
          </w:tcPr>
          <w:p w14:paraId="7FE0614F" w14:textId="77777777" w:rsidR="00FC7327" w:rsidRPr="00F60460" w:rsidRDefault="00FC7327" w:rsidP="00A45DD1">
            <w:pPr>
              <w:pStyle w:val="TableParagraph"/>
              <w:keepNext/>
              <w:spacing w:line="222" w:lineRule="exact"/>
              <w:jc w:val="center"/>
              <w:rPr>
                <w:rFonts w:ascii="Times New Roman" w:eastAsia="Times New Roman" w:hAnsi="Times New Roman"/>
                <w:color w:val="000000"/>
                <w:sz w:val="20"/>
                <w:szCs w:val="20"/>
              </w:rPr>
            </w:pPr>
            <w:r w:rsidRPr="00F60460">
              <w:rPr>
                <w:rFonts w:ascii="Times New Roman" w:hAnsi="Times New Roman"/>
                <w:color w:val="000000"/>
                <w:sz w:val="20"/>
              </w:rPr>
              <w:t>Méně časté</w:t>
            </w:r>
          </w:p>
        </w:tc>
        <w:tc>
          <w:tcPr>
            <w:tcW w:w="1336" w:type="dxa"/>
            <w:tcBorders>
              <w:top w:val="single" w:sz="5" w:space="0" w:color="000000"/>
              <w:left w:val="single" w:sz="5" w:space="0" w:color="000000"/>
              <w:bottom w:val="single" w:sz="5" w:space="0" w:color="000000"/>
              <w:right w:val="single" w:sz="5" w:space="0" w:color="000000"/>
            </w:tcBorders>
          </w:tcPr>
          <w:p w14:paraId="5E021EEA" w14:textId="77777777" w:rsidR="00FC7327" w:rsidRPr="00F60460" w:rsidRDefault="00FC7327" w:rsidP="00A45DD1">
            <w:pPr>
              <w:pStyle w:val="TableParagraph"/>
              <w:keepNext/>
              <w:spacing w:line="222" w:lineRule="exact"/>
              <w:jc w:val="center"/>
              <w:rPr>
                <w:rFonts w:ascii="Times New Roman" w:eastAsia="Times New Roman" w:hAnsi="Times New Roman"/>
                <w:color w:val="000000"/>
                <w:sz w:val="20"/>
                <w:szCs w:val="20"/>
              </w:rPr>
            </w:pPr>
            <w:r w:rsidRPr="00F60460">
              <w:rPr>
                <w:rFonts w:ascii="Times New Roman" w:hAnsi="Times New Roman"/>
                <w:color w:val="000000"/>
                <w:sz w:val="20"/>
              </w:rPr>
              <w:t>Vzácné</w:t>
            </w:r>
          </w:p>
        </w:tc>
        <w:tc>
          <w:tcPr>
            <w:tcW w:w="1336" w:type="dxa"/>
            <w:tcBorders>
              <w:top w:val="single" w:sz="5" w:space="0" w:color="000000"/>
              <w:left w:val="single" w:sz="5" w:space="0" w:color="000000"/>
              <w:bottom w:val="single" w:sz="5" w:space="0" w:color="000000"/>
              <w:right w:val="single" w:sz="5" w:space="0" w:color="000000"/>
            </w:tcBorders>
          </w:tcPr>
          <w:p w14:paraId="1268E3BB" w14:textId="77777777" w:rsidR="00FC7327" w:rsidRPr="00F60460" w:rsidRDefault="00FC7327" w:rsidP="00A45DD1">
            <w:pPr>
              <w:pStyle w:val="TableParagraph"/>
              <w:keepNext/>
              <w:ind w:hanging="10"/>
              <w:jc w:val="center"/>
              <w:rPr>
                <w:rFonts w:ascii="Times New Roman" w:eastAsia="Times New Roman" w:hAnsi="Times New Roman"/>
                <w:color w:val="000000"/>
                <w:sz w:val="20"/>
                <w:szCs w:val="20"/>
              </w:rPr>
            </w:pPr>
            <w:r w:rsidRPr="00F60460">
              <w:rPr>
                <w:rFonts w:ascii="Times New Roman" w:hAnsi="Times New Roman"/>
                <w:color w:val="000000"/>
                <w:sz w:val="20"/>
              </w:rPr>
              <w:t>Velmi vzácné</w:t>
            </w:r>
          </w:p>
        </w:tc>
        <w:tc>
          <w:tcPr>
            <w:tcW w:w="1336" w:type="dxa"/>
            <w:tcBorders>
              <w:top w:val="single" w:sz="5" w:space="0" w:color="000000"/>
              <w:left w:val="single" w:sz="5" w:space="0" w:color="000000"/>
              <w:bottom w:val="single" w:sz="5" w:space="0" w:color="000000"/>
              <w:right w:val="single" w:sz="5" w:space="0" w:color="000000"/>
            </w:tcBorders>
          </w:tcPr>
          <w:p w14:paraId="5CF545EA" w14:textId="77777777" w:rsidR="00FC7327" w:rsidRPr="00F60460" w:rsidRDefault="00FC7327" w:rsidP="00A45DD1">
            <w:pPr>
              <w:pStyle w:val="TableParagraph"/>
              <w:keepNext/>
              <w:ind w:right="260"/>
              <w:jc w:val="center"/>
              <w:rPr>
                <w:rFonts w:ascii="Times New Roman" w:eastAsia="Times New Roman" w:hAnsi="Times New Roman"/>
                <w:color w:val="000000"/>
                <w:sz w:val="20"/>
                <w:szCs w:val="20"/>
              </w:rPr>
            </w:pPr>
            <w:r w:rsidRPr="00F60460">
              <w:rPr>
                <w:rFonts w:ascii="Times New Roman" w:hAnsi="Times New Roman"/>
                <w:color w:val="000000"/>
                <w:sz w:val="20"/>
              </w:rPr>
              <w:t>Frekvence není známa</w:t>
            </w:r>
          </w:p>
        </w:tc>
      </w:tr>
      <w:tr w:rsidR="00FC7327" w:rsidRPr="00F60460" w14:paraId="1E428C64" w14:textId="77777777" w:rsidTr="006A2145">
        <w:tc>
          <w:tcPr>
            <w:tcW w:w="1336" w:type="dxa"/>
            <w:tcBorders>
              <w:top w:val="single" w:sz="5" w:space="0" w:color="000000"/>
              <w:left w:val="single" w:sz="5" w:space="0" w:color="000000"/>
              <w:bottom w:val="single" w:sz="5" w:space="0" w:color="000000"/>
              <w:right w:val="single" w:sz="5" w:space="0" w:color="000000"/>
            </w:tcBorders>
          </w:tcPr>
          <w:p w14:paraId="235CCAF0" w14:textId="77777777" w:rsidR="00FC7327" w:rsidRPr="00F60460" w:rsidRDefault="00FC7327" w:rsidP="00615D31">
            <w:pPr>
              <w:pStyle w:val="TableParagraph"/>
              <w:spacing w:line="234" w:lineRule="auto"/>
              <w:rPr>
                <w:rFonts w:ascii="Times New Roman" w:hAnsi="Times New Roman"/>
                <w:color w:val="000000"/>
                <w:sz w:val="20"/>
                <w:szCs w:val="20"/>
              </w:rPr>
            </w:pPr>
            <w:r w:rsidRPr="00F60460">
              <w:rPr>
                <w:rFonts w:ascii="Times New Roman" w:hAnsi="Times New Roman"/>
                <w:color w:val="000000"/>
                <w:sz w:val="20"/>
              </w:rPr>
              <w:t>Infekce a infestace</w:t>
            </w:r>
          </w:p>
        </w:tc>
        <w:tc>
          <w:tcPr>
            <w:tcW w:w="1336" w:type="dxa"/>
            <w:tcBorders>
              <w:top w:val="single" w:sz="5" w:space="0" w:color="000000"/>
              <w:left w:val="single" w:sz="5" w:space="0" w:color="000000"/>
              <w:bottom w:val="single" w:sz="5" w:space="0" w:color="000000"/>
              <w:right w:val="single" w:sz="5" w:space="0" w:color="000000"/>
            </w:tcBorders>
          </w:tcPr>
          <w:p w14:paraId="39E21FD8" w14:textId="77777777" w:rsidR="00FC7327" w:rsidRPr="00F60460" w:rsidRDefault="00FC7327" w:rsidP="00615D31">
            <w:pPr>
              <w:pStyle w:val="TableParagraph"/>
              <w:spacing w:line="234" w:lineRule="auto"/>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2EC8653" w14:textId="77777777" w:rsidR="00FC7327" w:rsidRPr="00F60460" w:rsidRDefault="00FC7327" w:rsidP="00615D31">
            <w:pPr>
              <w:pStyle w:val="TableParagraph"/>
              <w:spacing w:line="234" w:lineRule="auto"/>
              <w:ind w:right="9"/>
              <w:rPr>
                <w:rFonts w:ascii="Times New Roman" w:hAnsi="Times New Roman"/>
                <w:color w:val="000000"/>
                <w:sz w:val="20"/>
                <w:szCs w:val="20"/>
              </w:rPr>
            </w:pPr>
            <w:r w:rsidRPr="00F60460">
              <w:rPr>
                <w:rFonts w:ascii="Times New Roman" w:hAnsi="Times New Roman"/>
                <w:color w:val="000000"/>
                <w:sz w:val="20"/>
              </w:rPr>
              <w:t>Sepse, celulitida, absces</w:t>
            </w:r>
            <w:r w:rsidRPr="00F60460">
              <w:rPr>
                <w:rFonts w:ascii="Times New Roman" w:hAnsi="Times New Roman"/>
                <w:color w:val="000000"/>
                <w:sz w:val="20"/>
                <w:vertAlign w:val="superscript"/>
              </w:rPr>
              <w:t>a,b</w:t>
            </w:r>
            <w:r w:rsidRPr="00F60460">
              <w:rPr>
                <w:rFonts w:ascii="Times New Roman" w:hAnsi="Times New Roman"/>
                <w:color w:val="000000"/>
                <w:sz w:val="20"/>
              </w:rPr>
              <w:t xml:space="preserve">, infekce, infekce močových cest </w:t>
            </w:r>
          </w:p>
        </w:tc>
        <w:tc>
          <w:tcPr>
            <w:tcW w:w="1336" w:type="dxa"/>
            <w:tcBorders>
              <w:top w:val="single" w:sz="5" w:space="0" w:color="000000"/>
              <w:left w:val="single" w:sz="5" w:space="0" w:color="000000"/>
              <w:bottom w:val="single" w:sz="5" w:space="0" w:color="000000"/>
              <w:right w:val="single" w:sz="5" w:space="0" w:color="000000"/>
            </w:tcBorders>
          </w:tcPr>
          <w:p w14:paraId="36E9E45C" w14:textId="77777777" w:rsidR="00FC7327" w:rsidRPr="00F60460" w:rsidRDefault="00FC7327" w:rsidP="00615D31">
            <w:pPr>
              <w:pStyle w:val="TableParagraph"/>
              <w:spacing w:line="234" w:lineRule="auto"/>
              <w:ind w:right="3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5EA7ED4" w14:textId="77777777" w:rsidR="00FC7327" w:rsidRPr="00F60460" w:rsidRDefault="00FC7327" w:rsidP="00615D31">
            <w:pPr>
              <w:pStyle w:val="TableParagraph"/>
              <w:spacing w:line="234" w:lineRule="auto"/>
              <w:ind w:right="20"/>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01069F3" w14:textId="77777777" w:rsidR="00FC7327" w:rsidRPr="00F60460" w:rsidRDefault="00FC7327" w:rsidP="00615D31">
            <w:pPr>
              <w:pStyle w:val="TableParagraph"/>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0BD6E70" w14:textId="77777777" w:rsidR="00FC7327" w:rsidRPr="00F60460" w:rsidRDefault="00FC7327" w:rsidP="00615D31">
            <w:pPr>
              <w:pStyle w:val="TableParagraph"/>
              <w:spacing w:line="234" w:lineRule="auto"/>
              <w:ind w:right="26"/>
              <w:rPr>
                <w:rFonts w:ascii="Times New Roman" w:hAnsi="Times New Roman"/>
                <w:color w:val="000000"/>
                <w:sz w:val="20"/>
                <w:szCs w:val="20"/>
              </w:rPr>
            </w:pPr>
            <w:r w:rsidRPr="00F60460">
              <w:rPr>
                <w:rFonts w:ascii="Times New Roman" w:hAnsi="Times New Roman"/>
                <w:color w:val="000000"/>
                <w:sz w:val="20"/>
              </w:rPr>
              <w:t>Nekrotizující fasciitida</w:t>
            </w:r>
            <w:r w:rsidRPr="00F60460">
              <w:rPr>
                <w:rFonts w:ascii="Times New Roman" w:hAnsi="Times New Roman"/>
                <w:color w:val="000000"/>
                <w:sz w:val="20"/>
                <w:vertAlign w:val="superscript"/>
              </w:rPr>
              <w:t>c</w:t>
            </w:r>
          </w:p>
        </w:tc>
      </w:tr>
      <w:tr w:rsidR="00FC7327" w:rsidRPr="00F60460" w14:paraId="642A70FC" w14:textId="77777777" w:rsidTr="006A2145">
        <w:tc>
          <w:tcPr>
            <w:tcW w:w="1336" w:type="dxa"/>
            <w:tcBorders>
              <w:top w:val="single" w:sz="5" w:space="0" w:color="000000"/>
              <w:left w:val="single" w:sz="5" w:space="0" w:color="000000"/>
              <w:bottom w:val="single" w:sz="5" w:space="0" w:color="000000"/>
              <w:right w:val="single" w:sz="5" w:space="0" w:color="000000"/>
            </w:tcBorders>
          </w:tcPr>
          <w:p w14:paraId="7A1099AA" w14:textId="77777777" w:rsidR="00FC7327" w:rsidRPr="00F60460" w:rsidRDefault="00FC7327" w:rsidP="00615D31">
            <w:pPr>
              <w:pStyle w:val="TableParagraph"/>
              <w:spacing w:line="234" w:lineRule="auto"/>
              <w:rPr>
                <w:rFonts w:ascii="Times New Roman" w:hAnsi="Times New Roman"/>
                <w:color w:val="000000"/>
                <w:sz w:val="20"/>
                <w:szCs w:val="20"/>
              </w:rPr>
            </w:pPr>
            <w:r w:rsidRPr="00F60460">
              <w:rPr>
                <w:rFonts w:ascii="Times New Roman" w:hAnsi="Times New Roman"/>
                <w:color w:val="000000"/>
                <w:sz w:val="20"/>
              </w:rPr>
              <w:t>Poruchy krve a lymfatického systému</w:t>
            </w:r>
          </w:p>
        </w:tc>
        <w:tc>
          <w:tcPr>
            <w:tcW w:w="1336" w:type="dxa"/>
            <w:tcBorders>
              <w:top w:val="single" w:sz="5" w:space="0" w:color="000000"/>
              <w:left w:val="single" w:sz="5" w:space="0" w:color="000000"/>
              <w:bottom w:val="single" w:sz="5" w:space="0" w:color="000000"/>
              <w:right w:val="single" w:sz="5" w:space="0" w:color="000000"/>
            </w:tcBorders>
          </w:tcPr>
          <w:p w14:paraId="69E3F795" w14:textId="77777777" w:rsidR="00FC7327" w:rsidRPr="00F60460" w:rsidRDefault="00FC7327" w:rsidP="00615D31">
            <w:pPr>
              <w:pStyle w:val="TableParagraph"/>
              <w:spacing w:line="234" w:lineRule="auto"/>
              <w:ind w:right="14"/>
              <w:rPr>
                <w:rFonts w:ascii="Times New Roman" w:hAnsi="Times New Roman"/>
                <w:color w:val="000000"/>
                <w:sz w:val="20"/>
                <w:szCs w:val="20"/>
              </w:rPr>
            </w:pPr>
            <w:r w:rsidRPr="00F60460">
              <w:rPr>
                <w:rFonts w:ascii="Times New Roman" w:hAnsi="Times New Roman"/>
                <w:color w:val="000000"/>
                <w:sz w:val="20"/>
              </w:rPr>
              <w:t>Febrilní neutropenie, leukopenie, neutropenie</w:t>
            </w:r>
            <w:r w:rsidRPr="00F60460">
              <w:rPr>
                <w:rFonts w:ascii="Times New Roman" w:hAnsi="Times New Roman"/>
                <w:color w:val="000000"/>
                <w:sz w:val="20"/>
                <w:vertAlign w:val="superscript"/>
              </w:rPr>
              <w:t>a</w:t>
            </w:r>
            <w:r w:rsidRPr="00F60460">
              <w:rPr>
                <w:rFonts w:ascii="Times New Roman" w:hAnsi="Times New Roman"/>
                <w:color w:val="000000"/>
                <w:sz w:val="20"/>
              </w:rPr>
              <w:t>, trombocytopenie</w:t>
            </w:r>
          </w:p>
        </w:tc>
        <w:tc>
          <w:tcPr>
            <w:tcW w:w="1336" w:type="dxa"/>
            <w:tcBorders>
              <w:top w:val="single" w:sz="5" w:space="0" w:color="000000"/>
              <w:left w:val="single" w:sz="5" w:space="0" w:color="000000"/>
              <w:bottom w:val="single" w:sz="5" w:space="0" w:color="000000"/>
              <w:right w:val="single" w:sz="5" w:space="0" w:color="000000"/>
            </w:tcBorders>
          </w:tcPr>
          <w:p w14:paraId="699DED76" w14:textId="77777777" w:rsidR="00FC7327" w:rsidRPr="00F60460" w:rsidRDefault="00FC7327" w:rsidP="00615D31">
            <w:pPr>
              <w:pStyle w:val="TableParagraph"/>
              <w:spacing w:line="234" w:lineRule="auto"/>
              <w:ind w:right="48"/>
              <w:rPr>
                <w:rFonts w:ascii="Times New Roman" w:hAnsi="Times New Roman"/>
                <w:color w:val="000000"/>
                <w:sz w:val="20"/>
                <w:szCs w:val="20"/>
              </w:rPr>
            </w:pPr>
            <w:r w:rsidRPr="00F60460">
              <w:rPr>
                <w:rFonts w:ascii="Times New Roman" w:hAnsi="Times New Roman"/>
                <w:color w:val="000000"/>
                <w:sz w:val="20"/>
              </w:rPr>
              <w:t>Anémie, lymfopenie</w:t>
            </w:r>
          </w:p>
        </w:tc>
        <w:tc>
          <w:tcPr>
            <w:tcW w:w="1336" w:type="dxa"/>
            <w:tcBorders>
              <w:top w:val="single" w:sz="5" w:space="0" w:color="000000"/>
              <w:left w:val="single" w:sz="5" w:space="0" w:color="000000"/>
              <w:bottom w:val="single" w:sz="5" w:space="0" w:color="000000"/>
              <w:right w:val="single" w:sz="5" w:space="0" w:color="000000"/>
            </w:tcBorders>
          </w:tcPr>
          <w:p w14:paraId="6AABBC01" w14:textId="77777777" w:rsidR="00FC7327" w:rsidRPr="00F60460" w:rsidRDefault="00FC7327" w:rsidP="00615D31">
            <w:pPr>
              <w:pStyle w:val="TableParagraph"/>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9586108" w14:textId="77777777" w:rsidR="00FC7327" w:rsidRPr="00F60460" w:rsidRDefault="00FC7327" w:rsidP="00615D31">
            <w:pPr>
              <w:pStyle w:val="TableParagraph"/>
              <w:spacing w:line="234" w:lineRule="auto"/>
              <w:ind w:right="378"/>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E8F549C" w14:textId="77777777" w:rsidR="00FC7327" w:rsidRPr="00F60460" w:rsidRDefault="00FC7327" w:rsidP="00615D31">
            <w:pPr>
              <w:pStyle w:val="TableParagraph"/>
              <w:spacing w:line="234" w:lineRule="auto"/>
              <w:ind w:right="6"/>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BADC34E" w14:textId="77777777" w:rsidR="00FC7327" w:rsidRPr="00F60460" w:rsidRDefault="00FC7327" w:rsidP="00615D31">
            <w:pPr>
              <w:pStyle w:val="TableParagraph"/>
              <w:spacing w:line="234" w:lineRule="auto"/>
              <w:ind w:right="378"/>
              <w:rPr>
                <w:rFonts w:ascii="Times New Roman" w:hAnsi="Times New Roman"/>
                <w:color w:val="000000"/>
                <w:sz w:val="20"/>
                <w:szCs w:val="20"/>
              </w:rPr>
            </w:pPr>
          </w:p>
        </w:tc>
      </w:tr>
      <w:tr w:rsidR="00FC7327" w:rsidRPr="00F60460" w14:paraId="7EE64110" w14:textId="77777777" w:rsidTr="006A2145">
        <w:tc>
          <w:tcPr>
            <w:tcW w:w="1336" w:type="dxa"/>
            <w:tcBorders>
              <w:top w:val="single" w:sz="5" w:space="0" w:color="000000"/>
              <w:left w:val="single" w:sz="5" w:space="0" w:color="000000"/>
              <w:bottom w:val="single" w:sz="5" w:space="0" w:color="000000"/>
              <w:right w:val="single" w:sz="5" w:space="0" w:color="000000"/>
            </w:tcBorders>
          </w:tcPr>
          <w:p w14:paraId="4B3D51BB" w14:textId="77777777" w:rsidR="00FC7327" w:rsidRPr="00F60460" w:rsidRDefault="00FC7327" w:rsidP="00615D31">
            <w:pPr>
              <w:pStyle w:val="TableParagraph"/>
              <w:spacing w:line="234" w:lineRule="auto"/>
              <w:rPr>
                <w:rFonts w:ascii="Times New Roman" w:hAnsi="Times New Roman"/>
                <w:color w:val="000000"/>
                <w:sz w:val="20"/>
                <w:szCs w:val="20"/>
              </w:rPr>
            </w:pPr>
            <w:r w:rsidRPr="00F60460">
              <w:rPr>
                <w:rFonts w:ascii="Times New Roman" w:hAnsi="Times New Roman"/>
                <w:color w:val="000000"/>
                <w:sz w:val="20"/>
              </w:rPr>
              <w:t>Poruchy imunitního systému</w:t>
            </w:r>
          </w:p>
        </w:tc>
        <w:tc>
          <w:tcPr>
            <w:tcW w:w="1336" w:type="dxa"/>
            <w:tcBorders>
              <w:top w:val="single" w:sz="5" w:space="0" w:color="000000"/>
              <w:left w:val="single" w:sz="5" w:space="0" w:color="000000"/>
              <w:bottom w:val="single" w:sz="5" w:space="0" w:color="000000"/>
              <w:right w:val="single" w:sz="5" w:space="0" w:color="000000"/>
            </w:tcBorders>
          </w:tcPr>
          <w:p w14:paraId="0A755924"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2E96443" w14:textId="77777777" w:rsidR="00FC7327" w:rsidRPr="00F60460" w:rsidRDefault="006257C4" w:rsidP="00615D31">
            <w:pPr>
              <w:pStyle w:val="TableParagraph"/>
              <w:spacing w:line="234" w:lineRule="auto"/>
              <w:ind w:right="14"/>
              <w:rPr>
                <w:rFonts w:ascii="Times New Roman" w:hAnsi="Times New Roman"/>
                <w:color w:val="000000"/>
                <w:sz w:val="20"/>
                <w:szCs w:val="20"/>
              </w:rPr>
            </w:pPr>
            <w:r w:rsidRPr="00F60460">
              <w:rPr>
                <w:rFonts w:ascii="Times New Roman" w:hAnsi="Times New Roman"/>
                <w:color w:val="000000"/>
                <w:sz w:val="20"/>
              </w:rPr>
              <w:t>Hypersenzitivita, reakce na infuzi</w:t>
            </w:r>
            <w:r w:rsidRPr="00F60460">
              <w:rPr>
                <w:rFonts w:ascii="Times New Roman" w:hAnsi="Times New Roman"/>
                <w:color w:val="000000"/>
                <w:sz w:val="20"/>
                <w:vertAlign w:val="superscript"/>
              </w:rPr>
              <w:t>a,b,c</w:t>
            </w:r>
          </w:p>
        </w:tc>
        <w:tc>
          <w:tcPr>
            <w:tcW w:w="1336" w:type="dxa"/>
            <w:tcBorders>
              <w:top w:val="single" w:sz="5" w:space="0" w:color="000000"/>
              <w:left w:val="single" w:sz="5" w:space="0" w:color="000000"/>
              <w:bottom w:val="single" w:sz="5" w:space="0" w:color="000000"/>
              <w:right w:val="single" w:sz="5" w:space="0" w:color="000000"/>
            </w:tcBorders>
          </w:tcPr>
          <w:p w14:paraId="5EB8424B"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DD41CEC" w14:textId="77777777" w:rsidR="00FC7327" w:rsidRPr="00F60460" w:rsidRDefault="006257C4" w:rsidP="00615D31">
            <w:pPr>
              <w:pStyle w:val="TableParagraph"/>
              <w:spacing w:line="234" w:lineRule="auto"/>
              <w:ind w:right="14"/>
              <w:rPr>
                <w:rFonts w:ascii="Times New Roman" w:hAnsi="Times New Roman"/>
                <w:color w:val="000000"/>
                <w:sz w:val="20"/>
                <w:szCs w:val="20"/>
                <w:vertAlign w:val="superscript"/>
              </w:rPr>
            </w:pPr>
            <w:r w:rsidRPr="00F60460">
              <w:rPr>
                <w:rFonts w:ascii="Times New Roman" w:hAnsi="Times New Roman"/>
                <w:color w:val="000000"/>
                <w:sz w:val="20"/>
                <w:szCs w:val="20"/>
              </w:rPr>
              <w:t>Anafylaktický šok</w:t>
            </w:r>
            <w:r w:rsidRPr="00F60460">
              <w:rPr>
                <w:rFonts w:ascii="Times New Roman" w:hAnsi="Times New Roman"/>
                <w:color w:val="000000"/>
                <w:sz w:val="20"/>
                <w:szCs w:val="20"/>
                <w:vertAlign w:val="superscript"/>
              </w:rPr>
              <w:t>b,c</w:t>
            </w:r>
          </w:p>
        </w:tc>
        <w:tc>
          <w:tcPr>
            <w:tcW w:w="1336" w:type="dxa"/>
            <w:tcBorders>
              <w:top w:val="single" w:sz="5" w:space="0" w:color="000000"/>
              <w:left w:val="single" w:sz="5" w:space="0" w:color="000000"/>
              <w:bottom w:val="single" w:sz="5" w:space="0" w:color="000000"/>
              <w:right w:val="single" w:sz="5" w:space="0" w:color="000000"/>
            </w:tcBorders>
          </w:tcPr>
          <w:p w14:paraId="2D66763B"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ED28FDF" w14:textId="3CC237E9" w:rsidR="00FC7327" w:rsidRPr="00F60460" w:rsidRDefault="00FC7327" w:rsidP="00615D31">
            <w:pPr>
              <w:pStyle w:val="TableParagraph"/>
              <w:spacing w:line="234" w:lineRule="auto"/>
              <w:ind w:right="14"/>
              <w:rPr>
                <w:rFonts w:ascii="Times New Roman" w:hAnsi="Times New Roman"/>
                <w:color w:val="000000"/>
                <w:sz w:val="20"/>
                <w:szCs w:val="20"/>
              </w:rPr>
            </w:pPr>
          </w:p>
        </w:tc>
      </w:tr>
      <w:tr w:rsidR="00FC7327" w:rsidRPr="00F60460" w14:paraId="3AE5FA3F" w14:textId="77777777" w:rsidTr="006A2145">
        <w:tc>
          <w:tcPr>
            <w:tcW w:w="1336" w:type="dxa"/>
            <w:tcBorders>
              <w:top w:val="single" w:sz="5" w:space="0" w:color="000000"/>
              <w:left w:val="single" w:sz="5" w:space="0" w:color="000000"/>
              <w:bottom w:val="single" w:sz="5" w:space="0" w:color="000000"/>
              <w:right w:val="single" w:sz="5" w:space="0" w:color="000000"/>
            </w:tcBorders>
          </w:tcPr>
          <w:p w14:paraId="625B07F5" w14:textId="77777777" w:rsidR="00FC7327" w:rsidRPr="00F60460" w:rsidRDefault="00FC7327" w:rsidP="00615D31">
            <w:pPr>
              <w:pStyle w:val="TableParagraph"/>
              <w:tabs>
                <w:tab w:val="left" w:pos="1336"/>
              </w:tabs>
              <w:spacing w:line="235" w:lineRule="auto"/>
              <w:rPr>
                <w:rFonts w:ascii="Times New Roman" w:hAnsi="Times New Roman"/>
                <w:color w:val="000000"/>
                <w:sz w:val="20"/>
                <w:szCs w:val="20"/>
              </w:rPr>
            </w:pPr>
            <w:r w:rsidRPr="00F60460">
              <w:rPr>
                <w:rFonts w:ascii="Times New Roman" w:hAnsi="Times New Roman"/>
                <w:color w:val="000000"/>
                <w:sz w:val="20"/>
              </w:rPr>
              <w:t>Poruchy metabolismu a výživy</w:t>
            </w:r>
          </w:p>
        </w:tc>
        <w:tc>
          <w:tcPr>
            <w:tcW w:w="1336" w:type="dxa"/>
            <w:tcBorders>
              <w:top w:val="single" w:sz="5" w:space="0" w:color="000000"/>
              <w:left w:val="single" w:sz="5" w:space="0" w:color="000000"/>
              <w:bottom w:val="single" w:sz="5" w:space="0" w:color="000000"/>
              <w:right w:val="single" w:sz="5" w:space="0" w:color="000000"/>
            </w:tcBorders>
          </w:tcPr>
          <w:p w14:paraId="594D39AA" w14:textId="77777777" w:rsidR="00FC7327" w:rsidRPr="00F60460" w:rsidRDefault="00FC7327" w:rsidP="00615D31">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2AA0BAC" w14:textId="77777777" w:rsidR="00FC7327" w:rsidRPr="00F60460" w:rsidRDefault="00FC7327">
            <w:pPr>
              <w:pStyle w:val="TableParagraph"/>
              <w:spacing w:line="235" w:lineRule="auto"/>
              <w:ind w:right="14"/>
              <w:rPr>
                <w:rFonts w:ascii="Times New Roman" w:hAnsi="Times New Roman"/>
                <w:color w:val="000000"/>
                <w:sz w:val="20"/>
                <w:szCs w:val="20"/>
              </w:rPr>
            </w:pPr>
            <w:r w:rsidRPr="00F60460">
              <w:rPr>
                <w:rFonts w:ascii="Times New Roman" w:hAnsi="Times New Roman"/>
                <w:color w:val="000000"/>
                <w:sz w:val="20"/>
              </w:rPr>
              <w:t>Dehydratace, hyponatremie</w:t>
            </w:r>
          </w:p>
        </w:tc>
        <w:tc>
          <w:tcPr>
            <w:tcW w:w="1336" w:type="dxa"/>
            <w:tcBorders>
              <w:top w:val="single" w:sz="5" w:space="0" w:color="000000"/>
              <w:left w:val="single" w:sz="5" w:space="0" w:color="000000"/>
              <w:bottom w:val="single" w:sz="5" w:space="0" w:color="000000"/>
              <w:right w:val="single" w:sz="5" w:space="0" w:color="000000"/>
            </w:tcBorders>
          </w:tcPr>
          <w:p w14:paraId="508E81F3" w14:textId="77777777" w:rsidR="00FC7327" w:rsidRPr="00F60460" w:rsidRDefault="00FC7327" w:rsidP="00615D31">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61C3787" w14:textId="77777777" w:rsidR="00FC7327" w:rsidRPr="00F60460" w:rsidRDefault="00FC7327" w:rsidP="00615D31">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38ADDE9" w14:textId="77777777" w:rsidR="00FC7327" w:rsidRPr="00F60460" w:rsidRDefault="00FC7327" w:rsidP="00615D31">
            <w:pPr>
              <w:pStyle w:val="TableParagraph"/>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16FD90A" w14:textId="77777777" w:rsidR="00FC7327" w:rsidRPr="00F60460" w:rsidRDefault="00FC7327" w:rsidP="00615D31">
            <w:pPr>
              <w:pStyle w:val="TableParagraph"/>
              <w:spacing w:line="235" w:lineRule="auto"/>
              <w:ind w:right="14"/>
              <w:rPr>
                <w:rFonts w:ascii="Times New Roman" w:hAnsi="Times New Roman"/>
                <w:color w:val="000000"/>
                <w:sz w:val="20"/>
                <w:szCs w:val="20"/>
              </w:rPr>
            </w:pPr>
          </w:p>
        </w:tc>
      </w:tr>
      <w:tr w:rsidR="00FC7327" w:rsidRPr="00F60460" w14:paraId="398E4511" w14:textId="77777777" w:rsidTr="006A2145">
        <w:tc>
          <w:tcPr>
            <w:tcW w:w="1336" w:type="dxa"/>
            <w:tcBorders>
              <w:top w:val="single" w:sz="5" w:space="0" w:color="000000"/>
              <w:left w:val="single" w:sz="5" w:space="0" w:color="000000"/>
              <w:bottom w:val="single" w:sz="4" w:space="0" w:color="000000"/>
              <w:right w:val="single" w:sz="5" w:space="0" w:color="000000"/>
            </w:tcBorders>
          </w:tcPr>
          <w:p w14:paraId="23BE23C6" w14:textId="77777777" w:rsidR="00FC7327" w:rsidRPr="00F60460" w:rsidRDefault="00FC7327" w:rsidP="00615D31">
            <w:pPr>
              <w:pStyle w:val="TableParagraph"/>
              <w:keepNext/>
              <w:keepLines/>
              <w:widowControl/>
              <w:spacing w:line="235" w:lineRule="auto"/>
              <w:rPr>
                <w:rFonts w:ascii="Times New Roman" w:hAnsi="Times New Roman"/>
                <w:color w:val="000000"/>
                <w:sz w:val="20"/>
                <w:szCs w:val="20"/>
              </w:rPr>
            </w:pPr>
            <w:r w:rsidRPr="00F60460">
              <w:rPr>
                <w:rFonts w:ascii="Times New Roman" w:hAnsi="Times New Roman"/>
                <w:color w:val="000000"/>
                <w:sz w:val="20"/>
              </w:rPr>
              <w:t>Poruchy nervového systému</w:t>
            </w:r>
          </w:p>
        </w:tc>
        <w:tc>
          <w:tcPr>
            <w:tcW w:w="1336" w:type="dxa"/>
            <w:tcBorders>
              <w:top w:val="single" w:sz="5" w:space="0" w:color="000000"/>
              <w:left w:val="single" w:sz="5" w:space="0" w:color="000000"/>
              <w:bottom w:val="single" w:sz="4" w:space="0" w:color="000000"/>
              <w:right w:val="single" w:sz="5" w:space="0" w:color="000000"/>
            </w:tcBorders>
          </w:tcPr>
          <w:p w14:paraId="506F1C8D" w14:textId="77777777" w:rsidR="00FC7327" w:rsidRPr="00F60460" w:rsidRDefault="00FC7327" w:rsidP="00615D31">
            <w:pPr>
              <w:pStyle w:val="TableParagraph"/>
              <w:keepNext/>
              <w:keepLines/>
              <w:widowControl/>
              <w:spacing w:line="235" w:lineRule="auto"/>
              <w:ind w:right="14"/>
              <w:rPr>
                <w:rFonts w:ascii="Times New Roman" w:hAnsi="Times New Roman"/>
                <w:color w:val="000000"/>
                <w:sz w:val="20"/>
                <w:szCs w:val="20"/>
              </w:rPr>
            </w:pPr>
            <w:r w:rsidRPr="00F60460">
              <w:rPr>
                <w:rFonts w:ascii="Times New Roman" w:hAnsi="Times New Roman"/>
                <w:color w:val="000000"/>
                <w:sz w:val="20"/>
              </w:rPr>
              <w:t>Periferní senzorická neuropatie</w:t>
            </w:r>
            <w:r w:rsidRPr="00F60460">
              <w:rPr>
                <w:rFonts w:ascii="Times New Roman" w:hAnsi="Times New Roman"/>
                <w:color w:val="000000"/>
                <w:sz w:val="20"/>
                <w:vertAlign w:val="superscript"/>
              </w:rPr>
              <w:t>a</w:t>
            </w:r>
          </w:p>
        </w:tc>
        <w:tc>
          <w:tcPr>
            <w:tcW w:w="1336" w:type="dxa"/>
            <w:tcBorders>
              <w:top w:val="single" w:sz="5" w:space="0" w:color="000000"/>
              <w:left w:val="single" w:sz="5" w:space="0" w:color="000000"/>
              <w:bottom w:val="single" w:sz="4" w:space="0" w:color="000000"/>
              <w:right w:val="single" w:sz="5" w:space="0" w:color="000000"/>
            </w:tcBorders>
          </w:tcPr>
          <w:p w14:paraId="51A71AD9" w14:textId="77777777" w:rsidR="00FC7327" w:rsidRPr="00F60460" w:rsidRDefault="00FC7327" w:rsidP="00615D31">
            <w:pPr>
              <w:pStyle w:val="TableParagraph"/>
              <w:keepNext/>
              <w:keepLines/>
              <w:widowControl/>
              <w:spacing w:line="235" w:lineRule="auto"/>
              <w:ind w:right="14"/>
              <w:rPr>
                <w:rFonts w:ascii="Times New Roman" w:hAnsi="Times New Roman"/>
                <w:color w:val="000000"/>
                <w:sz w:val="20"/>
                <w:szCs w:val="20"/>
              </w:rPr>
            </w:pPr>
            <w:r w:rsidRPr="00F60460">
              <w:rPr>
                <w:rFonts w:ascii="Times New Roman" w:hAnsi="Times New Roman"/>
                <w:color w:val="000000"/>
                <w:sz w:val="20"/>
              </w:rPr>
              <w:t>Cévní mozková příhoda, synkopa, somnolence, bolest hlavy</w:t>
            </w:r>
          </w:p>
        </w:tc>
        <w:tc>
          <w:tcPr>
            <w:tcW w:w="1336" w:type="dxa"/>
            <w:tcBorders>
              <w:top w:val="single" w:sz="5" w:space="0" w:color="000000"/>
              <w:left w:val="single" w:sz="5" w:space="0" w:color="000000"/>
              <w:bottom w:val="single" w:sz="4" w:space="0" w:color="000000"/>
              <w:right w:val="single" w:sz="5" w:space="0" w:color="000000"/>
            </w:tcBorders>
          </w:tcPr>
          <w:p w14:paraId="12BDD791" w14:textId="77777777" w:rsidR="00FC7327" w:rsidRPr="00F60460" w:rsidRDefault="00FC7327" w:rsidP="00615D31">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18039C43" w14:textId="77777777" w:rsidR="00FC7327" w:rsidRPr="00F60460" w:rsidRDefault="00FC7327" w:rsidP="00615D31">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5D8E6DDC" w14:textId="77777777" w:rsidR="00FC7327" w:rsidRPr="00F60460" w:rsidRDefault="00FC7327" w:rsidP="00615D31">
            <w:pPr>
              <w:pStyle w:val="TableParagraph"/>
              <w:keepNext/>
              <w:keepLines/>
              <w:widowControl/>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3C19819D" w14:textId="77777777" w:rsidR="00FC7327" w:rsidRPr="00F60460" w:rsidRDefault="00FC7327">
            <w:pPr>
              <w:pStyle w:val="TableParagraph"/>
              <w:keepNext/>
              <w:keepLines/>
              <w:widowControl/>
              <w:spacing w:line="235" w:lineRule="auto"/>
              <w:ind w:right="14"/>
              <w:rPr>
                <w:rFonts w:ascii="Times New Roman" w:hAnsi="Times New Roman"/>
                <w:color w:val="000000"/>
                <w:sz w:val="20"/>
                <w:szCs w:val="20"/>
              </w:rPr>
            </w:pPr>
            <w:r w:rsidRPr="00F60460">
              <w:rPr>
                <w:rFonts w:ascii="Times New Roman" w:hAnsi="Times New Roman"/>
                <w:color w:val="000000"/>
                <w:sz w:val="20"/>
              </w:rPr>
              <w:t xml:space="preserve">Syndrom zadní reverzibilní encefalopatie </w:t>
            </w:r>
            <w:r w:rsidRPr="00F60460">
              <w:rPr>
                <w:rFonts w:ascii="Times New Roman" w:hAnsi="Times New Roman"/>
                <w:color w:val="000000"/>
                <w:sz w:val="20"/>
                <w:vertAlign w:val="superscript"/>
              </w:rPr>
              <w:t>a,b,c</w:t>
            </w:r>
            <w:r w:rsidRPr="00F60460">
              <w:rPr>
                <w:rFonts w:ascii="Times New Roman" w:hAnsi="Times New Roman"/>
                <w:color w:val="000000"/>
                <w:sz w:val="20"/>
              </w:rPr>
              <w:t>, hypertenzní encefalopatie</w:t>
            </w:r>
            <w:r w:rsidRPr="00F60460">
              <w:rPr>
                <w:rFonts w:ascii="Times New Roman" w:hAnsi="Times New Roman"/>
                <w:color w:val="000000"/>
                <w:sz w:val="20"/>
                <w:vertAlign w:val="superscript"/>
              </w:rPr>
              <w:t>c</w:t>
            </w:r>
          </w:p>
        </w:tc>
      </w:tr>
      <w:tr w:rsidR="00FC7327" w:rsidRPr="00F60460" w14:paraId="6C241709" w14:textId="77777777" w:rsidTr="006A2145">
        <w:tc>
          <w:tcPr>
            <w:tcW w:w="1336" w:type="dxa"/>
            <w:tcBorders>
              <w:top w:val="single" w:sz="4" w:space="0" w:color="000000"/>
              <w:left w:val="single" w:sz="4" w:space="0" w:color="000000"/>
              <w:bottom w:val="single" w:sz="4" w:space="0" w:color="000000"/>
              <w:right w:val="single" w:sz="4" w:space="0" w:color="000000"/>
            </w:tcBorders>
          </w:tcPr>
          <w:p w14:paraId="21FC7FA2" w14:textId="77777777" w:rsidR="00FC7327" w:rsidRPr="00F60460" w:rsidRDefault="00FC7327" w:rsidP="00615D31">
            <w:pPr>
              <w:pStyle w:val="TableParagraph"/>
              <w:spacing w:line="234" w:lineRule="auto"/>
              <w:rPr>
                <w:rFonts w:ascii="Times New Roman" w:hAnsi="Times New Roman"/>
                <w:color w:val="000000"/>
                <w:sz w:val="20"/>
                <w:szCs w:val="20"/>
              </w:rPr>
            </w:pPr>
            <w:r w:rsidRPr="00F60460">
              <w:rPr>
                <w:rFonts w:ascii="Times New Roman" w:hAnsi="Times New Roman"/>
                <w:color w:val="000000"/>
                <w:sz w:val="20"/>
              </w:rPr>
              <w:t>Srdeční poruchy</w:t>
            </w:r>
          </w:p>
        </w:tc>
        <w:tc>
          <w:tcPr>
            <w:tcW w:w="1336" w:type="dxa"/>
            <w:tcBorders>
              <w:top w:val="single" w:sz="4" w:space="0" w:color="000000"/>
              <w:left w:val="single" w:sz="4" w:space="0" w:color="000000"/>
              <w:bottom w:val="single" w:sz="4" w:space="0" w:color="000000"/>
              <w:right w:val="single" w:sz="4" w:space="0" w:color="000000"/>
            </w:tcBorders>
          </w:tcPr>
          <w:p w14:paraId="6EB93740" w14:textId="77777777" w:rsidR="00FC7327" w:rsidRPr="00F60460" w:rsidRDefault="00FC7327" w:rsidP="00615D31">
            <w:pPr>
              <w:spacing w:line="234" w:lineRule="auto"/>
              <w:ind w:right="378"/>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52898471" w14:textId="77777777" w:rsidR="00FC7327" w:rsidRPr="00F60460" w:rsidRDefault="00FC7327" w:rsidP="00615D31">
            <w:pPr>
              <w:pStyle w:val="TableParagraph"/>
              <w:spacing w:line="234" w:lineRule="auto"/>
              <w:ind w:right="14"/>
              <w:rPr>
                <w:rFonts w:ascii="Times New Roman" w:hAnsi="Times New Roman"/>
                <w:color w:val="000000"/>
                <w:sz w:val="20"/>
                <w:szCs w:val="20"/>
              </w:rPr>
            </w:pPr>
            <w:r w:rsidRPr="00F60460">
              <w:rPr>
                <w:rFonts w:ascii="Times New Roman" w:hAnsi="Times New Roman"/>
                <w:color w:val="000000"/>
                <w:sz w:val="20"/>
              </w:rPr>
              <w:t xml:space="preserve">Městnavé </w:t>
            </w:r>
            <w:r w:rsidRPr="00F60460">
              <w:rPr>
                <w:rFonts w:ascii="Times New Roman" w:hAnsi="Times New Roman"/>
                <w:color w:val="000000"/>
                <w:sz w:val="20"/>
              </w:rPr>
              <w:lastRenderedPageBreak/>
              <w:t>srdeční selhání</w:t>
            </w:r>
            <w:r w:rsidRPr="00F60460">
              <w:rPr>
                <w:rFonts w:ascii="Times New Roman" w:hAnsi="Times New Roman"/>
                <w:color w:val="000000"/>
                <w:sz w:val="20"/>
                <w:vertAlign w:val="superscript"/>
              </w:rPr>
              <w:t>a,b</w:t>
            </w:r>
            <w:r w:rsidRPr="00F60460">
              <w:rPr>
                <w:rFonts w:ascii="Times New Roman" w:hAnsi="Times New Roman"/>
                <w:color w:val="000000"/>
                <w:sz w:val="20"/>
              </w:rPr>
              <w:t>, supraventrikulární tachykardie</w:t>
            </w:r>
          </w:p>
        </w:tc>
        <w:tc>
          <w:tcPr>
            <w:tcW w:w="1336" w:type="dxa"/>
            <w:tcBorders>
              <w:top w:val="single" w:sz="4" w:space="0" w:color="000000"/>
              <w:left w:val="single" w:sz="4" w:space="0" w:color="000000"/>
              <w:bottom w:val="single" w:sz="4" w:space="0" w:color="000000"/>
              <w:right w:val="single" w:sz="4" w:space="0" w:color="000000"/>
            </w:tcBorders>
          </w:tcPr>
          <w:p w14:paraId="00AAB600"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3014D466"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A2521F4"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D9444E6"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r>
      <w:tr w:rsidR="00FC7327" w:rsidRPr="00F60460" w14:paraId="057E09E0" w14:textId="77777777" w:rsidTr="006A2145">
        <w:tc>
          <w:tcPr>
            <w:tcW w:w="1336" w:type="dxa"/>
            <w:tcBorders>
              <w:top w:val="single" w:sz="4" w:space="0" w:color="000000"/>
              <w:left w:val="single" w:sz="5" w:space="0" w:color="000000"/>
              <w:bottom w:val="single" w:sz="5" w:space="0" w:color="000000"/>
              <w:right w:val="single" w:sz="5" w:space="0" w:color="000000"/>
            </w:tcBorders>
          </w:tcPr>
          <w:p w14:paraId="3F94B705" w14:textId="77777777" w:rsidR="00FC7327" w:rsidRPr="00F60460" w:rsidRDefault="00FC7327" w:rsidP="00615D31">
            <w:pPr>
              <w:pStyle w:val="TableParagraph"/>
              <w:keepNext/>
              <w:spacing w:line="235" w:lineRule="auto"/>
              <w:rPr>
                <w:rFonts w:ascii="Times New Roman" w:hAnsi="Times New Roman"/>
                <w:color w:val="000000"/>
                <w:sz w:val="20"/>
                <w:szCs w:val="20"/>
              </w:rPr>
            </w:pPr>
            <w:r w:rsidRPr="00F60460">
              <w:rPr>
                <w:rFonts w:ascii="Times New Roman" w:hAnsi="Times New Roman"/>
                <w:color w:val="000000"/>
                <w:sz w:val="20"/>
              </w:rPr>
              <w:t>Cévní poruchy</w:t>
            </w:r>
          </w:p>
        </w:tc>
        <w:tc>
          <w:tcPr>
            <w:tcW w:w="1336" w:type="dxa"/>
            <w:tcBorders>
              <w:top w:val="single" w:sz="4" w:space="0" w:color="000000"/>
              <w:left w:val="single" w:sz="5" w:space="0" w:color="000000"/>
              <w:bottom w:val="single" w:sz="5" w:space="0" w:color="000000"/>
              <w:right w:val="single" w:sz="5" w:space="0" w:color="000000"/>
            </w:tcBorders>
          </w:tcPr>
          <w:p w14:paraId="473E134E" w14:textId="77777777" w:rsidR="00FC7327" w:rsidRPr="00F60460" w:rsidRDefault="00FC7327" w:rsidP="00615D31">
            <w:pPr>
              <w:pStyle w:val="TableParagraph"/>
              <w:keepNext/>
              <w:spacing w:line="235" w:lineRule="auto"/>
              <w:ind w:right="14"/>
              <w:rPr>
                <w:rFonts w:ascii="Times New Roman" w:hAnsi="Times New Roman"/>
                <w:color w:val="000000"/>
                <w:sz w:val="20"/>
                <w:szCs w:val="20"/>
              </w:rPr>
            </w:pPr>
            <w:r w:rsidRPr="00F60460">
              <w:rPr>
                <w:rFonts w:ascii="Times New Roman" w:hAnsi="Times New Roman"/>
                <w:color w:val="000000"/>
                <w:sz w:val="20"/>
              </w:rPr>
              <w:t>Hypertenze</w:t>
            </w:r>
            <w:r w:rsidRPr="00F60460">
              <w:rPr>
                <w:rFonts w:ascii="Times New Roman" w:hAnsi="Times New Roman"/>
                <w:color w:val="000000"/>
                <w:sz w:val="20"/>
                <w:vertAlign w:val="superscript"/>
              </w:rPr>
              <w:t>a,b</w:t>
            </w:r>
          </w:p>
        </w:tc>
        <w:tc>
          <w:tcPr>
            <w:tcW w:w="1336" w:type="dxa"/>
            <w:tcBorders>
              <w:top w:val="single" w:sz="4" w:space="0" w:color="000000"/>
              <w:left w:val="single" w:sz="5" w:space="0" w:color="000000"/>
              <w:bottom w:val="single" w:sz="5" w:space="0" w:color="000000"/>
              <w:right w:val="single" w:sz="5" w:space="0" w:color="000000"/>
            </w:tcBorders>
          </w:tcPr>
          <w:p w14:paraId="33778508" w14:textId="77777777" w:rsidR="00FC7327" w:rsidRPr="00F60460" w:rsidRDefault="00FC7327" w:rsidP="00615D31">
            <w:pPr>
              <w:pStyle w:val="TableParagraph"/>
              <w:keepNext/>
              <w:spacing w:line="235" w:lineRule="auto"/>
              <w:ind w:right="14"/>
              <w:rPr>
                <w:rFonts w:ascii="Times New Roman" w:hAnsi="Times New Roman"/>
                <w:color w:val="000000"/>
                <w:sz w:val="20"/>
                <w:szCs w:val="20"/>
              </w:rPr>
            </w:pPr>
            <w:r w:rsidRPr="00F60460">
              <w:rPr>
                <w:rFonts w:ascii="Times New Roman" w:hAnsi="Times New Roman"/>
                <w:color w:val="000000"/>
                <w:sz w:val="20"/>
              </w:rPr>
              <w:t>Tromboembolie arteriální</w:t>
            </w:r>
            <w:r w:rsidRPr="00F60460">
              <w:rPr>
                <w:rFonts w:ascii="Times New Roman" w:hAnsi="Times New Roman"/>
                <w:color w:val="000000"/>
                <w:sz w:val="20"/>
                <w:vertAlign w:val="superscript"/>
              </w:rPr>
              <w:t>a,b</w:t>
            </w:r>
            <w:r w:rsidRPr="00F60460">
              <w:rPr>
                <w:rFonts w:ascii="Times New Roman" w:hAnsi="Times New Roman"/>
                <w:color w:val="000000"/>
                <w:sz w:val="20"/>
              </w:rPr>
              <w:t>, krvácení</w:t>
            </w:r>
            <w:r w:rsidRPr="00F60460">
              <w:rPr>
                <w:rFonts w:ascii="Times New Roman" w:hAnsi="Times New Roman"/>
                <w:color w:val="000000"/>
                <w:sz w:val="20"/>
                <w:vertAlign w:val="superscript"/>
              </w:rPr>
              <w:t>a,b</w:t>
            </w:r>
            <w:r w:rsidRPr="00F60460">
              <w:rPr>
                <w:rFonts w:ascii="Times New Roman" w:hAnsi="Times New Roman"/>
                <w:color w:val="000000"/>
                <w:sz w:val="20"/>
              </w:rPr>
              <w:t>, tromboembolie (žilní)</w:t>
            </w:r>
            <w:r w:rsidRPr="00F60460">
              <w:rPr>
                <w:rFonts w:ascii="Times New Roman" w:hAnsi="Times New Roman"/>
                <w:color w:val="000000"/>
                <w:sz w:val="20"/>
                <w:vertAlign w:val="superscript"/>
              </w:rPr>
              <w:t>a,b</w:t>
            </w:r>
            <w:r w:rsidRPr="00F60460">
              <w:rPr>
                <w:rFonts w:ascii="Times New Roman" w:hAnsi="Times New Roman"/>
                <w:color w:val="000000"/>
                <w:sz w:val="20"/>
              </w:rPr>
              <w:t>, hluboká žilní trombóza</w:t>
            </w:r>
          </w:p>
        </w:tc>
        <w:tc>
          <w:tcPr>
            <w:tcW w:w="1336" w:type="dxa"/>
            <w:tcBorders>
              <w:top w:val="single" w:sz="4" w:space="0" w:color="000000"/>
              <w:left w:val="single" w:sz="5" w:space="0" w:color="000000"/>
              <w:bottom w:val="single" w:sz="5" w:space="0" w:color="000000"/>
              <w:right w:val="single" w:sz="5" w:space="0" w:color="000000"/>
            </w:tcBorders>
          </w:tcPr>
          <w:p w14:paraId="0B375AC0" w14:textId="77777777" w:rsidR="00FC7327" w:rsidRPr="00F60460" w:rsidRDefault="00FC7327" w:rsidP="00615D31">
            <w:pPr>
              <w:spacing w:line="234" w:lineRule="auto"/>
              <w:ind w:right="3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65A13F3B" w14:textId="77777777" w:rsidR="00FC7327" w:rsidRPr="00F60460" w:rsidRDefault="00FC7327" w:rsidP="00615D31">
            <w:pPr>
              <w:spacing w:line="234" w:lineRule="auto"/>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76039F36" w14:textId="77777777" w:rsidR="00FC7327" w:rsidRPr="00F60460" w:rsidRDefault="00FC7327" w:rsidP="00615D31">
            <w:pPr>
              <w:spacing w:line="234" w:lineRule="auto"/>
              <w:ind w:right="6"/>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03FFC039" w14:textId="77777777" w:rsidR="00FC7327" w:rsidRPr="00F60460" w:rsidRDefault="008A4147" w:rsidP="00615D31">
            <w:pPr>
              <w:pStyle w:val="TableParagraph"/>
              <w:spacing w:line="234" w:lineRule="auto"/>
              <w:ind w:right="14"/>
              <w:rPr>
                <w:rFonts w:ascii="Times New Roman" w:hAnsi="Times New Roman"/>
                <w:color w:val="000000"/>
                <w:sz w:val="20"/>
                <w:szCs w:val="20"/>
              </w:rPr>
            </w:pPr>
            <w:r w:rsidRPr="00F60460">
              <w:rPr>
                <w:rFonts w:ascii="Times New Roman" w:hAnsi="Times New Roman"/>
                <w:color w:val="000000"/>
                <w:sz w:val="20"/>
                <w:szCs w:val="20"/>
              </w:rPr>
              <w:t>Aneurysmata a arteriální disekce,</w:t>
            </w:r>
            <w:r w:rsidRPr="00F60460">
              <w:rPr>
                <w:color w:val="000000"/>
                <w:sz w:val="20"/>
                <w:szCs w:val="20"/>
              </w:rPr>
              <w:t xml:space="preserve"> </w:t>
            </w:r>
            <w:r w:rsidRPr="00F60460">
              <w:rPr>
                <w:rFonts w:ascii="Times New Roman" w:hAnsi="Times New Roman"/>
                <w:color w:val="000000"/>
                <w:sz w:val="20"/>
              </w:rPr>
              <w:t>r</w:t>
            </w:r>
            <w:r w:rsidR="00FC7327" w:rsidRPr="00F60460">
              <w:rPr>
                <w:rFonts w:ascii="Times New Roman" w:hAnsi="Times New Roman"/>
                <w:color w:val="000000"/>
                <w:sz w:val="20"/>
              </w:rPr>
              <w:t>enální trombotická mikroangiopatie</w:t>
            </w:r>
            <w:r w:rsidR="00FC7327" w:rsidRPr="00F60460">
              <w:rPr>
                <w:rFonts w:ascii="Times New Roman" w:hAnsi="Times New Roman"/>
                <w:color w:val="000000"/>
                <w:sz w:val="20"/>
                <w:vertAlign w:val="superscript"/>
              </w:rPr>
              <w:t>b,c</w:t>
            </w:r>
          </w:p>
        </w:tc>
      </w:tr>
      <w:tr w:rsidR="00FC7327" w:rsidRPr="00F60460" w14:paraId="18B25072" w14:textId="77777777" w:rsidTr="006A2145">
        <w:tc>
          <w:tcPr>
            <w:tcW w:w="1336" w:type="dxa"/>
            <w:tcBorders>
              <w:top w:val="single" w:sz="5" w:space="0" w:color="000000"/>
              <w:left w:val="single" w:sz="5" w:space="0" w:color="000000"/>
              <w:bottom w:val="single" w:sz="5" w:space="0" w:color="000000"/>
              <w:right w:val="single" w:sz="5" w:space="0" w:color="000000"/>
            </w:tcBorders>
          </w:tcPr>
          <w:p w14:paraId="4F4D8E92" w14:textId="77777777" w:rsidR="00FC7327" w:rsidRPr="00F60460" w:rsidRDefault="00FC7327" w:rsidP="00615D31">
            <w:pPr>
              <w:pStyle w:val="TableParagraph"/>
              <w:spacing w:line="234" w:lineRule="auto"/>
              <w:rPr>
                <w:rFonts w:ascii="Times New Roman" w:hAnsi="Times New Roman"/>
                <w:color w:val="000000"/>
                <w:sz w:val="20"/>
                <w:szCs w:val="20"/>
              </w:rPr>
            </w:pPr>
            <w:r w:rsidRPr="00F60460">
              <w:rPr>
                <w:rFonts w:ascii="Times New Roman" w:hAnsi="Times New Roman"/>
                <w:color w:val="000000"/>
                <w:sz w:val="20"/>
              </w:rPr>
              <w:t>Respirační, hrudní a mediastinální poruchy</w:t>
            </w:r>
          </w:p>
        </w:tc>
        <w:tc>
          <w:tcPr>
            <w:tcW w:w="1336" w:type="dxa"/>
            <w:tcBorders>
              <w:top w:val="single" w:sz="5" w:space="0" w:color="000000"/>
              <w:left w:val="single" w:sz="5" w:space="0" w:color="000000"/>
              <w:bottom w:val="single" w:sz="5" w:space="0" w:color="000000"/>
              <w:right w:val="single" w:sz="5" w:space="0" w:color="000000"/>
            </w:tcBorders>
          </w:tcPr>
          <w:p w14:paraId="6D6359B8"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775CA27" w14:textId="77777777" w:rsidR="00FC7327" w:rsidRPr="00F60460" w:rsidRDefault="00FC7327" w:rsidP="00615D31">
            <w:pPr>
              <w:pStyle w:val="TableParagraph"/>
              <w:spacing w:line="234" w:lineRule="auto"/>
              <w:ind w:right="14"/>
              <w:rPr>
                <w:rFonts w:ascii="Times New Roman" w:hAnsi="Times New Roman"/>
                <w:color w:val="000000"/>
                <w:sz w:val="20"/>
                <w:szCs w:val="20"/>
              </w:rPr>
            </w:pPr>
            <w:r w:rsidRPr="00F60460">
              <w:rPr>
                <w:rFonts w:ascii="Times New Roman" w:hAnsi="Times New Roman"/>
                <w:color w:val="000000"/>
                <w:sz w:val="20"/>
              </w:rPr>
              <w:t>Plicní krvácení / hemoptýza</w:t>
            </w:r>
            <w:r w:rsidRPr="00F60460">
              <w:rPr>
                <w:rFonts w:ascii="Times New Roman" w:hAnsi="Times New Roman"/>
                <w:color w:val="000000"/>
                <w:sz w:val="20"/>
                <w:vertAlign w:val="superscript"/>
              </w:rPr>
              <w:t>a,b</w:t>
            </w:r>
            <w:r w:rsidRPr="00F60460">
              <w:rPr>
                <w:rFonts w:ascii="Times New Roman" w:hAnsi="Times New Roman"/>
                <w:color w:val="000000"/>
                <w:sz w:val="20"/>
              </w:rPr>
              <w:t>, plicní embolie, epistaxe, dyspnoe, hypoxie</w:t>
            </w:r>
          </w:p>
        </w:tc>
        <w:tc>
          <w:tcPr>
            <w:tcW w:w="1336" w:type="dxa"/>
            <w:tcBorders>
              <w:top w:val="single" w:sz="5" w:space="0" w:color="000000"/>
              <w:left w:val="single" w:sz="5" w:space="0" w:color="000000"/>
              <w:bottom w:val="single" w:sz="5" w:space="0" w:color="000000"/>
              <w:right w:val="single" w:sz="5" w:space="0" w:color="000000"/>
            </w:tcBorders>
          </w:tcPr>
          <w:p w14:paraId="1CD8F9A2"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AED8FEC"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6B722EF"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0AC3E845" w14:textId="77777777" w:rsidR="00FC7327" w:rsidRPr="00F60460" w:rsidRDefault="00FC7327" w:rsidP="00615D31">
            <w:pPr>
              <w:pStyle w:val="TableParagraph"/>
              <w:spacing w:line="234" w:lineRule="auto"/>
              <w:ind w:right="14"/>
              <w:rPr>
                <w:rFonts w:ascii="Times New Roman" w:hAnsi="Times New Roman"/>
                <w:color w:val="000000"/>
                <w:sz w:val="20"/>
                <w:szCs w:val="20"/>
              </w:rPr>
            </w:pPr>
            <w:r w:rsidRPr="00F60460">
              <w:rPr>
                <w:rFonts w:ascii="Times New Roman" w:hAnsi="Times New Roman"/>
                <w:color w:val="000000"/>
                <w:sz w:val="20"/>
              </w:rPr>
              <w:t>Plicní hypertenze</w:t>
            </w:r>
            <w:r w:rsidRPr="00F60460">
              <w:rPr>
                <w:rFonts w:ascii="Times New Roman" w:hAnsi="Times New Roman"/>
                <w:color w:val="000000"/>
                <w:sz w:val="20"/>
                <w:vertAlign w:val="superscript"/>
              </w:rPr>
              <w:t>c</w:t>
            </w:r>
            <w:r w:rsidRPr="00F60460">
              <w:rPr>
                <w:rFonts w:ascii="Times New Roman" w:hAnsi="Times New Roman"/>
                <w:color w:val="000000"/>
                <w:sz w:val="20"/>
              </w:rPr>
              <w:t>, perforace nosní přepážky</w:t>
            </w:r>
            <w:r w:rsidRPr="00F60460">
              <w:rPr>
                <w:rFonts w:ascii="Times New Roman" w:hAnsi="Times New Roman"/>
                <w:color w:val="000000"/>
                <w:sz w:val="20"/>
                <w:vertAlign w:val="superscript"/>
              </w:rPr>
              <w:t>c</w:t>
            </w:r>
          </w:p>
        </w:tc>
      </w:tr>
      <w:tr w:rsidR="00FC7327" w:rsidRPr="00F60460" w14:paraId="1FFA6DA5" w14:textId="77777777" w:rsidTr="006A2145">
        <w:tc>
          <w:tcPr>
            <w:tcW w:w="1336" w:type="dxa"/>
            <w:tcBorders>
              <w:top w:val="single" w:sz="5" w:space="0" w:color="000000"/>
              <w:left w:val="single" w:sz="5" w:space="0" w:color="000000"/>
              <w:bottom w:val="single" w:sz="5" w:space="0" w:color="000000"/>
              <w:right w:val="single" w:sz="5" w:space="0" w:color="000000"/>
            </w:tcBorders>
          </w:tcPr>
          <w:p w14:paraId="0BC4F3CB" w14:textId="77777777" w:rsidR="00FC7327" w:rsidRPr="00F60460" w:rsidRDefault="00FC7327" w:rsidP="002B0DE8">
            <w:pPr>
              <w:pStyle w:val="TableParagraph"/>
              <w:keepNext/>
              <w:keepLines/>
              <w:spacing w:line="235" w:lineRule="auto"/>
              <w:rPr>
                <w:rFonts w:ascii="Times New Roman" w:hAnsi="Times New Roman"/>
                <w:color w:val="000000"/>
                <w:sz w:val="20"/>
                <w:szCs w:val="20"/>
              </w:rPr>
            </w:pPr>
            <w:r w:rsidRPr="00F60460">
              <w:rPr>
                <w:rFonts w:ascii="Times New Roman" w:hAnsi="Times New Roman"/>
                <w:color w:val="000000"/>
                <w:sz w:val="20"/>
              </w:rPr>
              <w:t>Gastrointestinální poruchy</w:t>
            </w:r>
          </w:p>
        </w:tc>
        <w:tc>
          <w:tcPr>
            <w:tcW w:w="1336" w:type="dxa"/>
            <w:tcBorders>
              <w:top w:val="single" w:sz="5" w:space="0" w:color="000000"/>
              <w:left w:val="single" w:sz="5" w:space="0" w:color="000000"/>
              <w:bottom w:val="single" w:sz="5" w:space="0" w:color="000000"/>
              <w:right w:val="single" w:sz="5" w:space="0" w:color="000000"/>
            </w:tcBorders>
          </w:tcPr>
          <w:p w14:paraId="1DC96613" w14:textId="77777777" w:rsidR="00FC7327" w:rsidRPr="00F60460" w:rsidRDefault="00FC7327" w:rsidP="002B0DE8">
            <w:pPr>
              <w:pStyle w:val="TableParagraph"/>
              <w:keepNext/>
              <w:keepLines/>
              <w:spacing w:line="235" w:lineRule="auto"/>
              <w:ind w:right="14"/>
              <w:rPr>
                <w:rFonts w:ascii="Times New Roman" w:hAnsi="Times New Roman"/>
                <w:color w:val="000000"/>
                <w:sz w:val="20"/>
                <w:szCs w:val="20"/>
              </w:rPr>
            </w:pPr>
            <w:r w:rsidRPr="00F60460">
              <w:rPr>
                <w:rFonts w:ascii="Times New Roman" w:hAnsi="Times New Roman"/>
                <w:color w:val="000000"/>
                <w:sz w:val="20"/>
              </w:rPr>
              <w:t>Průjem, nauzea, zvracení, bolest břicha</w:t>
            </w:r>
          </w:p>
        </w:tc>
        <w:tc>
          <w:tcPr>
            <w:tcW w:w="1336" w:type="dxa"/>
            <w:tcBorders>
              <w:top w:val="single" w:sz="5" w:space="0" w:color="000000"/>
              <w:left w:val="single" w:sz="5" w:space="0" w:color="000000"/>
              <w:bottom w:val="single" w:sz="5" w:space="0" w:color="000000"/>
              <w:right w:val="single" w:sz="5" w:space="0" w:color="000000"/>
            </w:tcBorders>
          </w:tcPr>
          <w:p w14:paraId="525DAAA3" w14:textId="77777777" w:rsidR="00FC7327" w:rsidRPr="00F60460" w:rsidRDefault="00FC7327" w:rsidP="002B0DE8">
            <w:pPr>
              <w:pStyle w:val="TableParagraph"/>
              <w:keepNext/>
              <w:keepLines/>
              <w:spacing w:line="235" w:lineRule="auto"/>
              <w:ind w:right="14"/>
              <w:rPr>
                <w:rFonts w:ascii="Times New Roman" w:hAnsi="Times New Roman"/>
                <w:color w:val="000000"/>
                <w:sz w:val="20"/>
                <w:szCs w:val="20"/>
              </w:rPr>
            </w:pPr>
            <w:r w:rsidRPr="00F60460">
              <w:rPr>
                <w:rFonts w:ascii="Times New Roman" w:hAnsi="Times New Roman"/>
                <w:color w:val="000000"/>
                <w:sz w:val="20"/>
              </w:rPr>
              <w:t>Intestinální perforace, ileus, střevní obstrukce, rektovaginální píštěl</w:t>
            </w:r>
            <w:r w:rsidRPr="00F60460">
              <w:rPr>
                <w:rFonts w:ascii="Times New Roman" w:hAnsi="Times New Roman"/>
                <w:color w:val="000000"/>
                <w:sz w:val="20"/>
                <w:vertAlign w:val="superscript"/>
              </w:rPr>
              <w:t>c,d</w:t>
            </w:r>
            <w:r w:rsidRPr="00F60460">
              <w:rPr>
                <w:rFonts w:ascii="Times New Roman" w:hAnsi="Times New Roman"/>
                <w:color w:val="000000"/>
                <w:sz w:val="20"/>
              </w:rPr>
              <w:t>,</w:t>
            </w:r>
          </w:p>
          <w:p w14:paraId="6E6810D8" w14:textId="77777777" w:rsidR="00FC7327" w:rsidRPr="00F60460" w:rsidRDefault="00FC7327" w:rsidP="002B0DE8">
            <w:pPr>
              <w:pStyle w:val="TableParagraph"/>
              <w:keepNext/>
              <w:keepLines/>
              <w:spacing w:line="235" w:lineRule="auto"/>
              <w:ind w:right="14"/>
              <w:rPr>
                <w:rFonts w:ascii="Times New Roman" w:hAnsi="Times New Roman"/>
                <w:color w:val="000000"/>
                <w:sz w:val="20"/>
                <w:szCs w:val="20"/>
              </w:rPr>
            </w:pPr>
            <w:r w:rsidRPr="00F60460">
              <w:rPr>
                <w:rFonts w:ascii="Times New Roman" w:hAnsi="Times New Roman"/>
                <w:color w:val="000000"/>
                <w:sz w:val="20"/>
              </w:rPr>
              <w:t>gastrointestinální porucha, stomatitida, proktalgie</w:t>
            </w:r>
          </w:p>
        </w:tc>
        <w:tc>
          <w:tcPr>
            <w:tcW w:w="1336" w:type="dxa"/>
            <w:tcBorders>
              <w:top w:val="single" w:sz="5" w:space="0" w:color="000000"/>
              <w:left w:val="single" w:sz="5" w:space="0" w:color="000000"/>
              <w:bottom w:val="single" w:sz="5" w:space="0" w:color="000000"/>
              <w:right w:val="single" w:sz="5" w:space="0" w:color="000000"/>
            </w:tcBorders>
          </w:tcPr>
          <w:p w14:paraId="295B224F" w14:textId="77777777" w:rsidR="00FC7327" w:rsidRPr="00F60460" w:rsidRDefault="00FC7327" w:rsidP="002B0DE8">
            <w:pPr>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84003A6" w14:textId="77777777" w:rsidR="00FC7327" w:rsidRPr="00F60460" w:rsidRDefault="00FC7327" w:rsidP="002B0DE8">
            <w:pPr>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3AD8ADB4" w14:textId="77777777" w:rsidR="00FC7327" w:rsidRPr="00F60460" w:rsidRDefault="00FC7327" w:rsidP="002B0DE8">
            <w:pPr>
              <w:keepNext/>
              <w:keepLines/>
              <w:spacing w:line="235"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58CA749" w14:textId="77777777" w:rsidR="00FC7327" w:rsidRPr="00F60460" w:rsidRDefault="00FC7327" w:rsidP="002B0DE8">
            <w:pPr>
              <w:pStyle w:val="TableParagraph"/>
              <w:keepNext/>
              <w:keepLines/>
              <w:spacing w:line="235" w:lineRule="auto"/>
              <w:ind w:right="14"/>
              <w:rPr>
                <w:rFonts w:ascii="Times New Roman" w:hAnsi="Times New Roman"/>
                <w:color w:val="000000"/>
                <w:sz w:val="20"/>
                <w:szCs w:val="20"/>
              </w:rPr>
            </w:pPr>
            <w:r w:rsidRPr="00F60460">
              <w:rPr>
                <w:rFonts w:ascii="Times New Roman" w:hAnsi="Times New Roman"/>
                <w:color w:val="000000"/>
                <w:sz w:val="20"/>
              </w:rPr>
              <w:t>Gastrointestinální perforace</w:t>
            </w:r>
            <w:r w:rsidRPr="00F60460">
              <w:rPr>
                <w:rFonts w:ascii="Times New Roman" w:hAnsi="Times New Roman"/>
                <w:color w:val="000000"/>
                <w:sz w:val="20"/>
                <w:vertAlign w:val="superscript"/>
              </w:rPr>
              <w:t>a,b</w:t>
            </w:r>
            <w:r w:rsidRPr="00F60460">
              <w:rPr>
                <w:rFonts w:ascii="Times New Roman" w:hAnsi="Times New Roman"/>
                <w:color w:val="000000"/>
                <w:sz w:val="20"/>
              </w:rPr>
              <w:t>, gastrointestinální vřed</w:t>
            </w:r>
            <w:r w:rsidRPr="00F60460">
              <w:rPr>
                <w:rFonts w:ascii="Times New Roman" w:hAnsi="Times New Roman"/>
                <w:color w:val="000000"/>
                <w:sz w:val="20"/>
                <w:vertAlign w:val="superscript"/>
              </w:rPr>
              <w:t>c</w:t>
            </w:r>
            <w:r w:rsidRPr="00F60460">
              <w:rPr>
                <w:rFonts w:ascii="Times New Roman" w:hAnsi="Times New Roman"/>
                <w:color w:val="000000"/>
                <w:sz w:val="20"/>
              </w:rPr>
              <w:t>, rektální krvácení</w:t>
            </w:r>
          </w:p>
        </w:tc>
      </w:tr>
      <w:tr w:rsidR="00FC7327" w:rsidRPr="00F60460" w14:paraId="1F9CFDA2" w14:textId="77777777" w:rsidTr="006A2145">
        <w:tc>
          <w:tcPr>
            <w:tcW w:w="1336" w:type="dxa"/>
            <w:tcBorders>
              <w:top w:val="single" w:sz="5" w:space="0" w:color="000000"/>
              <w:left w:val="single" w:sz="5" w:space="0" w:color="000000"/>
              <w:bottom w:val="single" w:sz="4" w:space="0" w:color="000000"/>
              <w:right w:val="single" w:sz="5" w:space="0" w:color="000000"/>
            </w:tcBorders>
          </w:tcPr>
          <w:p w14:paraId="654D096A" w14:textId="77777777" w:rsidR="00FC7327" w:rsidRPr="00F60460" w:rsidRDefault="00FC7327" w:rsidP="00615D31">
            <w:pPr>
              <w:pStyle w:val="TableParagraph"/>
              <w:spacing w:line="234" w:lineRule="auto"/>
              <w:rPr>
                <w:rFonts w:ascii="Times New Roman" w:hAnsi="Times New Roman"/>
                <w:color w:val="000000"/>
                <w:sz w:val="20"/>
                <w:szCs w:val="20"/>
              </w:rPr>
            </w:pPr>
            <w:r w:rsidRPr="00F60460">
              <w:rPr>
                <w:rFonts w:ascii="Times New Roman" w:hAnsi="Times New Roman"/>
                <w:color w:val="000000"/>
                <w:sz w:val="20"/>
              </w:rPr>
              <w:t>Poruchy jater a žlučových cest</w:t>
            </w:r>
          </w:p>
        </w:tc>
        <w:tc>
          <w:tcPr>
            <w:tcW w:w="1336" w:type="dxa"/>
            <w:tcBorders>
              <w:top w:val="single" w:sz="5" w:space="0" w:color="000000"/>
              <w:left w:val="single" w:sz="5" w:space="0" w:color="000000"/>
              <w:bottom w:val="single" w:sz="4" w:space="0" w:color="000000"/>
              <w:right w:val="single" w:sz="5" w:space="0" w:color="000000"/>
            </w:tcBorders>
          </w:tcPr>
          <w:p w14:paraId="576F035E"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58E12183"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4FCF7BCD"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65CD3FD0"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0E15EE53"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4" w:space="0" w:color="000000"/>
              <w:right w:val="single" w:sz="5" w:space="0" w:color="000000"/>
            </w:tcBorders>
          </w:tcPr>
          <w:p w14:paraId="7A649EDF" w14:textId="77777777" w:rsidR="00FC7327" w:rsidRPr="00F60460" w:rsidRDefault="00FC7327" w:rsidP="00615D31">
            <w:pPr>
              <w:pStyle w:val="TableParagraph"/>
              <w:spacing w:line="234" w:lineRule="auto"/>
              <w:ind w:right="14"/>
              <w:rPr>
                <w:rFonts w:ascii="Times New Roman" w:hAnsi="Times New Roman"/>
                <w:color w:val="000000"/>
                <w:sz w:val="20"/>
                <w:szCs w:val="20"/>
                <w:vertAlign w:val="superscript"/>
              </w:rPr>
            </w:pPr>
            <w:r w:rsidRPr="00F60460">
              <w:rPr>
                <w:rFonts w:ascii="Times New Roman" w:hAnsi="Times New Roman"/>
                <w:color w:val="000000"/>
                <w:sz w:val="20"/>
              </w:rPr>
              <w:t>Perforace žlučníku</w:t>
            </w:r>
            <w:r w:rsidRPr="00F60460">
              <w:rPr>
                <w:rFonts w:ascii="Times New Roman" w:hAnsi="Times New Roman"/>
                <w:color w:val="000000"/>
                <w:sz w:val="20"/>
                <w:vertAlign w:val="superscript"/>
              </w:rPr>
              <w:t>b,c</w:t>
            </w:r>
          </w:p>
          <w:p w14:paraId="012FBE1D"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r>
      <w:tr w:rsidR="00FC7327" w:rsidRPr="00F60460" w14:paraId="0580DBF8" w14:textId="77777777" w:rsidTr="006A2145">
        <w:tc>
          <w:tcPr>
            <w:tcW w:w="1336" w:type="dxa"/>
            <w:tcBorders>
              <w:top w:val="single" w:sz="4" w:space="0" w:color="000000"/>
              <w:left w:val="single" w:sz="4" w:space="0" w:color="000000"/>
              <w:bottom w:val="single" w:sz="4" w:space="0" w:color="000000"/>
              <w:right w:val="single" w:sz="4" w:space="0" w:color="000000"/>
            </w:tcBorders>
          </w:tcPr>
          <w:p w14:paraId="64BAF1F0" w14:textId="77777777" w:rsidR="00FC7327" w:rsidRPr="00F60460" w:rsidRDefault="00FC7327" w:rsidP="00615D31">
            <w:pPr>
              <w:pStyle w:val="TableParagraph"/>
              <w:spacing w:line="234" w:lineRule="auto"/>
              <w:rPr>
                <w:rFonts w:ascii="Times New Roman" w:hAnsi="Times New Roman"/>
                <w:color w:val="000000"/>
                <w:sz w:val="20"/>
                <w:szCs w:val="20"/>
              </w:rPr>
            </w:pPr>
            <w:r w:rsidRPr="00F60460">
              <w:rPr>
                <w:rFonts w:ascii="Times New Roman" w:hAnsi="Times New Roman"/>
                <w:color w:val="000000"/>
                <w:sz w:val="20"/>
              </w:rPr>
              <w:t>Poruchy kůže a podkožní tkáně</w:t>
            </w:r>
          </w:p>
        </w:tc>
        <w:tc>
          <w:tcPr>
            <w:tcW w:w="1336" w:type="dxa"/>
            <w:tcBorders>
              <w:top w:val="single" w:sz="4" w:space="0" w:color="000000"/>
              <w:left w:val="single" w:sz="4" w:space="0" w:color="000000"/>
              <w:bottom w:val="single" w:sz="4" w:space="0" w:color="000000"/>
              <w:right w:val="single" w:sz="4" w:space="0" w:color="000000"/>
            </w:tcBorders>
          </w:tcPr>
          <w:p w14:paraId="72E07178"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76DF2B2" w14:textId="77777777" w:rsidR="00FC7327" w:rsidRPr="00F60460" w:rsidRDefault="00FC7327" w:rsidP="00615D31">
            <w:pPr>
              <w:pStyle w:val="TableParagraph"/>
              <w:spacing w:line="234" w:lineRule="auto"/>
              <w:ind w:right="14"/>
              <w:rPr>
                <w:rFonts w:ascii="Times New Roman" w:hAnsi="Times New Roman"/>
                <w:color w:val="000000"/>
                <w:sz w:val="20"/>
                <w:szCs w:val="20"/>
              </w:rPr>
            </w:pPr>
            <w:r w:rsidRPr="00F60460">
              <w:rPr>
                <w:rFonts w:ascii="Times New Roman" w:hAnsi="Times New Roman"/>
                <w:color w:val="000000"/>
                <w:sz w:val="20"/>
              </w:rPr>
              <w:t>Komplikace při hojení ran</w:t>
            </w:r>
            <w:r w:rsidRPr="00F60460">
              <w:rPr>
                <w:rFonts w:ascii="Times New Roman" w:hAnsi="Times New Roman"/>
                <w:color w:val="000000"/>
                <w:sz w:val="20"/>
                <w:vertAlign w:val="superscript"/>
              </w:rPr>
              <w:t>a,b</w:t>
            </w:r>
            <w:r w:rsidRPr="00F60460">
              <w:rPr>
                <w:rFonts w:ascii="Times New Roman" w:hAnsi="Times New Roman"/>
                <w:color w:val="000000"/>
                <w:sz w:val="20"/>
              </w:rPr>
              <w:t>, syndrom palmoplantární erytrodysestezie</w:t>
            </w:r>
          </w:p>
        </w:tc>
        <w:tc>
          <w:tcPr>
            <w:tcW w:w="1336" w:type="dxa"/>
            <w:tcBorders>
              <w:top w:val="single" w:sz="4" w:space="0" w:color="000000"/>
              <w:left w:val="single" w:sz="4" w:space="0" w:color="000000"/>
              <w:bottom w:val="single" w:sz="4" w:space="0" w:color="000000"/>
              <w:right w:val="single" w:sz="4" w:space="0" w:color="000000"/>
            </w:tcBorders>
          </w:tcPr>
          <w:p w14:paraId="400451EF"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0C80B4E"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5665BC5"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2DB6365"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r>
      <w:tr w:rsidR="00FC7327" w:rsidRPr="00F60460" w14:paraId="26BA35AA" w14:textId="77777777" w:rsidTr="006A2145">
        <w:tc>
          <w:tcPr>
            <w:tcW w:w="1336" w:type="dxa"/>
            <w:tcBorders>
              <w:top w:val="single" w:sz="4" w:space="0" w:color="000000"/>
              <w:left w:val="single" w:sz="4" w:space="0" w:color="000000"/>
              <w:bottom w:val="single" w:sz="4" w:space="0" w:color="000000"/>
              <w:right w:val="single" w:sz="4" w:space="0" w:color="000000"/>
            </w:tcBorders>
          </w:tcPr>
          <w:p w14:paraId="3B8372C0" w14:textId="77777777" w:rsidR="00FC7327" w:rsidRPr="00F60460" w:rsidRDefault="00FC7327" w:rsidP="00615D31">
            <w:pPr>
              <w:pStyle w:val="TableParagraph"/>
              <w:spacing w:line="234" w:lineRule="auto"/>
              <w:rPr>
                <w:rFonts w:ascii="Times New Roman" w:hAnsi="Times New Roman"/>
                <w:color w:val="000000"/>
                <w:sz w:val="20"/>
                <w:szCs w:val="20"/>
              </w:rPr>
            </w:pPr>
            <w:r w:rsidRPr="00F60460">
              <w:rPr>
                <w:rFonts w:ascii="Times New Roman" w:hAnsi="Times New Roman"/>
                <w:color w:val="000000"/>
                <w:sz w:val="20"/>
              </w:rPr>
              <w:t>Poruchy svalové a kosterní soustavy a pojivové tkáně</w:t>
            </w:r>
          </w:p>
        </w:tc>
        <w:tc>
          <w:tcPr>
            <w:tcW w:w="1336" w:type="dxa"/>
            <w:tcBorders>
              <w:top w:val="single" w:sz="4" w:space="0" w:color="000000"/>
              <w:left w:val="single" w:sz="4" w:space="0" w:color="000000"/>
              <w:bottom w:val="single" w:sz="4" w:space="0" w:color="000000"/>
              <w:right w:val="single" w:sz="4" w:space="0" w:color="000000"/>
            </w:tcBorders>
          </w:tcPr>
          <w:p w14:paraId="3CD6140B"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7BCBB585" w14:textId="77777777" w:rsidR="00FC7327" w:rsidRPr="00F60460" w:rsidRDefault="00FC7327" w:rsidP="00615D31">
            <w:pPr>
              <w:pStyle w:val="TableParagraph"/>
              <w:spacing w:line="234" w:lineRule="auto"/>
              <w:ind w:right="48"/>
              <w:rPr>
                <w:rFonts w:ascii="Times New Roman" w:hAnsi="Times New Roman"/>
                <w:color w:val="000000"/>
                <w:sz w:val="20"/>
                <w:szCs w:val="20"/>
              </w:rPr>
            </w:pPr>
            <w:r w:rsidRPr="00F60460">
              <w:rPr>
                <w:rFonts w:ascii="Times New Roman" w:hAnsi="Times New Roman"/>
                <w:color w:val="000000"/>
                <w:sz w:val="20"/>
              </w:rPr>
              <w:t>Píštěl</w:t>
            </w:r>
            <w:r w:rsidRPr="00F60460">
              <w:rPr>
                <w:rFonts w:ascii="Times New Roman" w:hAnsi="Times New Roman"/>
                <w:color w:val="000000"/>
                <w:sz w:val="20"/>
                <w:vertAlign w:val="superscript"/>
              </w:rPr>
              <w:t>a,b</w:t>
            </w:r>
            <w:r w:rsidRPr="00F60460">
              <w:rPr>
                <w:rFonts w:ascii="Times New Roman" w:hAnsi="Times New Roman"/>
                <w:color w:val="000000"/>
                <w:sz w:val="20"/>
              </w:rPr>
              <w:t>,</w:t>
            </w:r>
          </w:p>
          <w:p w14:paraId="50FFB31D" w14:textId="77777777" w:rsidR="00FC7327" w:rsidRPr="00F60460" w:rsidRDefault="00FC7327" w:rsidP="00615D31">
            <w:pPr>
              <w:pStyle w:val="TableParagraph"/>
              <w:spacing w:line="234" w:lineRule="auto"/>
              <w:ind w:right="48"/>
              <w:rPr>
                <w:rFonts w:ascii="Times New Roman" w:hAnsi="Times New Roman"/>
                <w:color w:val="000000"/>
                <w:sz w:val="20"/>
                <w:szCs w:val="20"/>
              </w:rPr>
            </w:pPr>
            <w:r w:rsidRPr="00F60460">
              <w:rPr>
                <w:rFonts w:ascii="Times New Roman" w:hAnsi="Times New Roman"/>
                <w:color w:val="000000"/>
                <w:sz w:val="20"/>
              </w:rPr>
              <w:t>myalgie, artralgie, svalová slabost, bolest zad</w:t>
            </w:r>
          </w:p>
        </w:tc>
        <w:tc>
          <w:tcPr>
            <w:tcW w:w="1336" w:type="dxa"/>
            <w:tcBorders>
              <w:top w:val="single" w:sz="4" w:space="0" w:color="000000"/>
              <w:left w:val="single" w:sz="4" w:space="0" w:color="000000"/>
              <w:bottom w:val="single" w:sz="4" w:space="0" w:color="000000"/>
              <w:right w:val="single" w:sz="4" w:space="0" w:color="000000"/>
            </w:tcBorders>
          </w:tcPr>
          <w:p w14:paraId="7C874CDA"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D9C47EB"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1F8004F9"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0D4B8F04" w14:textId="77777777" w:rsidR="00FC7327" w:rsidRPr="00F60460" w:rsidRDefault="00FC7327" w:rsidP="00615D31">
            <w:pPr>
              <w:pStyle w:val="TableParagraph"/>
              <w:spacing w:line="234" w:lineRule="auto"/>
              <w:ind w:right="14"/>
              <w:rPr>
                <w:rFonts w:ascii="Times New Roman" w:hAnsi="Times New Roman"/>
                <w:color w:val="000000"/>
                <w:sz w:val="20"/>
                <w:szCs w:val="20"/>
              </w:rPr>
            </w:pPr>
            <w:r w:rsidRPr="00F60460">
              <w:rPr>
                <w:rFonts w:ascii="Times New Roman" w:hAnsi="Times New Roman"/>
                <w:color w:val="000000"/>
                <w:sz w:val="20"/>
              </w:rPr>
              <w:t>Osteonekróza čelisti</w:t>
            </w:r>
            <w:r w:rsidRPr="00F60460">
              <w:rPr>
                <w:rFonts w:ascii="Times New Roman" w:hAnsi="Times New Roman"/>
                <w:color w:val="000000"/>
                <w:sz w:val="20"/>
                <w:vertAlign w:val="superscript"/>
              </w:rPr>
              <w:t>b,c</w:t>
            </w:r>
          </w:p>
        </w:tc>
      </w:tr>
      <w:tr w:rsidR="00FC7327" w:rsidRPr="00F60460" w14:paraId="7124CECC" w14:textId="77777777" w:rsidTr="006A2145">
        <w:tc>
          <w:tcPr>
            <w:tcW w:w="1336" w:type="dxa"/>
            <w:tcBorders>
              <w:top w:val="single" w:sz="4" w:space="0" w:color="000000"/>
              <w:left w:val="single" w:sz="4" w:space="0" w:color="000000"/>
              <w:bottom w:val="single" w:sz="4" w:space="0" w:color="000000"/>
              <w:right w:val="single" w:sz="4" w:space="0" w:color="000000"/>
            </w:tcBorders>
          </w:tcPr>
          <w:p w14:paraId="50A990DA" w14:textId="77777777" w:rsidR="00FC7327" w:rsidRPr="00F60460" w:rsidRDefault="00FC7327" w:rsidP="00615D31">
            <w:pPr>
              <w:pStyle w:val="TableParagraph"/>
              <w:spacing w:line="234" w:lineRule="auto"/>
              <w:rPr>
                <w:rFonts w:ascii="Times New Roman" w:hAnsi="Times New Roman"/>
                <w:color w:val="000000"/>
                <w:sz w:val="20"/>
                <w:szCs w:val="20"/>
              </w:rPr>
            </w:pPr>
            <w:r w:rsidRPr="00F60460">
              <w:rPr>
                <w:rFonts w:ascii="Times New Roman" w:hAnsi="Times New Roman"/>
                <w:color w:val="000000"/>
                <w:sz w:val="20"/>
              </w:rPr>
              <w:t>Poruchy ledvin a močových cest</w:t>
            </w:r>
          </w:p>
        </w:tc>
        <w:tc>
          <w:tcPr>
            <w:tcW w:w="1336" w:type="dxa"/>
            <w:tcBorders>
              <w:top w:val="single" w:sz="4" w:space="0" w:color="000000"/>
              <w:left w:val="single" w:sz="4" w:space="0" w:color="000000"/>
              <w:bottom w:val="single" w:sz="4" w:space="0" w:color="000000"/>
              <w:right w:val="single" w:sz="4" w:space="0" w:color="000000"/>
            </w:tcBorders>
          </w:tcPr>
          <w:p w14:paraId="1426C9B9"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F157F79" w14:textId="77777777" w:rsidR="00FC7327" w:rsidRPr="00F60460" w:rsidRDefault="00FC7327" w:rsidP="00615D31">
            <w:pPr>
              <w:pStyle w:val="TableParagraph"/>
              <w:spacing w:line="234" w:lineRule="auto"/>
              <w:ind w:right="48"/>
              <w:rPr>
                <w:rFonts w:ascii="Times New Roman" w:hAnsi="Times New Roman"/>
                <w:color w:val="000000"/>
                <w:sz w:val="20"/>
                <w:szCs w:val="20"/>
              </w:rPr>
            </w:pPr>
            <w:r w:rsidRPr="00F60460">
              <w:rPr>
                <w:rFonts w:ascii="Times New Roman" w:hAnsi="Times New Roman"/>
                <w:color w:val="000000"/>
                <w:sz w:val="20"/>
              </w:rPr>
              <w:t>Proteinurie</w:t>
            </w:r>
            <w:r w:rsidRPr="00F60460">
              <w:rPr>
                <w:rFonts w:ascii="Times New Roman" w:hAnsi="Times New Roman"/>
                <w:color w:val="000000"/>
                <w:sz w:val="20"/>
                <w:vertAlign w:val="superscript"/>
              </w:rPr>
              <w:t>a,b</w:t>
            </w:r>
          </w:p>
        </w:tc>
        <w:tc>
          <w:tcPr>
            <w:tcW w:w="1336" w:type="dxa"/>
            <w:tcBorders>
              <w:top w:val="single" w:sz="4" w:space="0" w:color="000000"/>
              <w:left w:val="single" w:sz="4" w:space="0" w:color="000000"/>
              <w:bottom w:val="single" w:sz="4" w:space="0" w:color="000000"/>
              <w:right w:val="single" w:sz="4" w:space="0" w:color="000000"/>
            </w:tcBorders>
          </w:tcPr>
          <w:p w14:paraId="66C80073"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21C61E29"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487FD154"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4" w:space="0" w:color="000000"/>
              <w:bottom w:val="single" w:sz="4" w:space="0" w:color="000000"/>
              <w:right w:val="single" w:sz="4" w:space="0" w:color="000000"/>
            </w:tcBorders>
          </w:tcPr>
          <w:p w14:paraId="6A8E5376"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r>
      <w:tr w:rsidR="00FC7327" w:rsidRPr="00F60460" w14:paraId="04F84383" w14:textId="77777777" w:rsidTr="006A2145">
        <w:tc>
          <w:tcPr>
            <w:tcW w:w="1336" w:type="dxa"/>
            <w:tcBorders>
              <w:top w:val="single" w:sz="4" w:space="0" w:color="000000"/>
              <w:left w:val="single" w:sz="5" w:space="0" w:color="000000"/>
              <w:bottom w:val="single" w:sz="5" w:space="0" w:color="000000"/>
              <w:right w:val="single" w:sz="5" w:space="0" w:color="000000"/>
            </w:tcBorders>
          </w:tcPr>
          <w:p w14:paraId="2C1E6EC2" w14:textId="77777777" w:rsidR="00FC7327" w:rsidRPr="00F60460" w:rsidRDefault="00FC7327" w:rsidP="00615D31">
            <w:pPr>
              <w:pStyle w:val="TableParagraph"/>
              <w:spacing w:line="234" w:lineRule="auto"/>
              <w:rPr>
                <w:rFonts w:ascii="Times New Roman" w:hAnsi="Times New Roman"/>
                <w:color w:val="000000"/>
                <w:sz w:val="20"/>
                <w:szCs w:val="20"/>
              </w:rPr>
            </w:pPr>
            <w:r w:rsidRPr="00F60460">
              <w:rPr>
                <w:rFonts w:ascii="Times New Roman" w:hAnsi="Times New Roman"/>
                <w:color w:val="000000"/>
                <w:sz w:val="20"/>
              </w:rPr>
              <w:t>Poruchy reprodukčního systému a prsu</w:t>
            </w:r>
          </w:p>
        </w:tc>
        <w:tc>
          <w:tcPr>
            <w:tcW w:w="1336" w:type="dxa"/>
            <w:tcBorders>
              <w:top w:val="single" w:sz="4" w:space="0" w:color="000000"/>
              <w:left w:val="single" w:sz="5" w:space="0" w:color="000000"/>
              <w:bottom w:val="single" w:sz="5" w:space="0" w:color="000000"/>
              <w:right w:val="single" w:sz="5" w:space="0" w:color="000000"/>
            </w:tcBorders>
          </w:tcPr>
          <w:p w14:paraId="268BCBB0"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5C11F627" w14:textId="77777777" w:rsidR="00FC7327" w:rsidRPr="00F60460" w:rsidRDefault="00FC7327">
            <w:pPr>
              <w:pStyle w:val="TableParagraph"/>
              <w:spacing w:line="234" w:lineRule="auto"/>
              <w:ind w:right="14"/>
              <w:rPr>
                <w:rFonts w:ascii="Times New Roman" w:hAnsi="Times New Roman"/>
                <w:color w:val="000000"/>
                <w:sz w:val="20"/>
                <w:szCs w:val="20"/>
              </w:rPr>
            </w:pPr>
            <w:r w:rsidRPr="00F60460">
              <w:rPr>
                <w:rFonts w:ascii="Times New Roman" w:hAnsi="Times New Roman"/>
                <w:color w:val="000000"/>
                <w:sz w:val="20"/>
              </w:rPr>
              <w:t>Bolest v oblasti pánve</w:t>
            </w:r>
          </w:p>
        </w:tc>
        <w:tc>
          <w:tcPr>
            <w:tcW w:w="1336" w:type="dxa"/>
            <w:tcBorders>
              <w:top w:val="single" w:sz="4" w:space="0" w:color="000000"/>
              <w:left w:val="single" w:sz="5" w:space="0" w:color="000000"/>
              <w:bottom w:val="single" w:sz="5" w:space="0" w:color="000000"/>
              <w:right w:val="single" w:sz="5" w:space="0" w:color="000000"/>
            </w:tcBorders>
          </w:tcPr>
          <w:p w14:paraId="381D207E"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507451F2"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19789865"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4" w:space="0" w:color="000000"/>
              <w:left w:val="single" w:sz="5" w:space="0" w:color="000000"/>
              <w:bottom w:val="single" w:sz="5" w:space="0" w:color="000000"/>
              <w:right w:val="single" w:sz="5" w:space="0" w:color="000000"/>
            </w:tcBorders>
          </w:tcPr>
          <w:p w14:paraId="427B083F" w14:textId="77777777" w:rsidR="00FC7327" w:rsidRPr="00F60460" w:rsidRDefault="00FC7327" w:rsidP="00615D31">
            <w:pPr>
              <w:pStyle w:val="TableParagraph"/>
              <w:spacing w:line="234" w:lineRule="auto"/>
              <w:ind w:right="14"/>
              <w:rPr>
                <w:rFonts w:ascii="Times New Roman" w:hAnsi="Times New Roman"/>
                <w:color w:val="000000"/>
                <w:sz w:val="20"/>
                <w:szCs w:val="20"/>
              </w:rPr>
            </w:pPr>
            <w:r w:rsidRPr="00F60460">
              <w:rPr>
                <w:rFonts w:ascii="Times New Roman" w:hAnsi="Times New Roman"/>
                <w:color w:val="000000"/>
                <w:sz w:val="20"/>
              </w:rPr>
              <w:t>Ovariální selhání</w:t>
            </w:r>
            <w:r w:rsidRPr="00F60460">
              <w:rPr>
                <w:rFonts w:ascii="Times New Roman" w:hAnsi="Times New Roman"/>
                <w:color w:val="000000"/>
                <w:sz w:val="20"/>
                <w:vertAlign w:val="superscript"/>
              </w:rPr>
              <w:t>a,b</w:t>
            </w:r>
          </w:p>
        </w:tc>
      </w:tr>
      <w:tr w:rsidR="00FC7327" w:rsidRPr="00F60460" w14:paraId="4F6F81E5" w14:textId="77777777" w:rsidTr="006A2145">
        <w:tc>
          <w:tcPr>
            <w:tcW w:w="1336" w:type="dxa"/>
            <w:tcBorders>
              <w:top w:val="single" w:sz="5" w:space="0" w:color="000000"/>
              <w:left w:val="single" w:sz="5" w:space="0" w:color="000000"/>
              <w:bottom w:val="single" w:sz="5" w:space="0" w:color="000000"/>
              <w:right w:val="single" w:sz="5" w:space="0" w:color="000000"/>
            </w:tcBorders>
          </w:tcPr>
          <w:p w14:paraId="4342BE46" w14:textId="77777777" w:rsidR="00FC7327" w:rsidRPr="00F60460" w:rsidRDefault="00FC7327" w:rsidP="00615D31">
            <w:pPr>
              <w:pStyle w:val="TableParagraph"/>
              <w:spacing w:line="234" w:lineRule="auto"/>
              <w:rPr>
                <w:rFonts w:ascii="Times New Roman" w:hAnsi="Times New Roman"/>
                <w:color w:val="000000"/>
                <w:sz w:val="20"/>
                <w:szCs w:val="20"/>
              </w:rPr>
            </w:pPr>
            <w:r w:rsidRPr="00F60460">
              <w:rPr>
                <w:rFonts w:ascii="Times New Roman" w:hAnsi="Times New Roman"/>
                <w:color w:val="000000"/>
                <w:sz w:val="20"/>
              </w:rPr>
              <w:t>Vrozené, familiální a genetické vady</w:t>
            </w:r>
          </w:p>
        </w:tc>
        <w:tc>
          <w:tcPr>
            <w:tcW w:w="1336" w:type="dxa"/>
            <w:tcBorders>
              <w:top w:val="single" w:sz="5" w:space="0" w:color="000000"/>
              <w:left w:val="single" w:sz="5" w:space="0" w:color="000000"/>
              <w:bottom w:val="single" w:sz="5" w:space="0" w:color="000000"/>
              <w:right w:val="single" w:sz="5" w:space="0" w:color="000000"/>
            </w:tcBorders>
          </w:tcPr>
          <w:p w14:paraId="728A5A6B"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0BBB6A7"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7C5B0133"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4A4A0E3E"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16113F29"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EB0CB2E" w14:textId="77777777" w:rsidR="00FC7327" w:rsidRPr="00F60460" w:rsidRDefault="00FC7327" w:rsidP="00615D31">
            <w:pPr>
              <w:pStyle w:val="TableParagraph"/>
              <w:spacing w:line="234" w:lineRule="auto"/>
              <w:ind w:right="14"/>
              <w:rPr>
                <w:rFonts w:ascii="Times New Roman" w:hAnsi="Times New Roman"/>
                <w:color w:val="000000"/>
                <w:sz w:val="20"/>
                <w:szCs w:val="20"/>
              </w:rPr>
            </w:pPr>
            <w:r w:rsidRPr="00F60460">
              <w:rPr>
                <w:rFonts w:ascii="Times New Roman" w:hAnsi="Times New Roman"/>
                <w:color w:val="000000"/>
                <w:sz w:val="20"/>
              </w:rPr>
              <w:t>Fetální abnormality</w:t>
            </w:r>
            <w:r w:rsidRPr="00F60460">
              <w:rPr>
                <w:rFonts w:ascii="Times New Roman" w:hAnsi="Times New Roman"/>
                <w:color w:val="000000"/>
                <w:sz w:val="20"/>
                <w:vertAlign w:val="superscript"/>
              </w:rPr>
              <w:t>a,c</w:t>
            </w:r>
          </w:p>
        </w:tc>
      </w:tr>
      <w:tr w:rsidR="00FC7327" w:rsidRPr="00F60460" w14:paraId="406A711D" w14:textId="77777777" w:rsidTr="006A2145">
        <w:tc>
          <w:tcPr>
            <w:tcW w:w="1336" w:type="dxa"/>
            <w:tcBorders>
              <w:top w:val="single" w:sz="5" w:space="0" w:color="000000"/>
              <w:left w:val="single" w:sz="5" w:space="0" w:color="000000"/>
              <w:bottom w:val="single" w:sz="5" w:space="0" w:color="000000"/>
              <w:right w:val="single" w:sz="5" w:space="0" w:color="000000"/>
            </w:tcBorders>
          </w:tcPr>
          <w:p w14:paraId="03D71466" w14:textId="77777777" w:rsidR="00FC7327" w:rsidRPr="00F60460" w:rsidRDefault="00FC7327" w:rsidP="00615D31">
            <w:pPr>
              <w:pStyle w:val="TableParagraph"/>
              <w:keepNext/>
              <w:spacing w:line="235" w:lineRule="auto"/>
              <w:rPr>
                <w:rFonts w:ascii="Times New Roman" w:hAnsi="Times New Roman"/>
                <w:color w:val="000000"/>
                <w:sz w:val="20"/>
                <w:szCs w:val="20"/>
              </w:rPr>
            </w:pPr>
            <w:r w:rsidRPr="00F60460">
              <w:rPr>
                <w:rFonts w:ascii="Times New Roman" w:hAnsi="Times New Roman"/>
                <w:color w:val="000000"/>
                <w:sz w:val="20"/>
              </w:rPr>
              <w:t>Celkové poruchy a reakce v místě aplikace</w:t>
            </w:r>
          </w:p>
        </w:tc>
        <w:tc>
          <w:tcPr>
            <w:tcW w:w="1336" w:type="dxa"/>
            <w:tcBorders>
              <w:top w:val="single" w:sz="5" w:space="0" w:color="000000"/>
              <w:left w:val="single" w:sz="5" w:space="0" w:color="000000"/>
              <w:bottom w:val="single" w:sz="5" w:space="0" w:color="000000"/>
              <w:right w:val="single" w:sz="5" w:space="0" w:color="000000"/>
            </w:tcBorders>
          </w:tcPr>
          <w:p w14:paraId="6D36373D" w14:textId="77777777" w:rsidR="00FC7327" w:rsidRPr="00F60460" w:rsidRDefault="00FC7327" w:rsidP="00615D31">
            <w:pPr>
              <w:pStyle w:val="TableParagraph"/>
              <w:spacing w:line="234" w:lineRule="auto"/>
              <w:ind w:right="14"/>
              <w:rPr>
                <w:rFonts w:ascii="Times New Roman" w:hAnsi="Times New Roman"/>
                <w:color w:val="000000"/>
                <w:sz w:val="20"/>
                <w:szCs w:val="20"/>
              </w:rPr>
            </w:pPr>
            <w:r w:rsidRPr="00F60460">
              <w:rPr>
                <w:rFonts w:ascii="Times New Roman" w:hAnsi="Times New Roman"/>
                <w:color w:val="000000"/>
                <w:sz w:val="20"/>
              </w:rPr>
              <w:t>Astenie, únava</w:t>
            </w:r>
          </w:p>
        </w:tc>
        <w:tc>
          <w:tcPr>
            <w:tcW w:w="1336" w:type="dxa"/>
            <w:tcBorders>
              <w:top w:val="single" w:sz="5" w:space="0" w:color="000000"/>
              <w:left w:val="single" w:sz="5" w:space="0" w:color="000000"/>
              <w:bottom w:val="single" w:sz="5" w:space="0" w:color="000000"/>
              <w:right w:val="single" w:sz="5" w:space="0" w:color="000000"/>
            </w:tcBorders>
          </w:tcPr>
          <w:p w14:paraId="53F2031D" w14:textId="77777777" w:rsidR="00FC7327" w:rsidRPr="00F60460" w:rsidRDefault="00FC7327" w:rsidP="00615D31">
            <w:pPr>
              <w:pStyle w:val="TableParagraph"/>
              <w:spacing w:line="234" w:lineRule="auto"/>
              <w:ind w:right="14"/>
              <w:rPr>
                <w:rFonts w:ascii="Times New Roman" w:hAnsi="Times New Roman"/>
                <w:color w:val="000000"/>
                <w:sz w:val="20"/>
                <w:szCs w:val="20"/>
              </w:rPr>
            </w:pPr>
            <w:r w:rsidRPr="00F60460">
              <w:rPr>
                <w:rFonts w:ascii="Times New Roman" w:hAnsi="Times New Roman"/>
                <w:color w:val="000000"/>
                <w:sz w:val="20"/>
              </w:rPr>
              <w:t>Bolest, letargie, zánět sliznice</w:t>
            </w:r>
          </w:p>
        </w:tc>
        <w:tc>
          <w:tcPr>
            <w:tcW w:w="1336" w:type="dxa"/>
            <w:tcBorders>
              <w:top w:val="single" w:sz="5" w:space="0" w:color="000000"/>
              <w:left w:val="single" w:sz="5" w:space="0" w:color="000000"/>
              <w:bottom w:val="single" w:sz="5" w:space="0" w:color="000000"/>
              <w:right w:val="single" w:sz="5" w:space="0" w:color="000000"/>
            </w:tcBorders>
          </w:tcPr>
          <w:p w14:paraId="066E555E"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1CDA4DB"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593A37C1"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c>
          <w:tcPr>
            <w:tcW w:w="1336" w:type="dxa"/>
            <w:tcBorders>
              <w:top w:val="single" w:sz="5" w:space="0" w:color="000000"/>
              <w:left w:val="single" w:sz="5" w:space="0" w:color="000000"/>
              <w:bottom w:val="single" w:sz="5" w:space="0" w:color="000000"/>
              <w:right w:val="single" w:sz="5" w:space="0" w:color="000000"/>
            </w:tcBorders>
          </w:tcPr>
          <w:p w14:paraId="2979CAEB" w14:textId="77777777" w:rsidR="00FC7327" w:rsidRPr="00F60460" w:rsidRDefault="00FC7327" w:rsidP="00615D31">
            <w:pPr>
              <w:pStyle w:val="TableParagraph"/>
              <w:spacing w:line="234" w:lineRule="auto"/>
              <w:ind w:right="14"/>
              <w:rPr>
                <w:rFonts w:ascii="Times New Roman" w:hAnsi="Times New Roman"/>
                <w:color w:val="000000"/>
                <w:sz w:val="20"/>
                <w:szCs w:val="20"/>
              </w:rPr>
            </w:pPr>
          </w:p>
        </w:tc>
      </w:tr>
    </w:tbl>
    <w:p w14:paraId="4E8233E9" w14:textId="77777777" w:rsidR="00DA6D85" w:rsidRPr="00F60460" w:rsidRDefault="00DA6D85" w:rsidP="00FC7327">
      <w:pPr>
        <w:ind w:right="376"/>
        <w:rPr>
          <w:rFonts w:ascii="Times New Roman" w:hAnsi="Times New Roman"/>
          <w:color w:val="000000"/>
          <w:sz w:val="20"/>
        </w:rPr>
      </w:pPr>
    </w:p>
    <w:p w14:paraId="740E4B55" w14:textId="77777777" w:rsidR="00FC7327" w:rsidRPr="00F60460" w:rsidRDefault="00FC7327" w:rsidP="00FC7327">
      <w:pPr>
        <w:ind w:right="376"/>
        <w:rPr>
          <w:rFonts w:ascii="Times New Roman" w:eastAsia="Times New Roman" w:hAnsi="Times New Roman"/>
          <w:color w:val="000000"/>
          <w:sz w:val="20"/>
          <w:szCs w:val="20"/>
        </w:rPr>
      </w:pPr>
      <w:r w:rsidRPr="00F60460">
        <w:rPr>
          <w:rFonts w:ascii="Times New Roman" w:hAnsi="Times New Roman"/>
          <w:color w:val="000000"/>
          <w:sz w:val="20"/>
        </w:rPr>
        <w:t xml:space="preserve">V tabulce 2 jsou dle frekvence uvedeny těžké nežádoucí účinky. Těžké účinky jsou definovány jako nežádoucí účinky stupně 3–5 dle NCI-CTCAE s alespoň 2% rozdílem oproti kontrolnímu rameni v klinických studiích. V tabulce 2 jsou také uvedeny nežádoucí účinky, které byly vyhodnoceny držitelem rozhodnutí o registraci jako klinicky významné nebo těžké. Tyto klinicky významné nežádoucí účinky byly hlášeny v klinických studiích, ale účinky stupně 3–5 nesplnily hranici alespoň 2% rozdílu oproti </w:t>
      </w:r>
      <w:r w:rsidRPr="00F60460">
        <w:rPr>
          <w:rFonts w:ascii="Times New Roman" w:hAnsi="Times New Roman"/>
          <w:color w:val="000000"/>
          <w:sz w:val="20"/>
        </w:rPr>
        <w:lastRenderedPageBreak/>
        <w:t>kontrolnímu rameni. Do tabulky 2 jsou také zahrnuty klinicky významné nežádoucí účinky, které byly pozorovány pouze po uvedení přípravku na trh, a proto frekvence ani stupeň dle NCI-CTCAE nejsou známy. Tyto klinicky významné účinky jsou proto uvedeny v tabulce 2 ve sloupci označeném „Frekvence není známa“.</w:t>
      </w:r>
    </w:p>
    <w:p w14:paraId="636CE5FA" w14:textId="77777777" w:rsidR="00FC7327" w:rsidRPr="00F60460" w:rsidRDefault="00FC7327" w:rsidP="000C3129">
      <w:pPr>
        <w:spacing w:line="228" w:lineRule="exact"/>
        <w:ind w:left="284" w:right="376" w:hanging="284"/>
        <w:rPr>
          <w:rFonts w:ascii="Times New Roman" w:eastAsia="Times New Roman" w:hAnsi="Times New Roman"/>
          <w:color w:val="000000"/>
          <w:sz w:val="20"/>
          <w:szCs w:val="20"/>
        </w:rPr>
      </w:pPr>
      <w:r w:rsidRPr="00381DC2">
        <w:rPr>
          <w:rFonts w:ascii="Times New Roman" w:hAnsi="Times New Roman"/>
          <w:color w:val="000000"/>
          <w:vertAlign w:val="superscript"/>
        </w:rPr>
        <w:t>a</w:t>
      </w:r>
      <w:r w:rsidRPr="00F60460">
        <w:rPr>
          <w:rFonts w:ascii="Times New Roman" w:hAnsi="Times New Roman"/>
          <w:color w:val="000000"/>
          <w:sz w:val="13"/>
        </w:rPr>
        <w:t xml:space="preserve"> </w:t>
      </w:r>
      <w:r w:rsidR="004F76DC" w:rsidRPr="00F60460">
        <w:rPr>
          <w:rFonts w:ascii="Times New Roman" w:hAnsi="Times New Roman"/>
          <w:color w:val="000000"/>
          <w:sz w:val="13"/>
        </w:rPr>
        <w:tab/>
      </w:r>
      <w:r w:rsidRPr="00F60460">
        <w:rPr>
          <w:rFonts w:ascii="Times New Roman" w:hAnsi="Times New Roman"/>
          <w:color w:val="000000"/>
          <w:sz w:val="20"/>
        </w:rPr>
        <w:t>Pojmy zastupují skupinu příhod, které spíše popisují zdravotní koncepci než jednotlivý stav nebo preferovaný termín MedDRA (Medical Dictionary for Regulatory Activities). Tato skupina lékařských pojmů může zahrnovat stejnou základní patofyziologii (např. arteriální tromboembolické reakce zahrnují cévní mozkovou příhodu, infarkt myokardu, tranzitorní ischemickou ataku a další arteriální tromboembolické reakce).</w:t>
      </w:r>
    </w:p>
    <w:p w14:paraId="63BF8973" w14:textId="77777777" w:rsidR="00FC7327" w:rsidRPr="00F60460" w:rsidRDefault="00FC7327" w:rsidP="000C3129">
      <w:pPr>
        <w:spacing w:line="230" w:lineRule="exact"/>
        <w:ind w:left="284" w:right="537" w:hanging="284"/>
        <w:rPr>
          <w:rFonts w:ascii="Times New Roman" w:eastAsia="Times New Roman" w:hAnsi="Times New Roman"/>
          <w:color w:val="000000"/>
          <w:sz w:val="20"/>
          <w:szCs w:val="20"/>
        </w:rPr>
      </w:pPr>
      <w:r w:rsidRPr="00381DC2">
        <w:rPr>
          <w:rFonts w:ascii="Times New Roman" w:hAnsi="Times New Roman"/>
          <w:color w:val="000000"/>
          <w:vertAlign w:val="superscript"/>
        </w:rPr>
        <w:t>b</w:t>
      </w:r>
      <w:r w:rsidRPr="00F60460">
        <w:rPr>
          <w:rFonts w:ascii="Times New Roman" w:hAnsi="Times New Roman"/>
          <w:color w:val="000000"/>
          <w:sz w:val="13"/>
        </w:rPr>
        <w:t xml:space="preserve"> </w:t>
      </w:r>
      <w:r w:rsidR="004F76DC" w:rsidRPr="00F60460">
        <w:rPr>
          <w:rFonts w:ascii="Times New Roman" w:hAnsi="Times New Roman"/>
          <w:color w:val="000000"/>
          <w:sz w:val="13"/>
        </w:rPr>
        <w:tab/>
      </w:r>
      <w:r w:rsidRPr="00F60460">
        <w:rPr>
          <w:rFonts w:ascii="Times New Roman" w:hAnsi="Times New Roman"/>
          <w:color w:val="000000"/>
          <w:sz w:val="20"/>
        </w:rPr>
        <w:t>Další informace naleznete níže v bodě „Další informace o vybraných závažných nežádoucích účincích“.</w:t>
      </w:r>
    </w:p>
    <w:p w14:paraId="4608F49E" w14:textId="77777777" w:rsidR="00FC7327" w:rsidRPr="00F60460" w:rsidRDefault="00FC7327" w:rsidP="000C3129">
      <w:pPr>
        <w:spacing w:line="214" w:lineRule="exact"/>
        <w:ind w:left="284" w:hanging="284"/>
        <w:rPr>
          <w:rFonts w:ascii="Times New Roman" w:eastAsia="Times New Roman" w:hAnsi="Times New Roman"/>
          <w:color w:val="000000"/>
          <w:sz w:val="20"/>
          <w:szCs w:val="20"/>
        </w:rPr>
      </w:pPr>
      <w:r w:rsidRPr="00381DC2">
        <w:rPr>
          <w:rFonts w:ascii="Times New Roman" w:hAnsi="Times New Roman"/>
          <w:color w:val="000000"/>
          <w:vertAlign w:val="superscript"/>
        </w:rPr>
        <w:t>c</w:t>
      </w:r>
      <w:r w:rsidRPr="00F60460">
        <w:rPr>
          <w:rFonts w:ascii="Times New Roman" w:hAnsi="Times New Roman"/>
          <w:color w:val="000000"/>
          <w:sz w:val="13"/>
        </w:rPr>
        <w:t xml:space="preserve"> </w:t>
      </w:r>
      <w:r w:rsidR="004F76DC" w:rsidRPr="00F60460">
        <w:rPr>
          <w:rFonts w:ascii="Times New Roman" w:hAnsi="Times New Roman"/>
          <w:color w:val="000000"/>
          <w:sz w:val="13"/>
        </w:rPr>
        <w:tab/>
      </w:r>
      <w:r w:rsidRPr="00F60460">
        <w:rPr>
          <w:rFonts w:ascii="Times New Roman" w:hAnsi="Times New Roman"/>
          <w:color w:val="000000"/>
          <w:sz w:val="20"/>
        </w:rPr>
        <w:t>Bližší informace naleznete v tabulce 3 „Nežádoucí účinky hlášené po uvedení přípravku na trh“.</w:t>
      </w:r>
    </w:p>
    <w:p w14:paraId="609D2431" w14:textId="77777777" w:rsidR="00FC7327" w:rsidRPr="00F60460" w:rsidRDefault="00FC7327" w:rsidP="000C3129">
      <w:pPr>
        <w:spacing w:line="241" w:lineRule="exact"/>
        <w:ind w:left="284" w:hanging="284"/>
        <w:rPr>
          <w:rFonts w:ascii="Times New Roman" w:eastAsia="Times New Roman" w:hAnsi="Times New Roman"/>
          <w:color w:val="000000"/>
          <w:sz w:val="20"/>
          <w:szCs w:val="20"/>
        </w:rPr>
      </w:pPr>
      <w:r w:rsidRPr="00381DC2">
        <w:rPr>
          <w:rFonts w:ascii="Times New Roman" w:hAnsi="Times New Roman"/>
          <w:color w:val="000000"/>
          <w:vertAlign w:val="superscript"/>
        </w:rPr>
        <w:t>d</w:t>
      </w:r>
      <w:r w:rsidRPr="00F60460">
        <w:rPr>
          <w:rFonts w:ascii="Times New Roman" w:hAnsi="Times New Roman"/>
          <w:color w:val="000000"/>
          <w:sz w:val="13"/>
        </w:rPr>
        <w:t xml:space="preserve"> </w:t>
      </w:r>
      <w:r w:rsidR="004F76DC" w:rsidRPr="00F60460">
        <w:rPr>
          <w:rFonts w:ascii="Times New Roman" w:hAnsi="Times New Roman"/>
          <w:color w:val="000000"/>
          <w:sz w:val="13"/>
        </w:rPr>
        <w:tab/>
      </w:r>
      <w:r w:rsidRPr="00F60460">
        <w:rPr>
          <w:rFonts w:ascii="Times New Roman" w:hAnsi="Times New Roman"/>
          <w:color w:val="000000"/>
          <w:sz w:val="20"/>
        </w:rPr>
        <w:t>Rektovaginální píštěle jsou nejčastěji se vyskytující píštěle v kategorii GI-vaginálních píštělí.</w:t>
      </w:r>
    </w:p>
    <w:p w14:paraId="078260FE" w14:textId="77777777" w:rsidR="00D15122" w:rsidRPr="00381DC2" w:rsidRDefault="00D15122" w:rsidP="007F6E1B">
      <w:pPr>
        <w:rPr>
          <w:rFonts w:ascii="Times New Roman" w:eastAsia="Times New Roman" w:hAnsi="Times New Roman"/>
          <w:color w:val="000000"/>
        </w:rPr>
      </w:pPr>
    </w:p>
    <w:p w14:paraId="2FCFA70C" w14:textId="77777777" w:rsidR="00D15122" w:rsidRPr="00381DC2" w:rsidRDefault="009B0756" w:rsidP="002B0DE8">
      <w:pPr>
        <w:pStyle w:val="BodyText"/>
        <w:keepNext/>
        <w:keepLines/>
        <w:ind w:left="0"/>
        <w:rPr>
          <w:color w:val="000000"/>
        </w:rPr>
      </w:pPr>
      <w:r w:rsidRPr="00381DC2">
        <w:rPr>
          <w:color w:val="000000"/>
          <w:u w:val="single" w:color="000000"/>
        </w:rPr>
        <w:t>Popis vybraných závažných nežádoucích účinků</w:t>
      </w:r>
    </w:p>
    <w:p w14:paraId="4C4848BB" w14:textId="77777777" w:rsidR="00D15122" w:rsidRPr="00381DC2" w:rsidRDefault="00D15122" w:rsidP="002B0DE8">
      <w:pPr>
        <w:keepNext/>
        <w:keepLines/>
        <w:rPr>
          <w:rFonts w:ascii="Times New Roman" w:eastAsia="Times New Roman" w:hAnsi="Times New Roman"/>
          <w:color w:val="000000"/>
        </w:rPr>
      </w:pPr>
    </w:p>
    <w:p w14:paraId="0C1B11D1" w14:textId="77777777" w:rsidR="00D15122" w:rsidRPr="00381DC2" w:rsidRDefault="009B0756" w:rsidP="002B0DE8">
      <w:pPr>
        <w:keepNext/>
        <w:keepLines/>
        <w:rPr>
          <w:rFonts w:ascii="Times New Roman" w:eastAsia="Times New Roman" w:hAnsi="Times New Roman"/>
          <w:color w:val="000000"/>
          <w:u w:val="single"/>
        </w:rPr>
      </w:pPr>
      <w:r w:rsidRPr="00381DC2">
        <w:rPr>
          <w:rFonts w:ascii="Times New Roman" w:hAnsi="Times New Roman"/>
          <w:i/>
          <w:color w:val="000000"/>
          <w:u w:val="single"/>
        </w:rPr>
        <w:t>Gastrointestinální (GI) perforace a píštěle</w:t>
      </w:r>
      <w:r w:rsidRPr="00381DC2">
        <w:rPr>
          <w:rFonts w:ascii="Times New Roman" w:hAnsi="Times New Roman"/>
          <w:color w:val="000000"/>
          <w:u w:val="single"/>
        </w:rPr>
        <w:t xml:space="preserve"> (viz bod 4.4)</w:t>
      </w:r>
    </w:p>
    <w:p w14:paraId="05873747" w14:textId="77777777" w:rsidR="00701D3B" w:rsidRPr="00381DC2" w:rsidRDefault="00701D3B" w:rsidP="007F6E1B">
      <w:pPr>
        <w:pStyle w:val="BodyText"/>
        <w:ind w:left="0"/>
        <w:rPr>
          <w:color w:val="000000"/>
        </w:rPr>
      </w:pPr>
    </w:p>
    <w:p w14:paraId="2F6042AF" w14:textId="77777777" w:rsidR="00D15122" w:rsidRPr="00381DC2" w:rsidRDefault="00007842" w:rsidP="007F6E1B">
      <w:pPr>
        <w:pStyle w:val="BodyText"/>
        <w:ind w:left="0"/>
        <w:rPr>
          <w:color w:val="000000"/>
        </w:rPr>
      </w:pPr>
      <w:r w:rsidRPr="00381DC2">
        <w:rPr>
          <w:color w:val="000000"/>
        </w:rPr>
        <w:t>Bevacizumab je spojován se závažnými případy gastrointestinální</w:t>
      </w:r>
      <w:r w:rsidR="00D148C8" w:rsidRPr="00381DC2">
        <w:rPr>
          <w:color w:val="000000"/>
        </w:rPr>
        <w:t xml:space="preserve"> perforace</w:t>
      </w:r>
      <w:r w:rsidRPr="00381DC2">
        <w:rPr>
          <w:color w:val="000000"/>
        </w:rPr>
        <w:t>.</w:t>
      </w:r>
    </w:p>
    <w:p w14:paraId="1AEB0DA4" w14:textId="77777777" w:rsidR="00D15122" w:rsidRPr="00381DC2" w:rsidRDefault="00D15122" w:rsidP="007F6E1B">
      <w:pPr>
        <w:rPr>
          <w:rFonts w:ascii="Times New Roman" w:eastAsia="Times New Roman" w:hAnsi="Times New Roman"/>
          <w:color w:val="000000"/>
        </w:rPr>
      </w:pPr>
    </w:p>
    <w:p w14:paraId="46770CCB" w14:textId="77777777" w:rsidR="00D15122" w:rsidRPr="00381DC2" w:rsidRDefault="00D148C8" w:rsidP="007F6E1B">
      <w:pPr>
        <w:pStyle w:val="BodyText"/>
        <w:ind w:left="0" w:right="259"/>
        <w:rPr>
          <w:color w:val="000000"/>
        </w:rPr>
      </w:pPr>
      <w:r w:rsidRPr="00381DC2">
        <w:rPr>
          <w:color w:val="000000"/>
        </w:rPr>
        <w:t xml:space="preserve">Gastrointestinální perforace </w:t>
      </w:r>
      <w:r w:rsidR="009B0756" w:rsidRPr="00381DC2">
        <w:rPr>
          <w:color w:val="000000"/>
        </w:rPr>
        <w:t xml:space="preserve">byly v klinických </w:t>
      </w:r>
      <w:r w:rsidR="004C3775" w:rsidRPr="00381DC2">
        <w:rPr>
          <w:color w:val="000000"/>
        </w:rPr>
        <w:t>studiích</w:t>
      </w:r>
      <w:r w:rsidR="009B0756" w:rsidRPr="00381DC2">
        <w:rPr>
          <w:color w:val="000000"/>
        </w:rPr>
        <w:t xml:space="preserve"> uváděny s incidencí méně než 1 % u pacientů s nedlaždicovým nemalobuněčným </w:t>
      </w:r>
      <w:r w:rsidR="004C3775" w:rsidRPr="00381DC2">
        <w:rPr>
          <w:color w:val="000000"/>
        </w:rPr>
        <w:t>karcinomem</w:t>
      </w:r>
      <w:r w:rsidR="00F0199F" w:rsidRPr="00381DC2">
        <w:rPr>
          <w:color w:val="000000"/>
        </w:rPr>
        <w:t xml:space="preserve"> plic</w:t>
      </w:r>
      <w:r w:rsidR="009B0756" w:rsidRPr="00381DC2">
        <w:rPr>
          <w:color w:val="000000"/>
        </w:rPr>
        <w:t>, až 1,3 % u pacientů s</w:t>
      </w:r>
      <w:r w:rsidR="005637B7" w:rsidRPr="00381DC2">
        <w:rPr>
          <w:color w:val="000000"/>
        </w:rPr>
        <w:t> </w:t>
      </w:r>
      <w:r w:rsidR="002274C3" w:rsidRPr="00381DC2">
        <w:rPr>
          <w:color w:val="000000"/>
        </w:rPr>
        <w:t>metasta</w:t>
      </w:r>
      <w:r w:rsidR="005637B7" w:rsidRPr="00381DC2">
        <w:rPr>
          <w:color w:val="000000"/>
        </w:rPr>
        <w:t>zujícím karcinomem</w:t>
      </w:r>
      <w:r w:rsidR="002274C3" w:rsidRPr="00381DC2">
        <w:rPr>
          <w:color w:val="000000"/>
        </w:rPr>
        <w:t xml:space="preserve"> prsu</w:t>
      </w:r>
      <w:r w:rsidR="009B0756" w:rsidRPr="00381DC2">
        <w:rPr>
          <w:color w:val="000000"/>
        </w:rPr>
        <w:t>, až 2,0 % u pacientů s </w:t>
      </w:r>
      <w:r w:rsidR="00F0199F" w:rsidRPr="00381DC2">
        <w:rPr>
          <w:color w:val="000000"/>
        </w:rPr>
        <w:t>metasta</w:t>
      </w:r>
      <w:r w:rsidR="005637B7" w:rsidRPr="00381DC2">
        <w:rPr>
          <w:color w:val="000000"/>
        </w:rPr>
        <w:t>zujícím</w:t>
      </w:r>
      <w:r w:rsidR="00F0199F" w:rsidRPr="00381DC2">
        <w:rPr>
          <w:color w:val="000000"/>
        </w:rPr>
        <w:t xml:space="preserve"> </w:t>
      </w:r>
      <w:r w:rsidR="005637B7" w:rsidRPr="00381DC2">
        <w:rPr>
          <w:color w:val="000000"/>
        </w:rPr>
        <w:t xml:space="preserve">karcinomem </w:t>
      </w:r>
      <w:r w:rsidR="00F0199F" w:rsidRPr="00381DC2">
        <w:rPr>
          <w:color w:val="000000"/>
        </w:rPr>
        <w:t>ledvin</w:t>
      </w:r>
      <w:r w:rsidR="009B0756" w:rsidRPr="00381DC2">
        <w:rPr>
          <w:color w:val="000000"/>
        </w:rPr>
        <w:t xml:space="preserve"> nebo pacientek s </w:t>
      </w:r>
      <w:r w:rsidR="00702288" w:rsidRPr="00381DC2">
        <w:rPr>
          <w:color w:val="000000"/>
        </w:rPr>
        <w:t>karcinomem</w:t>
      </w:r>
      <w:r w:rsidR="009569F2" w:rsidRPr="00381DC2">
        <w:rPr>
          <w:color w:val="000000"/>
        </w:rPr>
        <w:t xml:space="preserve"> </w:t>
      </w:r>
      <w:r w:rsidR="009B0756" w:rsidRPr="00381DC2">
        <w:rPr>
          <w:color w:val="000000"/>
        </w:rPr>
        <w:t>vaječníků a až 2,7 % (včetně gastrointestinálních píštělí a abscesů) u pacientů s </w:t>
      </w:r>
      <w:r w:rsidR="000834FE" w:rsidRPr="00381DC2">
        <w:rPr>
          <w:color w:val="000000"/>
        </w:rPr>
        <w:t>metasta</w:t>
      </w:r>
      <w:r w:rsidR="00702288" w:rsidRPr="00381DC2">
        <w:rPr>
          <w:color w:val="000000"/>
        </w:rPr>
        <w:t>zujícím</w:t>
      </w:r>
      <w:r w:rsidR="000834FE" w:rsidRPr="00381DC2">
        <w:rPr>
          <w:color w:val="000000"/>
        </w:rPr>
        <w:t xml:space="preserve"> </w:t>
      </w:r>
      <w:r w:rsidR="009B0756" w:rsidRPr="00381DC2">
        <w:rPr>
          <w:color w:val="000000"/>
        </w:rPr>
        <w:t xml:space="preserve">kolorektálním karcinomem. V klinické </w:t>
      </w:r>
      <w:r w:rsidR="00702288" w:rsidRPr="00381DC2">
        <w:rPr>
          <w:color w:val="000000"/>
        </w:rPr>
        <w:t>studii</w:t>
      </w:r>
      <w:r w:rsidR="009B0756" w:rsidRPr="00381DC2">
        <w:rPr>
          <w:color w:val="000000"/>
        </w:rPr>
        <w:t xml:space="preserve"> u pacientek s přetrvávajícím, rekurentním nebo </w:t>
      </w:r>
      <w:r w:rsidR="000834FE" w:rsidRPr="00381DC2">
        <w:rPr>
          <w:color w:val="000000"/>
        </w:rPr>
        <w:t>metasta</w:t>
      </w:r>
      <w:r w:rsidR="00702288" w:rsidRPr="00381DC2">
        <w:rPr>
          <w:color w:val="000000"/>
        </w:rPr>
        <w:t>zujícím</w:t>
      </w:r>
      <w:r w:rsidR="000834FE" w:rsidRPr="00381DC2">
        <w:rPr>
          <w:color w:val="000000"/>
        </w:rPr>
        <w:t xml:space="preserve"> </w:t>
      </w:r>
      <w:r w:rsidR="009B0756" w:rsidRPr="00381DC2">
        <w:rPr>
          <w:color w:val="000000"/>
        </w:rPr>
        <w:t xml:space="preserve">karcinomem děložního </w:t>
      </w:r>
      <w:r w:rsidR="00702288" w:rsidRPr="00381DC2">
        <w:rPr>
          <w:color w:val="000000"/>
        </w:rPr>
        <w:t>čípku</w:t>
      </w:r>
      <w:r w:rsidR="009B0756" w:rsidRPr="00381DC2">
        <w:rPr>
          <w:color w:val="000000"/>
        </w:rPr>
        <w:t xml:space="preserve"> (studie GOG-0240) byly GI perforace (všech stupňů) hlášeny u 3,2 % pacientek, z nichž všechny dříve podstoupily radiaci pánve. Výskyt těchto příhod se lišil typem a závažností, od volného vzduchu viditelného na nativním rentgenovém snímku břišní dutiny, který odezněl bez léčby, k perforaci střeva s abdominálním abscesem a fatálním koncem. V některých případech byl dříve přítomen břišní zánět, způsobený buď žaludečními vředy, </w:t>
      </w:r>
      <w:r w:rsidR="00DD55BE" w:rsidRPr="00381DC2">
        <w:rPr>
          <w:color w:val="000000"/>
        </w:rPr>
        <w:t xml:space="preserve">nádorovou </w:t>
      </w:r>
      <w:r w:rsidR="009B0756" w:rsidRPr="00381DC2">
        <w:rPr>
          <w:color w:val="000000"/>
        </w:rPr>
        <w:t xml:space="preserve">nekrózou, divertikulitidou, nebo kolitidou </w:t>
      </w:r>
      <w:r w:rsidR="00DD55BE" w:rsidRPr="00381DC2">
        <w:rPr>
          <w:color w:val="000000"/>
        </w:rPr>
        <w:t>související s </w:t>
      </w:r>
      <w:r w:rsidR="009B0756" w:rsidRPr="00381DC2">
        <w:rPr>
          <w:color w:val="000000"/>
        </w:rPr>
        <w:t>chemoterapií.</w:t>
      </w:r>
    </w:p>
    <w:p w14:paraId="603294C5" w14:textId="77777777" w:rsidR="00D15122" w:rsidRPr="00381DC2" w:rsidRDefault="00D15122" w:rsidP="007F6E1B">
      <w:pPr>
        <w:rPr>
          <w:rFonts w:ascii="Times New Roman" w:eastAsia="Times New Roman" w:hAnsi="Times New Roman"/>
          <w:color w:val="000000"/>
        </w:rPr>
      </w:pPr>
    </w:p>
    <w:p w14:paraId="0F823F48" w14:textId="77777777" w:rsidR="00D15122" w:rsidRPr="00381DC2" w:rsidRDefault="009B0756" w:rsidP="007F6E1B">
      <w:pPr>
        <w:pStyle w:val="BodyText"/>
        <w:ind w:left="0" w:right="198"/>
        <w:rPr>
          <w:color w:val="000000"/>
        </w:rPr>
      </w:pPr>
      <w:r w:rsidRPr="00381DC2">
        <w:rPr>
          <w:color w:val="000000"/>
        </w:rPr>
        <w:t>Úmrtí bylo hlášeno asi ve třetině závažných případů gastrointestinálních perforací, což představuje 0,2 % – 1 % všech pacientů léčených bevacizumabem.</w:t>
      </w:r>
    </w:p>
    <w:p w14:paraId="12C26E59" w14:textId="77777777" w:rsidR="00D15122" w:rsidRPr="00381DC2" w:rsidRDefault="00D15122" w:rsidP="00DD4FC5">
      <w:pPr>
        <w:rPr>
          <w:rFonts w:ascii="Times New Roman" w:eastAsia="Times New Roman" w:hAnsi="Times New Roman"/>
          <w:color w:val="000000"/>
        </w:rPr>
      </w:pPr>
    </w:p>
    <w:p w14:paraId="481000DB" w14:textId="77777777" w:rsidR="00D15122" w:rsidRPr="00381DC2" w:rsidRDefault="009B0756" w:rsidP="00DD4FC5">
      <w:pPr>
        <w:pStyle w:val="BodyText"/>
        <w:ind w:left="0" w:right="366"/>
        <w:rPr>
          <w:color w:val="000000"/>
        </w:rPr>
      </w:pPr>
      <w:r w:rsidRPr="00381DC2">
        <w:rPr>
          <w:color w:val="000000"/>
        </w:rPr>
        <w:t xml:space="preserve">V klinických </w:t>
      </w:r>
      <w:r w:rsidR="00702288" w:rsidRPr="00381DC2">
        <w:rPr>
          <w:color w:val="000000"/>
        </w:rPr>
        <w:t>studiích</w:t>
      </w:r>
      <w:r w:rsidRPr="00381DC2">
        <w:rPr>
          <w:color w:val="000000"/>
        </w:rPr>
        <w:t xml:space="preserve"> bevacizumabu byly hlášeny gastrointestinální píštěle (všech stupňů) s incidencí až 2 % u pacientů s </w:t>
      </w:r>
      <w:r w:rsidR="000834FE" w:rsidRPr="00381DC2">
        <w:rPr>
          <w:color w:val="000000"/>
        </w:rPr>
        <w:t>metasta</w:t>
      </w:r>
      <w:r w:rsidR="00702288" w:rsidRPr="00381DC2">
        <w:rPr>
          <w:color w:val="000000"/>
        </w:rPr>
        <w:t>zujícím</w:t>
      </w:r>
      <w:r w:rsidR="000834FE" w:rsidRPr="00381DC2">
        <w:rPr>
          <w:color w:val="000000"/>
        </w:rPr>
        <w:t xml:space="preserve"> </w:t>
      </w:r>
      <w:r w:rsidRPr="00381DC2">
        <w:rPr>
          <w:color w:val="000000"/>
        </w:rPr>
        <w:t>kolorektálním karcinomem a </w:t>
      </w:r>
      <w:r w:rsidR="00702288" w:rsidRPr="00381DC2">
        <w:rPr>
          <w:color w:val="000000"/>
        </w:rPr>
        <w:t>karcinomem</w:t>
      </w:r>
      <w:r w:rsidR="009569F2" w:rsidRPr="00381DC2">
        <w:rPr>
          <w:color w:val="000000"/>
        </w:rPr>
        <w:t xml:space="preserve"> </w:t>
      </w:r>
      <w:r w:rsidRPr="00381DC2">
        <w:rPr>
          <w:color w:val="000000"/>
        </w:rPr>
        <w:t xml:space="preserve">vaječníků, u pacientů s jinými typy </w:t>
      </w:r>
      <w:r w:rsidR="00DD55BE" w:rsidRPr="00381DC2">
        <w:rPr>
          <w:color w:val="000000"/>
        </w:rPr>
        <w:t xml:space="preserve">nádorových onemocnění </w:t>
      </w:r>
      <w:r w:rsidRPr="00381DC2">
        <w:rPr>
          <w:color w:val="000000"/>
        </w:rPr>
        <w:t>však byly hlášeny méně často.</w:t>
      </w:r>
    </w:p>
    <w:p w14:paraId="28FDB810" w14:textId="77777777" w:rsidR="00D15122" w:rsidRPr="00F60460" w:rsidRDefault="00D15122" w:rsidP="007F6E1B">
      <w:pPr>
        <w:rPr>
          <w:rFonts w:ascii="Times New Roman" w:eastAsia="Times New Roman" w:hAnsi="Times New Roman"/>
          <w:color w:val="000000"/>
          <w:sz w:val="21"/>
          <w:szCs w:val="21"/>
        </w:rPr>
      </w:pPr>
    </w:p>
    <w:p w14:paraId="288B03DF" w14:textId="77777777" w:rsidR="00D15122" w:rsidRPr="00381DC2" w:rsidRDefault="009B0756" w:rsidP="007F6E1B">
      <w:pPr>
        <w:rPr>
          <w:rFonts w:ascii="Times New Roman" w:eastAsia="Times New Roman" w:hAnsi="Times New Roman"/>
          <w:color w:val="000000"/>
          <w:u w:val="single"/>
        </w:rPr>
      </w:pPr>
      <w:r w:rsidRPr="00381DC2">
        <w:rPr>
          <w:rFonts w:ascii="Times New Roman" w:hAnsi="Times New Roman"/>
          <w:i/>
          <w:color w:val="000000"/>
          <w:u w:val="single"/>
        </w:rPr>
        <w:t>GI-vaginální píštěle ve studii GOG-0240</w:t>
      </w:r>
    </w:p>
    <w:p w14:paraId="7820557B" w14:textId="77777777" w:rsidR="00701D3B" w:rsidRPr="00381DC2" w:rsidRDefault="00701D3B" w:rsidP="007F6E1B">
      <w:pPr>
        <w:pStyle w:val="BodyText"/>
        <w:ind w:left="0" w:right="198"/>
        <w:rPr>
          <w:color w:val="000000"/>
        </w:rPr>
      </w:pPr>
    </w:p>
    <w:p w14:paraId="0B7C36DD" w14:textId="77777777" w:rsidR="00D15122" w:rsidRPr="00381DC2" w:rsidRDefault="009B0756" w:rsidP="007F6E1B">
      <w:pPr>
        <w:pStyle w:val="BodyText"/>
        <w:ind w:left="0" w:right="198"/>
        <w:rPr>
          <w:color w:val="000000"/>
        </w:rPr>
      </w:pPr>
      <w:r w:rsidRPr="00381DC2">
        <w:rPr>
          <w:color w:val="000000"/>
        </w:rPr>
        <w:t xml:space="preserve">Ve studii u pacientek s přetrvávajícím, rekurentním nebo </w:t>
      </w:r>
      <w:r w:rsidR="000834FE" w:rsidRPr="00381DC2">
        <w:rPr>
          <w:color w:val="000000"/>
        </w:rPr>
        <w:t>metasta</w:t>
      </w:r>
      <w:r w:rsidR="008B0762" w:rsidRPr="00381DC2">
        <w:rPr>
          <w:color w:val="000000"/>
        </w:rPr>
        <w:t>zujícím</w:t>
      </w:r>
      <w:r w:rsidR="000834FE" w:rsidRPr="00381DC2">
        <w:rPr>
          <w:color w:val="000000"/>
        </w:rPr>
        <w:t xml:space="preserve"> </w:t>
      </w:r>
      <w:r w:rsidRPr="00381DC2">
        <w:rPr>
          <w:color w:val="000000"/>
        </w:rPr>
        <w:t xml:space="preserve">karcinomem děložního </w:t>
      </w:r>
      <w:r w:rsidR="00702288" w:rsidRPr="00381DC2">
        <w:rPr>
          <w:color w:val="000000"/>
        </w:rPr>
        <w:t>čípku</w:t>
      </w:r>
      <w:r w:rsidRPr="00381DC2">
        <w:rPr>
          <w:color w:val="000000"/>
        </w:rPr>
        <w:t xml:space="preserve"> byl</w:t>
      </w:r>
      <w:r w:rsidR="00DD55BE" w:rsidRPr="00381DC2">
        <w:rPr>
          <w:color w:val="000000"/>
        </w:rPr>
        <w:t>a</w:t>
      </w:r>
      <w:r w:rsidRPr="00381DC2">
        <w:rPr>
          <w:color w:val="000000"/>
        </w:rPr>
        <w:t xml:space="preserve"> </w:t>
      </w:r>
      <w:r w:rsidR="00DD55BE" w:rsidRPr="00381DC2">
        <w:rPr>
          <w:color w:val="000000"/>
        </w:rPr>
        <w:t xml:space="preserve">incidence </w:t>
      </w:r>
      <w:r w:rsidRPr="00381DC2">
        <w:rPr>
          <w:color w:val="000000"/>
        </w:rPr>
        <w:t xml:space="preserve">GI-vaginální píštěle 8,3 % u pacientek léčených bevacizumabem a 0,9 % u kontrolní skupiny pacientek, u všech těchto pacientek byla dříve provedena radiace pánve. Frekvence GI-vaginální píštěle ve skupině léčené bevacizumabem + chemoterapií byla vyšší u pacientek s rekurencí v oblasti dříve provedené radiace (16,7 %) ve srovnání s pacientkami bez předchozí radiace a/nebo bez rekurence v oblasti předchozí radiace (3,6 %). Odpovídající </w:t>
      </w:r>
      <w:r w:rsidR="00FF2938" w:rsidRPr="00381DC2">
        <w:rPr>
          <w:color w:val="000000"/>
        </w:rPr>
        <w:t xml:space="preserve">frekvence </w:t>
      </w:r>
      <w:r w:rsidRPr="00381DC2">
        <w:rPr>
          <w:color w:val="000000"/>
        </w:rPr>
        <w:t>u kontrolní skupiny léčené samotnou chemoterapií byly 1,1 % versus 0,8 %. Pacientky, u kterých dojde k rozvoji GI-vaginální píštěle, mohou mít také střevní obstrukce a </w:t>
      </w:r>
      <w:r w:rsidR="00FF2938" w:rsidRPr="00381DC2">
        <w:rPr>
          <w:color w:val="000000"/>
        </w:rPr>
        <w:t xml:space="preserve">mohou </w:t>
      </w:r>
      <w:r w:rsidRPr="00381DC2">
        <w:rPr>
          <w:color w:val="000000"/>
        </w:rPr>
        <w:t xml:space="preserve">potřebovat chirurgický zákrok včetně </w:t>
      </w:r>
      <w:r w:rsidR="00FF2938" w:rsidRPr="00381DC2">
        <w:rPr>
          <w:color w:val="000000"/>
        </w:rPr>
        <w:t xml:space="preserve">odlehčující </w:t>
      </w:r>
      <w:r w:rsidRPr="00381DC2">
        <w:rPr>
          <w:color w:val="000000"/>
        </w:rPr>
        <w:t>stomie.</w:t>
      </w:r>
    </w:p>
    <w:p w14:paraId="37517468" w14:textId="77777777" w:rsidR="00D15122" w:rsidRPr="00381DC2" w:rsidRDefault="00D15122" w:rsidP="007F6E1B">
      <w:pPr>
        <w:rPr>
          <w:rFonts w:ascii="Times New Roman" w:eastAsia="Times New Roman" w:hAnsi="Times New Roman"/>
          <w:color w:val="000000"/>
        </w:rPr>
      </w:pPr>
    </w:p>
    <w:p w14:paraId="4AEB957E" w14:textId="77777777" w:rsidR="00D15122" w:rsidRPr="00381DC2" w:rsidRDefault="009B0756" w:rsidP="00DA6D85">
      <w:pPr>
        <w:keepNext/>
        <w:keepLines/>
        <w:rPr>
          <w:rFonts w:ascii="Times New Roman" w:eastAsia="Times New Roman" w:hAnsi="Times New Roman"/>
          <w:color w:val="000000"/>
          <w:u w:val="single"/>
        </w:rPr>
      </w:pPr>
      <w:r w:rsidRPr="00381DC2">
        <w:rPr>
          <w:rFonts w:ascii="Times New Roman" w:hAnsi="Times New Roman"/>
          <w:i/>
          <w:color w:val="000000"/>
          <w:u w:val="single"/>
        </w:rPr>
        <w:t>Non-GI píštěle</w:t>
      </w:r>
      <w:r w:rsidRPr="00381DC2">
        <w:rPr>
          <w:rFonts w:ascii="Times New Roman" w:hAnsi="Times New Roman"/>
          <w:color w:val="000000"/>
          <w:u w:val="single"/>
        </w:rPr>
        <w:t xml:space="preserve"> (viz bod 4.4)</w:t>
      </w:r>
    </w:p>
    <w:p w14:paraId="4AD2E933" w14:textId="77777777" w:rsidR="00701D3B" w:rsidRPr="00381DC2" w:rsidRDefault="00701D3B" w:rsidP="00DA6D85">
      <w:pPr>
        <w:pStyle w:val="BodyText"/>
        <w:keepNext/>
        <w:keepLines/>
        <w:ind w:left="0"/>
        <w:rPr>
          <w:color w:val="000000"/>
        </w:rPr>
      </w:pPr>
    </w:p>
    <w:p w14:paraId="18492EFC" w14:textId="77777777" w:rsidR="00D15122" w:rsidRPr="00381DC2" w:rsidRDefault="00FF2938" w:rsidP="007F6E1B">
      <w:pPr>
        <w:pStyle w:val="BodyText"/>
        <w:ind w:left="0"/>
        <w:rPr>
          <w:color w:val="000000"/>
        </w:rPr>
      </w:pPr>
      <w:r w:rsidRPr="00381DC2">
        <w:rPr>
          <w:color w:val="000000"/>
        </w:rPr>
        <w:t xml:space="preserve">Použití </w:t>
      </w:r>
      <w:r w:rsidR="00007842" w:rsidRPr="00381DC2">
        <w:rPr>
          <w:color w:val="000000"/>
        </w:rPr>
        <w:t>bevacizumabu bylo spojeno se závažnými případy píštělí včetně účinků vedoucích k úmrtí.</w:t>
      </w:r>
    </w:p>
    <w:p w14:paraId="4A9C2AC6" w14:textId="77777777" w:rsidR="00D15122" w:rsidRPr="00381DC2" w:rsidRDefault="00D15122" w:rsidP="007F6E1B">
      <w:pPr>
        <w:rPr>
          <w:rFonts w:ascii="Times New Roman" w:eastAsia="Times New Roman" w:hAnsi="Times New Roman"/>
          <w:color w:val="000000"/>
        </w:rPr>
      </w:pPr>
    </w:p>
    <w:p w14:paraId="6421D4BB" w14:textId="77777777" w:rsidR="00D15122" w:rsidRPr="00381DC2" w:rsidRDefault="009B0756" w:rsidP="007F6E1B">
      <w:pPr>
        <w:pStyle w:val="BodyText"/>
        <w:ind w:left="0" w:right="198"/>
        <w:rPr>
          <w:color w:val="000000"/>
        </w:rPr>
      </w:pPr>
      <w:r w:rsidRPr="00381DC2">
        <w:rPr>
          <w:color w:val="000000"/>
        </w:rPr>
        <w:t>V</w:t>
      </w:r>
      <w:r w:rsidR="00702288" w:rsidRPr="00381DC2">
        <w:rPr>
          <w:color w:val="000000"/>
        </w:rPr>
        <w:t> </w:t>
      </w:r>
      <w:r w:rsidRPr="00381DC2">
        <w:rPr>
          <w:color w:val="000000"/>
        </w:rPr>
        <w:t>klinické</w:t>
      </w:r>
      <w:r w:rsidR="00702288" w:rsidRPr="00381DC2">
        <w:rPr>
          <w:color w:val="000000"/>
        </w:rPr>
        <w:t xml:space="preserve"> studii</w:t>
      </w:r>
      <w:r w:rsidRPr="00381DC2">
        <w:rPr>
          <w:color w:val="000000"/>
        </w:rPr>
        <w:t xml:space="preserve"> u pacientek s přetrvávajícím, rekurentním nebo </w:t>
      </w:r>
      <w:r w:rsidR="000834FE" w:rsidRPr="00381DC2">
        <w:rPr>
          <w:color w:val="000000"/>
        </w:rPr>
        <w:t>metasta</w:t>
      </w:r>
      <w:r w:rsidR="00F33CDD" w:rsidRPr="00381DC2">
        <w:rPr>
          <w:color w:val="000000"/>
        </w:rPr>
        <w:t>zujím</w:t>
      </w:r>
      <w:r w:rsidR="000834FE" w:rsidRPr="00381DC2">
        <w:rPr>
          <w:color w:val="000000"/>
        </w:rPr>
        <w:t xml:space="preserve"> </w:t>
      </w:r>
      <w:r w:rsidRPr="00381DC2">
        <w:rPr>
          <w:color w:val="000000"/>
        </w:rPr>
        <w:t xml:space="preserve">karcinomem děložního </w:t>
      </w:r>
      <w:r w:rsidR="00702288" w:rsidRPr="00381DC2">
        <w:rPr>
          <w:color w:val="000000"/>
        </w:rPr>
        <w:t>čípku</w:t>
      </w:r>
      <w:r w:rsidRPr="00381DC2">
        <w:rPr>
          <w:color w:val="000000"/>
        </w:rPr>
        <w:t xml:space="preserve"> (GOG-0240), byly hlášeny píštěle non-gastrointestinálně-vaginální, močového </w:t>
      </w:r>
      <w:r w:rsidRPr="00381DC2">
        <w:rPr>
          <w:color w:val="000000"/>
        </w:rPr>
        <w:lastRenderedPageBreak/>
        <w:t>měchýře nebo ženského pohlavního ústrojí u 1,8 % pacientek léčených bevacizumabem a 1,4 % pacientek v kontrolní skupině.</w:t>
      </w:r>
    </w:p>
    <w:p w14:paraId="00EAEBDE" w14:textId="77777777" w:rsidR="00D15122" w:rsidRPr="00381DC2" w:rsidRDefault="00D15122" w:rsidP="007F6E1B">
      <w:pPr>
        <w:rPr>
          <w:rFonts w:ascii="Times New Roman" w:eastAsia="Times New Roman" w:hAnsi="Times New Roman"/>
          <w:color w:val="000000"/>
        </w:rPr>
      </w:pPr>
    </w:p>
    <w:p w14:paraId="4F6766A2" w14:textId="77777777" w:rsidR="00D15122" w:rsidRPr="00381DC2" w:rsidRDefault="009B0756" w:rsidP="007F6E1B">
      <w:pPr>
        <w:pStyle w:val="BodyText"/>
        <w:ind w:left="0" w:right="198"/>
        <w:rPr>
          <w:color w:val="000000"/>
        </w:rPr>
      </w:pPr>
      <w:r w:rsidRPr="00381DC2">
        <w:rPr>
          <w:color w:val="000000"/>
        </w:rPr>
        <w:t>Méně čast</w:t>
      </w:r>
      <w:r w:rsidR="00FF2938" w:rsidRPr="00381DC2">
        <w:rPr>
          <w:color w:val="000000"/>
        </w:rPr>
        <w:t>á</w:t>
      </w:r>
      <w:r w:rsidRPr="00381DC2">
        <w:rPr>
          <w:color w:val="000000"/>
        </w:rPr>
        <w:t xml:space="preserve"> (≥ 0,1 % až &lt; 1 %) </w:t>
      </w:r>
      <w:r w:rsidR="00FF2938" w:rsidRPr="00381DC2">
        <w:rPr>
          <w:color w:val="000000"/>
        </w:rPr>
        <w:t>hlášení píštělí</w:t>
      </w:r>
      <w:r w:rsidRPr="00381DC2">
        <w:rPr>
          <w:color w:val="000000"/>
        </w:rPr>
        <w:t>, které postihují jiné oblasti těla než gastrointestinální trakt (například bronchopleurální a </w:t>
      </w:r>
      <w:r w:rsidR="00FF2938" w:rsidRPr="00381DC2">
        <w:rPr>
          <w:color w:val="000000"/>
        </w:rPr>
        <w:t xml:space="preserve">žlučové </w:t>
      </w:r>
      <w:r w:rsidRPr="00381DC2">
        <w:rPr>
          <w:color w:val="000000"/>
        </w:rPr>
        <w:t>píštěle), byly zaznamenány napříč různými indikacemi. Píštěle byly hlášeny rovněž po uvedení přípravku na trh.</w:t>
      </w:r>
    </w:p>
    <w:p w14:paraId="4CD93D87" w14:textId="77777777" w:rsidR="00D15122" w:rsidRPr="00381DC2" w:rsidRDefault="00D15122" w:rsidP="007F6E1B">
      <w:pPr>
        <w:rPr>
          <w:rFonts w:ascii="Times New Roman" w:eastAsia="Times New Roman" w:hAnsi="Times New Roman"/>
          <w:color w:val="000000"/>
        </w:rPr>
      </w:pPr>
    </w:p>
    <w:p w14:paraId="451A3FD5" w14:textId="77777777" w:rsidR="00D15122" w:rsidRPr="00381DC2" w:rsidRDefault="00472E07" w:rsidP="007F6E1B">
      <w:pPr>
        <w:pStyle w:val="BodyText"/>
        <w:ind w:left="0" w:right="272"/>
        <w:rPr>
          <w:color w:val="000000"/>
        </w:rPr>
      </w:pPr>
      <w:r w:rsidRPr="00381DC2">
        <w:rPr>
          <w:color w:val="000000"/>
        </w:rPr>
        <w:t>Ú</w:t>
      </w:r>
      <w:r w:rsidR="009B0756" w:rsidRPr="00381DC2">
        <w:rPr>
          <w:color w:val="000000"/>
        </w:rPr>
        <w:t xml:space="preserve">činky byly hlášeny v různých časových </w:t>
      </w:r>
      <w:r w:rsidRPr="00381DC2">
        <w:rPr>
          <w:color w:val="000000"/>
        </w:rPr>
        <w:t xml:space="preserve">bodech </w:t>
      </w:r>
      <w:r w:rsidR="009B0756" w:rsidRPr="00381DC2">
        <w:rPr>
          <w:color w:val="000000"/>
        </w:rPr>
        <w:t xml:space="preserve">během léčby v rozmezí od jednoho týdne až po více než </w:t>
      </w:r>
      <w:r w:rsidR="00221031" w:rsidRPr="00381DC2">
        <w:rPr>
          <w:color w:val="000000"/>
        </w:rPr>
        <w:t>1 </w:t>
      </w:r>
      <w:r w:rsidR="009B0756" w:rsidRPr="00381DC2">
        <w:rPr>
          <w:color w:val="000000"/>
        </w:rPr>
        <w:t>rok od zahájení léčby bevacizumabem, většina účinků se projevuje v prvních 6 měsících léčby.</w:t>
      </w:r>
    </w:p>
    <w:p w14:paraId="1B0F956A" w14:textId="77777777" w:rsidR="00D15122" w:rsidRPr="00381DC2" w:rsidRDefault="00D15122" w:rsidP="007F6E1B">
      <w:pPr>
        <w:rPr>
          <w:rFonts w:ascii="Times New Roman" w:eastAsia="Times New Roman" w:hAnsi="Times New Roman"/>
          <w:color w:val="000000"/>
        </w:rPr>
      </w:pPr>
    </w:p>
    <w:p w14:paraId="3FE3BE7A" w14:textId="77777777" w:rsidR="00D15122" w:rsidRPr="00381DC2" w:rsidRDefault="009B0756" w:rsidP="002B0DE8">
      <w:pPr>
        <w:keepNext/>
        <w:keepLines/>
        <w:spacing w:line="252" w:lineRule="exact"/>
        <w:rPr>
          <w:rFonts w:ascii="Times New Roman" w:eastAsia="Times New Roman" w:hAnsi="Times New Roman"/>
          <w:color w:val="000000"/>
          <w:u w:val="single"/>
        </w:rPr>
      </w:pPr>
      <w:r w:rsidRPr="00381DC2">
        <w:rPr>
          <w:rFonts w:ascii="Times New Roman" w:hAnsi="Times New Roman"/>
          <w:i/>
          <w:color w:val="000000"/>
          <w:u w:val="single"/>
        </w:rPr>
        <w:t>Hojení ran</w:t>
      </w:r>
      <w:r w:rsidRPr="00381DC2">
        <w:rPr>
          <w:rFonts w:ascii="Times New Roman" w:hAnsi="Times New Roman"/>
          <w:color w:val="000000"/>
          <w:u w:val="single"/>
        </w:rPr>
        <w:t xml:space="preserve"> (viz bod 4.4)</w:t>
      </w:r>
    </w:p>
    <w:p w14:paraId="1F0F264A" w14:textId="77777777" w:rsidR="00701D3B" w:rsidRPr="00381DC2" w:rsidRDefault="00701D3B" w:rsidP="002B0DE8">
      <w:pPr>
        <w:pStyle w:val="BodyText"/>
        <w:keepNext/>
        <w:keepLines/>
        <w:ind w:left="0" w:right="631"/>
        <w:rPr>
          <w:color w:val="000000"/>
        </w:rPr>
      </w:pPr>
    </w:p>
    <w:p w14:paraId="233CA1CD" w14:textId="77777777" w:rsidR="00D15122" w:rsidRPr="00381DC2" w:rsidRDefault="009B0756" w:rsidP="007F6E1B">
      <w:pPr>
        <w:pStyle w:val="BodyText"/>
        <w:ind w:left="0" w:right="631"/>
        <w:rPr>
          <w:color w:val="000000"/>
        </w:rPr>
      </w:pPr>
      <w:r w:rsidRPr="00381DC2">
        <w:rPr>
          <w:color w:val="000000"/>
        </w:rPr>
        <w:t>Vzhledem k tomu, že bevacizumab může nežádoucím způsobem ovlivnit hojení ran, byli pacienti, kteří prodělali velk</w:t>
      </w:r>
      <w:r w:rsidR="00333E6C" w:rsidRPr="00381DC2">
        <w:rPr>
          <w:color w:val="000000"/>
        </w:rPr>
        <w:t xml:space="preserve">ou operaci </w:t>
      </w:r>
      <w:r w:rsidRPr="00381DC2">
        <w:rPr>
          <w:color w:val="000000"/>
        </w:rPr>
        <w:t xml:space="preserve">v průběhu posledních 28 dnů, vyloučeni z účasti v klinických </w:t>
      </w:r>
      <w:r w:rsidR="00702288" w:rsidRPr="00381DC2">
        <w:rPr>
          <w:color w:val="000000"/>
        </w:rPr>
        <w:t>studiích</w:t>
      </w:r>
      <w:r w:rsidRPr="00381DC2">
        <w:rPr>
          <w:color w:val="000000"/>
        </w:rPr>
        <w:t xml:space="preserve"> fáze III.</w:t>
      </w:r>
    </w:p>
    <w:p w14:paraId="681802CC" w14:textId="77777777" w:rsidR="00D15122" w:rsidRPr="00381DC2" w:rsidRDefault="00D15122" w:rsidP="007F6E1B">
      <w:pPr>
        <w:rPr>
          <w:rFonts w:ascii="Times New Roman" w:eastAsia="Times New Roman" w:hAnsi="Times New Roman"/>
          <w:color w:val="000000"/>
        </w:rPr>
      </w:pPr>
    </w:p>
    <w:p w14:paraId="7C303754" w14:textId="77777777" w:rsidR="00D15122" w:rsidRPr="00381DC2" w:rsidRDefault="009B0756" w:rsidP="007F6E1B">
      <w:pPr>
        <w:pStyle w:val="BodyText"/>
        <w:ind w:left="0" w:right="213"/>
        <w:rPr>
          <w:color w:val="000000"/>
        </w:rPr>
      </w:pPr>
      <w:r w:rsidRPr="00381DC2">
        <w:rPr>
          <w:color w:val="000000"/>
        </w:rPr>
        <w:t>U pacientů s </w:t>
      </w:r>
      <w:r w:rsidR="000834FE" w:rsidRPr="00381DC2">
        <w:rPr>
          <w:color w:val="000000"/>
        </w:rPr>
        <w:t>metasta</w:t>
      </w:r>
      <w:r w:rsidR="00702288" w:rsidRPr="00381DC2">
        <w:rPr>
          <w:color w:val="000000"/>
        </w:rPr>
        <w:t>zujícím</w:t>
      </w:r>
      <w:r w:rsidR="000834FE" w:rsidRPr="00381DC2">
        <w:rPr>
          <w:color w:val="000000"/>
        </w:rPr>
        <w:t xml:space="preserve"> </w:t>
      </w:r>
      <w:r w:rsidRPr="00381DC2">
        <w:rPr>
          <w:color w:val="000000"/>
        </w:rPr>
        <w:t xml:space="preserve">kolorektálním karcinomem nebylo v klinických studiích pozorováno zvýšené riziko pooperačního krvácení nebo komplikací </w:t>
      </w:r>
      <w:r w:rsidR="00712056" w:rsidRPr="00381DC2">
        <w:rPr>
          <w:color w:val="000000"/>
        </w:rPr>
        <w:t xml:space="preserve">při </w:t>
      </w:r>
      <w:r w:rsidRPr="00381DC2">
        <w:rPr>
          <w:color w:val="000000"/>
        </w:rPr>
        <w:t xml:space="preserve">hojení ran u těch z nich, kteří podstoupili </w:t>
      </w:r>
      <w:r w:rsidR="00333E6C" w:rsidRPr="00381DC2">
        <w:rPr>
          <w:color w:val="000000"/>
        </w:rPr>
        <w:t xml:space="preserve">velkou operaci </w:t>
      </w:r>
      <w:r w:rsidRPr="00381DC2">
        <w:rPr>
          <w:color w:val="000000"/>
        </w:rPr>
        <w:t xml:space="preserve">28–60 dnů před zahájením léčby bevacizumabem. Pokud byl </w:t>
      </w:r>
      <w:r w:rsidR="00333E6C" w:rsidRPr="00381DC2">
        <w:rPr>
          <w:color w:val="000000"/>
        </w:rPr>
        <w:t xml:space="preserve">pacient </w:t>
      </w:r>
      <w:r w:rsidRPr="00381DC2">
        <w:rPr>
          <w:color w:val="000000"/>
        </w:rPr>
        <w:t xml:space="preserve">léčen bevacizumabem v době operace, byla pozorována vyšší incidence pooperačního krvácení nebo komplikací </w:t>
      </w:r>
      <w:r w:rsidR="00712056" w:rsidRPr="00381DC2">
        <w:rPr>
          <w:color w:val="000000"/>
        </w:rPr>
        <w:t xml:space="preserve">při </w:t>
      </w:r>
      <w:r w:rsidRPr="00381DC2">
        <w:rPr>
          <w:color w:val="000000"/>
        </w:rPr>
        <w:t xml:space="preserve">hojení ran v průběhu 60 dnů od </w:t>
      </w:r>
      <w:r w:rsidR="00333E6C" w:rsidRPr="00381DC2">
        <w:rPr>
          <w:color w:val="000000"/>
        </w:rPr>
        <w:t xml:space="preserve">velké </w:t>
      </w:r>
      <w:r w:rsidRPr="00381DC2">
        <w:rPr>
          <w:color w:val="000000"/>
        </w:rPr>
        <w:t>operace. Incidence se pohybovala od 10 % (4/40) do 20 % (3/15).</w:t>
      </w:r>
    </w:p>
    <w:p w14:paraId="60C78EF2" w14:textId="77777777" w:rsidR="00D15122" w:rsidRPr="00381DC2" w:rsidRDefault="00D15122" w:rsidP="007F6E1B">
      <w:pPr>
        <w:rPr>
          <w:rFonts w:ascii="Times New Roman" w:eastAsia="Times New Roman" w:hAnsi="Times New Roman"/>
          <w:color w:val="000000"/>
        </w:rPr>
      </w:pPr>
    </w:p>
    <w:p w14:paraId="62C3B673" w14:textId="77777777" w:rsidR="00D15122" w:rsidRPr="00381DC2" w:rsidRDefault="009B0756" w:rsidP="00333699">
      <w:pPr>
        <w:pStyle w:val="BodyText"/>
        <w:widowControl/>
        <w:ind w:left="0" w:right="274"/>
        <w:rPr>
          <w:color w:val="000000"/>
        </w:rPr>
      </w:pPr>
      <w:r w:rsidRPr="00381DC2">
        <w:rPr>
          <w:color w:val="000000"/>
        </w:rPr>
        <w:t xml:space="preserve">Byly hlášeny závažné komplikace </w:t>
      </w:r>
      <w:r w:rsidR="00712056" w:rsidRPr="00381DC2">
        <w:rPr>
          <w:color w:val="000000"/>
        </w:rPr>
        <w:t xml:space="preserve">při hojení </w:t>
      </w:r>
      <w:r w:rsidRPr="00381DC2">
        <w:rPr>
          <w:color w:val="000000"/>
        </w:rPr>
        <w:t>ran, včetně komplikací v anastomóze, některé z nich končily úmrtím.</w:t>
      </w:r>
    </w:p>
    <w:p w14:paraId="093B4022" w14:textId="77777777" w:rsidR="00D15122" w:rsidRPr="00381DC2" w:rsidRDefault="00D15122" w:rsidP="007F6E1B">
      <w:pPr>
        <w:rPr>
          <w:rFonts w:ascii="Times New Roman" w:eastAsia="Times New Roman" w:hAnsi="Times New Roman"/>
          <w:color w:val="000000"/>
        </w:rPr>
      </w:pPr>
    </w:p>
    <w:p w14:paraId="41181079" w14:textId="77777777" w:rsidR="00D15122" w:rsidRPr="00381DC2" w:rsidRDefault="009B0756" w:rsidP="007F6E1B">
      <w:pPr>
        <w:pStyle w:val="BodyText"/>
        <w:ind w:left="0" w:right="272"/>
        <w:rPr>
          <w:color w:val="000000"/>
        </w:rPr>
      </w:pPr>
      <w:r w:rsidRPr="00381DC2">
        <w:rPr>
          <w:color w:val="000000"/>
        </w:rPr>
        <w:t>U pacientů ve studiích s lokálně rekurentním a </w:t>
      </w:r>
      <w:r w:rsidR="002274C3" w:rsidRPr="00381DC2">
        <w:rPr>
          <w:color w:val="000000"/>
        </w:rPr>
        <w:t>metasta</w:t>
      </w:r>
      <w:r w:rsidR="00702288" w:rsidRPr="00381DC2">
        <w:rPr>
          <w:color w:val="000000"/>
        </w:rPr>
        <w:t>zujícím</w:t>
      </w:r>
      <w:r w:rsidR="002274C3" w:rsidRPr="00381DC2">
        <w:rPr>
          <w:color w:val="000000"/>
        </w:rPr>
        <w:t xml:space="preserve"> </w:t>
      </w:r>
      <w:r w:rsidR="00702288" w:rsidRPr="00381DC2">
        <w:rPr>
          <w:color w:val="000000"/>
        </w:rPr>
        <w:t>karcinomem</w:t>
      </w:r>
      <w:r w:rsidR="002274C3" w:rsidRPr="00381DC2">
        <w:rPr>
          <w:color w:val="000000"/>
        </w:rPr>
        <w:t xml:space="preserve"> prsu</w:t>
      </w:r>
      <w:r w:rsidRPr="00381DC2">
        <w:rPr>
          <w:color w:val="000000"/>
        </w:rPr>
        <w:t xml:space="preserve"> byly komplikace </w:t>
      </w:r>
      <w:r w:rsidR="00712056" w:rsidRPr="00381DC2">
        <w:rPr>
          <w:color w:val="000000"/>
        </w:rPr>
        <w:t xml:space="preserve">při hojení </w:t>
      </w:r>
      <w:r w:rsidRPr="00381DC2">
        <w:rPr>
          <w:color w:val="000000"/>
        </w:rPr>
        <w:t>ran stupně 3–5 (NCI-CTCAE v.3) pozorovány až u 1,1 % pacientů léčených bevacizumabem ve srovnání s až 0,9 % pacientů v kontrolních ramenech.</w:t>
      </w:r>
    </w:p>
    <w:p w14:paraId="533CCDAB" w14:textId="77777777" w:rsidR="00D15122" w:rsidRPr="00381DC2" w:rsidRDefault="00D15122" w:rsidP="007F6E1B">
      <w:pPr>
        <w:rPr>
          <w:rFonts w:ascii="Times New Roman" w:eastAsia="Times New Roman" w:hAnsi="Times New Roman"/>
          <w:color w:val="000000"/>
        </w:rPr>
      </w:pPr>
    </w:p>
    <w:p w14:paraId="5EAAFF8C" w14:textId="77777777" w:rsidR="00D15122" w:rsidRPr="00381DC2" w:rsidRDefault="009B0756" w:rsidP="007F6E1B">
      <w:pPr>
        <w:pStyle w:val="BodyText"/>
        <w:ind w:left="0" w:right="269"/>
        <w:rPr>
          <w:color w:val="000000"/>
        </w:rPr>
      </w:pPr>
      <w:r w:rsidRPr="00381DC2">
        <w:rPr>
          <w:color w:val="000000"/>
        </w:rPr>
        <w:t xml:space="preserve">V klinických </w:t>
      </w:r>
      <w:r w:rsidR="002D2300" w:rsidRPr="00381DC2">
        <w:rPr>
          <w:color w:val="000000"/>
        </w:rPr>
        <w:t>studi</w:t>
      </w:r>
      <w:r w:rsidR="00702288" w:rsidRPr="00381DC2">
        <w:rPr>
          <w:color w:val="000000"/>
        </w:rPr>
        <w:t>ích</w:t>
      </w:r>
      <w:r w:rsidR="00D559CB" w:rsidRPr="00381DC2">
        <w:rPr>
          <w:color w:val="000000"/>
        </w:rPr>
        <w:t xml:space="preserve"> </w:t>
      </w:r>
      <w:r w:rsidRPr="00381DC2">
        <w:rPr>
          <w:color w:val="000000"/>
        </w:rPr>
        <w:t>s </w:t>
      </w:r>
      <w:r w:rsidR="00702288" w:rsidRPr="00381DC2">
        <w:rPr>
          <w:color w:val="000000"/>
        </w:rPr>
        <w:t>karcinomem</w:t>
      </w:r>
      <w:r w:rsidR="009569F2" w:rsidRPr="00381DC2">
        <w:rPr>
          <w:color w:val="000000"/>
        </w:rPr>
        <w:t xml:space="preserve"> </w:t>
      </w:r>
      <w:r w:rsidRPr="00381DC2">
        <w:rPr>
          <w:color w:val="000000"/>
        </w:rPr>
        <w:t xml:space="preserve">vaječníků byly komplikace </w:t>
      </w:r>
      <w:r w:rsidR="00712056" w:rsidRPr="00381DC2">
        <w:rPr>
          <w:color w:val="000000"/>
        </w:rPr>
        <w:t xml:space="preserve">při </w:t>
      </w:r>
      <w:r w:rsidRPr="00381DC2">
        <w:rPr>
          <w:color w:val="000000"/>
        </w:rPr>
        <w:t>hojení ran stupně 3–5 (NCI-CTCAE v.3) pozorovány až u 1,8 % pacientek v rameni s bevacizumabem oproti 0,1 % v kontrolním rameni.</w:t>
      </w:r>
    </w:p>
    <w:p w14:paraId="611A8350" w14:textId="77777777" w:rsidR="00B419F6" w:rsidRPr="00381DC2" w:rsidRDefault="00B419F6" w:rsidP="007F6E1B">
      <w:pPr>
        <w:pStyle w:val="BodyText"/>
        <w:ind w:left="0" w:right="269"/>
        <w:rPr>
          <w:color w:val="000000"/>
        </w:rPr>
      </w:pPr>
    </w:p>
    <w:p w14:paraId="512C6BA7" w14:textId="77777777" w:rsidR="00D15122" w:rsidRPr="00381DC2" w:rsidRDefault="009B0756" w:rsidP="007F6E1B">
      <w:pPr>
        <w:rPr>
          <w:rFonts w:ascii="Times New Roman" w:eastAsia="Times New Roman" w:hAnsi="Times New Roman"/>
          <w:color w:val="000000"/>
          <w:u w:val="single"/>
        </w:rPr>
      </w:pPr>
      <w:r w:rsidRPr="00381DC2">
        <w:rPr>
          <w:rFonts w:ascii="Times New Roman" w:hAnsi="Times New Roman"/>
          <w:i/>
          <w:color w:val="000000"/>
          <w:u w:val="single"/>
        </w:rPr>
        <w:t>Hypertenze</w:t>
      </w:r>
      <w:r w:rsidRPr="00381DC2">
        <w:rPr>
          <w:rFonts w:ascii="Times New Roman" w:hAnsi="Times New Roman"/>
          <w:color w:val="000000"/>
          <w:u w:val="single"/>
        </w:rPr>
        <w:t xml:space="preserve"> (viz bod 4.4)</w:t>
      </w:r>
    </w:p>
    <w:p w14:paraId="302ACC79" w14:textId="77777777" w:rsidR="00701D3B" w:rsidRPr="00381DC2" w:rsidRDefault="00701D3B" w:rsidP="007F6E1B">
      <w:pPr>
        <w:pStyle w:val="BodyText"/>
        <w:ind w:left="0" w:right="272"/>
        <w:rPr>
          <w:color w:val="000000"/>
        </w:rPr>
      </w:pPr>
    </w:p>
    <w:p w14:paraId="74F2F986" w14:textId="77777777" w:rsidR="00D15122" w:rsidRPr="00381DC2" w:rsidRDefault="009B0756" w:rsidP="007F6E1B">
      <w:pPr>
        <w:pStyle w:val="BodyText"/>
        <w:ind w:left="0" w:right="272"/>
        <w:rPr>
          <w:color w:val="000000"/>
        </w:rPr>
      </w:pPr>
      <w:r w:rsidRPr="00381DC2">
        <w:rPr>
          <w:color w:val="000000"/>
        </w:rPr>
        <w:t xml:space="preserve">V klinických </w:t>
      </w:r>
      <w:r w:rsidR="002D2300" w:rsidRPr="00381DC2">
        <w:rPr>
          <w:color w:val="000000"/>
        </w:rPr>
        <w:t>studiích</w:t>
      </w:r>
      <w:r w:rsidRPr="00381DC2">
        <w:rPr>
          <w:color w:val="000000"/>
        </w:rPr>
        <w:t>, s výjimkou studie JO25567, byl</w:t>
      </w:r>
      <w:r w:rsidR="00F233CB" w:rsidRPr="00381DC2">
        <w:rPr>
          <w:color w:val="000000"/>
        </w:rPr>
        <w:t>a celková incidence</w:t>
      </w:r>
      <w:r w:rsidRPr="00381DC2">
        <w:rPr>
          <w:color w:val="000000"/>
        </w:rPr>
        <w:t xml:space="preserve"> hypertenze (všech stupňů) až 42,1 % v ramenech s bevacizumabem ve srovnání s až 14 % v kontrolních ramenech. Celkov</w:t>
      </w:r>
      <w:r w:rsidR="00F233CB" w:rsidRPr="00381DC2">
        <w:rPr>
          <w:color w:val="000000"/>
        </w:rPr>
        <w:t xml:space="preserve">á incidence </w:t>
      </w:r>
      <w:r w:rsidRPr="00381DC2">
        <w:rPr>
          <w:color w:val="000000"/>
        </w:rPr>
        <w:t>hypertenze stupně 3 a 4 dle NCI-CTC se u pacientů léčených bevacizumabem pohyboval</w:t>
      </w:r>
      <w:r w:rsidR="002D2300" w:rsidRPr="00381DC2">
        <w:rPr>
          <w:color w:val="000000"/>
        </w:rPr>
        <w:t>a</w:t>
      </w:r>
      <w:r w:rsidRPr="00381DC2">
        <w:rPr>
          <w:color w:val="000000"/>
        </w:rPr>
        <w:t xml:space="preserve"> mezi 0,4 % a 17,9 %. Hypertenze stupně 4 (hypertenzní krize) se vyskytla až u 1,0 % pacientů léčených bevacizumabem a chemoterapií ve srovnání s až 0,2 % pacientů léčených jen samotnou stejnou chemoterapií.</w:t>
      </w:r>
    </w:p>
    <w:p w14:paraId="285B7308" w14:textId="77777777" w:rsidR="00D15122" w:rsidRPr="00381DC2" w:rsidRDefault="00D15122" w:rsidP="007F6E1B">
      <w:pPr>
        <w:rPr>
          <w:rFonts w:ascii="Times New Roman" w:eastAsia="Times New Roman" w:hAnsi="Times New Roman"/>
          <w:color w:val="000000"/>
        </w:rPr>
      </w:pPr>
    </w:p>
    <w:p w14:paraId="5758BC5E" w14:textId="77777777" w:rsidR="00D15122" w:rsidRPr="00381DC2" w:rsidRDefault="009B0756" w:rsidP="007F6E1B">
      <w:pPr>
        <w:pStyle w:val="BodyText"/>
        <w:ind w:left="0" w:right="272"/>
        <w:rPr>
          <w:color w:val="000000"/>
        </w:rPr>
      </w:pPr>
      <w:r w:rsidRPr="00381DC2">
        <w:rPr>
          <w:color w:val="000000"/>
        </w:rPr>
        <w:t>Ve studii JO25567 byl</w:t>
      </w:r>
      <w:r w:rsidR="007D482B" w:rsidRPr="00381DC2">
        <w:rPr>
          <w:color w:val="000000"/>
        </w:rPr>
        <w:t>a</w:t>
      </w:r>
      <w:r w:rsidRPr="00381DC2">
        <w:rPr>
          <w:color w:val="000000"/>
        </w:rPr>
        <w:t xml:space="preserve"> pozorován</w:t>
      </w:r>
      <w:r w:rsidR="007D482B" w:rsidRPr="00381DC2">
        <w:rPr>
          <w:color w:val="000000"/>
        </w:rPr>
        <w:t>a</w:t>
      </w:r>
      <w:r w:rsidRPr="00381DC2">
        <w:rPr>
          <w:color w:val="000000"/>
        </w:rPr>
        <w:t xml:space="preserve"> hypertenze všech stupňů u 77,3 % pacientů, kterým byl podáván bevacizumab v kombinaci s erlotinibem v první linii léčby nedlaždicového </w:t>
      </w:r>
      <w:r w:rsidR="007D482B" w:rsidRPr="00381DC2">
        <w:rPr>
          <w:color w:val="000000"/>
        </w:rPr>
        <w:t xml:space="preserve">NSCLC </w:t>
      </w:r>
      <w:r w:rsidRPr="00381DC2">
        <w:rPr>
          <w:color w:val="000000"/>
        </w:rPr>
        <w:t xml:space="preserve">s aktivujícími mutacemi EGFR v porovnání s 14,3 % pacientů léčených samotným erlotinibem. Hypertenze stupně 3 se vyskytla u 60,0 % pacientů léčených bevacizumabem v kombinaci s erlotinibem v porovnání s 11,7 % pacientů léčených samotným erlotinibem. </w:t>
      </w:r>
      <w:r w:rsidR="007D482B" w:rsidRPr="00381DC2">
        <w:rPr>
          <w:color w:val="000000"/>
        </w:rPr>
        <w:t>Příhody h</w:t>
      </w:r>
      <w:r w:rsidRPr="00381DC2">
        <w:rPr>
          <w:color w:val="000000"/>
        </w:rPr>
        <w:t>ypertenze stupně 4 nebo 5 nebyl</w:t>
      </w:r>
      <w:r w:rsidR="007D482B" w:rsidRPr="00381DC2">
        <w:rPr>
          <w:color w:val="000000"/>
        </w:rPr>
        <w:t>y</w:t>
      </w:r>
      <w:r w:rsidRPr="00381DC2">
        <w:rPr>
          <w:color w:val="000000"/>
        </w:rPr>
        <w:t xml:space="preserve"> hlášen</w:t>
      </w:r>
      <w:r w:rsidR="007D482B" w:rsidRPr="00381DC2">
        <w:rPr>
          <w:color w:val="000000"/>
        </w:rPr>
        <w:t>y</w:t>
      </w:r>
      <w:r w:rsidRPr="00381DC2">
        <w:rPr>
          <w:color w:val="000000"/>
        </w:rPr>
        <w:t>.</w:t>
      </w:r>
    </w:p>
    <w:p w14:paraId="023F406A" w14:textId="77777777" w:rsidR="00D15122" w:rsidRPr="00381DC2" w:rsidRDefault="00D15122" w:rsidP="007F6E1B">
      <w:pPr>
        <w:rPr>
          <w:rFonts w:ascii="Times New Roman" w:eastAsia="Times New Roman" w:hAnsi="Times New Roman"/>
          <w:color w:val="000000"/>
        </w:rPr>
      </w:pPr>
    </w:p>
    <w:p w14:paraId="4F96C2F3" w14:textId="77777777" w:rsidR="00D15122" w:rsidRPr="00381DC2" w:rsidRDefault="009B0756" w:rsidP="007F6E1B">
      <w:pPr>
        <w:pStyle w:val="BodyText"/>
        <w:ind w:left="0"/>
        <w:rPr>
          <w:color w:val="000000"/>
        </w:rPr>
      </w:pPr>
      <w:r w:rsidRPr="00381DC2">
        <w:rPr>
          <w:color w:val="000000"/>
        </w:rPr>
        <w:t>Ve většině případů byla hypertenze dostatečně upravena perorálními antihypertenzivy, jako jsou inhibitory</w:t>
      </w:r>
      <w:r w:rsidR="007D482B" w:rsidRPr="00381DC2">
        <w:rPr>
          <w:color w:val="000000"/>
        </w:rPr>
        <w:t xml:space="preserve"> angiotenzin konvertujícího enzymu</w:t>
      </w:r>
      <w:r w:rsidRPr="00381DC2">
        <w:rPr>
          <w:color w:val="000000"/>
        </w:rPr>
        <w:t>, diuretika a blokátory kalciových kanálů. Hypertenze měla vzácně za následek přerušení léčby bevacizumabem nebo hospitalizaci.</w:t>
      </w:r>
    </w:p>
    <w:p w14:paraId="65C1D711" w14:textId="77777777" w:rsidR="00D15122" w:rsidRPr="00381DC2" w:rsidRDefault="00D15122" w:rsidP="007F6E1B">
      <w:pPr>
        <w:rPr>
          <w:rFonts w:ascii="Times New Roman" w:eastAsia="Times New Roman" w:hAnsi="Times New Roman"/>
          <w:color w:val="000000"/>
        </w:rPr>
      </w:pPr>
    </w:p>
    <w:p w14:paraId="5864A282" w14:textId="77777777" w:rsidR="00D15122" w:rsidRPr="00381DC2" w:rsidRDefault="009B0756" w:rsidP="007F6E1B">
      <w:pPr>
        <w:pStyle w:val="BodyText"/>
        <w:ind w:left="0"/>
        <w:rPr>
          <w:color w:val="000000"/>
        </w:rPr>
      </w:pPr>
      <w:r w:rsidRPr="00381DC2">
        <w:rPr>
          <w:color w:val="000000"/>
        </w:rPr>
        <w:t xml:space="preserve">Velmi vzácně </w:t>
      </w:r>
      <w:r w:rsidR="007D482B" w:rsidRPr="00381DC2">
        <w:rPr>
          <w:color w:val="000000"/>
        </w:rPr>
        <w:t>byly hlášeny</w:t>
      </w:r>
      <w:r w:rsidRPr="00381DC2">
        <w:rPr>
          <w:color w:val="000000"/>
        </w:rPr>
        <w:t xml:space="preserve"> případy hypertenzní encefalopatie, z nichž některé byly fatální.</w:t>
      </w:r>
    </w:p>
    <w:p w14:paraId="27BB2E51" w14:textId="77777777" w:rsidR="00D15122" w:rsidRPr="00381DC2" w:rsidRDefault="00D15122" w:rsidP="007F6E1B">
      <w:pPr>
        <w:rPr>
          <w:rFonts w:ascii="Times New Roman" w:eastAsia="Times New Roman" w:hAnsi="Times New Roman"/>
          <w:color w:val="000000"/>
        </w:rPr>
      </w:pPr>
    </w:p>
    <w:p w14:paraId="52ECB224" w14:textId="77777777" w:rsidR="00D15122" w:rsidRPr="00381DC2" w:rsidRDefault="009B0756" w:rsidP="007F6E1B">
      <w:pPr>
        <w:pStyle w:val="BodyText"/>
        <w:ind w:left="0" w:right="181"/>
        <w:rPr>
          <w:color w:val="000000"/>
        </w:rPr>
      </w:pPr>
      <w:r w:rsidRPr="00381DC2">
        <w:rPr>
          <w:color w:val="000000"/>
        </w:rPr>
        <w:lastRenderedPageBreak/>
        <w:t xml:space="preserve">Riziko hypertenze spojené s léčbou bevacizumabem </w:t>
      </w:r>
      <w:r w:rsidR="007D482B" w:rsidRPr="00381DC2">
        <w:rPr>
          <w:color w:val="000000"/>
        </w:rPr>
        <w:t xml:space="preserve">nekorelovalo se stavem </w:t>
      </w:r>
      <w:r w:rsidRPr="00381DC2">
        <w:rPr>
          <w:color w:val="000000"/>
        </w:rPr>
        <w:t xml:space="preserve">pacientů v okamžiku zahájení léčby, </w:t>
      </w:r>
      <w:r w:rsidR="007D482B" w:rsidRPr="00381DC2">
        <w:rPr>
          <w:color w:val="000000"/>
        </w:rPr>
        <w:t xml:space="preserve">základním </w:t>
      </w:r>
      <w:r w:rsidRPr="00381DC2">
        <w:rPr>
          <w:color w:val="000000"/>
        </w:rPr>
        <w:t>onemocnění</w:t>
      </w:r>
      <w:r w:rsidR="007D482B" w:rsidRPr="00381DC2">
        <w:rPr>
          <w:color w:val="000000"/>
        </w:rPr>
        <w:t>m</w:t>
      </w:r>
      <w:r w:rsidRPr="00381DC2">
        <w:rPr>
          <w:color w:val="000000"/>
        </w:rPr>
        <w:t xml:space="preserve"> nebo konkomitantní léčb</w:t>
      </w:r>
      <w:r w:rsidR="00503439" w:rsidRPr="00381DC2">
        <w:rPr>
          <w:color w:val="000000"/>
        </w:rPr>
        <w:t>ou</w:t>
      </w:r>
      <w:r w:rsidRPr="00381DC2">
        <w:rPr>
          <w:color w:val="000000"/>
        </w:rPr>
        <w:t>.</w:t>
      </w:r>
    </w:p>
    <w:p w14:paraId="5D7AEB50" w14:textId="77777777" w:rsidR="00D15122" w:rsidRPr="00381DC2" w:rsidRDefault="00D15122" w:rsidP="007F6E1B">
      <w:pPr>
        <w:rPr>
          <w:rFonts w:ascii="Times New Roman" w:eastAsia="Times New Roman" w:hAnsi="Times New Roman"/>
          <w:color w:val="000000"/>
        </w:rPr>
      </w:pPr>
    </w:p>
    <w:p w14:paraId="4FA24CE7" w14:textId="77777777" w:rsidR="00D15122" w:rsidRPr="00381DC2" w:rsidRDefault="002D2300" w:rsidP="00A330A9">
      <w:pPr>
        <w:keepNext/>
        <w:keepLines/>
        <w:spacing w:line="252" w:lineRule="exact"/>
        <w:rPr>
          <w:rFonts w:ascii="Times New Roman" w:eastAsia="Times New Roman" w:hAnsi="Times New Roman"/>
          <w:color w:val="000000"/>
          <w:u w:val="single"/>
        </w:rPr>
      </w:pPr>
      <w:r w:rsidRPr="00381DC2">
        <w:rPr>
          <w:rFonts w:ascii="Times New Roman" w:hAnsi="Times New Roman"/>
          <w:i/>
          <w:color w:val="000000"/>
          <w:u w:val="single"/>
        </w:rPr>
        <w:t>Syndrom zadní r</w:t>
      </w:r>
      <w:r w:rsidR="009B0756" w:rsidRPr="00381DC2">
        <w:rPr>
          <w:rFonts w:ascii="Times New Roman" w:hAnsi="Times New Roman"/>
          <w:i/>
          <w:color w:val="000000"/>
          <w:u w:val="single"/>
        </w:rPr>
        <w:t>everzibilní encefalopatie</w:t>
      </w:r>
      <w:r w:rsidR="0032022D" w:rsidRPr="00381DC2">
        <w:rPr>
          <w:rFonts w:ascii="Times New Roman" w:hAnsi="Times New Roman"/>
          <w:i/>
          <w:color w:val="000000"/>
          <w:u w:val="single"/>
        </w:rPr>
        <w:t xml:space="preserve"> </w:t>
      </w:r>
      <w:r w:rsidR="009B0756" w:rsidRPr="00381DC2">
        <w:rPr>
          <w:rFonts w:ascii="Times New Roman" w:hAnsi="Times New Roman"/>
          <w:i/>
          <w:color w:val="000000"/>
          <w:u w:val="single"/>
        </w:rPr>
        <w:t>(PRES)</w:t>
      </w:r>
      <w:r w:rsidR="009B0756" w:rsidRPr="00381DC2">
        <w:rPr>
          <w:rFonts w:ascii="Times New Roman" w:hAnsi="Times New Roman"/>
          <w:color w:val="000000"/>
          <w:u w:val="single"/>
        </w:rPr>
        <w:t xml:space="preserve"> (viz bod 4.4)</w:t>
      </w:r>
    </w:p>
    <w:p w14:paraId="206D28E4" w14:textId="77777777" w:rsidR="00701D3B" w:rsidRPr="00381DC2" w:rsidRDefault="00701D3B" w:rsidP="007F6E1B">
      <w:pPr>
        <w:pStyle w:val="BodyText"/>
        <w:ind w:left="0" w:right="148"/>
        <w:rPr>
          <w:color w:val="000000"/>
        </w:rPr>
      </w:pPr>
    </w:p>
    <w:p w14:paraId="16C666AE" w14:textId="77777777" w:rsidR="00D15122" w:rsidRPr="00381DC2" w:rsidRDefault="009B0756" w:rsidP="007F6E1B">
      <w:pPr>
        <w:pStyle w:val="BodyText"/>
        <w:ind w:left="0" w:right="148"/>
        <w:rPr>
          <w:color w:val="000000"/>
        </w:rPr>
      </w:pPr>
      <w:r w:rsidRPr="00381DC2">
        <w:rPr>
          <w:color w:val="000000"/>
        </w:rPr>
        <w:t xml:space="preserve">U pacientů léčených bevacizumabem byly vzácně hlášeny známky a příznaky odpovídající syndromu PRES, </w:t>
      </w:r>
      <w:r w:rsidR="00503439" w:rsidRPr="00381DC2">
        <w:rPr>
          <w:color w:val="000000"/>
        </w:rPr>
        <w:t xml:space="preserve">vzácně </w:t>
      </w:r>
      <w:r w:rsidRPr="00381DC2">
        <w:rPr>
          <w:color w:val="000000"/>
        </w:rPr>
        <w:t xml:space="preserve">se vyskytující neurologické poruchy. </w:t>
      </w:r>
      <w:r w:rsidR="00503439" w:rsidRPr="00381DC2">
        <w:rPr>
          <w:color w:val="000000"/>
        </w:rPr>
        <w:t xml:space="preserve">Projevy </w:t>
      </w:r>
      <w:r w:rsidRPr="00381DC2">
        <w:rPr>
          <w:color w:val="000000"/>
        </w:rPr>
        <w:t xml:space="preserve">mohou zahrnovat </w:t>
      </w:r>
      <w:r w:rsidR="002D2300" w:rsidRPr="00381DC2">
        <w:rPr>
          <w:color w:val="000000"/>
        </w:rPr>
        <w:t>epileptické záchvaty</w:t>
      </w:r>
      <w:r w:rsidRPr="00381DC2">
        <w:rPr>
          <w:color w:val="000000"/>
        </w:rPr>
        <w:t xml:space="preserve">, bolest hlavy, změny </w:t>
      </w:r>
      <w:r w:rsidR="00EC6CAA" w:rsidRPr="00381DC2">
        <w:rPr>
          <w:color w:val="000000"/>
        </w:rPr>
        <w:t xml:space="preserve">duševního </w:t>
      </w:r>
      <w:r w:rsidRPr="00381DC2">
        <w:rPr>
          <w:color w:val="000000"/>
        </w:rPr>
        <w:t>stavu, poruch</w:t>
      </w:r>
      <w:r w:rsidR="00503439" w:rsidRPr="00381DC2">
        <w:rPr>
          <w:color w:val="000000"/>
        </w:rPr>
        <w:t>u zraku</w:t>
      </w:r>
      <w:r w:rsidRPr="00381DC2">
        <w:rPr>
          <w:color w:val="000000"/>
        </w:rPr>
        <w:t xml:space="preserve"> nebo kortikální slepotu, společně s hypertenzí nebo bez hypertenze. Klinické projevy syndromu PRES jsou často nespecifické, a proto je k potvrzení diagnózy nutné provedení zobrazovacího vyšetření mozku, přednostně pomocí </w:t>
      </w:r>
      <w:r w:rsidR="00503439" w:rsidRPr="00381DC2">
        <w:rPr>
          <w:color w:val="000000"/>
        </w:rPr>
        <w:t>MRI</w:t>
      </w:r>
      <w:r w:rsidRPr="00381DC2">
        <w:rPr>
          <w:color w:val="000000"/>
        </w:rPr>
        <w:t>.</w:t>
      </w:r>
    </w:p>
    <w:p w14:paraId="545DEF5C" w14:textId="77777777" w:rsidR="00D15122" w:rsidRPr="00381DC2" w:rsidRDefault="00D15122" w:rsidP="007F6E1B">
      <w:pPr>
        <w:rPr>
          <w:rFonts w:ascii="Times New Roman" w:eastAsia="Times New Roman" w:hAnsi="Times New Roman"/>
          <w:color w:val="000000"/>
        </w:rPr>
      </w:pPr>
    </w:p>
    <w:p w14:paraId="32B48792" w14:textId="77777777" w:rsidR="00D15122" w:rsidRPr="00381DC2" w:rsidRDefault="009B0756" w:rsidP="007F6E1B">
      <w:pPr>
        <w:pStyle w:val="BodyText"/>
        <w:ind w:left="0" w:right="272"/>
        <w:rPr>
          <w:color w:val="000000"/>
        </w:rPr>
      </w:pPr>
      <w:r w:rsidRPr="00381DC2">
        <w:rPr>
          <w:color w:val="000000"/>
        </w:rPr>
        <w:t>U pacientů se syndromem PRES se doporučuje včasné rozpoznání příznaků a vedle ukončení léčby bevacizumabem též okamžitá léčba specifických příznaků včetně úpravy hypertenze (pokud je syndrom doprovázen závažnou nekontrolovanou hypertenzí). Příznaky se zpravidla zmírní nebo vymizí během dnů po ukončení léčby, i když někteří pacienti měli určité neurologické následky. Bezpečnost opětovného zahájení terapie bevacizumabem u pacientů s předchozím výskytem syndromu PRES není známa.</w:t>
      </w:r>
    </w:p>
    <w:p w14:paraId="52C1BC23" w14:textId="77777777" w:rsidR="00D15122" w:rsidRPr="00381DC2" w:rsidRDefault="00D15122" w:rsidP="007F6E1B">
      <w:pPr>
        <w:rPr>
          <w:rFonts w:ascii="Times New Roman" w:eastAsia="Times New Roman" w:hAnsi="Times New Roman"/>
          <w:color w:val="000000"/>
        </w:rPr>
      </w:pPr>
    </w:p>
    <w:p w14:paraId="6D5B6B38" w14:textId="77777777" w:rsidR="00D15122" w:rsidRPr="00381DC2" w:rsidRDefault="009B0756" w:rsidP="007F6E1B">
      <w:pPr>
        <w:pStyle w:val="BodyText"/>
        <w:ind w:left="0" w:right="272"/>
        <w:rPr>
          <w:color w:val="000000"/>
        </w:rPr>
      </w:pPr>
      <w:r w:rsidRPr="00381DC2">
        <w:rPr>
          <w:color w:val="000000"/>
        </w:rPr>
        <w:t xml:space="preserve">V klinických </w:t>
      </w:r>
      <w:r w:rsidR="002D2300" w:rsidRPr="00381DC2">
        <w:rPr>
          <w:color w:val="000000"/>
        </w:rPr>
        <w:t>studiích</w:t>
      </w:r>
      <w:r w:rsidRPr="00381DC2">
        <w:rPr>
          <w:color w:val="000000"/>
        </w:rPr>
        <w:t xml:space="preserve"> bylo hlášeno 8 případů syndromu PRES. Dva z těchto osmi případů nebyly potvrzeny </w:t>
      </w:r>
      <w:r w:rsidR="00503439" w:rsidRPr="00381DC2">
        <w:rPr>
          <w:color w:val="000000"/>
        </w:rPr>
        <w:t>pomocí MRI</w:t>
      </w:r>
      <w:r w:rsidRPr="00381DC2">
        <w:rPr>
          <w:color w:val="000000"/>
        </w:rPr>
        <w:t>.</w:t>
      </w:r>
    </w:p>
    <w:p w14:paraId="672D41BF" w14:textId="77777777" w:rsidR="00D15122" w:rsidRPr="00381DC2" w:rsidRDefault="00D15122" w:rsidP="007F6E1B">
      <w:pPr>
        <w:rPr>
          <w:rFonts w:ascii="Times New Roman" w:eastAsia="Times New Roman" w:hAnsi="Times New Roman"/>
          <w:color w:val="000000"/>
        </w:rPr>
      </w:pPr>
    </w:p>
    <w:p w14:paraId="4E4026B6" w14:textId="77777777" w:rsidR="00D15122" w:rsidRPr="00381DC2" w:rsidRDefault="009B0756" w:rsidP="007F6E1B">
      <w:pPr>
        <w:spacing w:line="252" w:lineRule="exact"/>
        <w:rPr>
          <w:rFonts w:ascii="Times New Roman" w:eastAsia="Times New Roman" w:hAnsi="Times New Roman"/>
          <w:color w:val="000000"/>
          <w:u w:val="single"/>
        </w:rPr>
      </w:pPr>
      <w:r w:rsidRPr="00381DC2">
        <w:rPr>
          <w:rFonts w:ascii="Times New Roman" w:hAnsi="Times New Roman"/>
          <w:i/>
          <w:color w:val="000000"/>
          <w:u w:val="single"/>
        </w:rPr>
        <w:t xml:space="preserve">Proteinurie </w:t>
      </w:r>
      <w:r w:rsidRPr="00381DC2">
        <w:rPr>
          <w:rFonts w:ascii="Times New Roman" w:hAnsi="Times New Roman"/>
          <w:color w:val="000000"/>
          <w:u w:val="single"/>
        </w:rPr>
        <w:t>(viz bod 4.4)</w:t>
      </w:r>
    </w:p>
    <w:p w14:paraId="0E19E44B" w14:textId="77777777" w:rsidR="00701D3B" w:rsidRPr="00381DC2" w:rsidRDefault="00701D3B" w:rsidP="007F6E1B">
      <w:pPr>
        <w:pStyle w:val="BodyText"/>
        <w:ind w:left="0" w:right="272"/>
        <w:rPr>
          <w:color w:val="000000"/>
        </w:rPr>
      </w:pPr>
    </w:p>
    <w:p w14:paraId="1257D25D" w14:textId="77777777" w:rsidR="00D15122" w:rsidRPr="00381DC2" w:rsidRDefault="009B0756" w:rsidP="007F6E1B">
      <w:pPr>
        <w:pStyle w:val="BodyText"/>
        <w:ind w:left="0" w:right="272"/>
        <w:rPr>
          <w:color w:val="000000"/>
        </w:rPr>
      </w:pPr>
      <w:r w:rsidRPr="00381DC2">
        <w:rPr>
          <w:color w:val="000000"/>
        </w:rPr>
        <w:t xml:space="preserve">V klinických </w:t>
      </w:r>
      <w:r w:rsidR="002D2300" w:rsidRPr="00381DC2">
        <w:rPr>
          <w:color w:val="000000"/>
        </w:rPr>
        <w:t>studiích</w:t>
      </w:r>
      <w:r w:rsidRPr="00381DC2">
        <w:rPr>
          <w:color w:val="000000"/>
        </w:rPr>
        <w:t xml:space="preserve"> byla proteinurie hlášena u 0,7 % až 54,7 % pacientů léčených bevacizumabem.</w:t>
      </w:r>
    </w:p>
    <w:p w14:paraId="4E2DE757" w14:textId="77777777" w:rsidR="00D15122" w:rsidRPr="00381DC2" w:rsidRDefault="00D15122" w:rsidP="007F6E1B">
      <w:pPr>
        <w:rPr>
          <w:rFonts w:ascii="Times New Roman" w:eastAsia="Times New Roman" w:hAnsi="Times New Roman"/>
          <w:color w:val="000000"/>
        </w:rPr>
      </w:pPr>
    </w:p>
    <w:p w14:paraId="5210DF3A" w14:textId="77777777" w:rsidR="00D15122" w:rsidRPr="00381DC2" w:rsidRDefault="009B0756" w:rsidP="007F6E1B">
      <w:pPr>
        <w:pStyle w:val="BodyText"/>
        <w:ind w:left="0" w:right="198"/>
        <w:rPr>
          <w:color w:val="000000"/>
        </w:rPr>
      </w:pPr>
      <w:r w:rsidRPr="00381DC2">
        <w:rPr>
          <w:color w:val="000000"/>
        </w:rPr>
        <w:t xml:space="preserve">Její závažnost byla v rozmezí od klinicky asymptomatické, přechodné a stopové proteinurie </w:t>
      </w:r>
      <w:r w:rsidR="00503439" w:rsidRPr="00381DC2">
        <w:rPr>
          <w:color w:val="000000"/>
        </w:rPr>
        <w:t xml:space="preserve"> po </w:t>
      </w:r>
      <w:r w:rsidRPr="00381DC2">
        <w:rPr>
          <w:color w:val="000000"/>
        </w:rPr>
        <w:t>nefrotick</w:t>
      </w:r>
      <w:r w:rsidR="00503439" w:rsidRPr="00381DC2">
        <w:rPr>
          <w:color w:val="000000"/>
        </w:rPr>
        <w:t>ý</w:t>
      </w:r>
      <w:r w:rsidRPr="00381DC2">
        <w:rPr>
          <w:color w:val="000000"/>
        </w:rPr>
        <w:t xml:space="preserve"> syndrom, s velkou většinou případů klasifikovaných jako proteinurie stupně 1 (NCI-CTCAE v.3). Proteinurie stupně 3 byla hlášena až u 10,9 % léčených pacientů. Proteinurie stupně 4 (nefrotický syndrom) byla pozorována až u 1,4 % léčených pacientů. Před zahájením léčby přípravkem </w:t>
      </w:r>
      <w:r w:rsidR="00CC0FAB" w:rsidRPr="00381DC2">
        <w:rPr>
          <w:color w:val="000000"/>
        </w:rPr>
        <w:t>Zirabev</w:t>
      </w:r>
      <w:r w:rsidRPr="00381DC2">
        <w:rPr>
          <w:color w:val="000000"/>
        </w:rPr>
        <w:t xml:space="preserve"> se doporučuje vyšetřit proteinurii. Ve většině klinických </w:t>
      </w:r>
      <w:r w:rsidR="002D2300" w:rsidRPr="00381DC2">
        <w:rPr>
          <w:color w:val="000000"/>
        </w:rPr>
        <w:t>studií</w:t>
      </w:r>
      <w:r w:rsidRPr="00381DC2">
        <w:rPr>
          <w:color w:val="000000"/>
        </w:rPr>
        <w:t xml:space="preserve"> vedl</w:t>
      </w:r>
      <w:r w:rsidR="004C7645" w:rsidRPr="00381DC2">
        <w:rPr>
          <w:color w:val="000000"/>
        </w:rPr>
        <w:t xml:space="preserve">y hladiny bílkoviny v moči </w:t>
      </w:r>
      <w:r w:rsidRPr="00381DC2">
        <w:rPr>
          <w:color w:val="000000"/>
        </w:rPr>
        <w:t>≥ 2 g/24 hodin k pozastavení podávání bevacizumabu až do úpravy na &lt; 2 g/24 hodin.</w:t>
      </w:r>
    </w:p>
    <w:p w14:paraId="6C50A01D" w14:textId="77777777" w:rsidR="00D15122" w:rsidRPr="00381DC2" w:rsidRDefault="00D15122" w:rsidP="007F6E1B">
      <w:pPr>
        <w:rPr>
          <w:rFonts w:ascii="Times New Roman" w:eastAsia="Times New Roman" w:hAnsi="Times New Roman"/>
          <w:color w:val="000000"/>
        </w:rPr>
      </w:pPr>
    </w:p>
    <w:p w14:paraId="6C1B75E3" w14:textId="77777777" w:rsidR="00D15122" w:rsidRPr="00381DC2" w:rsidRDefault="009B0756" w:rsidP="007F6E1B">
      <w:pPr>
        <w:rPr>
          <w:rFonts w:ascii="Times New Roman" w:eastAsia="Times New Roman" w:hAnsi="Times New Roman"/>
          <w:color w:val="000000"/>
          <w:u w:val="single"/>
        </w:rPr>
      </w:pPr>
      <w:r w:rsidRPr="00381DC2">
        <w:rPr>
          <w:rFonts w:ascii="Times New Roman" w:hAnsi="Times New Roman"/>
          <w:i/>
          <w:color w:val="000000"/>
          <w:u w:val="single"/>
        </w:rPr>
        <w:t>Krvácení</w:t>
      </w:r>
      <w:r w:rsidRPr="00381DC2">
        <w:rPr>
          <w:rFonts w:ascii="Times New Roman" w:hAnsi="Times New Roman"/>
          <w:color w:val="000000"/>
          <w:u w:val="single"/>
        </w:rPr>
        <w:t xml:space="preserve"> (viz bod 4.4)</w:t>
      </w:r>
    </w:p>
    <w:p w14:paraId="74868152" w14:textId="77777777" w:rsidR="00701D3B" w:rsidRPr="00381DC2" w:rsidRDefault="00701D3B" w:rsidP="007F6E1B">
      <w:pPr>
        <w:pStyle w:val="BodyText"/>
        <w:ind w:left="0" w:right="288" w:hanging="1"/>
        <w:rPr>
          <w:color w:val="000000"/>
        </w:rPr>
      </w:pPr>
    </w:p>
    <w:p w14:paraId="671C0A5E" w14:textId="77777777" w:rsidR="00D15122" w:rsidRPr="00381DC2" w:rsidRDefault="009B0756" w:rsidP="007F6E1B">
      <w:pPr>
        <w:pStyle w:val="BodyText"/>
        <w:ind w:left="0" w:right="288" w:hanging="1"/>
        <w:rPr>
          <w:color w:val="000000"/>
        </w:rPr>
      </w:pPr>
      <w:r w:rsidRPr="00381DC2">
        <w:rPr>
          <w:color w:val="000000"/>
        </w:rPr>
        <w:t xml:space="preserve">Celková incidence krvácivých účinků stupně 3–5 dle NCI-CTCAE v.3 v klinických </w:t>
      </w:r>
      <w:r w:rsidR="002D2300" w:rsidRPr="00381DC2">
        <w:rPr>
          <w:color w:val="000000"/>
        </w:rPr>
        <w:t>studiích</w:t>
      </w:r>
      <w:r w:rsidRPr="00381DC2">
        <w:rPr>
          <w:color w:val="000000"/>
        </w:rPr>
        <w:t xml:space="preserve"> napříč všemi indikacemi se u pacientů léčených bevacizumabem pohybovala mezi 0,4 % a 6,9 % ve srovnání s až 4,5 % u pacientů v kontrolní chemoterapeutické skupině.</w:t>
      </w:r>
    </w:p>
    <w:p w14:paraId="39C6A16C" w14:textId="77777777" w:rsidR="00B419F6" w:rsidRPr="00381DC2" w:rsidRDefault="00B419F6" w:rsidP="007F6E1B">
      <w:pPr>
        <w:pStyle w:val="BodyText"/>
        <w:ind w:left="0" w:right="227"/>
        <w:rPr>
          <w:color w:val="000000"/>
        </w:rPr>
      </w:pPr>
    </w:p>
    <w:p w14:paraId="142B8DF2" w14:textId="77777777" w:rsidR="00D15122" w:rsidRPr="00381DC2" w:rsidRDefault="009B0756" w:rsidP="007F6E1B">
      <w:pPr>
        <w:pStyle w:val="BodyText"/>
        <w:ind w:left="0" w:right="227"/>
        <w:rPr>
          <w:color w:val="000000"/>
        </w:rPr>
      </w:pPr>
      <w:r w:rsidRPr="00381DC2">
        <w:rPr>
          <w:color w:val="000000"/>
        </w:rPr>
        <w:t>V klinické</w:t>
      </w:r>
      <w:r w:rsidR="002D2300" w:rsidRPr="00381DC2">
        <w:rPr>
          <w:color w:val="000000"/>
        </w:rPr>
        <w:t xml:space="preserve"> studii</w:t>
      </w:r>
      <w:r w:rsidRPr="00381DC2">
        <w:rPr>
          <w:color w:val="000000"/>
        </w:rPr>
        <w:t xml:space="preserve"> u pacientek s přetrvávajícím, rekurentním nebo </w:t>
      </w:r>
      <w:r w:rsidR="000834FE" w:rsidRPr="00381DC2">
        <w:rPr>
          <w:color w:val="000000"/>
        </w:rPr>
        <w:t>metasta</w:t>
      </w:r>
      <w:r w:rsidR="002D2300" w:rsidRPr="00381DC2">
        <w:rPr>
          <w:color w:val="000000"/>
        </w:rPr>
        <w:t>zujícím</w:t>
      </w:r>
      <w:r w:rsidR="000834FE" w:rsidRPr="00381DC2">
        <w:rPr>
          <w:color w:val="000000"/>
        </w:rPr>
        <w:t xml:space="preserve"> </w:t>
      </w:r>
      <w:r w:rsidRPr="00381DC2">
        <w:rPr>
          <w:color w:val="000000"/>
        </w:rPr>
        <w:t xml:space="preserve">karcinomem děložního </w:t>
      </w:r>
      <w:r w:rsidR="002D2300" w:rsidRPr="00381DC2">
        <w:rPr>
          <w:color w:val="000000"/>
        </w:rPr>
        <w:t>čípku</w:t>
      </w:r>
      <w:r w:rsidRPr="00381DC2">
        <w:rPr>
          <w:color w:val="000000"/>
        </w:rPr>
        <w:t xml:space="preserve"> (GOG-0240) byly hlášeny krvácivé účinky stupně 3–5 až u 8,3 % pacientek léčených bevacizumabem v kombinaci s paklitaxelem a topotekanem ve srovnání s až 4,6 % pacientek léčených paklitaxelem a topotekanem.</w:t>
      </w:r>
    </w:p>
    <w:p w14:paraId="65F12AFE" w14:textId="77777777" w:rsidR="00D15122" w:rsidRPr="00381DC2" w:rsidRDefault="00D15122" w:rsidP="007F6E1B">
      <w:pPr>
        <w:rPr>
          <w:rFonts w:ascii="Times New Roman" w:eastAsia="Times New Roman" w:hAnsi="Times New Roman"/>
          <w:color w:val="000000"/>
        </w:rPr>
      </w:pPr>
    </w:p>
    <w:p w14:paraId="700B474F" w14:textId="77777777" w:rsidR="00D15122" w:rsidRPr="00381DC2" w:rsidRDefault="002D2300" w:rsidP="007F6E1B">
      <w:pPr>
        <w:pStyle w:val="BodyText"/>
        <w:ind w:left="0" w:right="157"/>
        <w:rPr>
          <w:color w:val="000000"/>
        </w:rPr>
      </w:pPr>
      <w:r w:rsidRPr="00381DC2">
        <w:rPr>
          <w:color w:val="000000"/>
        </w:rPr>
        <w:t>Hemoragické reakce</w:t>
      </w:r>
      <w:r w:rsidR="009B0756" w:rsidRPr="00381DC2">
        <w:rPr>
          <w:color w:val="000000"/>
        </w:rPr>
        <w:t>, které byl</w:t>
      </w:r>
      <w:r w:rsidR="004C7645" w:rsidRPr="00381DC2">
        <w:rPr>
          <w:color w:val="000000"/>
        </w:rPr>
        <w:t>y</w:t>
      </w:r>
      <w:r w:rsidR="009B0756" w:rsidRPr="00381DC2">
        <w:rPr>
          <w:color w:val="000000"/>
        </w:rPr>
        <w:t xml:space="preserve"> pozorován</w:t>
      </w:r>
      <w:r w:rsidR="004C7645" w:rsidRPr="00381DC2">
        <w:rPr>
          <w:color w:val="000000"/>
        </w:rPr>
        <w:t>y</w:t>
      </w:r>
      <w:r w:rsidR="009B0756" w:rsidRPr="00381DC2">
        <w:rPr>
          <w:color w:val="000000"/>
        </w:rPr>
        <w:t xml:space="preserve"> v klinických </w:t>
      </w:r>
      <w:r w:rsidR="000121B8" w:rsidRPr="00381DC2">
        <w:rPr>
          <w:color w:val="000000"/>
        </w:rPr>
        <w:t>studiích</w:t>
      </w:r>
      <w:r w:rsidR="009B0756" w:rsidRPr="00381DC2">
        <w:rPr>
          <w:color w:val="000000"/>
        </w:rPr>
        <w:t>, byl</w:t>
      </w:r>
      <w:r w:rsidR="004C7645" w:rsidRPr="00381DC2">
        <w:rPr>
          <w:color w:val="000000"/>
        </w:rPr>
        <w:t>y</w:t>
      </w:r>
      <w:r w:rsidR="009B0756" w:rsidRPr="00381DC2">
        <w:rPr>
          <w:color w:val="000000"/>
        </w:rPr>
        <w:t xml:space="preserve"> většinou krvácení </w:t>
      </w:r>
      <w:r w:rsidR="004C7645" w:rsidRPr="00381DC2">
        <w:rPr>
          <w:color w:val="000000"/>
        </w:rPr>
        <w:t>související s nádorem</w:t>
      </w:r>
      <w:r w:rsidR="009B0756" w:rsidRPr="00381DC2">
        <w:rPr>
          <w:color w:val="000000"/>
        </w:rPr>
        <w:t xml:space="preserve"> (viz níže)</w:t>
      </w:r>
      <w:r w:rsidR="004C7645" w:rsidRPr="00381DC2">
        <w:rPr>
          <w:color w:val="000000"/>
        </w:rPr>
        <w:t xml:space="preserve"> a menší mukokutánní krvácení </w:t>
      </w:r>
      <w:r w:rsidR="009B0756" w:rsidRPr="00381DC2">
        <w:rPr>
          <w:color w:val="000000"/>
        </w:rPr>
        <w:t>(například epistaxe).</w:t>
      </w:r>
    </w:p>
    <w:p w14:paraId="7BBB9742" w14:textId="77777777" w:rsidR="00D15122" w:rsidRPr="00381DC2" w:rsidRDefault="00D15122" w:rsidP="007F6E1B">
      <w:pPr>
        <w:rPr>
          <w:rFonts w:ascii="Times New Roman" w:eastAsia="Times New Roman" w:hAnsi="Times New Roman"/>
          <w:color w:val="000000"/>
        </w:rPr>
      </w:pPr>
    </w:p>
    <w:p w14:paraId="66A6BF07" w14:textId="77777777" w:rsidR="00D15122" w:rsidRPr="00381DC2" w:rsidRDefault="009B0756" w:rsidP="007F6E1B">
      <w:pPr>
        <w:spacing w:line="252" w:lineRule="exact"/>
        <w:rPr>
          <w:rFonts w:ascii="Times New Roman" w:eastAsia="Times New Roman" w:hAnsi="Times New Roman"/>
          <w:color w:val="000000"/>
          <w:u w:val="single"/>
        </w:rPr>
      </w:pPr>
      <w:r w:rsidRPr="00381DC2">
        <w:rPr>
          <w:rFonts w:ascii="Times New Roman" w:hAnsi="Times New Roman"/>
          <w:i/>
          <w:color w:val="000000"/>
          <w:u w:val="single"/>
        </w:rPr>
        <w:t>Krvácení související s nádor</w:t>
      </w:r>
      <w:r w:rsidR="00EE1F12" w:rsidRPr="00381DC2">
        <w:rPr>
          <w:rFonts w:ascii="Times New Roman" w:hAnsi="Times New Roman"/>
          <w:i/>
          <w:color w:val="000000"/>
          <w:u w:val="single"/>
        </w:rPr>
        <w:t>em</w:t>
      </w:r>
      <w:r w:rsidRPr="00381DC2">
        <w:rPr>
          <w:rFonts w:ascii="Times New Roman" w:hAnsi="Times New Roman"/>
          <w:color w:val="000000"/>
          <w:u w:val="single"/>
        </w:rPr>
        <w:t xml:space="preserve"> (viz bod 4.4)</w:t>
      </w:r>
    </w:p>
    <w:p w14:paraId="25FB59B8" w14:textId="77777777" w:rsidR="00701D3B" w:rsidRPr="00381DC2" w:rsidRDefault="00701D3B" w:rsidP="007F6E1B">
      <w:pPr>
        <w:pStyle w:val="BodyText"/>
        <w:ind w:left="0" w:right="227"/>
        <w:rPr>
          <w:color w:val="000000"/>
        </w:rPr>
      </w:pPr>
    </w:p>
    <w:p w14:paraId="36ADAA15" w14:textId="77777777" w:rsidR="00D15122" w:rsidRPr="00381DC2" w:rsidRDefault="009B0756" w:rsidP="007F6E1B">
      <w:pPr>
        <w:pStyle w:val="BodyText"/>
        <w:ind w:left="0" w:right="227"/>
        <w:rPr>
          <w:color w:val="000000"/>
        </w:rPr>
      </w:pPr>
      <w:r w:rsidRPr="00381DC2">
        <w:rPr>
          <w:color w:val="000000"/>
        </w:rPr>
        <w:t xml:space="preserve">Velké nebo masivní plicní krvácení / hemoptýza bylo v klinických </w:t>
      </w:r>
      <w:r w:rsidR="000121B8" w:rsidRPr="00381DC2">
        <w:rPr>
          <w:color w:val="000000"/>
        </w:rPr>
        <w:t>studiích</w:t>
      </w:r>
      <w:r w:rsidRPr="00381DC2">
        <w:rPr>
          <w:color w:val="000000"/>
        </w:rPr>
        <w:t xml:space="preserve"> pozorováno především u pacientů s nemalobuněčným </w:t>
      </w:r>
      <w:r w:rsidR="000121B8" w:rsidRPr="00381DC2">
        <w:rPr>
          <w:color w:val="000000"/>
        </w:rPr>
        <w:t>karcinomem</w:t>
      </w:r>
      <w:r w:rsidR="00F0199F" w:rsidRPr="00381DC2">
        <w:rPr>
          <w:color w:val="000000"/>
        </w:rPr>
        <w:t xml:space="preserve"> plic</w:t>
      </w:r>
      <w:r w:rsidRPr="00381DC2">
        <w:rPr>
          <w:color w:val="000000"/>
        </w:rPr>
        <w:t xml:space="preserve"> (NSCLC). Mezi možné rizikové faktory patří histologický nález dlaždicových buněk, léčba antirevmatiky/antiflogistiky, léčba antikoagulancii, předchozí radioterapie, léčba bevacizumabem, anamnéza aterosklerózy, centrální </w:t>
      </w:r>
      <w:r w:rsidR="00EE1F12" w:rsidRPr="00381DC2">
        <w:rPr>
          <w:color w:val="000000"/>
        </w:rPr>
        <w:t xml:space="preserve">lokalizace </w:t>
      </w:r>
      <w:r w:rsidRPr="00381DC2">
        <w:rPr>
          <w:color w:val="000000"/>
        </w:rPr>
        <w:t>nádoru a kavitace nádor</w:t>
      </w:r>
      <w:r w:rsidR="00EE1F12" w:rsidRPr="00381DC2">
        <w:rPr>
          <w:color w:val="000000"/>
        </w:rPr>
        <w:t>ů</w:t>
      </w:r>
      <w:r w:rsidRPr="00381DC2">
        <w:rPr>
          <w:color w:val="000000"/>
        </w:rPr>
        <w:t xml:space="preserve"> před léčbou nebo v jejím průběhu. Jedinými proměnnými, u kterých byla prokázána statisticky významná korelace s krvácením, byly léčba bevacizumabem a histologický nález dlaždicových buněk. Pacienti s NSCLC </w:t>
      </w:r>
      <w:r w:rsidR="00EE1F12" w:rsidRPr="00381DC2">
        <w:rPr>
          <w:color w:val="000000"/>
        </w:rPr>
        <w:t xml:space="preserve">se známým </w:t>
      </w:r>
      <w:r w:rsidRPr="00381DC2">
        <w:rPr>
          <w:color w:val="000000"/>
        </w:rPr>
        <w:t xml:space="preserve">histologickým nálezem dlaždicových </w:t>
      </w:r>
      <w:r w:rsidRPr="00381DC2">
        <w:rPr>
          <w:color w:val="000000"/>
        </w:rPr>
        <w:lastRenderedPageBreak/>
        <w:t>buněk nebo s</w:t>
      </w:r>
      <w:r w:rsidR="00EE1F12" w:rsidRPr="00381DC2">
        <w:rPr>
          <w:color w:val="000000"/>
        </w:rPr>
        <w:t> histologickým nálezem</w:t>
      </w:r>
      <w:r w:rsidRPr="00381DC2">
        <w:rPr>
          <w:color w:val="000000"/>
        </w:rPr>
        <w:t xml:space="preserve"> smíšen</w:t>
      </w:r>
      <w:r w:rsidR="00EE1F12" w:rsidRPr="00381DC2">
        <w:rPr>
          <w:color w:val="000000"/>
        </w:rPr>
        <w:t>ého</w:t>
      </w:r>
      <w:r w:rsidRPr="00381DC2">
        <w:rPr>
          <w:color w:val="000000"/>
        </w:rPr>
        <w:t xml:space="preserve"> typ</w:t>
      </w:r>
      <w:r w:rsidR="00EE1F12" w:rsidRPr="00381DC2">
        <w:rPr>
          <w:color w:val="000000"/>
        </w:rPr>
        <w:t>u</w:t>
      </w:r>
      <w:r w:rsidRPr="00381DC2">
        <w:rPr>
          <w:color w:val="000000"/>
        </w:rPr>
        <w:t xml:space="preserve"> s převahou dlaždico</w:t>
      </w:r>
      <w:r w:rsidR="007D1931" w:rsidRPr="00381DC2">
        <w:rPr>
          <w:color w:val="000000"/>
        </w:rPr>
        <w:t xml:space="preserve">vých buněk </w:t>
      </w:r>
      <w:r w:rsidRPr="00381DC2">
        <w:rPr>
          <w:color w:val="000000"/>
        </w:rPr>
        <w:t xml:space="preserve">byli z následujících </w:t>
      </w:r>
      <w:r w:rsidR="00EE1F12" w:rsidRPr="00381DC2">
        <w:rPr>
          <w:color w:val="000000"/>
        </w:rPr>
        <w:t xml:space="preserve">studií </w:t>
      </w:r>
      <w:r w:rsidRPr="00381DC2">
        <w:rPr>
          <w:color w:val="000000"/>
        </w:rPr>
        <w:t xml:space="preserve">fáze III vyloučeni, </w:t>
      </w:r>
      <w:r w:rsidR="00EE1F12" w:rsidRPr="00381DC2">
        <w:rPr>
          <w:color w:val="000000"/>
        </w:rPr>
        <w:t xml:space="preserve">zatímco </w:t>
      </w:r>
      <w:r w:rsidRPr="00381DC2">
        <w:rPr>
          <w:color w:val="000000"/>
        </w:rPr>
        <w:t>pacienti s neznámou histologií nádoru byli zařazeni.</w:t>
      </w:r>
    </w:p>
    <w:p w14:paraId="3F62B0FC" w14:textId="77777777" w:rsidR="00D15122" w:rsidRPr="00381DC2" w:rsidRDefault="00D15122" w:rsidP="007F6E1B">
      <w:pPr>
        <w:rPr>
          <w:rFonts w:ascii="Times New Roman" w:eastAsia="Times New Roman" w:hAnsi="Times New Roman"/>
          <w:color w:val="000000"/>
        </w:rPr>
      </w:pPr>
    </w:p>
    <w:p w14:paraId="482C86B8" w14:textId="77777777" w:rsidR="00D15122" w:rsidRPr="00381DC2" w:rsidRDefault="009B0756" w:rsidP="007F6E1B">
      <w:pPr>
        <w:pStyle w:val="BodyText"/>
        <w:ind w:left="0" w:right="125" w:hanging="1"/>
        <w:rPr>
          <w:color w:val="000000"/>
        </w:rPr>
      </w:pPr>
      <w:r w:rsidRPr="00381DC2">
        <w:rPr>
          <w:color w:val="000000"/>
        </w:rPr>
        <w:t xml:space="preserve">U pacientů s NSCLC s vyloučením predominantní dlaždicové histologie byla frekvence účinků všech stupňů až 9,3 % při léčbě bevacizumabem plus chemoterapií ve srovnání s až 5 % u pacientů léčených samotnou chemoterapií. </w:t>
      </w:r>
      <w:r w:rsidR="0077346C" w:rsidRPr="00381DC2">
        <w:rPr>
          <w:color w:val="000000"/>
        </w:rPr>
        <w:t>Ú</w:t>
      </w:r>
      <w:r w:rsidRPr="00381DC2">
        <w:rPr>
          <w:color w:val="000000"/>
        </w:rPr>
        <w:t>činky stupně 3–5 byly pozorovány až u 2,3 % pacientů léčených bevacizumabem plus chemoterapií ve srovnání s &lt; 1 % při samotné chemoterapii (NCI-CTCAE v.3). Velké nebo masivní plicní krvácení / hemoptýza se může objevit náhle a až dvě třetiny případů závažného plicního krvácení končily fatálně.</w:t>
      </w:r>
    </w:p>
    <w:p w14:paraId="6F390C25" w14:textId="77777777" w:rsidR="00D15122" w:rsidRPr="00381DC2" w:rsidRDefault="00D15122" w:rsidP="007F6E1B">
      <w:pPr>
        <w:rPr>
          <w:rFonts w:ascii="Times New Roman" w:eastAsia="Times New Roman" w:hAnsi="Times New Roman"/>
          <w:color w:val="000000"/>
        </w:rPr>
      </w:pPr>
    </w:p>
    <w:p w14:paraId="7A93D655" w14:textId="77777777" w:rsidR="00D15122" w:rsidRPr="00381DC2" w:rsidRDefault="009B0756" w:rsidP="007F6E1B">
      <w:pPr>
        <w:pStyle w:val="BodyText"/>
        <w:ind w:left="0" w:right="176"/>
        <w:rPr>
          <w:color w:val="000000"/>
        </w:rPr>
      </w:pPr>
      <w:r w:rsidRPr="00381DC2">
        <w:rPr>
          <w:color w:val="000000"/>
        </w:rPr>
        <w:t>U pacientů s kolorektálním karcinomem bylo hlášeno gastrointestinální krvácení včetně krvácení z konečníku a melény. Tyto případy krvácení byly hodnoceny jako krvácení související s nádorem.</w:t>
      </w:r>
    </w:p>
    <w:p w14:paraId="1492747E" w14:textId="77777777" w:rsidR="00D15122" w:rsidRPr="00F60460" w:rsidRDefault="00D15122" w:rsidP="007F6E1B">
      <w:pPr>
        <w:rPr>
          <w:rFonts w:ascii="Times New Roman" w:eastAsia="Times New Roman" w:hAnsi="Times New Roman"/>
          <w:color w:val="000000"/>
          <w:sz w:val="21"/>
          <w:szCs w:val="21"/>
        </w:rPr>
      </w:pPr>
    </w:p>
    <w:p w14:paraId="518BB1C1" w14:textId="77777777" w:rsidR="00D15122" w:rsidRPr="00381DC2" w:rsidRDefault="009B0756" w:rsidP="007F6E1B">
      <w:pPr>
        <w:pStyle w:val="BodyText"/>
        <w:ind w:left="0" w:right="176"/>
        <w:rPr>
          <w:color w:val="000000"/>
        </w:rPr>
      </w:pPr>
      <w:r w:rsidRPr="00381DC2">
        <w:rPr>
          <w:color w:val="000000"/>
        </w:rPr>
        <w:t xml:space="preserve">Krvácení </w:t>
      </w:r>
      <w:r w:rsidR="0077346C" w:rsidRPr="00381DC2">
        <w:rPr>
          <w:color w:val="000000"/>
        </w:rPr>
        <w:t xml:space="preserve">související s nádorem </w:t>
      </w:r>
      <w:r w:rsidRPr="00381DC2">
        <w:rPr>
          <w:color w:val="000000"/>
        </w:rPr>
        <w:t xml:space="preserve">bylo vzácně pozorováno i u jiných typů nádorů a v jiných lokalizacích nádorů, včetně případů krvácení </w:t>
      </w:r>
      <w:r w:rsidR="0077346C" w:rsidRPr="00381DC2">
        <w:rPr>
          <w:color w:val="000000"/>
        </w:rPr>
        <w:t xml:space="preserve">do </w:t>
      </w:r>
      <w:r w:rsidRPr="00381DC2">
        <w:rPr>
          <w:color w:val="000000"/>
        </w:rPr>
        <w:t>centrální</w:t>
      </w:r>
      <w:r w:rsidR="0077346C" w:rsidRPr="00381DC2">
        <w:rPr>
          <w:color w:val="000000"/>
        </w:rPr>
        <w:t>ho</w:t>
      </w:r>
      <w:r w:rsidRPr="00381DC2">
        <w:rPr>
          <w:color w:val="000000"/>
        </w:rPr>
        <w:t xml:space="preserve"> nervové</w:t>
      </w:r>
      <w:r w:rsidR="0077346C" w:rsidRPr="00381DC2">
        <w:rPr>
          <w:color w:val="000000"/>
        </w:rPr>
        <w:t>ho</w:t>
      </w:r>
      <w:r w:rsidRPr="00381DC2">
        <w:rPr>
          <w:color w:val="000000"/>
        </w:rPr>
        <w:t xml:space="preserve"> systému (CNS) u pacientů s metastázami v CNS (viz bod 4.4).</w:t>
      </w:r>
    </w:p>
    <w:p w14:paraId="772F2ADA" w14:textId="77777777" w:rsidR="00D15122" w:rsidRPr="00381DC2" w:rsidRDefault="00D15122" w:rsidP="007F6E1B">
      <w:pPr>
        <w:rPr>
          <w:rFonts w:ascii="Times New Roman" w:eastAsia="Times New Roman" w:hAnsi="Times New Roman"/>
          <w:color w:val="000000"/>
        </w:rPr>
      </w:pPr>
    </w:p>
    <w:p w14:paraId="678BE30E" w14:textId="77777777" w:rsidR="00D15122" w:rsidRPr="00381DC2" w:rsidRDefault="009B0756" w:rsidP="007F6E1B">
      <w:pPr>
        <w:pStyle w:val="BodyText"/>
        <w:ind w:left="0" w:right="176"/>
        <w:rPr>
          <w:color w:val="000000"/>
        </w:rPr>
      </w:pPr>
      <w:r w:rsidRPr="00381DC2">
        <w:rPr>
          <w:color w:val="000000"/>
        </w:rPr>
        <w:t>Incidence krvácení do CNS u pacientů s neléčenými metastázami v CNS, kteří dostávají bevacizumab, nebyla prospektivně hodnocena v </w:t>
      </w:r>
      <w:r w:rsidR="0077346C" w:rsidRPr="00381DC2">
        <w:rPr>
          <w:color w:val="000000"/>
        </w:rPr>
        <w:t xml:space="preserve">randomizovaných klinických </w:t>
      </w:r>
      <w:r w:rsidR="000121B8" w:rsidRPr="00381DC2">
        <w:rPr>
          <w:color w:val="000000"/>
        </w:rPr>
        <w:t>studiích</w:t>
      </w:r>
      <w:r w:rsidRPr="00381DC2">
        <w:rPr>
          <w:color w:val="000000"/>
        </w:rPr>
        <w:t xml:space="preserve">. V explorativní retrospektivní analýze dat ze 13 dokončených randomizovaných </w:t>
      </w:r>
      <w:r w:rsidR="000121B8" w:rsidRPr="00381DC2">
        <w:rPr>
          <w:color w:val="000000"/>
        </w:rPr>
        <w:t>studií</w:t>
      </w:r>
      <w:r w:rsidRPr="00381DC2">
        <w:rPr>
          <w:color w:val="000000"/>
        </w:rPr>
        <w:t xml:space="preserve"> u pacientů s různými typy nádorů bylo krvácení do CNS (vždy stupně 4) během léčby bevacizumabem zaznamenáno u 3 pacientů z celkového počtu 91 (3,3 %) s </w:t>
      </w:r>
      <w:r w:rsidR="0077346C" w:rsidRPr="00381DC2">
        <w:rPr>
          <w:color w:val="000000"/>
        </w:rPr>
        <w:t xml:space="preserve">mozkovými </w:t>
      </w:r>
      <w:r w:rsidRPr="00381DC2">
        <w:rPr>
          <w:color w:val="000000"/>
        </w:rPr>
        <w:t xml:space="preserve">metastázami v porovnání s 1 případem (stupeň 5) z celkového počtu 96 pacientů (1 %), kteří nebyli vystaveni bevacizumabu. Ve dvou následujících studiích u pacientů s léčenými mozkovými metastázami (do kterých bylo zařazeno přibližně 800 pacientů) byl v době průběžné </w:t>
      </w:r>
      <w:r w:rsidR="0077346C" w:rsidRPr="00381DC2">
        <w:rPr>
          <w:color w:val="000000"/>
        </w:rPr>
        <w:t xml:space="preserve">bezpečnostní </w:t>
      </w:r>
      <w:r w:rsidRPr="00381DC2">
        <w:rPr>
          <w:color w:val="000000"/>
        </w:rPr>
        <w:t>analýzy hlášen jeden případ krvácení do CNS stupně 2 u 83 subjektů léčených bevacizumabem (1,2 %) (NCI-CTCAE v.3).</w:t>
      </w:r>
    </w:p>
    <w:p w14:paraId="7C9285A5" w14:textId="77777777" w:rsidR="00203535" w:rsidRPr="00381DC2" w:rsidRDefault="00203535" w:rsidP="007F6E1B">
      <w:pPr>
        <w:pStyle w:val="BodyText"/>
        <w:ind w:left="0" w:right="176"/>
        <w:rPr>
          <w:color w:val="000000"/>
        </w:rPr>
      </w:pPr>
    </w:p>
    <w:p w14:paraId="1C1E0AEC" w14:textId="77777777" w:rsidR="00D15122" w:rsidRPr="00381DC2" w:rsidRDefault="009B0756" w:rsidP="007F6E1B">
      <w:pPr>
        <w:pStyle w:val="BodyText"/>
        <w:ind w:left="0" w:right="157"/>
        <w:rPr>
          <w:color w:val="000000"/>
        </w:rPr>
      </w:pPr>
      <w:r w:rsidRPr="00381DC2">
        <w:rPr>
          <w:color w:val="000000"/>
        </w:rPr>
        <w:t xml:space="preserve">Ve všech klinických </w:t>
      </w:r>
      <w:r w:rsidR="000121B8" w:rsidRPr="00381DC2">
        <w:rPr>
          <w:color w:val="000000"/>
        </w:rPr>
        <w:t>studiích</w:t>
      </w:r>
      <w:r w:rsidR="00634D4C" w:rsidRPr="00381DC2">
        <w:rPr>
          <w:color w:val="000000"/>
        </w:rPr>
        <w:t xml:space="preserve"> </w:t>
      </w:r>
      <w:r w:rsidRPr="00381DC2">
        <w:rPr>
          <w:color w:val="000000"/>
        </w:rPr>
        <w:t xml:space="preserve">bylo </w:t>
      </w:r>
      <w:r w:rsidR="00634D4C" w:rsidRPr="00381DC2">
        <w:rPr>
          <w:color w:val="000000"/>
        </w:rPr>
        <w:t xml:space="preserve">mukokutánní </w:t>
      </w:r>
      <w:r w:rsidRPr="00381DC2">
        <w:rPr>
          <w:color w:val="000000"/>
        </w:rPr>
        <w:t xml:space="preserve">krvácení pozorováno až u 50 % bevacizumabem léčených pacientů. Nejčastěji se jednalo o epistaxi stupně 1 dle NCI-CTCAE v.3, která trvala méně než 5 minut, odezněla bez </w:t>
      </w:r>
      <w:r w:rsidR="00634D4C" w:rsidRPr="00381DC2">
        <w:rPr>
          <w:color w:val="000000"/>
        </w:rPr>
        <w:t xml:space="preserve">lékařského </w:t>
      </w:r>
      <w:r w:rsidRPr="00381DC2">
        <w:rPr>
          <w:color w:val="000000"/>
        </w:rPr>
        <w:t xml:space="preserve">zákroku a nevyžadovala žádné změny léčby bevacizumabem. Dle </w:t>
      </w:r>
      <w:r w:rsidR="006A1360" w:rsidRPr="00381DC2">
        <w:rPr>
          <w:color w:val="000000"/>
        </w:rPr>
        <w:t>klinických údajů vztahujících se k bezpečnosti</w:t>
      </w:r>
      <w:r w:rsidRPr="00381DC2">
        <w:rPr>
          <w:color w:val="000000"/>
        </w:rPr>
        <w:t xml:space="preserve"> se zdá, že incidence menšího </w:t>
      </w:r>
      <w:r w:rsidR="00634D4C" w:rsidRPr="00381DC2">
        <w:rPr>
          <w:color w:val="000000"/>
        </w:rPr>
        <w:t xml:space="preserve">mukokutánního </w:t>
      </w:r>
      <w:r w:rsidRPr="00381DC2">
        <w:rPr>
          <w:color w:val="000000"/>
        </w:rPr>
        <w:t>krvácení (např. epistaxe) může být závislá na dávce.</w:t>
      </w:r>
    </w:p>
    <w:p w14:paraId="4795BC80" w14:textId="77777777" w:rsidR="00D15122" w:rsidRPr="00381DC2" w:rsidRDefault="00D15122" w:rsidP="007F6E1B">
      <w:pPr>
        <w:rPr>
          <w:rFonts w:ascii="Times New Roman" w:eastAsia="Times New Roman" w:hAnsi="Times New Roman"/>
          <w:color w:val="000000"/>
        </w:rPr>
      </w:pPr>
    </w:p>
    <w:p w14:paraId="566D6040" w14:textId="77777777" w:rsidR="00D15122" w:rsidRPr="00381DC2" w:rsidRDefault="009B0756" w:rsidP="004F6645">
      <w:pPr>
        <w:pStyle w:val="BodyText"/>
        <w:widowControl/>
        <w:ind w:left="0" w:right="173"/>
        <w:rPr>
          <w:color w:val="000000"/>
        </w:rPr>
      </w:pPr>
      <w:r w:rsidRPr="00381DC2">
        <w:rPr>
          <w:color w:val="000000"/>
        </w:rPr>
        <w:t xml:space="preserve">Bylo rovněž zaznamenáno méně časté </w:t>
      </w:r>
      <w:r w:rsidR="00634D4C" w:rsidRPr="00381DC2">
        <w:rPr>
          <w:color w:val="000000"/>
        </w:rPr>
        <w:t xml:space="preserve">menší mukokutánní </w:t>
      </w:r>
      <w:r w:rsidRPr="00381DC2">
        <w:rPr>
          <w:color w:val="000000"/>
        </w:rPr>
        <w:t>krvácení v jiných lokalitách, jako je krvácení z dásní nebo vaginální krvácení.</w:t>
      </w:r>
    </w:p>
    <w:p w14:paraId="3D126AB7" w14:textId="77777777" w:rsidR="00D15122" w:rsidRPr="00F60460" w:rsidRDefault="00D15122" w:rsidP="007F6E1B">
      <w:pPr>
        <w:rPr>
          <w:rFonts w:ascii="Times New Roman" w:eastAsia="Times New Roman" w:hAnsi="Times New Roman"/>
          <w:color w:val="000000"/>
          <w:sz w:val="21"/>
          <w:szCs w:val="21"/>
        </w:rPr>
      </w:pPr>
    </w:p>
    <w:p w14:paraId="0694C4CD" w14:textId="77777777" w:rsidR="00D15122" w:rsidRPr="00381DC2" w:rsidRDefault="009B0756" w:rsidP="007F6E1B">
      <w:pPr>
        <w:rPr>
          <w:rFonts w:ascii="Times New Roman" w:eastAsia="Times New Roman" w:hAnsi="Times New Roman"/>
          <w:color w:val="000000"/>
          <w:u w:val="single"/>
        </w:rPr>
      </w:pPr>
      <w:r w:rsidRPr="00381DC2">
        <w:rPr>
          <w:rFonts w:ascii="Times New Roman" w:hAnsi="Times New Roman"/>
          <w:i/>
          <w:color w:val="000000"/>
          <w:u w:val="single"/>
        </w:rPr>
        <w:t>Tromboembolie</w:t>
      </w:r>
      <w:r w:rsidRPr="00381DC2">
        <w:rPr>
          <w:rFonts w:ascii="Times New Roman" w:hAnsi="Times New Roman"/>
          <w:color w:val="000000"/>
          <w:u w:val="single"/>
        </w:rPr>
        <w:t xml:space="preserve"> (viz bod 4.4)</w:t>
      </w:r>
    </w:p>
    <w:p w14:paraId="144EA98B" w14:textId="77777777" w:rsidR="00D15122" w:rsidRPr="00381DC2" w:rsidRDefault="00D15122" w:rsidP="007F6E1B">
      <w:pPr>
        <w:rPr>
          <w:rFonts w:ascii="Times New Roman" w:eastAsia="Times New Roman" w:hAnsi="Times New Roman"/>
          <w:color w:val="000000"/>
        </w:rPr>
      </w:pPr>
    </w:p>
    <w:p w14:paraId="28CAEE66" w14:textId="77777777" w:rsidR="00701D3B" w:rsidRPr="00381DC2" w:rsidRDefault="009B0756" w:rsidP="007F6E1B">
      <w:pPr>
        <w:pStyle w:val="BodyText"/>
        <w:ind w:left="0" w:right="176"/>
        <w:rPr>
          <w:color w:val="000000"/>
        </w:rPr>
      </w:pPr>
      <w:r w:rsidRPr="00381DC2">
        <w:rPr>
          <w:i/>
          <w:color w:val="000000"/>
        </w:rPr>
        <w:t>Arteriální tromboembolie</w:t>
      </w:r>
    </w:p>
    <w:p w14:paraId="0C287BAD" w14:textId="77777777" w:rsidR="00D15122" w:rsidRPr="00381DC2" w:rsidRDefault="009B0756" w:rsidP="007F6E1B">
      <w:pPr>
        <w:pStyle w:val="BodyText"/>
        <w:ind w:left="0" w:right="176"/>
        <w:rPr>
          <w:color w:val="000000"/>
        </w:rPr>
      </w:pPr>
      <w:r w:rsidRPr="00381DC2">
        <w:rPr>
          <w:color w:val="000000"/>
        </w:rPr>
        <w:t xml:space="preserve">U pacientů léčených bevacizumabem byla napříč indikacemi pozorována zvýšená incidence arteriálních tromboembolických reakcí, včetně </w:t>
      </w:r>
      <w:r w:rsidR="00D50E6B" w:rsidRPr="00381DC2">
        <w:rPr>
          <w:color w:val="000000"/>
        </w:rPr>
        <w:t xml:space="preserve">cévních mozkových </w:t>
      </w:r>
      <w:r w:rsidRPr="00381DC2">
        <w:rPr>
          <w:color w:val="000000"/>
        </w:rPr>
        <w:t xml:space="preserve">příhod, infarktů myokardu, </w:t>
      </w:r>
      <w:r w:rsidR="000121B8" w:rsidRPr="00381DC2">
        <w:rPr>
          <w:color w:val="000000"/>
        </w:rPr>
        <w:t>tranzitorních</w:t>
      </w:r>
      <w:r w:rsidRPr="00381DC2">
        <w:rPr>
          <w:color w:val="000000"/>
        </w:rPr>
        <w:t xml:space="preserve"> ischemických </w:t>
      </w:r>
      <w:r w:rsidR="00D50E6B" w:rsidRPr="00381DC2">
        <w:rPr>
          <w:color w:val="000000"/>
        </w:rPr>
        <w:t xml:space="preserve">atak </w:t>
      </w:r>
      <w:r w:rsidRPr="00381DC2">
        <w:rPr>
          <w:color w:val="000000"/>
        </w:rPr>
        <w:t>a dalších arteriálních tromboembolických reakcí.</w:t>
      </w:r>
    </w:p>
    <w:p w14:paraId="081D4D4E" w14:textId="77777777" w:rsidR="00B419F6" w:rsidRPr="00381DC2" w:rsidRDefault="00B419F6" w:rsidP="007F6E1B">
      <w:pPr>
        <w:pStyle w:val="BodyText"/>
        <w:ind w:left="0" w:right="187"/>
        <w:rPr>
          <w:color w:val="000000"/>
        </w:rPr>
      </w:pPr>
    </w:p>
    <w:p w14:paraId="672B5850" w14:textId="77777777" w:rsidR="00D15122" w:rsidRPr="00381DC2" w:rsidRDefault="009B0756" w:rsidP="007F6E1B">
      <w:pPr>
        <w:pStyle w:val="BodyText"/>
        <w:ind w:left="0" w:right="187"/>
        <w:rPr>
          <w:color w:val="000000"/>
        </w:rPr>
      </w:pPr>
      <w:r w:rsidRPr="00381DC2">
        <w:rPr>
          <w:color w:val="000000"/>
        </w:rPr>
        <w:t xml:space="preserve">V klinických </w:t>
      </w:r>
      <w:r w:rsidR="000121B8" w:rsidRPr="00381DC2">
        <w:rPr>
          <w:color w:val="000000"/>
        </w:rPr>
        <w:t>studiích</w:t>
      </w:r>
      <w:r w:rsidRPr="00381DC2">
        <w:rPr>
          <w:color w:val="000000"/>
        </w:rPr>
        <w:t xml:space="preserve"> dosahovala celková incidence arteriálních tromboembolických reakcí v ramenech s bevacizumabem až 3,8 % ve srovnání s až 2,1 % v kontrolních ramenech s chemoterapií. </w:t>
      </w:r>
      <w:r w:rsidR="002810A6" w:rsidRPr="00381DC2">
        <w:rPr>
          <w:color w:val="000000"/>
        </w:rPr>
        <w:t>Úmrtí</w:t>
      </w:r>
      <w:r w:rsidRPr="00381DC2">
        <w:rPr>
          <w:color w:val="000000"/>
        </w:rPr>
        <w:t xml:space="preserve"> bylo hlášeno u 0,8 % pacientů léčených bevacizumabem ve srovnání s 0,5 % pacientů léčených samotnou chemoterapií. </w:t>
      </w:r>
      <w:r w:rsidR="002810A6" w:rsidRPr="00381DC2">
        <w:rPr>
          <w:color w:val="000000"/>
        </w:rPr>
        <w:t xml:space="preserve">Cévní mozkové </w:t>
      </w:r>
      <w:r w:rsidRPr="00381DC2">
        <w:rPr>
          <w:color w:val="000000"/>
        </w:rPr>
        <w:t xml:space="preserve">příhody (včetně </w:t>
      </w:r>
      <w:r w:rsidR="000121B8" w:rsidRPr="00381DC2">
        <w:rPr>
          <w:color w:val="000000"/>
        </w:rPr>
        <w:t>tranzitorních</w:t>
      </w:r>
      <w:r w:rsidRPr="00381DC2">
        <w:rPr>
          <w:color w:val="000000"/>
        </w:rPr>
        <w:t xml:space="preserve"> ischemických </w:t>
      </w:r>
      <w:r w:rsidR="00D50E6B" w:rsidRPr="00381DC2">
        <w:rPr>
          <w:color w:val="000000"/>
        </w:rPr>
        <w:t>atak</w:t>
      </w:r>
      <w:r w:rsidRPr="00381DC2">
        <w:rPr>
          <w:color w:val="000000"/>
        </w:rPr>
        <w:t xml:space="preserve">) </w:t>
      </w:r>
      <w:r w:rsidR="00A70D64" w:rsidRPr="00381DC2">
        <w:rPr>
          <w:color w:val="000000"/>
        </w:rPr>
        <w:t xml:space="preserve">byly hlášeny </w:t>
      </w:r>
      <w:r w:rsidRPr="00381DC2">
        <w:rPr>
          <w:color w:val="000000"/>
        </w:rPr>
        <w:t>až u 2,7 % pacientů léčených bevacizumabem v kombinaci s chemoterapií ve srovnání s až 0,5 % pacientů léčených samotnou chemoterapií. Infarkt myokardu byl hlášen až u 1,4 % pacientů léčených bevacizumabem v kombinaci s chemoterapií ve srovnání až s 0,7 % pacientů léčených samotnou chemoterapií.</w:t>
      </w:r>
    </w:p>
    <w:p w14:paraId="04E7F0FF" w14:textId="77777777" w:rsidR="00D15122" w:rsidRPr="00381DC2" w:rsidRDefault="00D15122" w:rsidP="007F6E1B">
      <w:pPr>
        <w:rPr>
          <w:rFonts w:ascii="Times New Roman" w:eastAsia="Times New Roman" w:hAnsi="Times New Roman"/>
          <w:color w:val="000000"/>
        </w:rPr>
      </w:pPr>
    </w:p>
    <w:p w14:paraId="51152ABF" w14:textId="77777777" w:rsidR="00D15122" w:rsidRPr="00381DC2" w:rsidRDefault="009B0756" w:rsidP="007F6E1B">
      <w:pPr>
        <w:pStyle w:val="BodyText"/>
        <w:ind w:left="0" w:right="285"/>
        <w:rPr>
          <w:color w:val="000000"/>
        </w:rPr>
      </w:pPr>
      <w:r w:rsidRPr="00381DC2">
        <w:rPr>
          <w:color w:val="000000"/>
        </w:rPr>
        <w:t>Do klinické</w:t>
      </w:r>
      <w:r w:rsidR="000121B8" w:rsidRPr="00381DC2">
        <w:rPr>
          <w:color w:val="000000"/>
        </w:rPr>
        <w:t xml:space="preserve"> studie</w:t>
      </w:r>
      <w:r w:rsidRPr="00381DC2">
        <w:rPr>
          <w:color w:val="000000"/>
        </w:rPr>
        <w:t xml:space="preserve"> AVF2192g, kter</w:t>
      </w:r>
      <w:r w:rsidR="000121B8" w:rsidRPr="00381DC2">
        <w:rPr>
          <w:color w:val="000000"/>
        </w:rPr>
        <w:t>á</w:t>
      </w:r>
      <w:r w:rsidRPr="00381DC2">
        <w:rPr>
          <w:color w:val="000000"/>
        </w:rPr>
        <w:t xml:space="preserve"> hodnotil</w:t>
      </w:r>
      <w:r w:rsidR="000121B8" w:rsidRPr="00381DC2">
        <w:rPr>
          <w:color w:val="000000"/>
        </w:rPr>
        <w:t>a</w:t>
      </w:r>
      <w:r w:rsidRPr="00381DC2">
        <w:rPr>
          <w:color w:val="000000"/>
        </w:rPr>
        <w:t xml:space="preserve"> bevacizumab v kombinaci s 5-fluoruracilem / kyselinou folinovou, byli zařazováni pacienti s </w:t>
      </w:r>
      <w:r w:rsidR="000834FE" w:rsidRPr="00381DC2">
        <w:rPr>
          <w:color w:val="000000"/>
        </w:rPr>
        <w:t>metasta</w:t>
      </w:r>
      <w:r w:rsidR="000121B8" w:rsidRPr="00381DC2">
        <w:rPr>
          <w:color w:val="000000"/>
        </w:rPr>
        <w:t>zujícím</w:t>
      </w:r>
      <w:r w:rsidR="000834FE" w:rsidRPr="00381DC2">
        <w:rPr>
          <w:color w:val="000000"/>
        </w:rPr>
        <w:t xml:space="preserve"> </w:t>
      </w:r>
      <w:r w:rsidRPr="00381DC2">
        <w:rPr>
          <w:color w:val="000000"/>
        </w:rPr>
        <w:t xml:space="preserve">kolorektálním karcinomem, kteří nebyli kandidáty </w:t>
      </w:r>
      <w:r w:rsidR="00A70D64" w:rsidRPr="00381DC2">
        <w:rPr>
          <w:color w:val="000000"/>
        </w:rPr>
        <w:t xml:space="preserve">pro léčbu </w:t>
      </w:r>
      <w:r w:rsidRPr="00381DC2">
        <w:rPr>
          <w:color w:val="000000"/>
        </w:rPr>
        <w:t>irinotekanem. V</w:t>
      </w:r>
      <w:r w:rsidR="000121B8" w:rsidRPr="00381DC2">
        <w:rPr>
          <w:color w:val="000000"/>
        </w:rPr>
        <w:t> této studii</w:t>
      </w:r>
      <w:r w:rsidRPr="00381DC2">
        <w:rPr>
          <w:color w:val="000000"/>
        </w:rPr>
        <w:t xml:space="preserve"> byly tromboembolické reakce pozorovány u 11 % (11/100) pacientů ve srovnání s 5,8 % (6/104) v kontrolní skupině s chemoterapií.</w:t>
      </w:r>
    </w:p>
    <w:p w14:paraId="3415BF7F" w14:textId="77777777" w:rsidR="00D15122" w:rsidRPr="00381DC2" w:rsidRDefault="00D15122" w:rsidP="007F6E1B">
      <w:pPr>
        <w:rPr>
          <w:rFonts w:ascii="Times New Roman" w:eastAsia="Times New Roman" w:hAnsi="Times New Roman"/>
          <w:color w:val="000000"/>
        </w:rPr>
      </w:pPr>
    </w:p>
    <w:p w14:paraId="41604A5F" w14:textId="77777777" w:rsidR="00701D3B" w:rsidRPr="00381DC2" w:rsidRDefault="009B0756" w:rsidP="007F6E1B">
      <w:pPr>
        <w:pStyle w:val="BodyText"/>
        <w:ind w:left="0" w:right="285"/>
        <w:rPr>
          <w:color w:val="000000"/>
        </w:rPr>
      </w:pPr>
      <w:r w:rsidRPr="00381DC2">
        <w:rPr>
          <w:i/>
          <w:color w:val="000000"/>
        </w:rPr>
        <w:t>Žilní tromboembolie</w:t>
      </w:r>
    </w:p>
    <w:p w14:paraId="2611F32F" w14:textId="77777777" w:rsidR="00D15122" w:rsidRPr="00381DC2" w:rsidRDefault="009B0756" w:rsidP="007F6E1B">
      <w:pPr>
        <w:pStyle w:val="BodyText"/>
        <w:ind w:left="0" w:right="285"/>
        <w:rPr>
          <w:color w:val="000000"/>
        </w:rPr>
      </w:pPr>
      <w:r w:rsidRPr="00381DC2">
        <w:rPr>
          <w:color w:val="000000"/>
        </w:rPr>
        <w:t xml:space="preserve">Incidence žilních tromboembolických reakcí v klinických </w:t>
      </w:r>
      <w:r w:rsidR="000121B8" w:rsidRPr="00381DC2">
        <w:rPr>
          <w:color w:val="000000"/>
        </w:rPr>
        <w:t>studiích</w:t>
      </w:r>
      <w:r w:rsidRPr="00381DC2">
        <w:rPr>
          <w:color w:val="000000"/>
        </w:rPr>
        <w:t xml:space="preserve"> byla podobná u pacientů léčených bevacizumabem v kombinaci s chemoterapií ve srovnání s pacienty léčenými v kontrolních ramenech samotnou chemoterapií. Žilní tromboembolické reakce zahrnují hlubokou žilní trombózu, plicní embolii a tromboflebitidu.</w:t>
      </w:r>
    </w:p>
    <w:p w14:paraId="19AB0F4B" w14:textId="77777777" w:rsidR="00D15122" w:rsidRPr="00381DC2" w:rsidRDefault="00D15122" w:rsidP="007F6E1B">
      <w:pPr>
        <w:rPr>
          <w:rFonts w:ascii="Times New Roman" w:eastAsia="Times New Roman" w:hAnsi="Times New Roman"/>
          <w:color w:val="000000"/>
        </w:rPr>
      </w:pPr>
    </w:p>
    <w:p w14:paraId="52767315" w14:textId="77777777" w:rsidR="00D15122" w:rsidRPr="00381DC2" w:rsidRDefault="009B0756" w:rsidP="007F6E1B">
      <w:pPr>
        <w:pStyle w:val="BodyText"/>
        <w:ind w:left="0" w:right="192"/>
        <w:rPr>
          <w:color w:val="000000"/>
        </w:rPr>
      </w:pPr>
      <w:r w:rsidRPr="00381DC2">
        <w:rPr>
          <w:color w:val="000000"/>
        </w:rPr>
        <w:t xml:space="preserve">V klinických </w:t>
      </w:r>
      <w:r w:rsidR="000121B8" w:rsidRPr="00381DC2">
        <w:rPr>
          <w:color w:val="000000"/>
        </w:rPr>
        <w:t>studiích</w:t>
      </w:r>
      <w:r w:rsidRPr="00381DC2">
        <w:rPr>
          <w:color w:val="000000"/>
        </w:rPr>
        <w:t xml:space="preserve"> napříč indikacemi se celková incidence žilních tromboembolických reakcí pohybovala mezi 2,8 % a 17,3 % u pacientů léčených bevacizumabem ve srovnání s 3,2</w:t>
      </w:r>
      <w:r w:rsidR="00A70D64" w:rsidRPr="00381DC2">
        <w:rPr>
          <w:color w:val="000000"/>
        </w:rPr>
        <w:t> %</w:t>
      </w:r>
      <w:r w:rsidRPr="00381DC2">
        <w:rPr>
          <w:color w:val="000000"/>
        </w:rPr>
        <w:t xml:space="preserve"> až 15,6 % v kontrolních ramenech.</w:t>
      </w:r>
    </w:p>
    <w:p w14:paraId="2529C75E" w14:textId="77777777" w:rsidR="00D15122" w:rsidRPr="00F60460" w:rsidRDefault="00D15122" w:rsidP="007F6E1B">
      <w:pPr>
        <w:rPr>
          <w:rFonts w:ascii="Times New Roman" w:eastAsia="Times New Roman" w:hAnsi="Times New Roman"/>
          <w:color w:val="000000"/>
          <w:sz w:val="21"/>
          <w:szCs w:val="21"/>
        </w:rPr>
      </w:pPr>
    </w:p>
    <w:p w14:paraId="4ED239B7" w14:textId="77777777" w:rsidR="00D15122" w:rsidRPr="00381DC2" w:rsidRDefault="009B0756" w:rsidP="007F6E1B">
      <w:pPr>
        <w:pStyle w:val="BodyText"/>
        <w:ind w:left="0" w:right="192"/>
        <w:rPr>
          <w:color w:val="000000"/>
        </w:rPr>
      </w:pPr>
      <w:r w:rsidRPr="00381DC2">
        <w:rPr>
          <w:color w:val="000000"/>
        </w:rPr>
        <w:t xml:space="preserve">Žilní tromboembolické reakce stupně 3–5 (NCI-CTCAE v.3) byly hlášeny až u 7,8 % pacientů léčených chemoterapií a bevacizumabem ve srovnání s až 4,9 % pacientů léčených samotnou chemoterapií (napříč indikacemi, kromě přetrvávajícího, rekurentního nebo </w:t>
      </w:r>
      <w:r w:rsidR="000834FE" w:rsidRPr="00381DC2">
        <w:rPr>
          <w:color w:val="000000"/>
        </w:rPr>
        <w:t>metasta</w:t>
      </w:r>
      <w:r w:rsidR="000121B8" w:rsidRPr="00381DC2">
        <w:rPr>
          <w:color w:val="000000"/>
        </w:rPr>
        <w:t>zujícího</w:t>
      </w:r>
      <w:r w:rsidRPr="00381DC2">
        <w:rPr>
          <w:color w:val="000000"/>
        </w:rPr>
        <w:t xml:space="preserve"> karcinomu děložního </w:t>
      </w:r>
      <w:r w:rsidR="000121B8" w:rsidRPr="00381DC2">
        <w:rPr>
          <w:color w:val="000000"/>
        </w:rPr>
        <w:t>čípku</w:t>
      </w:r>
      <w:r w:rsidRPr="00381DC2">
        <w:rPr>
          <w:color w:val="000000"/>
        </w:rPr>
        <w:t>).</w:t>
      </w:r>
    </w:p>
    <w:p w14:paraId="71FCEFC7" w14:textId="77777777" w:rsidR="00D15122" w:rsidRPr="00381DC2" w:rsidRDefault="00D15122" w:rsidP="007F6E1B">
      <w:pPr>
        <w:rPr>
          <w:rFonts w:ascii="Times New Roman" w:eastAsia="Times New Roman" w:hAnsi="Times New Roman"/>
          <w:color w:val="000000"/>
        </w:rPr>
      </w:pPr>
    </w:p>
    <w:p w14:paraId="0F879E61" w14:textId="77777777" w:rsidR="00D15122" w:rsidRPr="00381DC2" w:rsidRDefault="009B0756" w:rsidP="007F6E1B">
      <w:pPr>
        <w:pStyle w:val="BodyText"/>
        <w:ind w:left="0" w:right="192"/>
        <w:rPr>
          <w:color w:val="000000"/>
        </w:rPr>
      </w:pPr>
      <w:r w:rsidRPr="00381DC2">
        <w:rPr>
          <w:color w:val="000000"/>
        </w:rPr>
        <w:t xml:space="preserve">V klinickém hodnocení u pacientek s přetrvávajícím, rekurentním nebo </w:t>
      </w:r>
      <w:r w:rsidR="000834FE" w:rsidRPr="00381DC2">
        <w:rPr>
          <w:color w:val="000000"/>
        </w:rPr>
        <w:t>metasta</w:t>
      </w:r>
      <w:r w:rsidR="00F33CDD" w:rsidRPr="00381DC2">
        <w:rPr>
          <w:color w:val="000000"/>
        </w:rPr>
        <w:t>zujícím</w:t>
      </w:r>
      <w:r w:rsidR="000834FE" w:rsidRPr="00381DC2">
        <w:rPr>
          <w:color w:val="000000"/>
        </w:rPr>
        <w:t xml:space="preserve"> </w:t>
      </w:r>
      <w:r w:rsidRPr="00381DC2">
        <w:rPr>
          <w:color w:val="000000"/>
        </w:rPr>
        <w:t xml:space="preserve">karcinomem děložního </w:t>
      </w:r>
      <w:r w:rsidR="000121B8" w:rsidRPr="00381DC2">
        <w:rPr>
          <w:color w:val="000000"/>
        </w:rPr>
        <w:t>čípku</w:t>
      </w:r>
      <w:r w:rsidRPr="00381DC2">
        <w:rPr>
          <w:color w:val="000000"/>
        </w:rPr>
        <w:t xml:space="preserve"> (GOG-0240) byly hlášeny žilní tromboembolické příhody stupně 3–5 až u 15,6 % pacientek léčených bevacizumabem v kombinaci s paklitaxelem a cisplatinou ve srovnání s až 7,0 % pacientek léčených paklitaxelem a cisplatinou.</w:t>
      </w:r>
    </w:p>
    <w:p w14:paraId="60D3B718" w14:textId="77777777" w:rsidR="00D15122" w:rsidRPr="00381DC2" w:rsidRDefault="00D15122" w:rsidP="007F6E1B">
      <w:pPr>
        <w:rPr>
          <w:rFonts w:ascii="Times New Roman" w:eastAsia="Times New Roman" w:hAnsi="Times New Roman"/>
          <w:color w:val="000000"/>
        </w:rPr>
      </w:pPr>
    </w:p>
    <w:p w14:paraId="3523F4FA" w14:textId="77777777" w:rsidR="00D15122" w:rsidRPr="00381DC2" w:rsidRDefault="000121B8" w:rsidP="007F6E1B">
      <w:pPr>
        <w:pStyle w:val="BodyText"/>
        <w:ind w:left="0" w:right="192"/>
        <w:rPr>
          <w:color w:val="000000"/>
        </w:rPr>
      </w:pPr>
      <w:r w:rsidRPr="00381DC2">
        <w:rPr>
          <w:color w:val="000000"/>
        </w:rPr>
        <w:t>U p</w:t>
      </w:r>
      <w:r w:rsidR="009B0756" w:rsidRPr="00381DC2">
        <w:rPr>
          <w:color w:val="000000"/>
        </w:rPr>
        <w:t>acient</w:t>
      </w:r>
      <w:r w:rsidRPr="00381DC2">
        <w:rPr>
          <w:color w:val="000000"/>
        </w:rPr>
        <w:t>ů</w:t>
      </w:r>
      <w:r w:rsidR="009B0756" w:rsidRPr="00381DC2">
        <w:rPr>
          <w:color w:val="000000"/>
        </w:rPr>
        <w:t>, kteří prodělali žilní tromboembolickou reakci, m</w:t>
      </w:r>
      <w:r w:rsidRPr="00381DC2">
        <w:rPr>
          <w:color w:val="000000"/>
        </w:rPr>
        <w:t>ůže</w:t>
      </w:r>
      <w:r w:rsidR="009B0756" w:rsidRPr="00381DC2">
        <w:rPr>
          <w:color w:val="000000"/>
        </w:rPr>
        <w:t xml:space="preserve"> být větší rizik</w:t>
      </w:r>
      <w:r w:rsidRPr="00381DC2">
        <w:rPr>
          <w:color w:val="000000"/>
        </w:rPr>
        <w:t>o</w:t>
      </w:r>
      <w:r w:rsidR="009B0756" w:rsidRPr="00381DC2">
        <w:rPr>
          <w:color w:val="000000"/>
        </w:rPr>
        <w:t xml:space="preserve"> recidivy, pokud jsou léčeni bevacizumabem v kombinaci s chemoterapií než při léčbě samotnou chemoterapií.</w:t>
      </w:r>
    </w:p>
    <w:p w14:paraId="3F79EBD1" w14:textId="77777777" w:rsidR="00D15122" w:rsidRPr="00381DC2" w:rsidRDefault="00D15122" w:rsidP="007F6E1B">
      <w:pPr>
        <w:rPr>
          <w:rFonts w:ascii="Times New Roman" w:eastAsia="Times New Roman" w:hAnsi="Times New Roman"/>
          <w:color w:val="000000"/>
        </w:rPr>
      </w:pPr>
    </w:p>
    <w:p w14:paraId="43589854" w14:textId="77777777" w:rsidR="00D15122" w:rsidRPr="00381DC2" w:rsidRDefault="009B0756" w:rsidP="007F6E1B">
      <w:pPr>
        <w:spacing w:line="252" w:lineRule="exact"/>
        <w:rPr>
          <w:rFonts w:ascii="Times New Roman" w:eastAsia="Times New Roman" w:hAnsi="Times New Roman"/>
          <w:color w:val="000000"/>
          <w:u w:val="single"/>
        </w:rPr>
      </w:pPr>
      <w:r w:rsidRPr="00381DC2">
        <w:rPr>
          <w:rFonts w:ascii="Times New Roman" w:hAnsi="Times New Roman"/>
          <w:i/>
          <w:color w:val="000000"/>
          <w:u w:val="single"/>
        </w:rPr>
        <w:t>Městnavé srdeční selhání (CHF)</w:t>
      </w:r>
    </w:p>
    <w:p w14:paraId="38D89B78" w14:textId="77777777" w:rsidR="00701D3B" w:rsidRPr="00381DC2" w:rsidRDefault="00701D3B" w:rsidP="004F6645">
      <w:pPr>
        <w:pStyle w:val="BodyText"/>
        <w:widowControl/>
        <w:ind w:left="0" w:right="230"/>
        <w:rPr>
          <w:color w:val="000000"/>
        </w:rPr>
      </w:pPr>
    </w:p>
    <w:p w14:paraId="68D112F9" w14:textId="77777777" w:rsidR="00D15122" w:rsidRPr="00381DC2" w:rsidRDefault="009B0756" w:rsidP="004F6645">
      <w:pPr>
        <w:pStyle w:val="BodyText"/>
        <w:widowControl/>
        <w:ind w:left="0" w:right="230"/>
        <w:rPr>
          <w:color w:val="000000"/>
        </w:rPr>
      </w:pPr>
      <w:r w:rsidRPr="00381DC2">
        <w:rPr>
          <w:color w:val="000000"/>
        </w:rPr>
        <w:t xml:space="preserve">V klinických </w:t>
      </w:r>
      <w:r w:rsidR="00786231" w:rsidRPr="00381DC2">
        <w:rPr>
          <w:color w:val="000000"/>
        </w:rPr>
        <w:t>studiích</w:t>
      </w:r>
      <w:r w:rsidRPr="00381DC2">
        <w:rPr>
          <w:color w:val="000000"/>
        </w:rPr>
        <w:t xml:space="preserve"> s bevacizumabem bylo městnavé srdeční selhání (CHF) pozorováno u všech dosud hodnocených indikací</w:t>
      </w:r>
      <w:r w:rsidR="008F692D" w:rsidRPr="00381DC2">
        <w:rPr>
          <w:color w:val="000000"/>
        </w:rPr>
        <w:t xml:space="preserve"> pro nádorová onemocnění</w:t>
      </w:r>
      <w:r w:rsidRPr="00381DC2">
        <w:rPr>
          <w:color w:val="000000"/>
        </w:rPr>
        <w:t>, ale vyskytovalo se především u pacientů s</w:t>
      </w:r>
      <w:r w:rsidR="00786231" w:rsidRPr="00381DC2">
        <w:rPr>
          <w:color w:val="000000"/>
        </w:rPr>
        <w:t> </w:t>
      </w:r>
      <w:r w:rsidR="002274C3" w:rsidRPr="00381DC2">
        <w:rPr>
          <w:color w:val="000000"/>
        </w:rPr>
        <w:t>metasta</w:t>
      </w:r>
      <w:r w:rsidR="00786231" w:rsidRPr="00381DC2">
        <w:rPr>
          <w:color w:val="000000"/>
        </w:rPr>
        <w:t>zujícím</w:t>
      </w:r>
      <w:r w:rsidR="009A67A9" w:rsidRPr="00381DC2">
        <w:rPr>
          <w:color w:val="000000"/>
        </w:rPr>
        <w:t xml:space="preserve"> karcinomem</w:t>
      </w:r>
      <w:r w:rsidR="002274C3" w:rsidRPr="00381DC2">
        <w:rPr>
          <w:color w:val="000000"/>
        </w:rPr>
        <w:t xml:space="preserve"> prsu</w:t>
      </w:r>
      <w:r w:rsidRPr="00381DC2">
        <w:rPr>
          <w:color w:val="000000"/>
        </w:rPr>
        <w:t xml:space="preserve">. Ve čtyřech </w:t>
      </w:r>
      <w:r w:rsidR="00786231" w:rsidRPr="00381DC2">
        <w:rPr>
          <w:color w:val="000000"/>
        </w:rPr>
        <w:t>studiích</w:t>
      </w:r>
      <w:r w:rsidRPr="00381DC2">
        <w:rPr>
          <w:color w:val="000000"/>
        </w:rPr>
        <w:t xml:space="preserve"> fáze III (AVF2119g, E2100, BO17708 a AVF3694g) u pacientů s </w:t>
      </w:r>
      <w:r w:rsidR="002274C3" w:rsidRPr="00381DC2">
        <w:rPr>
          <w:color w:val="000000"/>
        </w:rPr>
        <w:t>metasta</w:t>
      </w:r>
      <w:r w:rsidR="00786231" w:rsidRPr="00381DC2">
        <w:rPr>
          <w:color w:val="000000"/>
        </w:rPr>
        <w:t>zujícím</w:t>
      </w:r>
      <w:r w:rsidR="002274C3" w:rsidRPr="00381DC2">
        <w:rPr>
          <w:color w:val="000000"/>
        </w:rPr>
        <w:t xml:space="preserve"> </w:t>
      </w:r>
      <w:r w:rsidR="00786231" w:rsidRPr="00381DC2">
        <w:rPr>
          <w:color w:val="000000"/>
        </w:rPr>
        <w:t>karcinomem</w:t>
      </w:r>
      <w:r w:rsidR="002274C3" w:rsidRPr="00381DC2">
        <w:rPr>
          <w:color w:val="000000"/>
        </w:rPr>
        <w:t xml:space="preserve"> prsu</w:t>
      </w:r>
      <w:r w:rsidRPr="00381DC2">
        <w:rPr>
          <w:color w:val="000000"/>
        </w:rPr>
        <w:t xml:space="preserve"> bylo CHF stupně 3 </w:t>
      </w:r>
      <w:r w:rsidR="008F692D" w:rsidRPr="00381DC2">
        <w:rPr>
          <w:color w:val="000000"/>
        </w:rPr>
        <w:t xml:space="preserve">nebo </w:t>
      </w:r>
      <w:r w:rsidRPr="00381DC2">
        <w:rPr>
          <w:color w:val="000000"/>
        </w:rPr>
        <w:t>vyššího (NCI-CTCAE v.3) hlášeno až u 3,5 % pacientů léčených bevacizumabem v kombinaci s chemoterapií ve srovnání až s 0,9 % v kontrolních ramenech. U pacientů ve studii AVF3694g, kteří dostali antracykliny souběžně s bevacizumabem, byla incidence CHF stupně 3 nebo vyššího v příslušném rameni s bevacizumabem nebo v kontrolním rameni podobná jako v jiných studiích u </w:t>
      </w:r>
      <w:r w:rsidR="000834FE" w:rsidRPr="00381DC2">
        <w:rPr>
          <w:color w:val="000000"/>
        </w:rPr>
        <w:t>metasta</w:t>
      </w:r>
      <w:r w:rsidR="00786231" w:rsidRPr="00381DC2">
        <w:rPr>
          <w:color w:val="000000"/>
        </w:rPr>
        <w:t>zujícího karcinomu</w:t>
      </w:r>
      <w:r w:rsidRPr="00381DC2">
        <w:rPr>
          <w:color w:val="000000"/>
        </w:rPr>
        <w:t xml:space="preserve"> prsu: 2,9 % v rameni s antracyklinem + bevacizumabem a 0 % v rameni s antracyklinem + placebem. Kromě toho byla ve studii AVF3694g incidence CHF všech stupňů podobná v rameni s antracyklinem + bevacizumabem (6,2 %) a v rameni s antracyklinem + placebem (6,0 %).</w:t>
      </w:r>
    </w:p>
    <w:p w14:paraId="37D1C621" w14:textId="77777777" w:rsidR="00D15122" w:rsidRPr="00381DC2" w:rsidRDefault="00D15122" w:rsidP="007F6E1B">
      <w:pPr>
        <w:rPr>
          <w:rFonts w:ascii="Times New Roman" w:eastAsia="Times New Roman" w:hAnsi="Times New Roman"/>
          <w:color w:val="000000"/>
        </w:rPr>
      </w:pPr>
    </w:p>
    <w:p w14:paraId="05AABA81" w14:textId="77777777" w:rsidR="00D15122" w:rsidRPr="00381DC2" w:rsidRDefault="009B0756" w:rsidP="007F6E1B">
      <w:pPr>
        <w:pStyle w:val="BodyText"/>
        <w:ind w:left="0" w:right="285"/>
        <w:rPr>
          <w:color w:val="000000"/>
        </w:rPr>
      </w:pPr>
      <w:r w:rsidRPr="00381DC2">
        <w:rPr>
          <w:color w:val="000000"/>
        </w:rPr>
        <w:t>U většiny pacientů, u kterých se v</w:t>
      </w:r>
      <w:r w:rsidR="00786231" w:rsidRPr="00381DC2">
        <w:rPr>
          <w:color w:val="000000"/>
        </w:rPr>
        <w:t>e</w:t>
      </w:r>
      <w:r w:rsidRPr="00381DC2">
        <w:rPr>
          <w:color w:val="000000"/>
        </w:rPr>
        <w:t> </w:t>
      </w:r>
      <w:r w:rsidR="00786231" w:rsidRPr="00381DC2">
        <w:rPr>
          <w:color w:val="000000"/>
        </w:rPr>
        <w:t>studiích</w:t>
      </w:r>
      <w:r w:rsidRPr="00381DC2">
        <w:rPr>
          <w:color w:val="000000"/>
        </w:rPr>
        <w:t xml:space="preserve"> s </w:t>
      </w:r>
      <w:r w:rsidR="004F0C84" w:rsidRPr="00381DC2">
        <w:rPr>
          <w:color w:val="000000"/>
        </w:rPr>
        <w:t xml:space="preserve">mBC </w:t>
      </w:r>
      <w:r w:rsidR="008F692D" w:rsidRPr="00381DC2">
        <w:rPr>
          <w:color w:val="000000"/>
        </w:rPr>
        <w:t xml:space="preserve">rozvinulo </w:t>
      </w:r>
      <w:r w:rsidRPr="00381DC2">
        <w:rPr>
          <w:color w:val="000000"/>
        </w:rPr>
        <w:t xml:space="preserve">CHF, došlo po odpovídající </w:t>
      </w:r>
      <w:r w:rsidR="008F692D" w:rsidRPr="00381DC2">
        <w:rPr>
          <w:color w:val="000000"/>
        </w:rPr>
        <w:t xml:space="preserve">farmakologické </w:t>
      </w:r>
      <w:r w:rsidRPr="00381DC2">
        <w:rPr>
          <w:color w:val="000000"/>
        </w:rPr>
        <w:t>léčbě k úpravě příznaků a/nebo funkce levé srdeční komory.</w:t>
      </w:r>
    </w:p>
    <w:p w14:paraId="01C1AA87" w14:textId="77777777" w:rsidR="00D15122" w:rsidRPr="00381DC2" w:rsidRDefault="00D15122" w:rsidP="007F6E1B">
      <w:pPr>
        <w:rPr>
          <w:rFonts w:ascii="Times New Roman" w:eastAsia="Times New Roman" w:hAnsi="Times New Roman"/>
          <w:color w:val="000000"/>
        </w:rPr>
      </w:pPr>
    </w:p>
    <w:p w14:paraId="7DB7B157" w14:textId="77777777" w:rsidR="00D15122" w:rsidRPr="00381DC2" w:rsidRDefault="00786231" w:rsidP="007F6E1B">
      <w:pPr>
        <w:pStyle w:val="BodyText"/>
        <w:ind w:left="0" w:right="192"/>
        <w:rPr>
          <w:color w:val="000000"/>
        </w:rPr>
      </w:pPr>
      <w:r w:rsidRPr="00381DC2">
        <w:rPr>
          <w:color w:val="000000"/>
        </w:rPr>
        <w:t>Z</w:t>
      </w:r>
      <w:r w:rsidR="009B0756" w:rsidRPr="00381DC2">
        <w:rPr>
          <w:color w:val="000000"/>
        </w:rPr>
        <w:t xml:space="preserve"> většin</w:t>
      </w:r>
      <w:r w:rsidRPr="00381DC2">
        <w:rPr>
          <w:color w:val="000000"/>
        </w:rPr>
        <w:t>y</w:t>
      </w:r>
      <w:r w:rsidR="009B0756" w:rsidRPr="00381DC2">
        <w:rPr>
          <w:color w:val="000000"/>
        </w:rPr>
        <w:t xml:space="preserve"> klinických </w:t>
      </w:r>
      <w:r w:rsidRPr="00381DC2">
        <w:rPr>
          <w:color w:val="000000"/>
        </w:rPr>
        <w:t>studií</w:t>
      </w:r>
      <w:r w:rsidR="009B0756" w:rsidRPr="00381DC2">
        <w:rPr>
          <w:color w:val="000000"/>
        </w:rPr>
        <w:t xml:space="preserve"> </w:t>
      </w:r>
      <w:r w:rsidRPr="00381DC2">
        <w:rPr>
          <w:color w:val="000000"/>
        </w:rPr>
        <w:t xml:space="preserve">s </w:t>
      </w:r>
      <w:r w:rsidR="009B0756" w:rsidRPr="00381DC2">
        <w:rPr>
          <w:color w:val="000000"/>
        </w:rPr>
        <w:t>bevacizumab</w:t>
      </w:r>
      <w:r w:rsidRPr="00381DC2">
        <w:rPr>
          <w:color w:val="000000"/>
        </w:rPr>
        <w:t>em</w:t>
      </w:r>
      <w:r w:rsidR="009B0756" w:rsidRPr="00381DC2">
        <w:rPr>
          <w:color w:val="000000"/>
        </w:rPr>
        <w:t xml:space="preserve"> byli vyloučeni pacienti s preexistujícím CHF stupně II–IV dle klasifikace NYHA (New York Heart Association), u </w:t>
      </w:r>
      <w:r w:rsidR="00F0657D" w:rsidRPr="00381DC2">
        <w:rPr>
          <w:color w:val="000000"/>
        </w:rPr>
        <w:t xml:space="preserve">této populace </w:t>
      </w:r>
      <w:r w:rsidR="009B0756" w:rsidRPr="00381DC2">
        <w:rPr>
          <w:color w:val="000000"/>
        </w:rPr>
        <w:t>proto nejsou k dispozici žádné údaje o riziku CHF.</w:t>
      </w:r>
    </w:p>
    <w:p w14:paraId="0B1B4E92" w14:textId="77777777" w:rsidR="00D15122" w:rsidRPr="00381DC2" w:rsidRDefault="00D15122" w:rsidP="007F6E1B">
      <w:pPr>
        <w:rPr>
          <w:rFonts w:ascii="Times New Roman" w:eastAsia="Times New Roman" w:hAnsi="Times New Roman"/>
          <w:color w:val="000000"/>
        </w:rPr>
      </w:pPr>
    </w:p>
    <w:p w14:paraId="31A1FA1A" w14:textId="77777777" w:rsidR="00D15122" w:rsidRPr="00381DC2" w:rsidRDefault="009B0756" w:rsidP="007F6E1B">
      <w:pPr>
        <w:pStyle w:val="BodyText"/>
        <w:ind w:left="0" w:right="285"/>
        <w:rPr>
          <w:color w:val="000000"/>
        </w:rPr>
      </w:pPr>
      <w:r w:rsidRPr="00381DC2">
        <w:rPr>
          <w:color w:val="000000"/>
        </w:rPr>
        <w:t xml:space="preserve">Předchozí expozice antracyklinům a/nebo </w:t>
      </w:r>
      <w:r w:rsidR="00786231" w:rsidRPr="00381DC2">
        <w:rPr>
          <w:color w:val="000000"/>
        </w:rPr>
        <w:t>radiace</w:t>
      </w:r>
      <w:r w:rsidRPr="00381DC2">
        <w:rPr>
          <w:color w:val="000000"/>
        </w:rPr>
        <w:t xml:space="preserve"> hrudní stěny mohou být možnými rizikovými faktory vzniku CHF.</w:t>
      </w:r>
    </w:p>
    <w:p w14:paraId="2E0480BA" w14:textId="77777777" w:rsidR="002F49AF" w:rsidRPr="00381DC2" w:rsidRDefault="002F49AF" w:rsidP="007F6E1B">
      <w:pPr>
        <w:pStyle w:val="BodyText"/>
        <w:ind w:left="0" w:right="192"/>
        <w:rPr>
          <w:color w:val="000000"/>
        </w:rPr>
      </w:pPr>
    </w:p>
    <w:p w14:paraId="7DCB2BC5" w14:textId="77777777" w:rsidR="00D15122" w:rsidRPr="00381DC2" w:rsidRDefault="00F0657D" w:rsidP="00766BA8">
      <w:pPr>
        <w:pStyle w:val="BodyText"/>
        <w:ind w:left="0" w:right="56"/>
        <w:rPr>
          <w:color w:val="000000"/>
        </w:rPr>
      </w:pPr>
      <w:r w:rsidRPr="00381DC2">
        <w:rPr>
          <w:color w:val="000000"/>
        </w:rPr>
        <w:t xml:space="preserve">Zvýšená </w:t>
      </w:r>
      <w:r w:rsidR="009B0756" w:rsidRPr="00381DC2">
        <w:rPr>
          <w:color w:val="000000"/>
        </w:rPr>
        <w:t>incidence CHF byla pozorována v klinick</w:t>
      </w:r>
      <w:r w:rsidR="00786231" w:rsidRPr="00381DC2">
        <w:rPr>
          <w:color w:val="000000"/>
        </w:rPr>
        <w:t>ých</w:t>
      </w:r>
      <w:r w:rsidR="009B0756" w:rsidRPr="00381DC2">
        <w:rPr>
          <w:color w:val="000000"/>
        </w:rPr>
        <w:t xml:space="preserve"> </w:t>
      </w:r>
      <w:r w:rsidR="00786231" w:rsidRPr="00381DC2">
        <w:rPr>
          <w:color w:val="000000"/>
        </w:rPr>
        <w:t>studiích</w:t>
      </w:r>
      <w:r w:rsidR="009B0756" w:rsidRPr="00381DC2">
        <w:rPr>
          <w:color w:val="000000"/>
        </w:rPr>
        <w:t xml:space="preserve"> u pacientů s difuzním velkobuněčným B-lymfomem, pokud dostali bevacizumab a doxorubicin v kumulativní dávce vyšší než 300 mg/m</w:t>
      </w:r>
      <w:r w:rsidR="009B0756" w:rsidRPr="00381DC2">
        <w:rPr>
          <w:color w:val="000000"/>
          <w:vertAlign w:val="superscript"/>
        </w:rPr>
        <w:t>2</w:t>
      </w:r>
      <w:r w:rsidR="009B0756" w:rsidRPr="00381DC2">
        <w:rPr>
          <w:color w:val="000000"/>
        </w:rPr>
        <w:t>. Toto klinické hodnocení fáze III porovnávalo rituximab/cyklofosfamid/doxorubicin/vinkristin/prednison (R-CHOP) plus bevacizumab a R-CHOP bez bevacizumabu. I když incidence CHF byla v obou ramenech vyšší, než bylo dosud pozorováno při léčbě doxorubicinem, četnost byla vyšší v rameni R-CHOP plus bevacizumab. Tyto výsledky naznačují, že je třeba u pacientů, kteří jsou vystaveni kumulativním dávkám doxorubicinu vyšším než 300 mg/m</w:t>
      </w:r>
      <w:r w:rsidR="009B0756" w:rsidRPr="00381DC2">
        <w:rPr>
          <w:color w:val="000000"/>
          <w:vertAlign w:val="superscript"/>
        </w:rPr>
        <w:t>2</w:t>
      </w:r>
      <w:r w:rsidR="005100DD" w:rsidRPr="00381DC2">
        <w:rPr>
          <w:color w:val="000000"/>
          <w:vertAlign w:val="superscript"/>
        </w:rPr>
        <w:t xml:space="preserve"> </w:t>
      </w:r>
      <w:r w:rsidR="009B0756" w:rsidRPr="00381DC2">
        <w:rPr>
          <w:color w:val="000000"/>
        </w:rPr>
        <w:t xml:space="preserve">v kombinaci s bevacizumabem, zvážit pečlivé klinické pozorování s příslušným </w:t>
      </w:r>
      <w:r w:rsidR="009B0756" w:rsidRPr="00381DC2">
        <w:rPr>
          <w:color w:val="000000"/>
        </w:rPr>
        <w:lastRenderedPageBreak/>
        <w:t>vyhodnocením srdečních funkcí.</w:t>
      </w:r>
    </w:p>
    <w:p w14:paraId="765B1A5A" w14:textId="77777777" w:rsidR="00D15122" w:rsidRPr="00381DC2" w:rsidRDefault="00D15122" w:rsidP="007F6E1B">
      <w:pPr>
        <w:rPr>
          <w:rFonts w:ascii="Times New Roman" w:eastAsia="Times New Roman" w:hAnsi="Times New Roman"/>
          <w:color w:val="000000"/>
        </w:rPr>
      </w:pPr>
    </w:p>
    <w:p w14:paraId="200EDD38" w14:textId="2A39E08B" w:rsidR="00701D3B" w:rsidRPr="00381DC2" w:rsidRDefault="009B0756" w:rsidP="0014291D">
      <w:pPr>
        <w:pStyle w:val="BodyText"/>
        <w:keepNext/>
        <w:widowControl/>
        <w:ind w:left="0" w:right="274"/>
        <w:rPr>
          <w:color w:val="000000"/>
          <w:u w:val="single"/>
        </w:rPr>
      </w:pPr>
      <w:r w:rsidRPr="00381DC2">
        <w:rPr>
          <w:i/>
          <w:color w:val="000000"/>
          <w:u w:val="single"/>
        </w:rPr>
        <w:t>Hypersenzitivní reakce</w:t>
      </w:r>
      <w:r w:rsidR="006257C4">
        <w:rPr>
          <w:i/>
          <w:color w:val="000000"/>
          <w:u w:val="single"/>
        </w:rPr>
        <w:t xml:space="preserve"> (včetně anafylaktického šoku)</w:t>
      </w:r>
      <w:r w:rsidRPr="00381DC2">
        <w:rPr>
          <w:i/>
          <w:color w:val="000000"/>
          <w:u w:val="single"/>
        </w:rPr>
        <w:t>/reakce na infuzi</w:t>
      </w:r>
      <w:r w:rsidRPr="00381DC2">
        <w:rPr>
          <w:color w:val="000000"/>
          <w:u w:val="single"/>
        </w:rPr>
        <w:t xml:space="preserve"> (viz bod 4.4 a níže uvedené </w:t>
      </w:r>
      <w:r w:rsidR="00786231" w:rsidRPr="00381DC2">
        <w:rPr>
          <w:color w:val="000000"/>
          <w:u w:val="single"/>
        </w:rPr>
        <w:t>z</w:t>
      </w:r>
      <w:r w:rsidRPr="00381DC2">
        <w:rPr>
          <w:color w:val="000000"/>
          <w:u w:val="single"/>
        </w:rPr>
        <w:t>kušenosti po uvedení na trh)</w:t>
      </w:r>
    </w:p>
    <w:p w14:paraId="75495DD2" w14:textId="77777777" w:rsidR="00701D3B" w:rsidRPr="00381DC2" w:rsidRDefault="00701D3B" w:rsidP="007F6E1B">
      <w:pPr>
        <w:pStyle w:val="BodyText"/>
        <w:ind w:left="0" w:right="269"/>
        <w:rPr>
          <w:color w:val="000000"/>
        </w:rPr>
      </w:pPr>
    </w:p>
    <w:p w14:paraId="1AA12F23" w14:textId="77777777" w:rsidR="00D15122" w:rsidRPr="00381DC2" w:rsidRDefault="009B0756" w:rsidP="007F6E1B">
      <w:pPr>
        <w:pStyle w:val="BodyText"/>
        <w:ind w:left="0" w:right="269"/>
        <w:rPr>
          <w:color w:val="000000"/>
        </w:rPr>
      </w:pPr>
      <w:r w:rsidRPr="00381DC2">
        <w:rPr>
          <w:color w:val="000000"/>
        </w:rPr>
        <w:t xml:space="preserve">V některých klinických </w:t>
      </w:r>
      <w:r w:rsidR="00786231" w:rsidRPr="00381DC2">
        <w:rPr>
          <w:color w:val="000000"/>
        </w:rPr>
        <w:t>studiích</w:t>
      </w:r>
      <w:r w:rsidRPr="00381DC2">
        <w:rPr>
          <w:color w:val="000000"/>
        </w:rPr>
        <w:t xml:space="preserve"> byly u pacientů léčených bevacizumabem v kombinaci s chemoterapií ve srovnání se samotnou chemoterapií častěji hlášeny anafylaktické a anafylaktoidní reakce. Incidence těchto reakcí byla v některých klinických </w:t>
      </w:r>
      <w:r w:rsidR="00786231" w:rsidRPr="00381DC2">
        <w:rPr>
          <w:color w:val="000000"/>
        </w:rPr>
        <w:t>studiích</w:t>
      </w:r>
      <w:r w:rsidRPr="00381DC2">
        <w:rPr>
          <w:color w:val="000000"/>
        </w:rPr>
        <w:t xml:space="preserve"> s bevacizumabem častá (až 5 % pacientů léčených bevacizumabem).</w:t>
      </w:r>
    </w:p>
    <w:p w14:paraId="349A1048" w14:textId="77777777" w:rsidR="00D15122" w:rsidRPr="00381DC2" w:rsidRDefault="00D15122" w:rsidP="007F6E1B">
      <w:pPr>
        <w:rPr>
          <w:rFonts w:ascii="Times New Roman" w:eastAsia="Times New Roman" w:hAnsi="Times New Roman"/>
          <w:color w:val="000000"/>
        </w:rPr>
      </w:pPr>
    </w:p>
    <w:p w14:paraId="156F6756" w14:textId="77777777" w:rsidR="00D15122" w:rsidRPr="00381DC2" w:rsidRDefault="009B0756" w:rsidP="002B0DE8">
      <w:pPr>
        <w:keepNext/>
        <w:keepLines/>
        <w:spacing w:line="252" w:lineRule="exact"/>
        <w:rPr>
          <w:rFonts w:ascii="Times New Roman" w:eastAsia="Times New Roman" w:hAnsi="Times New Roman"/>
          <w:color w:val="000000"/>
          <w:u w:val="single"/>
        </w:rPr>
      </w:pPr>
      <w:r w:rsidRPr="00381DC2">
        <w:rPr>
          <w:rFonts w:ascii="Times New Roman" w:hAnsi="Times New Roman"/>
          <w:i/>
          <w:color w:val="000000"/>
          <w:u w:val="single"/>
        </w:rPr>
        <w:t>Infekce</w:t>
      </w:r>
    </w:p>
    <w:p w14:paraId="6DDC052A" w14:textId="77777777" w:rsidR="00701D3B" w:rsidRPr="00381DC2" w:rsidRDefault="00701D3B" w:rsidP="002B0DE8">
      <w:pPr>
        <w:pStyle w:val="BodyText"/>
        <w:keepNext/>
        <w:keepLines/>
        <w:ind w:left="0" w:right="192"/>
        <w:rPr>
          <w:color w:val="000000"/>
        </w:rPr>
      </w:pPr>
    </w:p>
    <w:p w14:paraId="2CBEFB91" w14:textId="77777777" w:rsidR="00D15122" w:rsidRPr="00381DC2" w:rsidRDefault="009B0756" w:rsidP="007F6E1B">
      <w:pPr>
        <w:pStyle w:val="BodyText"/>
        <w:ind w:left="0" w:right="192"/>
        <w:rPr>
          <w:color w:val="000000"/>
        </w:rPr>
      </w:pPr>
      <w:r w:rsidRPr="00381DC2">
        <w:rPr>
          <w:color w:val="000000"/>
        </w:rPr>
        <w:t>V</w:t>
      </w:r>
      <w:r w:rsidR="00786231" w:rsidRPr="00381DC2">
        <w:rPr>
          <w:color w:val="000000"/>
        </w:rPr>
        <w:t> </w:t>
      </w:r>
      <w:r w:rsidRPr="00381DC2">
        <w:rPr>
          <w:color w:val="000000"/>
        </w:rPr>
        <w:t>klinické</w:t>
      </w:r>
      <w:r w:rsidR="00786231" w:rsidRPr="00381DC2">
        <w:rPr>
          <w:color w:val="000000"/>
        </w:rPr>
        <w:t xml:space="preserve"> studii</w:t>
      </w:r>
      <w:r w:rsidRPr="00381DC2">
        <w:rPr>
          <w:color w:val="000000"/>
        </w:rPr>
        <w:t xml:space="preserve"> u pacientek s přetrvávajícím, rekurentním nebo </w:t>
      </w:r>
      <w:r w:rsidR="000834FE" w:rsidRPr="00381DC2">
        <w:rPr>
          <w:color w:val="000000"/>
        </w:rPr>
        <w:t>metasta</w:t>
      </w:r>
      <w:r w:rsidR="00786231" w:rsidRPr="00381DC2">
        <w:rPr>
          <w:color w:val="000000"/>
        </w:rPr>
        <w:t>zujícím</w:t>
      </w:r>
      <w:r w:rsidR="000834FE" w:rsidRPr="00381DC2">
        <w:rPr>
          <w:color w:val="000000"/>
        </w:rPr>
        <w:t xml:space="preserve"> </w:t>
      </w:r>
      <w:r w:rsidRPr="00381DC2">
        <w:rPr>
          <w:color w:val="000000"/>
        </w:rPr>
        <w:t xml:space="preserve">karcinomem děložního </w:t>
      </w:r>
      <w:r w:rsidR="00786231" w:rsidRPr="00381DC2">
        <w:rPr>
          <w:color w:val="000000"/>
        </w:rPr>
        <w:t>čípku</w:t>
      </w:r>
      <w:r w:rsidRPr="00381DC2">
        <w:rPr>
          <w:color w:val="000000"/>
        </w:rPr>
        <w:t xml:space="preserve"> (GOG-0240) byly hlášeny infekce stupně 3–5 až u 24 % pacientek léčených bevacizumabem v kombinaci s paklitaxelem a topotekanem ve srovnání až s 13 % pacientek léčených paklitaxelem a topotekanem.</w:t>
      </w:r>
    </w:p>
    <w:p w14:paraId="35C5C550" w14:textId="77777777" w:rsidR="00D15122" w:rsidRPr="00F60460" w:rsidRDefault="00D15122" w:rsidP="007F6E1B">
      <w:pPr>
        <w:rPr>
          <w:rFonts w:ascii="Times New Roman" w:eastAsia="Times New Roman" w:hAnsi="Times New Roman"/>
          <w:color w:val="000000"/>
          <w:sz w:val="21"/>
          <w:szCs w:val="21"/>
        </w:rPr>
      </w:pPr>
    </w:p>
    <w:p w14:paraId="7F2F6D85" w14:textId="77777777" w:rsidR="00D15122" w:rsidRPr="00381DC2" w:rsidRDefault="007A61FD" w:rsidP="007F6E1B">
      <w:pPr>
        <w:rPr>
          <w:rFonts w:ascii="Times New Roman" w:eastAsia="Times New Roman" w:hAnsi="Times New Roman"/>
          <w:color w:val="000000"/>
          <w:u w:val="single"/>
        </w:rPr>
      </w:pPr>
      <w:r w:rsidRPr="00381DC2">
        <w:rPr>
          <w:rFonts w:ascii="Times New Roman" w:hAnsi="Times New Roman"/>
          <w:i/>
          <w:color w:val="000000"/>
          <w:u w:val="single"/>
        </w:rPr>
        <w:t>Ovariální s</w:t>
      </w:r>
      <w:r w:rsidR="009B0756" w:rsidRPr="00381DC2">
        <w:rPr>
          <w:rFonts w:ascii="Times New Roman" w:hAnsi="Times New Roman"/>
          <w:i/>
          <w:color w:val="000000"/>
          <w:u w:val="single"/>
        </w:rPr>
        <w:t>elhání / fertilita</w:t>
      </w:r>
      <w:r w:rsidR="009B0756" w:rsidRPr="00381DC2">
        <w:rPr>
          <w:rFonts w:ascii="Times New Roman" w:hAnsi="Times New Roman"/>
          <w:color w:val="000000"/>
          <w:u w:val="single"/>
        </w:rPr>
        <w:t xml:space="preserve"> (viz body 4.4 a 4.6)</w:t>
      </w:r>
    </w:p>
    <w:p w14:paraId="598970E4" w14:textId="77777777" w:rsidR="00701D3B" w:rsidRPr="00381DC2" w:rsidRDefault="00701D3B" w:rsidP="007F6E1B">
      <w:pPr>
        <w:pStyle w:val="BodyText"/>
        <w:ind w:left="0" w:right="152"/>
        <w:rPr>
          <w:color w:val="000000"/>
        </w:rPr>
      </w:pPr>
    </w:p>
    <w:p w14:paraId="08BCB220" w14:textId="77777777" w:rsidR="00D15122" w:rsidRPr="00381DC2" w:rsidRDefault="009B0756" w:rsidP="007F6E1B">
      <w:pPr>
        <w:pStyle w:val="BodyText"/>
        <w:ind w:left="0" w:right="152"/>
        <w:rPr>
          <w:color w:val="000000"/>
        </w:rPr>
      </w:pPr>
      <w:r w:rsidRPr="00381DC2">
        <w:rPr>
          <w:color w:val="000000"/>
        </w:rPr>
        <w:t>Ve studii fáze III NSABP C-08 s bevacizumabem v adjuvantní léčbě pacientů s </w:t>
      </w:r>
      <w:r w:rsidR="00786231" w:rsidRPr="00381DC2">
        <w:rPr>
          <w:color w:val="000000"/>
        </w:rPr>
        <w:t>karcinomem</w:t>
      </w:r>
      <w:r w:rsidR="007A61FD" w:rsidRPr="00381DC2">
        <w:rPr>
          <w:color w:val="000000"/>
        </w:rPr>
        <w:t xml:space="preserve"> </w:t>
      </w:r>
      <w:r w:rsidRPr="00381DC2">
        <w:rPr>
          <w:color w:val="000000"/>
        </w:rPr>
        <w:t xml:space="preserve">tlustého střeva byla incidence nových případů </w:t>
      </w:r>
      <w:r w:rsidR="007A61FD" w:rsidRPr="00381DC2">
        <w:rPr>
          <w:color w:val="000000"/>
        </w:rPr>
        <w:t xml:space="preserve">ovariálního </w:t>
      </w:r>
      <w:r w:rsidRPr="00381DC2">
        <w:rPr>
          <w:color w:val="000000"/>
        </w:rPr>
        <w:t xml:space="preserve">selhání, které bylo definováno jako amenorea trvající 3 měsíce nebo déle, hladina FSH ≥ 30 mIU/ml a negativní těhotenský test na β-HCG v séru, vyhodnocena u 295 premenopauzálních žen. Nové případy </w:t>
      </w:r>
      <w:r w:rsidR="007A61FD" w:rsidRPr="00381DC2">
        <w:rPr>
          <w:color w:val="000000"/>
        </w:rPr>
        <w:t xml:space="preserve">ovariálního </w:t>
      </w:r>
      <w:r w:rsidRPr="00381DC2">
        <w:rPr>
          <w:color w:val="000000"/>
        </w:rPr>
        <w:t xml:space="preserve">selhání byly hlášeny u 2,6 % pacientek ve skupině s režimem mFOLFOX-6 ve srovnání s 39 % ve skupině s režimem mFOLFOX-6 + bevacizumab. Po ukončení léčby bevacizumabem se funkce vaječníků upravila u 86,2 % těchto hodnotitelných žen. Dlouhodobý </w:t>
      </w:r>
      <w:r w:rsidR="007A61FD" w:rsidRPr="00381DC2">
        <w:rPr>
          <w:color w:val="000000"/>
        </w:rPr>
        <w:t xml:space="preserve">účinek </w:t>
      </w:r>
      <w:r w:rsidRPr="00381DC2">
        <w:rPr>
          <w:color w:val="000000"/>
        </w:rPr>
        <w:t>léčby bevacizumabem na fertilitu není znám.</w:t>
      </w:r>
    </w:p>
    <w:p w14:paraId="4A0A1A31" w14:textId="77777777" w:rsidR="00D15122" w:rsidRPr="00381DC2" w:rsidRDefault="00D15122" w:rsidP="007F6E1B">
      <w:pPr>
        <w:rPr>
          <w:rFonts w:ascii="Times New Roman" w:eastAsia="Times New Roman" w:hAnsi="Times New Roman"/>
          <w:color w:val="000000"/>
        </w:rPr>
      </w:pPr>
    </w:p>
    <w:p w14:paraId="009B95DB" w14:textId="77777777" w:rsidR="00D15122" w:rsidRPr="00381DC2" w:rsidRDefault="009B0756" w:rsidP="007F6E1B">
      <w:pPr>
        <w:keepNext/>
        <w:rPr>
          <w:rFonts w:ascii="Times New Roman" w:eastAsia="Times New Roman" w:hAnsi="Times New Roman"/>
          <w:color w:val="000000"/>
          <w:u w:val="single"/>
        </w:rPr>
      </w:pPr>
      <w:r w:rsidRPr="00381DC2">
        <w:rPr>
          <w:rFonts w:ascii="Times New Roman" w:hAnsi="Times New Roman"/>
          <w:i/>
          <w:color w:val="000000"/>
          <w:u w:val="single"/>
        </w:rPr>
        <w:t>Laboratorní odchylky</w:t>
      </w:r>
    </w:p>
    <w:p w14:paraId="6BD0B40B" w14:textId="77777777" w:rsidR="00701D3B" w:rsidRPr="00381DC2" w:rsidRDefault="00701D3B" w:rsidP="007F6E1B">
      <w:pPr>
        <w:pStyle w:val="BodyText"/>
        <w:keepNext/>
        <w:ind w:left="0" w:right="192"/>
        <w:rPr>
          <w:color w:val="000000"/>
        </w:rPr>
      </w:pPr>
    </w:p>
    <w:p w14:paraId="409800C2" w14:textId="77777777" w:rsidR="00D15122" w:rsidRPr="00381DC2" w:rsidRDefault="009B0756" w:rsidP="007F6E1B">
      <w:pPr>
        <w:pStyle w:val="BodyText"/>
        <w:keepNext/>
        <w:ind w:left="0" w:right="192"/>
        <w:rPr>
          <w:color w:val="000000"/>
        </w:rPr>
      </w:pPr>
      <w:r w:rsidRPr="00381DC2">
        <w:rPr>
          <w:color w:val="000000"/>
        </w:rPr>
        <w:t xml:space="preserve">S léčbou bevacizumabem může souviset </w:t>
      </w:r>
      <w:r w:rsidR="007A61FD" w:rsidRPr="00381DC2">
        <w:rPr>
          <w:color w:val="000000"/>
        </w:rPr>
        <w:t xml:space="preserve">snížený počet </w:t>
      </w:r>
      <w:r w:rsidRPr="00381DC2">
        <w:rPr>
          <w:color w:val="000000"/>
        </w:rPr>
        <w:t xml:space="preserve">neutrofilů, </w:t>
      </w:r>
      <w:r w:rsidR="007A61FD" w:rsidRPr="00381DC2">
        <w:rPr>
          <w:color w:val="000000"/>
        </w:rPr>
        <w:t xml:space="preserve">snížený počet </w:t>
      </w:r>
      <w:r w:rsidRPr="00381DC2">
        <w:rPr>
          <w:color w:val="000000"/>
        </w:rPr>
        <w:t>leukocytů a přítomnost bílkoviny v moči.</w:t>
      </w:r>
    </w:p>
    <w:p w14:paraId="2261F41C" w14:textId="77777777" w:rsidR="00D15122" w:rsidRPr="00381DC2" w:rsidRDefault="00D15122" w:rsidP="007F6E1B">
      <w:pPr>
        <w:keepNext/>
        <w:rPr>
          <w:rFonts w:ascii="Times New Roman" w:eastAsia="Times New Roman" w:hAnsi="Times New Roman"/>
          <w:color w:val="000000"/>
        </w:rPr>
      </w:pPr>
    </w:p>
    <w:p w14:paraId="22DEA3A6" w14:textId="77777777" w:rsidR="00D15122" w:rsidRPr="00381DC2" w:rsidRDefault="009B0756" w:rsidP="007F6E1B">
      <w:pPr>
        <w:pStyle w:val="BodyText"/>
        <w:ind w:left="0" w:right="238"/>
        <w:rPr>
          <w:color w:val="000000"/>
        </w:rPr>
      </w:pPr>
      <w:r w:rsidRPr="00381DC2">
        <w:rPr>
          <w:color w:val="000000"/>
        </w:rPr>
        <w:t xml:space="preserve">Napříč klinickými </w:t>
      </w:r>
      <w:r w:rsidR="00786231" w:rsidRPr="00381DC2">
        <w:rPr>
          <w:color w:val="000000"/>
        </w:rPr>
        <w:t>studiemi</w:t>
      </w:r>
      <w:r w:rsidRPr="00381DC2">
        <w:rPr>
          <w:color w:val="000000"/>
        </w:rPr>
        <w:t xml:space="preserve"> byly zaznamenány následující laboratorní </w:t>
      </w:r>
      <w:r w:rsidR="007A61FD" w:rsidRPr="00381DC2">
        <w:rPr>
          <w:color w:val="000000"/>
        </w:rPr>
        <w:t xml:space="preserve">abnormality </w:t>
      </w:r>
      <w:r w:rsidRPr="00381DC2">
        <w:rPr>
          <w:color w:val="000000"/>
        </w:rPr>
        <w:t xml:space="preserve">stupně 3 a 4 (NCI-CTCAE v.3), které se vyskytly u pacientů léčených bevacizumabem s rozdílem nejméně 2 % ve srovnání s odpovídajícími kontrolními skupinami: hyperglykémie, </w:t>
      </w:r>
      <w:r w:rsidR="007A61FD" w:rsidRPr="00381DC2">
        <w:rPr>
          <w:color w:val="000000"/>
        </w:rPr>
        <w:t xml:space="preserve">snížená hladina </w:t>
      </w:r>
      <w:r w:rsidRPr="00381DC2">
        <w:rPr>
          <w:color w:val="000000"/>
        </w:rPr>
        <w:t xml:space="preserve">hemoglobinu, hypokalemie, hyponatremie, </w:t>
      </w:r>
      <w:r w:rsidR="001B30E8" w:rsidRPr="00381DC2">
        <w:rPr>
          <w:color w:val="000000"/>
        </w:rPr>
        <w:t>snížený počet leukocytů</w:t>
      </w:r>
      <w:r w:rsidRPr="00381DC2">
        <w:rPr>
          <w:color w:val="000000"/>
        </w:rPr>
        <w:t>, zvýšení mezinárodního normalizovaného poměru (INR).</w:t>
      </w:r>
    </w:p>
    <w:p w14:paraId="5238EA1A" w14:textId="77777777" w:rsidR="00D15122" w:rsidRPr="00381DC2" w:rsidRDefault="00D15122" w:rsidP="007F6E1B">
      <w:pPr>
        <w:rPr>
          <w:rFonts w:ascii="Times New Roman" w:eastAsia="Times New Roman" w:hAnsi="Times New Roman"/>
          <w:color w:val="000000"/>
        </w:rPr>
      </w:pPr>
    </w:p>
    <w:p w14:paraId="6C79B644" w14:textId="77777777" w:rsidR="00D15122" w:rsidRPr="00381DC2" w:rsidRDefault="009B0756" w:rsidP="007F6E1B">
      <w:pPr>
        <w:pStyle w:val="BodyText"/>
        <w:ind w:left="0" w:right="285"/>
        <w:rPr>
          <w:color w:val="000000"/>
        </w:rPr>
      </w:pPr>
      <w:r w:rsidRPr="00381DC2">
        <w:rPr>
          <w:color w:val="000000"/>
        </w:rPr>
        <w:t>Klinická hodnocení prokázala, že přechodná zvýšení kreatininu v séru (v rozsahu mezi 1,5–1,9násobku výchozí hladiny), s proteinurií i bez proteinurie, souvisejí s </w:t>
      </w:r>
      <w:r w:rsidR="001B30E8" w:rsidRPr="00381DC2">
        <w:rPr>
          <w:color w:val="000000"/>
        </w:rPr>
        <w:t>po</w:t>
      </w:r>
      <w:r w:rsidRPr="00381DC2">
        <w:rPr>
          <w:color w:val="000000"/>
        </w:rPr>
        <w:t>užitím bevacizumabu. Pozorované zvýšení kreatininu v séru nesouviselo s vyšší</w:t>
      </w:r>
      <w:r w:rsidR="001B30E8" w:rsidRPr="00381DC2">
        <w:rPr>
          <w:color w:val="000000"/>
        </w:rPr>
        <w:t xml:space="preserve"> incidencí </w:t>
      </w:r>
      <w:r w:rsidRPr="00381DC2">
        <w:rPr>
          <w:color w:val="000000"/>
        </w:rPr>
        <w:t>klinických projevů poruchy funkce ledvin u pacientů léčených bevacizumabem.</w:t>
      </w:r>
    </w:p>
    <w:p w14:paraId="14525235" w14:textId="77777777" w:rsidR="00D15122" w:rsidRPr="00381DC2" w:rsidRDefault="00D15122" w:rsidP="007F6E1B">
      <w:pPr>
        <w:rPr>
          <w:rFonts w:ascii="Times New Roman" w:eastAsia="Times New Roman" w:hAnsi="Times New Roman"/>
          <w:color w:val="000000"/>
        </w:rPr>
      </w:pPr>
    </w:p>
    <w:p w14:paraId="35286657" w14:textId="77777777" w:rsidR="00D15122" w:rsidRPr="00381DC2" w:rsidRDefault="009B0756" w:rsidP="00A330A9">
      <w:pPr>
        <w:pStyle w:val="BodyText"/>
        <w:ind w:left="0"/>
        <w:rPr>
          <w:color w:val="000000"/>
        </w:rPr>
      </w:pPr>
      <w:r w:rsidRPr="00381DC2">
        <w:rPr>
          <w:color w:val="000000"/>
          <w:u w:val="single" w:color="000000"/>
        </w:rPr>
        <w:t>Další zvláštní populace</w:t>
      </w:r>
    </w:p>
    <w:p w14:paraId="69EADC16" w14:textId="77777777" w:rsidR="00D15122" w:rsidRPr="00381DC2" w:rsidRDefault="00D15122" w:rsidP="00A330A9">
      <w:pPr>
        <w:rPr>
          <w:rFonts w:ascii="Times New Roman" w:eastAsia="Times New Roman" w:hAnsi="Times New Roman"/>
          <w:color w:val="000000"/>
        </w:rPr>
      </w:pPr>
    </w:p>
    <w:p w14:paraId="720A38F1" w14:textId="77777777" w:rsidR="00D15122" w:rsidRPr="00381DC2" w:rsidRDefault="009B0756" w:rsidP="00A330A9">
      <w:pPr>
        <w:spacing w:line="252" w:lineRule="exact"/>
        <w:rPr>
          <w:rFonts w:ascii="Times New Roman" w:eastAsia="Times New Roman" w:hAnsi="Times New Roman"/>
          <w:color w:val="000000"/>
          <w:u w:val="single"/>
        </w:rPr>
      </w:pPr>
      <w:r w:rsidRPr="00381DC2">
        <w:rPr>
          <w:rFonts w:ascii="Times New Roman" w:hAnsi="Times New Roman"/>
          <w:i/>
          <w:color w:val="000000"/>
          <w:u w:val="single"/>
        </w:rPr>
        <w:t>Starší pacienti</w:t>
      </w:r>
    </w:p>
    <w:p w14:paraId="0D37668C" w14:textId="77777777" w:rsidR="00701D3B" w:rsidRPr="00381DC2" w:rsidRDefault="00701D3B" w:rsidP="00A330A9">
      <w:pPr>
        <w:pStyle w:val="BodyText"/>
        <w:ind w:left="0" w:right="238"/>
        <w:rPr>
          <w:color w:val="000000"/>
        </w:rPr>
      </w:pPr>
    </w:p>
    <w:p w14:paraId="2165B90A" w14:textId="77777777" w:rsidR="00D15122" w:rsidRPr="00381DC2" w:rsidRDefault="009B0756" w:rsidP="00A330A9">
      <w:pPr>
        <w:pStyle w:val="BodyText"/>
        <w:ind w:left="0" w:right="238"/>
        <w:rPr>
          <w:color w:val="000000"/>
        </w:rPr>
      </w:pPr>
      <w:r w:rsidRPr="00381DC2">
        <w:rPr>
          <w:color w:val="000000"/>
        </w:rPr>
        <w:t xml:space="preserve">V randomizovaných klinických </w:t>
      </w:r>
      <w:r w:rsidR="00786231" w:rsidRPr="00381DC2">
        <w:rPr>
          <w:color w:val="000000"/>
        </w:rPr>
        <w:t>studiích</w:t>
      </w:r>
      <w:r w:rsidRPr="00381DC2">
        <w:rPr>
          <w:color w:val="000000"/>
        </w:rPr>
        <w:t xml:space="preserve"> byl věk pacienta &gt; 65 let spojen se zvýšeným rizikem rozvoje arteriální</w:t>
      </w:r>
      <w:r w:rsidR="001B30E8" w:rsidRPr="00381DC2">
        <w:rPr>
          <w:color w:val="000000"/>
        </w:rPr>
        <w:t>ch</w:t>
      </w:r>
      <w:r w:rsidRPr="00381DC2">
        <w:rPr>
          <w:color w:val="000000"/>
        </w:rPr>
        <w:t xml:space="preserve"> tromboemboli</w:t>
      </w:r>
      <w:r w:rsidR="001B30E8" w:rsidRPr="00381DC2">
        <w:rPr>
          <w:color w:val="000000"/>
        </w:rPr>
        <w:t>ckých</w:t>
      </w:r>
      <w:r w:rsidRPr="00381DC2">
        <w:rPr>
          <w:color w:val="000000"/>
        </w:rPr>
        <w:t xml:space="preserve"> </w:t>
      </w:r>
      <w:r w:rsidR="001B30E8" w:rsidRPr="00381DC2">
        <w:rPr>
          <w:color w:val="000000"/>
        </w:rPr>
        <w:t xml:space="preserve">reakcí </w:t>
      </w:r>
      <w:r w:rsidRPr="00381DC2">
        <w:rPr>
          <w:color w:val="000000"/>
        </w:rPr>
        <w:t xml:space="preserve">včetně </w:t>
      </w:r>
      <w:r w:rsidR="00D50E6B" w:rsidRPr="00381DC2">
        <w:rPr>
          <w:color w:val="000000"/>
        </w:rPr>
        <w:t xml:space="preserve">cévních mozkových </w:t>
      </w:r>
      <w:r w:rsidRPr="00381DC2">
        <w:rPr>
          <w:color w:val="000000"/>
        </w:rPr>
        <w:t xml:space="preserve">příhod, </w:t>
      </w:r>
      <w:r w:rsidR="00786231" w:rsidRPr="00381DC2">
        <w:rPr>
          <w:color w:val="000000"/>
        </w:rPr>
        <w:t>tranzitorních</w:t>
      </w:r>
      <w:r w:rsidRPr="00381DC2">
        <w:rPr>
          <w:color w:val="000000"/>
        </w:rPr>
        <w:t xml:space="preserve"> ischemických </w:t>
      </w:r>
      <w:r w:rsidR="00D50E6B" w:rsidRPr="00381DC2">
        <w:rPr>
          <w:color w:val="000000"/>
        </w:rPr>
        <w:t xml:space="preserve">atak </w:t>
      </w:r>
      <w:r w:rsidRPr="00381DC2">
        <w:rPr>
          <w:color w:val="000000"/>
        </w:rPr>
        <w:t>a infarktů myokardu. Dalšími účinky pozorovanými s vyšší frekvencí při léčbě bevacizumabem u pacientů nad 65 let než u pacientů ve věku ≤ 65 let byly leukopenie a trombocytopenie stupně 3–4 (NCI-CTCAE v.3) a neutropenie všech stupňů, průj</w:t>
      </w:r>
      <w:r w:rsidR="001B30E8" w:rsidRPr="00381DC2">
        <w:rPr>
          <w:color w:val="000000"/>
        </w:rPr>
        <w:t>e</w:t>
      </w:r>
      <w:r w:rsidRPr="00381DC2">
        <w:rPr>
          <w:color w:val="000000"/>
        </w:rPr>
        <w:t xml:space="preserve">m, nauzea, bolest hlavy a únava (viz body 4.4 a 4.8, odstavec Tromboembolie). V jednom klinickém hodnocení byla incidence hypertenze stupně ≥ 3 dvojnásobně vyšší u pacientů ve věku &gt; 65 let než u mladší věkové skupiny (&lt; 65 let). Ve studii u pacientek s rekurentním </w:t>
      </w:r>
      <w:r w:rsidR="00786231" w:rsidRPr="00381DC2">
        <w:rPr>
          <w:color w:val="000000"/>
        </w:rPr>
        <w:t>karcinomem</w:t>
      </w:r>
      <w:r w:rsidR="009569F2" w:rsidRPr="00381DC2">
        <w:rPr>
          <w:color w:val="000000"/>
        </w:rPr>
        <w:t xml:space="preserve"> </w:t>
      </w:r>
      <w:r w:rsidRPr="00381DC2">
        <w:rPr>
          <w:color w:val="000000"/>
        </w:rPr>
        <w:t xml:space="preserve">vaječníků rezistentním k platině byly také hlášeny alopecie, zánět sliznice, periferní senzorická neuropatie, proteinurie </w:t>
      </w:r>
      <w:r w:rsidRPr="00381DC2">
        <w:rPr>
          <w:color w:val="000000"/>
        </w:rPr>
        <w:lastRenderedPageBreak/>
        <w:t>a hypertenze a jejich výskyt byl minimálně o 5 % vyšší v rameni CT + BV u pacientek ve věku ≥ 65 let léčených bevacizumabem ve srovnání s pacientkami ve věku &lt; 65 let léčenými bevacizumabem.</w:t>
      </w:r>
    </w:p>
    <w:p w14:paraId="5678869A" w14:textId="77777777" w:rsidR="00B11B98" w:rsidRPr="00381DC2" w:rsidRDefault="00B11B98" w:rsidP="00A330A9">
      <w:pPr>
        <w:pStyle w:val="BodyText"/>
        <w:ind w:left="0" w:right="238"/>
        <w:rPr>
          <w:color w:val="000000"/>
        </w:rPr>
      </w:pPr>
    </w:p>
    <w:p w14:paraId="68D0B735" w14:textId="77777777" w:rsidR="00D15122" w:rsidRPr="00381DC2" w:rsidRDefault="009B0756" w:rsidP="00A330A9">
      <w:pPr>
        <w:pStyle w:val="BodyText"/>
        <w:ind w:left="0" w:right="137"/>
        <w:rPr>
          <w:color w:val="000000"/>
        </w:rPr>
      </w:pPr>
      <w:r w:rsidRPr="00381DC2">
        <w:rPr>
          <w:color w:val="000000"/>
        </w:rPr>
        <w:t xml:space="preserve">Při léčbě bevacizumabem nebyla u starších pacientů (&gt; 65 let) pozorována zvýšená incidence jiných </w:t>
      </w:r>
      <w:r w:rsidR="00854642" w:rsidRPr="00381DC2">
        <w:rPr>
          <w:color w:val="000000"/>
        </w:rPr>
        <w:t xml:space="preserve">účinků </w:t>
      </w:r>
      <w:r w:rsidRPr="00381DC2">
        <w:rPr>
          <w:color w:val="000000"/>
        </w:rPr>
        <w:t>včetně gastrointestinální perforace, komplikací při hojení ran, městnavého srdečního selhání a krvácení ve srovnání s pacienty ve věku ≤ 65 let.</w:t>
      </w:r>
    </w:p>
    <w:p w14:paraId="2A11505C" w14:textId="77777777" w:rsidR="00D15122" w:rsidRPr="00381DC2" w:rsidRDefault="00D15122" w:rsidP="007F6E1B">
      <w:pPr>
        <w:rPr>
          <w:rFonts w:ascii="Times New Roman" w:eastAsia="Times New Roman" w:hAnsi="Times New Roman"/>
          <w:color w:val="000000"/>
        </w:rPr>
      </w:pPr>
    </w:p>
    <w:p w14:paraId="7544A6AC" w14:textId="77777777" w:rsidR="00D15122" w:rsidRPr="00381DC2" w:rsidRDefault="009B0756" w:rsidP="002B0DE8">
      <w:pPr>
        <w:keepNext/>
        <w:keepLines/>
        <w:spacing w:line="252" w:lineRule="exact"/>
        <w:rPr>
          <w:rFonts w:ascii="Times New Roman" w:eastAsia="Times New Roman" w:hAnsi="Times New Roman"/>
          <w:color w:val="000000"/>
          <w:u w:val="single"/>
        </w:rPr>
      </w:pPr>
      <w:r w:rsidRPr="00381DC2">
        <w:rPr>
          <w:rFonts w:ascii="Times New Roman" w:hAnsi="Times New Roman"/>
          <w:i/>
          <w:color w:val="000000"/>
          <w:u w:val="single"/>
        </w:rPr>
        <w:t>Pediatrická populace</w:t>
      </w:r>
    </w:p>
    <w:p w14:paraId="65BAF8BD" w14:textId="77777777" w:rsidR="00701D3B" w:rsidRPr="00381DC2" w:rsidRDefault="00701D3B" w:rsidP="002B0DE8">
      <w:pPr>
        <w:pStyle w:val="BodyText"/>
        <w:keepNext/>
        <w:keepLines/>
        <w:spacing w:line="252" w:lineRule="exact"/>
        <w:ind w:left="0"/>
        <w:rPr>
          <w:color w:val="000000"/>
        </w:rPr>
      </w:pPr>
    </w:p>
    <w:p w14:paraId="50E545FF" w14:textId="77777777" w:rsidR="00D15122" w:rsidRPr="00381DC2" w:rsidRDefault="009B0756" w:rsidP="007F6E1B">
      <w:pPr>
        <w:pStyle w:val="BodyText"/>
        <w:spacing w:line="252" w:lineRule="exact"/>
        <w:ind w:left="0"/>
        <w:rPr>
          <w:color w:val="000000"/>
        </w:rPr>
      </w:pPr>
      <w:r w:rsidRPr="00381DC2">
        <w:rPr>
          <w:color w:val="000000"/>
        </w:rPr>
        <w:t xml:space="preserve">Bezpečnost a účinnost bevacizumabu u dětí </w:t>
      </w:r>
      <w:r w:rsidR="00786231" w:rsidRPr="00381DC2">
        <w:rPr>
          <w:color w:val="000000"/>
        </w:rPr>
        <w:t>do</w:t>
      </w:r>
      <w:r w:rsidRPr="00381DC2">
        <w:rPr>
          <w:color w:val="000000"/>
        </w:rPr>
        <w:t xml:space="preserve"> 18 let nebyla stanovena.</w:t>
      </w:r>
    </w:p>
    <w:p w14:paraId="06BB3197" w14:textId="77777777" w:rsidR="00D15122" w:rsidRPr="00381DC2" w:rsidRDefault="00D15122" w:rsidP="007F6E1B">
      <w:pPr>
        <w:rPr>
          <w:rFonts w:ascii="Times New Roman" w:eastAsia="Times New Roman" w:hAnsi="Times New Roman"/>
          <w:color w:val="000000"/>
        </w:rPr>
      </w:pPr>
    </w:p>
    <w:p w14:paraId="566A1B30" w14:textId="77777777" w:rsidR="00D15122" w:rsidRPr="00381DC2" w:rsidRDefault="009B0756" w:rsidP="007F6E1B">
      <w:pPr>
        <w:pStyle w:val="BodyText"/>
        <w:ind w:left="0" w:right="137"/>
        <w:rPr>
          <w:color w:val="000000"/>
        </w:rPr>
      </w:pPr>
      <w:r w:rsidRPr="00381DC2">
        <w:rPr>
          <w:color w:val="000000"/>
        </w:rPr>
        <w:t>Ve studii BO25041 s bevacizumabem přidaným k postoperační radioterapii se současně podávaným temozolomidem adjuvantně u pediatrick</w:t>
      </w:r>
      <w:r w:rsidR="00854642" w:rsidRPr="00381DC2">
        <w:rPr>
          <w:color w:val="000000"/>
        </w:rPr>
        <w:t>ých pacientů</w:t>
      </w:r>
      <w:r w:rsidRPr="00381DC2">
        <w:rPr>
          <w:color w:val="000000"/>
        </w:rPr>
        <w:t xml:space="preserve"> s nově diagnostikovaným supratentoriálním, infratentoriálním, cerebelárním nebo pedunkulárním </w:t>
      </w:r>
      <w:r w:rsidR="00C159C7" w:rsidRPr="00381DC2">
        <w:rPr>
          <w:color w:val="000000"/>
        </w:rPr>
        <w:t xml:space="preserve">high-grade </w:t>
      </w:r>
      <w:r w:rsidRPr="00381DC2">
        <w:rPr>
          <w:color w:val="000000"/>
        </w:rPr>
        <w:t xml:space="preserve">gliomem byl bezpečnostní profil srovnatelný s bezpečnostním profilem </w:t>
      </w:r>
      <w:r w:rsidR="00854642" w:rsidRPr="00381DC2">
        <w:rPr>
          <w:color w:val="000000"/>
        </w:rPr>
        <w:t>u </w:t>
      </w:r>
      <w:r w:rsidRPr="00381DC2">
        <w:rPr>
          <w:color w:val="000000"/>
        </w:rPr>
        <w:t xml:space="preserve">dospělých </w:t>
      </w:r>
      <w:r w:rsidR="00854642" w:rsidRPr="00381DC2">
        <w:rPr>
          <w:color w:val="000000"/>
        </w:rPr>
        <w:t xml:space="preserve">s jinými typy nádoru </w:t>
      </w:r>
      <w:r w:rsidRPr="00381DC2">
        <w:rPr>
          <w:color w:val="000000"/>
        </w:rPr>
        <w:t>léčených bevacizumabem.</w:t>
      </w:r>
    </w:p>
    <w:p w14:paraId="3FA1D628" w14:textId="77777777" w:rsidR="00D15122" w:rsidRPr="00381DC2" w:rsidRDefault="00D15122" w:rsidP="007F6E1B">
      <w:pPr>
        <w:rPr>
          <w:rFonts w:ascii="Times New Roman" w:eastAsia="Times New Roman" w:hAnsi="Times New Roman"/>
          <w:color w:val="000000"/>
        </w:rPr>
      </w:pPr>
    </w:p>
    <w:p w14:paraId="3EA18E94" w14:textId="77777777" w:rsidR="00D15122" w:rsidRPr="00381DC2" w:rsidRDefault="009B0756" w:rsidP="007F6E1B">
      <w:pPr>
        <w:pStyle w:val="BodyText"/>
        <w:ind w:left="0" w:right="137"/>
        <w:rPr>
          <w:color w:val="000000"/>
        </w:rPr>
      </w:pPr>
      <w:r w:rsidRPr="00381DC2">
        <w:rPr>
          <w:color w:val="000000"/>
        </w:rPr>
        <w:t>Ve studii BO20924 bevacizumab</w:t>
      </w:r>
      <w:r w:rsidR="00854642" w:rsidRPr="00381DC2">
        <w:rPr>
          <w:color w:val="000000"/>
        </w:rPr>
        <w:t xml:space="preserve">u se současnou </w:t>
      </w:r>
      <w:r w:rsidRPr="00381DC2">
        <w:rPr>
          <w:color w:val="000000"/>
        </w:rPr>
        <w:t>standardní léčb</w:t>
      </w:r>
      <w:r w:rsidR="00854642" w:rsidRPr="00381DC2">
        <w:rPr>
          <w:color w:val="000000"/>
        </w:rPr>
        <w:t xml:space="preserve">ou </w:t>
      </w:r>
      <w:r w:rsidRPr="00381DC2">
        <w:rPr>
          <w:color w:val="000000"/>
        </w:rPr>
        <w:t xml:space="preserve">sarkomu </w:t>
      </w:r>
      <w:r w:rsidR="006A1518" w:rsidRPr="00381DC2">
        <w:rPr>
          <w:color w:val="000000"/>
        </w:rPr>
        <w:t xml:space="preserve">měkké tkáně </w:t>
      </w:r>
      <w:r w:rsidRPr="00381DC2">
        <w:rPr>
          <w:color w:val="000000"/>
        </w:rPr>
        <w:t xml:space="preserve">typu rabdomyosarkomu a non-rabdomyosarkomu byl bezpečnostní profil </w:t>
      </w:r>
      <w:r w:rsidR="00854642" w:rsidRPr="00381DC2">
        <w:rPr>
          <w:color w:val="000000"/>
        </w:rPr>
        <w:t>u </w:t>
      </w:r>
      <w:r w:rsidRPr="00381DC2">
        <w:rPr>
          <w:color w:val="000000"/>
        </w:rPr>
        <w:t xml:space="preserve">dětí léčených bevacizumabem srovnatelný s bezpečnostním profilem </w:t>
      </w:r>
      <w:r w:rsidR="003E2E75" w:rsidRPr="00381DC2">
        <w:rPr>
          <w:color w:val="000000"/>
        </w:rPr>
        <w:t>u </w:t>
      </w:r>
      <w:r w:rsidRPr="00381DC2">
        <w:rPr>
          <w:color w:val="000000"/>
        </w:rPr>
        <w:t>dospělých léčených bevacizumabem.</w:t>
      </w:r>
    </w:p>
    <w:p w14:paraId="56E799A2" w14:textId="77777777" w:rsidR="00D15122" w:rsidRPr="00381DC2" w:rsidRDefault="00D15122" w:rsidP="007F6E1B">
      <w:pPr>
        <w:rPr>
          <w:rFonts w:ascii="Times New Roman" w:eastAsia="Times New Roman" w:hAnsi="Times New Roman"/>
          <w:color w:val="000000"/>
        </w:rPr>
      </w:pPr>
    </w:p>
    <w:p w14:paraId="0DFDBBD7" w14:textId="77777777" w:rsidR="00D15122" w:rsidRPr="00381DC2" w:rsidRDefault="00007842" w:rsidP="007F6E1B">
      <w:pPr>
        <w:pStyle w:val="BodyText"/>
        <w:ind w:left="0" w:right="371"/>
        <w:rPr>
          <w:color w:val="000000"/>
        </w:rPr>
      </w:pPr>
      <w:r w:rsidRPr="00381DC2">
        <w:rPr>
          <w:color w:val="000000"/>
        </w:rPr>
        <w:t xml:space="preserve">Bevacizumab není schválen k použití u pacientů </w:t>
      </w:r>
      <w:r w:rsidR="003E2E75" w:rsidRPr="00381DC2">
        <w:rPr>
          <w:color w:val="000000"/>
        </w:rPr>
        <w:t xml:space="preserve">do </w:t>
      </w:r>
      <w:r w:rsidRPr="00381DC2">
        <w:rPr>
          <w:color w:val="000000"/>
        </w:rPr>
        <w:t xml:space="preserve">18 let. V publikované literatuře se uvádí, že u pacientů </w:t>
      </w:r>
      <w:r w:rsidR="003E2E75" w:rsidRPr="00381DC2">
        <w:rPr>
          <w:color w:val="000000"/>
        </w:rPr>
        <w:t xml:space="preserve">do </w:t>
      </w:r>
      <w:r w:rsidRPr="00381DC2">
        <w:rPr>
          <w:color w:val="000000"/>
        </w:rPr>
        <w:t>18 let léčených bevacizumabem byly pozorovány případy non-mandibulární osteonekrózy.</w:t>
      </w:r>
    </w:p>
    <w:p w14:paraId="5A1BCE5E" w14:textId="77777777" w:rsidR="008142CA" w:rsidRPr="00381DC2" w:rsidRDefault="008142CA" w:rsidP="007F6E1B">
      <w:pPr>
        <w:pStyle w:val="BodyText"/>
        <w:ind w:left="0" w:right="371"/>
        <w:rPr>
          <w:color w:val="000000"/>
        </w:rPr>
      </w:pPr>
    </w:p>
    <w:p w14:paraId="77C8CCE1" w14:textId="77777777" w:rsidR="004B236F" w:rsidRPr="00381DC2" w:rsidRDefault="009B0756" w:rsidP="007F6E1B">
      <w:pPr>
        <w:pStyle w:val="BodyText"/>
        <w:keepNext/>
        <w:ind w:left="0"/>
        <w:rPr>
          <w:color w:val="000000"/>
        </w:rPr>
      </w:pPr>
      <w:r w:rsidRPr="00381DC2">
        <w:rPr>
          <w:color w:val="000000"/>
          <w:u w:val="single" w:color="000000"/>
        </w:rPr>
        <w:t>Zkušenosti po uvedení přípravku na trh</w:t>
      </w:r>
    </w:p>
    <w:p w14:paraId="6D68C0AE" w14:textId="77777777" w:rsidR="00D15122" w:rsidRPr="00F60460" w:rsidRDefault="00D15122" w:rsidP="00CD3CB5">
      <w:pPr>
        <w:keepNext/>
        <w:rPr>
          <w:color w:val="000000"/>
        </w:rPr>
      </w:pPr>
    </w:p>
    <w:p w14:paraId="66B4D79B" w14:textId="77777777" w:rsidR="00D15122" w:rsidRPr="00381DC2" w:rsidRDefault="002E590F" w:rsidP="0017170A">
      <w:pPr>
        <w:keepNext/>
        <w:widowControl/>
        <w:rPr>
          <w:rFonts w:ascii="Times New Roman" w:eastAsia="Times New Roman" w:hAnsi="Times New Roman"/>
          <w:b/>
          <w:color w:val="000000"/>
        </w:rPr>
      </w:pPr>
      <w:r w:rsidRPr="00381DC2">
        <w:rPr>
          <w:rFonts w:ascii="Times New Roman" w:eastAsia="Times New Roman" w:hAnsi="Times New Roman"/>
          <w:b/>
          <w:color w:val="000000"/>
        </w:rPr>
        <w:t>Tabulka 3</w:t>
      </w:r>
      <w:r w:rsidRPr="00381DC2">
        <w:rPr>
          <w:rFonts w:ascii="Times New Roman" w:eastAsia="Times New Roman" w:hAnsi="Times New Roman"/>
          <w:b/>
          <w:color w:val="000000"/>
        </w:rPr>
        <w:tab/>
        <w:t>Nežádoucí účinky hlášené po uvedení přípravku na trh</w:t>
      </w:r>
    </w:p>
    <w:p w14:paraId="42C05403" w14:textId="77777777" w:rsidR="00D15122" w:rsidRPr="00381DC2" w:rsidRDefault="00D15122" w:rsidP="006A1778">
      <w:pPr>
        <w:pStyle w:val="TableParagraph"/>
        <w:keepNext/>
        <w:ind w:right="182"/>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0"/>
        <w:gridCol w:w="6480"/>
      </w:tblGrid>
      <w:tr w:rsidR="00D15122" w:rsidRPr="00F60460" w14:paraId="43BFFB1A" w14:textId="77777777" w:rsidTr="006A2145">
        <w:trPr>
          <w:tblHeader/>
        </w:trPr>
        <w:tc>
          <w:tcPr>
            <w:tcW w:w="2280" w:type="dxa"/>
          </w:tcPr>
          <w:p w14:paraId="6763D6D9" w14:textId="77777777" w:rsidR="00D15122" w:rsidRPr="00381DC2" w:rsidRDefault="009B0756" w:rsidP="00D23770">
            <w:pPr>
              <w:pStyle w:val="TableParagraph"/>
              <w:keepNext/>
              <w:spacing w:line="240" w:lineRule="exact"/>
              <w:ind w:left="42" w:right="282" w:firstLine="6"/>
              <w:rPr>
                <w:rFonts w:ascii="Times New Roman" w:eastAsia="Times New Roman" w:hAnsi="Times New Roman"/>
                <w:color w:val="000000"/>
              </w:rPr>
            </w:pPr>
            <w:r w:rsidRPr="00381DC2">
              <w:rPr>
                <w:rFonts w:ascii="Times New Roman" w:hAnsi="Times New Roman"/>
                <w:color w:val="000000"/>
              </w:rPr>
              <w:t>Tříd</w:t>
            </w:r>
            <w:r w:rsidR="00975E3F" w:rsidRPr="00381DC2">
              <w:rPr>
                <w:rFonts w:ascii="Times New Roman" w:hAnsi="Times New Roman"/>
                <w:color w:val="000000"/>
              </w:rPr>
              <w:t>y</w:t>
            </w:r>
            <w:r w:rsidRPr="00381DC2">
              <w:rPr>
                <w:rFonts w:ascii="Times New Roman" w:hAnsi="Times New Roman"/>
                <w:color w:val="000000"/>
              </w:rPr>
              <w:t xml:space="preserve"> orgánových systémů (SOC)</w:t>
            </w:r>
          </w:p>
        </w:tc>
        <w:tc>
          <w:tcPr>
            <w:tcW w:w="6480" w:type="dxa"/>
          </w:tcPr>
          <w:p w14:paraId="7C3621EA" w14:textId="77777777" w:rsidR="00D15122" w:rsidRPr="00381DC2" w:rsidRDefault="003E2E75" w:rsidP="003E2E75">
            <w:pPr>
              <w:pStyle w:val="TableParagraph"/>
              <w:keepNext/>
              <w:jc w:val="center"/>
              <w:rPr>
                <w:rFonts w:ascii="Times New Roman" w:eastAsia="Times New Roman" w:hAnsi="Times New Roman"/>
                <w:color w:val="000000"/>
              </w:rPr>
            </w:pPr>
            <w:r w:rsidRPr="00381DC2">
              <w:rPr>
                <w:rFonts w:ascii="Times New Roman" w:hAnsi="Times New Roman"/>
                <w:color w:val="000000"/>
              </w:rPr>
              <w:t>Ú</w:t>
            </w:r>
            <w:r w:rsidR="009B0756" w:rsidRPr="00381DC2">
              <w:rPr>
                <w:rFonts w:ascii="Times New Roman" w:hAnsi="Times New Roman"/>
                <w:color w:val="000000"/>
              </w:rPr>
              <w:t>činek (frekvence*)</w:t>
            </w:r>
          </w:p>
        </w:tc>
      </w:tr>
      <w:tr w:rsidR="00D15122" w:rsidRPr="00F60460" w14:paraId="2985CEF3" w14:textId="77777777" w:rsidTr="006A2145">
        <w:tc>
          <w:tcPr>
            <w:tcW w:w="2280" w:type="dxa"/>
          </w:tcPr>
          <w:p w14:paraId="37110045" w14:textId="77777777" w:rsidR="00D15122" w:rsidRPr="00381DC2" w:rsidRDefault="009B0756" w:rsidP="00D23770">
            <w:pPr>
              <w:pStyle w:val="TableParagraph"/>
              <w:keepNext/>
              <w:spacing w:line="240" w:lineRule="exact"/>
              <w:ind w:left="98" w:right="500"/>
              <w:rPr>
                <w:rFonts w:ascii="Times New Roman" w:eastAsia="Times New Roman" w:hAnsi="Times New Roman"/>
                <w:color w:val="000000"/>
              </w:rPr>
            </w:pPr>
            <w:r w:rsidRPr="00381DC2">
              <w:rPr>
                <w:rFonts w:ascii="Times New Roman" w:hAnsi="Times New Roman"/>
                <w:color w:val="000000"/>
              </w:rPr>
              <w:t>Infekce a infestace</w:t>
            </w:r>
          </w:p>
        </w:tc>
        <w:tc>
          <w:tcPr>
            <w:tcW w:w="6480" w:type="dxa"/>
          </w:tcPr>
          <w:p w14:paraId="22441928" w14:textId="77777777" w:rsidR="00D15122" w:rsidRPr="00381DC2" w:rsidRDefault="009B0756" w:rsidP="003E2E75">
            <w:pPr>
              <w:pStyle w:val="TableParagraph"/>
              <w:keepNext/>
              <w:spacing w:line="240" w:lineRule="exact"/>
              <w:ind w:right="327"/>
              <w:rPr>
                <w:rFonts w:ascii="Times New Roman" w:eastAsia="Times New Roman" w:hAnsi="Times New Roman"/>
                <w:color w:val="000000"/>
              </w:rPr>
            </w:pPr>
            <w:r w:rsidRPr="00381DC2">
              <w:rPr>
                <w:rFonts w:ascii="Times New Roman" w:hAnsi="Times New Roman"/>
                <w:color w:val="000000"/>
              </w:rPr>
              <w:t xml:space="preserve">Nekrotizující fasciitida, obvykle po předchozích komplikacích při hojení </w:t>
            </w:r>
            <w:r w:rsidR="003E2E75" w:rsidRPr="00381DC2">
              <w:rPr>
                <w:rFonts w:ascii="Times New Roman" w:hAnsi="Times New Roman"/>
                <w:color w:val="000000"/>
              </w:rPr>
              <w:t>ran</w:t>
            </w:r>
            <w:r w:rsidRPr="00381DC2">
              <w:rPr>
                <w:rFonts w:ascii="Times New Roman" w:hAnsi="Times New Roman"/>
                <w:color w:val="000000"/>
              </w:rPr>
              <w:t>, gastrointestinální perforaci nebo vzniku píštěle (vzácné) (viz také bod 4.4)</w:t>
            </w:r>
          </w:p>
        </w:tc>
      </w:tr>
      <w:tr w:rsidR="00D15122" w:rsidRPr="00F60460" w14:paraId="2976C272" w14:textId="77777777" w:rsidTr="006A2145">
        <w:tc>
          <w:tcPr>
            <w:tcW w:w="2280" w:type="dxa"/>
          </w:tcPr>
          <w:p w14:paraId="0D611BB1" w14:textId="77777777" w:rsidR="00D15122" w:rsidRPr="00381DC2" w:rsidRDefault="009B0756" w:rsidP="00D23770">
            <w:pPr>
              <w:pStyle w:val="TableParagraph"/>
              <w:keepNext/>
              <w:spacing w:line="240" w:lineRule="exact"/>
              <w:ind w:left="98" w:right="451"/>
              <w:rPr>
                <w:rFonts w:ascii="Times New Roman" w:eastAsia="Times New Roman" w:hAnsi="Times New Roman"/>
                <w:color w:val="000000"/>
              </w:rPr>
            </w:pPr>
            <w:r w:rsidRPr="00381DC2">
              <w:rPr>
                <w:rFonts w:ascii="Times New Roman" w:hAnsi="Times New Roman"/>
                <w:color w:val="000000"/>
              </w:rPr>
              <w:t>Poruchy imunitního systému</w:t>
            </w:r>
          </w:p>
        </w:tc>
        <w:tc>
          <w:tcPr>
            <w:tcW w:w="6480" w:type="dxa"/>
          </w:tcPr>
          <w:p w14:paraId="61701FDA" w14:textId="73620422" w:rsidR="00D15122" w:rsidRDefault="009B0756" w:rsidP="00CC0FAB">
            <w:pPr>
              <w:pStyle w:val="TableParagraph"/>
              <w:keepNext/>
              <w:spacing w:line="240" w:lineRule="exact"/>
              <w:ind w:right="176"/>
              <w:rPr>
                <w:rFonts w:ascii="Times New Roman" w:hAnsi="Times New Roman"/>
                <w:color w:val="000000"/>
              </w:rPr>
            </w:pPr>
            <w:r w:rsidRPr="00381DC2">
              <w:rPr>
                <w:rFonts w:ascii="Times New Roman" w:hAnsi="Times New Roman"/>
                <w:color w:val="000000"/>
              </w:rPr>
              <w:t>Hypersenzitivní reakce a reakce na infuzi (</w:t>
            </w:r>
            <w:r w:rsidR="00386CE0">
              <w:rPr>
                <w:rFonts w:ascii="Times New Roman" w:hAnsi="Times New Roman"/>
                <w:color w:val="000000"/>
              </w:rPr>
              <w:t>časté</w:t>
            </w:r>
            <w:r w:rsidRPr="00381DC2">
              <w:rPr>
                <w:rFonts w:ascii="Times New Roman" w:hAnsi="Times New Roman"/>
                <w:color w:val="000000"/>
              </w:rPr>
              <w:t xml:space="preserve">); s následujícími možnými </w:t>
            </w:r>
            <w:r w:rsidR="003E2E75" w:rsidRPr="00381DC2">
              <w:rPr>
                <w:rFonts w:ascii="Times New Roman" w:hAnsi="Times New Roman"/>
                <w:color w:val="000000"/>
              </w:rPr>
              <w:t>souběžnými projevy</w:t>
            </w:r>
            <w:r w:rsidRPr="00381DC2">
              <w:rPr>
                <w:rFonts w:ascii="Times New Roman" w:hAnsi="Times New Roman"/>
                <w:color w:val="000000"/>
              </w:rPr>
              <w:t xml:space="preserve">: </w:t>
            </w:r>
            <w:r w:rsidR="00542A3C" w:rsidRPr="00381DC2">
              <w:rPr>
                <w:rFonts w:ascii="Times New Roman" w:hAnsi="Times New Roman"/>
                <w:color w:val="000000"/>
              </w:rPr>
              <w:t>dyspnoe</w:t>
            </w:r>
            <w:r w:rsidRPr="00381DC2">
              <w:rPr>
                <w:rFonts w:ascii="Times New Roman" w:hAnsi="Times New Roman"/>
                <w:color w:val="000000"/>
              </w:rPr>
              <w:t>/</w:t>
            </w:r>
            <w:r w:rsidR="003E2E75" w:rsidRPr="00381DC2">
              <w:rPr>
                <w:rFonts w:ascii="Times New Roman" w:hAnsi="Times New Roman"/>
                <w:color w:val="000000"/>
              </w:rPr>
              <w:t>ztížené dýchání</w:t>
            </w:r>
            <w:r w:rsidRPr="00381DC2">
              <w:rPr>
                <w:rFonts w:ascii="Times New Roman" w:hAnsi="Times New Roman"/>
                <w:color w:val="000000"/>
              </w:rPr>
              <w:t xml:space="preserve">, návaly horka/zrudnutí/vyrážka, hypotenze nebo hypertenze, </w:t>
            </w:r>
            <w:r w:rsidR="003E2E75" w:rsidRPr="00381DC2">
              <w:rPr>
                <w:rFonts w:ascii="Times New Roman" w:hAnsi="Times New Roman"/>
                <w:color w:val="000000"/>
              </w:rPr>
              <w:t>de</w:t>
            </w:r>
            <w:r w:rsidRPr="00381DC2">
              <w:rPr>
                <w:rFonts w:ascii="Times New Roman" w:hAnsi="Times New Roman"/>
                <w:color w:val="000000"/>
              </w:rPr>
              <w:t xml:space="preserve">saturace kyslíkem, bolest na hrudi, ztuhlost a nauzea/zvracení (viz </w:t>
            </w:r>
            <w:r w:rsidR="003E2E75" w:rsidRPr="00381DC2">
              <w:rPr>
                <w:rFonts w:ascii="Times New Roman" w:hAnsi="Times New Roman"/>
                <w:color w:val="000000"/>
              </w:rPr>
              <w:t xml:space="preserve">také </w:t>
            </w:r>
            <w:r w:rsidRPr="00381DC2">
              <w:rPr>
                <w:rFonts w:ascii="Times New Roman" w:hAnsi="Times New Roman"/>
                <w:color w:val="000000"/>
              </w:rPr>
              <w:t>výše bod</w:t>
            </w:r>
            <w:r w:rsidR="00766BA8" w:rsidRPr="00381DC2">
              <w:rPr>
                <w:rFonts w:ascii="Times New Roman" w:hAnsi="Times New Roman"/>
                <w:color w:val="000000"/>
              </w:rPr>
              <w:t xml:space="preserve"> </w:t>
            </w:r>
            <w:r w:rsidRPr="00381DC2">
              <w:rPr>
                <w:rFonts w:ascii="Times New Roman" w:hAnsi="Times New Roman"/>
                <w:color w:val="000000"/>
              </w:rPr>
              <w:t>4.4 a Hypersenzitivní reakce</w:t>
            </w:r>
            <w:r w:rsidR="00EB1891">
              <w:rPr>
                <w:rFonts w:ascii="Times New Roman" w:hAnsi="Times New Roman"/>
                <w:color w:val="000000"/>
              </w:rPr>
              <w:t xml:space="preserve"> (včetně </w:t>
            </w:r>
            <w:r w:rsidR="00EB1891" w:rsidRPr="00EB1891">
              <w:rPr>
                <w:rFonts w:ascii="Times New Roman" w:hAnsi="Times New Roman"/>
                <w:iCs/>
                <w:color w:val="000000"/>
              </w:rPr>
              <w:t>anafylaktického šoku)</w:t>
            </w:r>
            <w:r w:rsidRPr="00381DC2">
              <w:rPr>
                <w:rFonts w:ascii="Times New Roman" w:hAnsi="Times New Roman"/>
                <w:color w:val="000000"/>
              </w:rPr>
              <w:t>/reakce na infuzi)</w:t>
            </w:r>
          </w:p>
          <w:p w14:paraId="2582E422" w14:textId="6F74F2A3" w:rsidR="00386CE0" w:rsidRPr="00381DC2" w:rsidRDefault="00386CE0" w:rsidP="00B06A55">
            <w:pPr>
              <w:pStyle w:val="TableParagraph"/>
              <w:keepNext/>
              <w:spacing w:before="240" w:line="240" w:lineRule="exact"/>
              <w:ind w:right="176"/>
              <w:rPr>
                <w:rFonts w:ascii="Times New Roman" w:eastAsia="Times New Roman" w:hAnsi="Times New Roman"/>
                <w:color w:val="000000"/>
              </w:rPr>
            </w:pPr>
            <w:r>
              <w:rPr>
                <w:rFonts w:ascii="Times New Roman" w:eastAsia="Times New Roman" w:hAnsi="Times New Roman"/>
                <w:color w:val="000000"/>
              </w:rPr>
              <w:t>Anafylaktický šok (vzác</w:t>
            </w:r>
            <w:r w:rsidR="009033A3">
              <w:rPr>
                <w:rFonts w:ascii="Times New Roman" w:eastAsia="Times New Roman" w:hAnsi="Times New Roman"/>
                <w:color w:val="000000"/>
              </w:rPr>
              <w:t>n</w:t>
            </w:r>
            <w:r>
              <w:rPr>
                <w:rFonts w:ascii="Times New Roman" w:eastAsia="Times New Roman" w:hAnsi="Times New Roman"/>
                <w:color w:val="000000"/>
              </w:rPr>
              <w:t>é) (viz také bod 4.4)</w:t>
            </w:r>
          </w:p>
        </w:tc>
      </w:tr>
      <w:tr w:rsidR="00D15122" w:rsidRPr="00F60460" w14:paraId="7C325B1E" w14:textId="77777777" w:rsidTr="006A2145">
        <w:tc>
          <w:tcPr>
            <w:tcW w:w="2280" w:type="dxa"/>
          </w:tcPr>
          <w:p w14:paraId="4C0E5DF0" w14:textId="77777777" w:rsidR="00D15122" w:rsidRPr="00381DC2" w:rsidRDefault="009B0756" w:rsidP="00D23770">
            <w:pPr>
              <w:pStyle w:val="TableParagraph"/>
              <w:spacing w:line="240" w:lineRule="exact"/>
              <w:ind w:left="98" w:right="437"/>
              <w:rPr>
                <w:rFonts w:ascii="Times New Roman" w:eastAsia="Times New Roman" w:hAnsi="Times New Roman"/>
                <w:color w:val="000000"/>
              </w:rPr>
            </w:pPr>
            <w:r w:rsidRPr="00381DC2">
              <w:rPr>
                <w:rFonts w:ascii="Times New Roman" w:hAnsi="Times New Roman"/>
                <w:color w:val="000000"/>
              </w:rPr>
              <w:t>Poruchy nervového systému</w:t>
            </w:r>
          </w:p>
        </w:tc>
        <w:tc>
          <w:tcPr>
            <w:tcW w:w="6480" w:type="dxa"/>
          </w:tcPr>
          <w:p w14:paraId="5E36A7D0" w14:textId="77777777" w:rsidR="00D15122" w:rsidRPr="00381DC2" w:rsidRDefault="009B0756" w:rsidP="007F6E1B">
            <w:pPr>
              <w:pStyle w:val="TableParagraph"/>
              <w:spacing w:line="246" w:lineRule="exact"/>
              <w:rPr>
                <w:rFonts w:ascii="Times New Roman" w:eastAsia="Times New Roman" w:hAnsi="Times New Roman"/>
                <w:color w:val="000000"/>
              </w:rPr>
            </w:pPr>
            <w:r w:rsidRPr="00381DC2">
              <w:rPr>
                <w:rFonts w:ascii="Times New Roman" w:hAnsi="Times New Roman"/>
                <w:color w:val="000000"/>
              </w:rPr>
              <w:t xml:space="preserve">Hypertenzní encefalopatie (velmi vzácné) (viz </w:t>
            </w:r>
            <w:r w:rsidR="003E2E75" w:rsidRPr="00381DC2">
              <w:rPr>
                <w:rFonts w:ascii="Times New Roman" w:hAnsi="Times New Roman"/>
                <w:color w:val="000000"/>
              </w:rPr>
              <w:t xml:space="preserve">také </w:t>
            </w:r>
            <w:r w:rsidRPr="00381DC2">
              <w:rPr>
                <w:rFonts w:ascii="Times New Roman" w:hAnsi="Times New Roman"/>
                <w:color w:val="000000"/>
              </w:rPr>
              <w:t>bod 4.4 a</w:t>
            </w:r>
          </w:p>
          <w:p w14:paraId="71D0B86B" w14:textId="77777777" w:rsidR="00D15122" w:rsidRPr="00381DC2" w:rsidRDefault="009B0756" w:rsidP="007F6E1B">
            <w:pPr>
              <w:pStyle w:val="TableParagraph"/>
              <w:spacing w:line="246" w:lineRule="exact"/>
              <w:rPr>
                <w:rFonts w:ascii="Times New Roman" w:eastAsia="Times New Roman" w:hAnsi="Times New Roman"/>
                <w:color w:val="000000"/>
              </w:rPr>
            </w:pPr>
            <w:r w:rsidRPr="00381DC2">
              <w:rPr>
                <w:rFonts w:ascii="Times New Roman" w:hAnsi="Times New Roman"/>
                <w:color w:val="000000"/>
              </w:rPr>
              <w:t>Hypertenze v bodě 4.8)</w:t>
            </w:r>
          </w:p>
          <w:p w14:paraId="6F3FC340" w14:textId="77777777" w:rsidR="00D15122" w:rsidRPr="00381DC2" w:rsidRDefault="00975E3F">
            <w:pPr>
              <w:pStyle w:val="TableParagraph"/>
              <w:spacing w:line="240" w:lineRule="exact"/>
              <w:ind w:right="399"/>
              <w:rPr>
                <w:rFonts w:ascii="Times New Roman" w:eastAsia="Times New Roman" w:hAnsi="Times New Roman"/>
                <w:color w:val="000000"/>
              </w:rPr>
            </w:pPr>
            <w:r w:rsidRPr="00381DC2">
              <w:rPr>
                <w:rFonts w:ascii="Times New Roman" w:hAnsi="Times New Roman"/>
                <w:color w:val="000000"/>
              </w:rPr>
              <w:t>Syndrom zadní r</w:t>
            </w:r>
            <w:r w:rsidR="009B0756" w:rsidRPr="00381DC2">
              <w:rPr>
                <w:rFonts w:ascii="Times New Roman" w:hAnsi="Times New Roman"/>
                <w:color w:val="000000"/>
              </w:rPr>
              <w:t>everzibilní encefalopatie</w:t>
            </w:r>
            <w:r w:rsidR="0032022D" w:rsidRPr="00381DC2">
              <w:rPr>
                <w:rFonts w:ascii="Times New Roman" w:hAnsi="Times New Roman"/>
                <w:color w:val="000000"/>
              </w:rPr>
              <w:t xml:space="preserve"> </w:t>
            </w:r>
            <w:r w:rsidR="009B0756" w:rsidRPr="00381DC2">
              <w:rPr>
                <w:rFonts w:ascii="Times New Roman" w:hAnsi="Times New Roman"/>
                <w:color w:val="000000"/>
              </w:rPr>
              <w:t xml:space="preserve">(PRES), (vzácné) (viz </w:t>
            </w:r>
            <w:r w:rsidR="008134BC" w:rsidRPr="00381DC2">
              <w:rPr>
                <w:rFonts w:ascii="Times New Roman" w:hAnsi="Times New Roman"/>
                <w:color w:val="000000"/>
              </w:rPr>
              <w:t xml:space="preserve">také </w:t>
            </w:r>
            <w:r w:rsidR="009B0756" w:rsidRPr="00381DC2">
              <w:rPr>
                <w:rFonts w:ascii="Times New Roman" w:hAnsi="Times New Roman"/>
                <w:color w:val="000000"/>
              </w:rPr>
              <w:t>bod 4.4)</w:t>
            </w:r>
          </w:p>
        </w:tc>
      </w:tr>
      <w:tr w:rsidR="00D15122" w:rsidRPr="00F60460" w14:paraId="3E707950" w14:textId="77777777" w:rsidTr="006A2145">
        <w:tc>
          <w:tcPr>
            <w:tcW w:w="2280" w:type="dxa"/>
          </w:tcPr>
          <w:p w14:paraId="32DE8B41" w14:textId="77777777" w:rsidR="00D15122" w:rsidRPr="00381DC2" w:rsidRDefault="009B0756" w:rsidP="00D23770">
            <w:pPr>
              <w:pStyle w:val="TableParagraph"/>
              <w:ind w:left="98"/>
              <w:rPr>
                <w:rFonts w:ascii="Times New Roman" w:eastAsia="Times New Roman" w:hAnsi="Times New Roman"/>
                <w:color w:val="000000"/>
              </w:rPr>
            </w:pPr>
            <w:r w:rsidRPr="00381DC2">
              <w:rPr>
                <w:rFonts w:ascii="Times New Roman" w:hAnsi="Times New Roman"/>
                <w:color w:val="000000"/>
              </w:rPr>
              <w:t>Cévní poruchy</w:t>
            </w:r>
          </w:p>
        </w:tc>
        <w:tc>
          <w:tcPr>
            <w:tcW w:w="6480" w:type="dxa"/>
          </w:tcPr>
          <w:p w14:paraId="1E91121C" w14:textId="77777777" w:rsidR="00D15122" w:rsidRPr="00381DC2" w:rsidRDefault="008134BC">
            <w:pPr>
              <w:pStyle w:val="TableParagraph"/>
              <w:spacing w:line="240" w:lineRule="exact"/>
              <w:ind w:right="435"/>
              <w:rPr>
                <w:rFonts w:ascii="Times New Roman" w:eastAsia="Times New Roman" w:hAnsi="Times New Roman"/>
                <w:color w:val="000000"/>
              </w:rPr>
            </w:pPr>
            <w:r w:rsidRPr="00381DC2">
              <w:rPr>
                <w:rFonts w:ascii="Times New Roman" w:hAnsi="Times New Roman"/>
                <w:color w:val="000000"/>
              </w:rPr>
              <w:t xml:space="preserve">Renální </w:t>
            </w:r>
            <w:r w:rsidR="009B0756" w:rsidRPr="00381DC2">
              <w:rPr>
                <w:rFonts w:ascii="Times New Roman" w:hAnsi="Times New Roman"/>
                <w:color w:val="000000"/>
              </w:rPr>
              <w:t>trombotická mikroangiopatie, která může být klinicky manifestovaná proteinurií (není známo) při současném podávání sunitinibu nebo bez něj. Další informace o proteinurii viz bod 4.4 a </w:t>
            </w:r>
            <w:r w:rsidR="00975E3F" w:rsidRPr="00381DC2">
              <w:rPr>
                <w:rFonts w:ascii="Times New Roman" w:hAnsi="Times New Roman"/>
                <w:color w:val="000000"/>
              </w:rPr>
              <w:t>p</w:t>
            </w:r>
            <w:r w:rsidR="009B0756" w:rsidRPr="00381DC2">
              <w:rPr>
                <w:rFonts w:ascii="Times New Roman" w:hAnsi="Times New Roman"/>
                <w:color w:val="000000"/>
              </w:rPr>
              <w:t>roteinurie v bodě 4.8.</w:t>
            </w:r>
          </w:p>
        </w:tc>
      </w:tr>
      <w:tr w:rsidR="00D15122" w:rsidRPr="00F60460" w14:paraId="5CDF8426" w14:textId="77777777" w:rsidTr="006A2145">
        <w:tc>
          <w:tcPr>
            <w:tcW w:w="2280" w:type="dxa"/>
          </w:tcPr>
          <w:p w14:paraId="7BEAD44A" w14:textId="77777777" w:rsidR="00D15122" w:rsidRPr="00381DC2" w:rsidRDefault="009B0756" w:rsidP="00D23770">
            <w:pPr>
              <w:pStyle w:val="TableParagraph"/>
              <w:tabs>
                <w:tab w:val="left" w:pos="2280"/>
              </w:tabs>
              <w:spacing w:line="240" w:lineRule="exact"/>
              <w:ind w:left="98" w:right="186"/>
              <w:rPr>
                <w:rFonts w:ascii="Times New Roman" w:eastAsia="Times New Roman" w:hAnsi="Times New Roman"/>
                <w:color w:val="000000"/>
              </w:rPr>
            </w:pPr>
            <w:r w:rsidRPr="00381DC2">
              <w:rPr>
                <w:rFonts w:ascii="Times New Roman" w:hAnsi="Times New Roman"/>
                <w:color w:val="000000"/>
              </w:rPr>
              <w:t>Respirační, hrudní a mediastinální poruchy</w:t>
            </w:r>
          </w:p>
        </w:tc>
        <w:tc>
          <w:tcPr>
            <w:tcW w:w="6480" w:type="dxa"/>
          </w:tcPr>
          <w:p w14:paraId="7ADF201A" w14:textId="77777777" w:rsidR="00D15122" w:rsidRPr="00381DC2" w:rsidRDefault="009B0756" w:rsidP="007F6E1B">
            <w:pPr>
              <w:pStyle w:val="TableParagraph"/>
              <w:spacing w:line="341" w:lineRule="auto"/>
              <w:ind w:right="2997"/>
              <w:rPr>
                <w:rFonts w:ascii="Times New Roman" w:eastAsia="Times New Roman" w:hAnsi="Times New Roman"/>
                <w:color w:val="000000"/>
              </w:rPr>
            </w:pPr>
            <w:r w:rsidRPr="00381DC2">
              <w:rPr>
                <w:rFonts w:ascii="Times New Roman" w:hAnsi="Times New Roman"/>
                <w:color w:val="000000"/>
              </w:rPr>
              <w:t>Perforace nosní přepážky (není známo) Plicní hypertenze (není známo) Dysfonie (časté)</w:t>
            </w:r>
          </w:p>
        </w:tc>
      </w:tr>
      <w:tr w:rsidR="00D15122" w:rsidRPr="00F60460" w14:paraId="6316ADAD" w14:textId="77777777" w:rsidTr="006A2145">
        <w:tc>
          <w:tcPr>
            <w:tcW w:w="2280" w:type="dxa"/>
          </w:tcPr>
          <w:p w14:paraId="05DD85A4" w14:textId="77777777" w:rsidR="00D15122" w:rsidRPr="00381DC2" w:rsidRDefault="009B0756" w:rsidP="00D23770">
            <w:pPr>
              <w:pStyle w:val="TableParagraph"/>
              <w:spacing w:line="240" w:lineRule="exact"/>
              <w:ind w:left="98" w:right="413"/>
              <w:rPr>
                <w:rFonts w:ascii="Times New Roman" w:eastAsia="Times New Roman" w:hAnsi="Times New Roman"/>
                <w:color w:val="000000"/>
              </w:rPr>
            </w:pPr>
            <w:r w:rsidRPr="00381DC2">
              <w:rPr>
                <w:rFonts w:ascii="Times New Roman" w:hAnsi="Times New Roman"/>
                <w:color w:val="000000"/>
              </w:rPr>
              <w:t>Gastrointestinální poruchy</w:t>
            </w:r>
          </w:p>
        </w:tc>
        <w:tc>
          <w:tcPr>
            <w:tcW w:w="6480" w:type="dxa"/>
          </w:tcPr>
          <w:p w14:paraId="1E5CA445" w14:textId="77777777" w:rsidR="00D15122" w:rsidRPr="00381DC2" w:rsidRDefault="009B0756" w:rsidP="007F6E1B">
            <w:pPr>
              <w:pStyle w:val="TableParagraph"/>
              <w:rPr>
                <w:rFonts w:ascii="Times New Roman" w:eastAsia="Times New Roman" w:hAnsi="Times New Roman"/>
                <w:color w:val="000000"/>
              </w:rPr>
            </w:pPr>
            <w:r w:rsidRPr="00381DC2">
              <w:rPr>
                <w:rFonts w:ascii="Times New Roman" w:hAnsi="Times New Roman"/>
                <w:color w:val="000000"/>
              </w:rPr>
              <w:t>Gastrointestinální vřed (není známo)</w:t>
            </w:r>
          </w:p>
        </w:tc>
      </w:tr>
      <w:tr w:rsidR="00D15122" w:rsidRPr="00F60460" w14:paraId="3C433559" w14:textId="77777777" w:rsidTr="006A2145">
        <w:tc>
          <w:tcPr>
            <w:tcW w:w="2280" w:type="dxa"/>
          </w:tcPr>
          <w:p w14:paraId="7811B20A" w14:textId="77777777" w:rsidR="00D15122" w:rsidRPr="00381DC2" w:rsidRDefault="009B0756" w:rsidP="00D23770">
            <w:pPr>
              <w:pStyle w:val="TableParagraph"/>
              <w:spacing w:line="240" w:lineRule="exact"/>
              <w:ind w:left="98" w:right="510"/>
              <w:rPr>
                <w:rFonts w:ascii="Times New Roman" w:eastAsia="Times New Roman" w:hAnsi="Times New Roman"/>
                <w:color w:val="000000"/>
              </w:rPr>
            </w:pPr>
            <w:r w:rsidRPr="00381DC2">
              <w:rPr>
                <w:rFonts w:ascii="Times New Roman" w:hAnsi="Times New Roman"/>
                <w:color w:val="000000"/>
              </w:rPr>
              <w:t>Poruchy jater a žlučových cest</w:t>
            </w:r>
          </w:p>
        </w:tc>
        <w:tc>
          <w:tcPr>
            <w:tcW w:w="6480" w:type="dxa"/>
          </w:tcPr>
          <w:p w14:paraId="59E834EC" w14:textId="77777777" w:rsidR="00D15122" w:rsidRPr="00381DC2" w:rsidRDefault="009B0756" w:rsidP="007F6E1B">
            <w:pPr>
              <w:pStyle w:val="TableParagraph"/>
              <w:rPr>
                <w:rFonts w:ascii="Times New Roman" w:eastAsia="Times New Roman" w:hAnsi="Times New Roman"/>
                <w:color w:val="000000"/>
              </w:rPr>
            </w:pPr>
            <w:r w:rsidRPr="00381DC2">
              <w:rPr>
                <w:rFonts w:ascii="Times New Roman" w:hAnsi="Times New Roman"/>
                <w:color w:val="000000"/>
              </w:rPr>
              <w:t>Perforace žlučníku (není známo)</w:t>
            </w:r>
          </w:p>
        </w:tc>
      </w:tr>
      <w:tr w:rsidR="00D15122" w:rsidRPr="00F60460" w14:paraId="7DBC634B" w14:textId="77777777" w:rsidTr="006A2145">
        <w:tc>
          <w:tcPr>
            <w:tcW w:w="2280" w:type="dxa"/>
          </w:tcPr>
          <w:p w14:paraId="79627B95" w14:textId="77777777" w:rsidR="00D15122" w:rsidRPr="00381DC2" w:rsidRDefault="009B0756" w:rsidP="00D23770">
            <w:pPr>
              <w:pStyle w:val="TableParagraph"/>
              <w:spacing w:line="240" w:lineRule="exact"/>
              <w:ind w:left="98" w:right="219"/>
              <w:rPr>
                <w:rFonts w:ascii="Times New Roman" w:eastAsia="Times New Roman" w:hAnsi="Times New Roman"/>
                <w:color w:val="000000"/>
              </w:rPr>
            </w:pPr>
            <w:r w:rsidRPr="00381DC2">
              <w:rPr>
                <w:rFonts w:ascii="Times New Roman" w:hAnsi="Times New Roman"/>
                <w:color w:val="000000"/>
              </w:rPr>
              <w:lastRenderedPageBreak/>
              <w:t>Poruchy svalové a kosterní soustavy a pojivové tkáně</w:t>
            </w:r>
          </w:p>
        </w:tc>
        <w:tc>
          <w:tcPr>
            <w:tcW w:w="6480" w:type="dxa"/>
          </w:tcPr>
          <w:p w14:paraId="522C04AE" w14:textId="77777777" w:rsidR="00D15122" w:rsidRPr="00381DC2" w:rsidRDefault="009B0756">
            <w:pPr>
              <w:pStyle w:val="TableParagraph"/>
              <w:spacing w:line="240" w:lineRule="exact"/>
              <w:ind w:right="238"/>
              <w:rPr>
                <w:rFonts w:ascii="Times New Roman" w:eastAsia="Times New Roman" w:hAnsi="Times New Roman"/>
                <w:color w:val="000000"/>
              </w:rPr>
            </w:pPr>
            <w:r w:rsidRPr="00381DC2">
              <w:rPr>
                <w:rFonts w:ascii="Times New Roman" w:hAnsi="Times New Roman"/>
                <w:color w:val="000000"/>
              </w:rPr>
              <w:t>U pacientů léčených bevacizumabem byly hlášeny případy osteonekrózy čelisti (ONJ), ve většině případů u pacientů se známými rizik</w:t>
            </w:r>
            <w:r w:rsidR="008134BC" w:rsidRPr="00381DC2">
              <w:rPr>
                <w:rFonts w:ascii="Times New Roman" w:hAnsi="Times New Roman"/>
                <w:color w:val="000000"/>
              </w:rPr>
              <w:t>ovými faktory</w:t>
            </w:r>
            <w:r w:rsidRPr="00381DC2">
              <w:rPr>
                <w:rFonts w:ascii="Times New Roman" w:hAnsi="Times New Roman"/>
                <w:color w:val="000000"/>
              </w:rPr>
              <w:t xml:space="preserve"> ONJ, zejména expozicí </w:t>
            </w:r>
            <w:r w:rsidR="00975E3F" w:rsidRPr="00381DC2">
              <w:rPr>
                <w:rFonts w:ascii="Times New Roman" w:hAnsi="Times New Roman"/>
                <w:color w:val="000000"/>
              </w:rPr>
              <w:t>intravenózním</w:t>
            </w:r>
            <w:r w:rsidRPr="00381DC2">
              <w:rPr>
                <w:rFonts w:ascii="Times New Roman" w:hAnsi="Times New Roman"/>
                <w:color w:val="000000"/>
              </w:rPr>
              <w:t xml:space="preserve"> bisfosfonát</w:t>
            </w:r>
            <w:r w:rsidR="008134BC" w:rsidRPr="00381DC2">
              <w:rPr>
                <w:rFonts w:ascii="Times New Roman" w:hAnsi="Times New Roman"/>
                <w:color w:val="000000"/>
              </w:rPr>
              <w:t>ům</w:t>
            </w:r>
            <w:r w:rsidRPr="00381DC2">
              <w:rPr>
                <w:rFonts w:ascii="Times New Roman" w:hAnsi="Times New Roman"/>
                <w:color w:val="000000"/>
              </w:rPr>
              <w:t xml:space="preserve"> a/nebo anamnézou stomatologického onemocnění, které vyžadovalo invazivní stomatologické zákroky (viz také bod 4.4)</w:t>
            </w:r>
            <w:r w:rsidR="008134BC" w:rsidRPr="00381DC2">
              <w:rPr>
                <w:rFonts w:ascii="Times New Roman" w:hAnsi="Times New Roman"/>
                <w:color w:val="000000"/>
              </w:rPr>
              <w:t>.</w:t>
            </w:r>
          </w:p>
        </w:tc>
      </w:tr>
      <w:tr w:rsidR="00D15122" w:rsidRPr="00F60460" w14:paraId="7355AEEF" w14:textId="77777777" w:rsidTr="006A2145">
        <w:tc>
          <w:tcPr>
            <w:tcW w:w="2280" w:type="dxa"/>
          </w:tcPr>
          <w:p w14:paraId="3F3A3D84" w14:textId="77777777" w:rsidR="00D15122" w:rsidRPr="00381DC2" w:rsidRDefault="00D15122" w:rsidP="00A330A9">
            <w:pPr>
              <w:keepNext/>
              <w:keepLines/>
              <w:ind w:left="98"/>
              <w:rPr>
                <w:rFonts w:ascii="Times New Roman" w:hAnsi="Times New Roman"/>
                <w:color w:val="000000"/>
              </w:rPr>
            </w:pPr>
          </w:p>
        </w:tc>
        <w:tc>
          <w:tcPr>
            <w:tcW w:w="6480" w:type="dxa"/>
          </w:tcPr>
          <w:p w14:paraId="3856C1CD" w14:textId="77777777" w:rsidR="00D15122" w:rsidRPr="00381DC2" w:rsidRDefault="009B0756" w:rsidP="00A330A9">
            <w:pPr>
              <w:pStyle w:val="TableParagraph"/>
              <w:keepNext/>
              <w:keepLines/>
              <w:spacing w:line="240" w:lineRule="exact"/>
              <w:ind w:right="150"/>
              <w:rPr>
                <w:rFonts w:ascii="Times New Roman" w:eastAsia="Times New Roman" w:hAnsi="Times New Roman"/>
                <w:color w:val="000000"/>
              </w:rPr>
            </w:pPr>
            <w:r w:rsidRPr="00381DC2">
              <w:rPr>
                <w:rFonts w:ascii="Times New Roman" w:hAnsi="Times New Roman"/>
                <w:color w:val="000000"/>
              </w:rPr>
              <w:t xml:space="preserve">U pediatrických pacientů léčených bevacizumabem byly </w:t>
            </w:r>
            <w:r w:rsidR="008134BC" w:rsidRPr="00381DC2">
              <w:rPr>
                <w:rFonts w:ascii="Times New Roman" w:hAnsi="Times New Roman"/>
                <w:color w:val="000000"/>
              </w:rPr>
              <w:t xml:space="preserve">pozorovány </w:t>
            </w:r>
            <w:r w:rsidRPr="00381DC2">
              <w:rPr>
                <w:rFonts w:ascii="Times New Roman" w:hAnsi="Times New Roman"/>
                <w:color w:val="000000"/>
              </w:rPr>
              <w:t>případy non-mandibulární osteonekrózy (viz bod 4.8, Pediatrická populace).</w:t>
            </w:r>
          </w:p>
        </w:tc>
      </w:tr>
      <w:tr w:rsidR="00D15122" w:rsidRPr="00F60460" w14:paraId="36457705" w14:textId="77777777" w:rsidTr="006A2145">
        <w:tc>
          <w:tcPr>
            <w:tcW w:w="2280" w:type="dxa"/>
          </w:tcPr>
          <w:p w14:paraId="39250262" w14:textId="77777777" w:rsidR="00D15122" w:rsidRPr="00381DC2" w:rsidRDefault="009B0756" w:rsidP="00D23770">
            <w:pPr>
              <w:pStyle w:val="TableParagraph"/>
              <w:spacing w:line="240" w:lineRule="exact"/>
              <w:ind w:left="98" w:right="212" w:hanging="3"/>
              <w:rPr>
                <w:rFonts w:ascii="Times New Roman" w:eastAsia="Times New Roman" w:hAnsi="Times New Roman"/>
                <w:color w:val="000000"/>
              </w:rPr>
            </w:pPr>
            <w:r w:rsidRPr="00381DC2">
              <w:rPr>
                <w:rFonts w:ascii="Times New Roman" w:hAnsi="Times New Roman"/>
                <w:color w:val="000000"/>
              </w:rPr>
              <w:t>Vrozené, familiální a genetické vady</w:t>
            </w:r>
          </w:p>
        </w:tc>
        <w:tc>
          <w:tcPr>
            <w:tcW w:w="6480" w:type="dxa"/>
          </w:tcPr>
          <w:p w14:paraId="5BD9314E" w14:textId="77777777" w:rsidR="00D15122" w:rsidRPr="00381DC2" w:rsidRDefault="009B0756" w:rsidP="007F6E1B">
            <w:pPr>
              <w:pStyle w:val="TableParagraph"/>
              <w:spacing w:line="240" w:lineRule="exact"/>
              <w:ind w:right="288"/>
              <w:rPr>
                <w:rFonts w:ascii="Times New Roman" w:eastAsia="Times New Roman" w:hAnsi="Times New Roman"/>
                <w:color w:val="000000"/>
              </w:rPr>
            </w:pPr>
            <w:r w:rsidRPr="00381DC2">
              <w:rPr>
                <w:rFonts w:ascii="Times New Roman" w:hAnsi="Times New Roman"/>
                <w:color w:val="000000"/>
              </w:rPr>
              <w:t>U žen léčených bevacizumabem samotným nebo v kombinaci se známými embryotoxickými chemoterapeutiky byly pozorovány případy fetálních abnormalit (viz bod 4.6)</w:t>
            </w:r>
            <w:r w:rsidR="008134BC" w:rsidRPr="00381DC2">
              <w:rPr>
                <w:rFonts w:ascii="Times New Roman" w:hAnsi="Times New Roman"/>
                <w:color w:val="000000"/>
              </w:rPr>
              <w:t>.</w:t>
            </w:r>
          </w:p>
        </w:tc>
      </w:tr>
    </w:tbl>
    <w:p w14:paraId="21F3D40F" w14:textId="77777777" w:rsidR="00FC7327" w:rsidRPr="00F60460" w:rsidRDefault="00FC7327" w:rsidP="00FC7327">
      <w:pPr>
        <w:ind w:left="720"/>
        <w:rPr>
          <w:rFonts w:ascii="Times New Roman" w:eastAsia="Times New Roman" w:hAnsi="Times New Roman"/>
          <w:color w:val="000000"/>
          <w:sz w:val="20"/>
          <w:szCs w:val="20"/>
        </w:rPr>
      </w:pPr>
      <w:r w:rsidRPr="00F60460">
        <w:rPr>
          <w:rFonts w:ascii="Times New Roman" w:hAnsi="Times New Roman"/>
          <w:color w:val="000000"/>
          <w:sz w:val="20"/>
        </w:rPr>
        <w:t>* pokud je frekvence uvedena, byla odvozena z údajů z klinických studií</w:t>
      </w:r>
    </w:p>
    <w:p w14:paraId="221B03BD" w14:textId="77777777" w:rsidR="00FC7327" w:rsidRPr="00381DC2" w:rsidRDefault="00FC7327" w:rsidP="007F6E1B">
      <w:pPr>
        <w:pStyle w:val="BodyText"/>
        <w:ind w:left="0"/>
        <w:rPr>
          <w:color w:val="000000"/>
          <w:u w:val="single" w:color="000000"/>
        </w:rPr>
      </w:pPr>
    </w:p>
    <w:p w14:paraId="016B3DA9" w14:textId="77777777" w:rsidR="00D15122" w:rsidRPr="00381DC2" w:rsidRDefault="009B0756" w:rsidP="004822DC">
      <w:pPr>
        <w:pStyle w:val="BodyText"/>
        <w:keepNext/>
        <w:ind w:left="0"/>
        <w:rPr>
          <w:color w:val="000000"/>
        </w:rPr>
      </w:pPr>
      <w:r w:rsidRPr="00381DC2">
        <w:rPr>
          <w:color w:val="000000"/>
          <w:u w:val="single" w:color="000000"/>
        </w:rPr>
        <w:t>Hlášení podezření na nežádoucí účinky</w:t>
      </w:r>
    </w:p>
    <w:p w14:paraId="0A292143" w14:textId="77777777" w:rsidR="00D15122" w:rsidRPr="00381DC2" w:rsidRDefault="00D15122" w:rsidP="007F6E1B">
      <w:pPr>
        <w:rPr>
          <w:rFonts w:ascii="Times New Roman" w:eastAsia="Times New Roman" w:hAnsi="Times New Roman"/>
          <w:color w:val="000000"/>
        </w:rPr>
      </w:pPr>
    </w:p>
    <w:p w14:paraId="66EDC8E7" w14:textId="7C54268A" w:rsidR="00DF42A2" w:rsidRPr="00381DC2" w:rsidRDefault="009B0756" w:rsidP="007F6E1B">
      <w:pPr>
        <w:pStyle w:val="BodyText"/>
        <w:ind w:left="0" w:right="157"/>
        <w:rPr>
          <w:color w:val="000000"/>
        </w:rPr>
      </w:pPr>
      <w:r w:rsidRPr="00381DC2">
        <w:rPr>
          <w:color w:val="000000"/>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w:t>
      </w:r>
      <w:r w:rsidRPr="00F60460">
        <w:rPr>
          <w:color w:val="000000"/>
          <w:highlight w:val="lightGray"/>
        </w:rPr>
        <w:t>prostřednictvím národního systému hlášení nežádoucích účinků uvedeného v</w:t>
      </w:r>
      <w:r w:rsidR="00B474D5" w:rsidRPr="00F60460">
        <w:rPr>
          <w:color w:val="000000"/>
          <w:highlight w:val="lightGray"/>
        </w:rPr>
        <w:t xml:space="preserve"> </w:t>
      </w:r>
      <w:hyperlink r:id="rId8" w:history="1">
        <w:r w:rsidR="00B474D5" w:rsidRPr="00F60460">
          <w:rPr>
            <w:rStyle w:val="Hyperlink"/>
            <w:highlight w:val="lightGray"/>
          </w:rPr>
          <w:t>Dodatku V</w:t>
        </w:r>
      </w:hyperlink>
      <w:r w:rsidRPr="00381DC2">
        <w:rPr>
          <w:color w:val="000000"/>
        </w:rPr>
        <w:t>.</w:t>
      </w:r>
    </w:p>
    <w:p w14:paraId="4B4128C9" w14:textId="77777777" w:rsidR="00D15122" w:rsidRPr="00F60460" w:rsidRDefault="00D15122" w:rsidP="007F6E1B">
      <w:pPr>
        <w:spacing w:line="200" w:lineRule="atLeast"/>
        <w:rPr>
          <w:rFonts w:ascii="Times New Roman" w:eastAsia="Times New Roman" w:hAnsi="Times New Roman"/>
          <w:color w:val="000000"/>
          <w:sz w:val="20"/>
          <w:szCs w:val="20"/>
        </w:rPr>
      </w:pPr>
    </w:p>
    <w:p w14:paraId="1DC68788" w14:textId="77777777" w:rsidR="00D15122" w:rsidRPr="00381DC2" w:rsidRDefault="003E4A60" w:rsidP="005D48D1">
      <w:pPr>
        <w:tabs>
          <w:tab w:val="left" w:pos="685"/>
        </w:tabs>
        <w:rPr>
          <w:rFonts w:ascii="Times New Roman" w:hAnsi="Times New Roman"/>
          <w:b/>
          <w:color w:val="000000"/>
        </w:rPr>
      </w:pPr>
      <w:r w:rsidRPr="00381DC2">
        <w:rPr>
          <w:rFonts w:ascii="Times New Roman" w:hAnsi="Times New Roman"/>
          <w:b/>
          <w:color w:val="000000"/>
        </w:rPr>
        <w:t>4.9</w:t>
      </w:r>
      <w:r w:rsidRPr="00381DC2">
        <w:rPr>
          <w:rFonts w:ascii="Times New Roman" w:hAnsi="Times New Roman"/>
          <w:b/>
          <w:color w:val="000000"/>
        </w:rPr>
        <w:tab/>
        <w:t>Předávkování</w:t>
      </w:r>
    </w:p>
    <w:p w14:paraId="644A1E15" w14:textId="77777777" w:rsidR="00D15122" w:rsidRPr="00381DC2" w:rsidRDefault="00D15122" w:rsidP="007F6E1B">
      <w:pPr>
        <w:rPr>
          <w:rFonts w:ascii="Times New Roman" w:eastAsia="Times New Roman" w:hAnsi="Times New Roman"/>
          <w:bCs/>
          <w:color w:val="000000"/>
        </w:rPr>
      </w:pPr>
    </w:p>
    <w:p w14:paraId="0A70F5E1" w14:textId="77777777" w:rsidR="00D15122" w:rsidRPr="00381DC2" w:rsidRDefault="008134BC" w:rsidP="007F6E1B">
      <w:pPr>
        <w:pStyle w:val="BodyText"/>
        <w:ind w:left="0" w:right="76"/>
        <w:rPr>
          <w:color w:val="000000"/>
        </w:rPr>
      </w:pPr>
      <w:r w:rsidRPr="00381DC2">
        <w:rPr>
          <w:color w:val="000000"/>
        </w:rPr>
        <w:t>N</w:t>
      </w:r>
      <w:r w:rsidR="009B0756" w:rsidRPr="00381DC2">
        <w:rPr>
          <w:color w:val="000000"/>
        </w:rPr>
        <w:t xml:space="preserve">ejvyšší </w:t>
      </w:r>
      <w:r w:rsidR="001C2645" w:rsidRPr="00381DC2">
        <w:rPr>
          <w:color w:val="000000"/>
        </w:rPr>
        <w:t xml:space="preserve">dávka testovaná u člověka </w:t>
      </w:r>
      <w:r w:rsidR="009B0756" w:rsidRPr="00381DC2">
        <w:rPr>
          <w:color w:val="000000"/>
        </w:rPr>
        <w:t>(20 mg/kg tělesné hmotnosti, podávan</w:t>
      </w:r>
      <w:r w:rsidR="001C2645" w:rsidRPr="00381DC2">
        <w:rPr>
          <w:color w:val="000000"/>
        </w:rPr>
        <w:t>á</w:t>
      </w:r>
      <w:r w:rsidR="009B0756" w:rsidRPr="00381DC2">
        <w:rPr>
          <w:color w:val="000000"/>
        </w:rPr>
        <w:t xml:space="preserve"> </w:t>
      </w:r>
      <w:r w:rsidR="00975E3F" w:rsidRPr="00381DC2">
        <w:rPr>
          <w:color w:val="000000"/>
        </w:rPr>
        <w:t>intravenózně</w:t>
      </w:r>
      <w:r w:rsidR="009B0756" w:rsidRPr="00381DC2">
        <w:rPr>
          <w:color w:val="000000"/>
        </w:rPr>
        <w:t xml:space="preserve"> každé 2 týdny) </w:t>
      </w:r>
      <w:r w:rsidR="001C2645" w:rsidRPr="00381DC2">
        <w:rPr>
          <w:color w:val="000000"/>
        </w:rPr>
        <w:t xml:space="preserve">byla </w:t>
      </w:r>
      <w:r w:rsidR="009B0756" w:rsidRPr="00381DC2">
        <w:rPr>
          <w:color w:val="000000"/>
        </w:rPr>
        <w:t xml:space="preserve">u několika pacientů </w:t>
      </w:r>
      <w:r w:rsidR="001C2645" w:rsidRPr="00381DC2">
        <w:rPr>
          <w:color w:val="000000"/>
        </w:rPr>
        <w:t>spojena s těžkou migrénou</w:t>
      </w:r>
      <w:r w:rsidR="009B0756" w:rsidRPr="00381DC2">
        <w:rPr>
          <w:color w:val="000000"/>
        </w:rPr>
        <w:t>.</w:t>
      </w:r>
    </w:p>
    <w:p w14:paraId="2A9581F2" w14:textId="77777777" w:rsidR="00D15122" w:rsidRPr="00381DC2" w:rsidRDefault="00D15122" w:rsidP="007F6E1B">
      <w:pPr>
        <w:rPr>
          <w:rFonts w:ascii="Times New Roman" w:eastAsia="Times New Roman" w:hAnsi="Times New Roman"/>
          <w:color w:val="000000"/>
        </w:rPr>
      </w:pPr>
    </w:p>
    <w:p w14:paraId="44A6E626" w14:textId="77777777" w:rsidR="00D15122" w:rsidRPr="00381DC2" w:rsidRDefault="00D15122" w:rsidP="007F6E1B">
      <w:pPr>
        <w:rPr>
          <w:rFonts w:ascii="Times New Roman" w:eastAsia="Times New Roman" w:hAnsi="Times New Roman"/>
          <w:color w:val="000000"/>
        </w:rPr>
      </w:pPr>
    </w:p>
    <w:p w14:paraId="51D81359" w14:textId="77777777" w:rsidR="00D15122" w:rsidRPr="00381DC2" w:rsidRDefault="003E4A60" w:rsidP="0017170A">
      <w:pPr>
        <w:keepNext/>
        <w:widowControl/>
        <w:tabs>
          <w:tab w:val="left" w:pos="685"/>
        </w:tabs>
        <w:rPr>
          <w:rFonts w:ascii="Times New Roman" w:hAnsi="Times New Roman"/>
          <w:b/>
          <w:color w:val="000000"/>
        </w:rPr>
      </w:pPr>
      <w:r w:rsidRPr="00381DC2">
        <w:rPr>
          <w:rFonts w:ascii="Times New Roman" w:hAnsi="Times New Roman"/>
          <w:b/>
          <w:color w:val="000000"/>
        </w:rPr>
        <w:t>5.</w:t>
      </w:r>
      <w:r w:rsidRPr="00381DC2">
        <w:rPr>
          <w:rFonts w:ascii="Times New Roman" w:hAnsi="Times New Roman"/>
          <w:b/>
          <w:color w:val="000000"/>
        </w:rPr>
        <w:tab/>
        <w:t>FARMAKOLOGICKÉ VLASTNOSTI</w:t>
      </w:r>
    </w:p>
    <w:p w14:paraId="696B2B79" w14:textId="77777777" w:rsidR="00D15122" w:rsidRPr="00381DC2" w:rsidRDefault="00D15122" w:rsidP="0017170A">
      <w:pPr>
        <w:keepNext/>
        <w:widowControl/>
        <w:rPr>
          <w:rFonts w:ascii="Times New Roman" w:eastAsia="Times New Roman" w:hAnsi="Times New Roman"/>
          <w:b/>
          <w:bCs/>
          <w:color w:val="000000"/>
        </w:rPr>
      </w:pPr>
    </w:p>
    <w:p w14:paraId="4F6FC19C" w14:textId="77777777" w:rsidR="00D15122" w:rsidRPr="00381DC2" w:rsidRDefault="003E4A60" w:rsidP="003E4A60">
      <w:pPr>
        <w:tabs>
          <w:tab w:val="left" w:pos="540"/>
        </w:tabs>
        <w:rPr>
          <w:rFonts w:ascii="Times New Roman" w:eastAsia="Times New Roman" w:hAnsi="Times New Roman"/>
          <w:b/>
          <w:color w:val="000000"/>
        </w:rPr>
      </w:pPr>
      <w:r w:rsidRPr="00381DC2">
        <w:rPr>
          <w:rFonts w:ascii="Times New Roman" w:hAnsi="Times New Roman"/>
          <w:b/>
          <w:color w:val="000000"/>
        </w:rPr>
        <w:t>5.1</w:t>
      </w:r>
      <w:r w:rsidRPr="00381DC2">
        <w:rPr>
          <w:rFonts w:ascii="Times New Roman" w:hAnsi="Times New Roman"/>
          <w:color w:val="000000"/>
        </w:rPr>
        <w:tab/>
      </w:r>
      <w:r w:rsidRPr="00381DC2">
        <w:rPr>
          <w:rFonts w:ascii="Times New Roman" w:hAnsi="Times New Roman"/>
          <w:b/>
          <w:color w:val="000000"/>
        </w:rPr>
        <w:t>Farmakodynamické vlastnosti</w:t>
      </w:r>
    </w:p>
    <w:p w14:paraId="0D6352CB" w14:textId="77777777" w:rsidR="00D15122" w:rsidRPr="00381DC2" w:rsidRDefault="00D15122" w:rsidP="007F6E1B">
      <w:pPr>
        <w:rPr>
          <w:rFonts w:ascii="Times New Roman" w:eastAsia="Times New Roman" w:hAnsi="Times New Roman"/>
          <w:b/>
          <w:bCs/>
          <w:color w:val="000000"/>
        </w:rPr>
      </w:pPr>
    </w:p>
    <w:p w14:paraId="366BF669" w14:textId="2DE9CC6C" w:rsidR="00D15122" w:rsidRPr="00381DC2" w:rsidRDefault="009B0756" w:rsidP="007F6E1B">
      <w:pPr>
        <w:pStyle w:val="BodyText"/>
        <w:ind w:left="0" w:right="157"/>
        <w:rPr>
          <w:color w:val="000000"/>
        </w:rPr>
      </w:pPr>
      <w:r w:rsidRPr="00381DC2">
        <w:rPr>
          <w:color w:val="000000"/>
        </w:rPr>
        <w:t xml:space="preserve">Farmakoterapeutická skupina: </w:t>
      </w:r>
      <w:r w:rsidR="006A67F7" w:rsidRPr="00381DC2">
        <w:rPr>
          <w:color w:val="000000"/>
        </w:rPr>
        <w:t xml:space="preserve">cytostatika </w:t>
      </w:r>
      <w:r w:rsidRPr="00381DC2">
        <w:rPr>
          <w:color w:val="000000"/>
        </w:rPr>
        <w:t xml:space="preserve">a imunomodulační </w:t>
      </w:r>
      <w:r w:rsidR="006A67F7" w:rsidRPr="00381DC2">
        <w:rPr>
          <w:color w:val="000000"/>
        </w:rPr>
        <w:t>léčiva</w:t>
      </w:r>
      <w:r w:rsidRPr="00381DC2">
        <w:rPr>
          <w:color w:val="000000"/>
        </w:rPr>
        <w:t xml:space="preserve">, </w:t>
      </w:r>
      <w:r w:rsidR="006A67F7" w:rsidRPr="00381DC2">
        <w:rPr>
          <w:color w:val="000000"/>
        </w:rPr>
        <w:t>cytostatika</w:t>
      </w:r>
      <w:r w:rsidRPr="00381DC2">
        <w:rPr>
          <w:color w:val="000000"/>
        </w:rPr>
        <w:t>, monoklonální protilátky</w:t>
      </w:r>
      <w:r w:rsidR="00B474D5">
        <w:rPr>
          <w:color w:val="000000"/>
        </w:rPr>
        <w:t xml:space="preserve"> a konjugáty protilátka - léčivo</w:t>
      </w:r>
      <w:r w:rsidRPr="00381DC2">
        <w:rPr>
          <w:color w:val="000000"/>
        </w:rPr>
        <w:t xml:space="preserve">, ATC kód: </w:t>
      </w:r>
      <w:r w:rsidR="0088217C" w:rsidRPr="00B8634B">
        <w:t>L01FG01</w:t>
      </w:r>
    </w:p>
    <w:p w14:paraId="66D8EA9E" w14:textId="77777777" w:rsidR="00D15122" w:rsidRPr="00381DC2" w:rsidRDefault="00D15122" w:rsidP="007F6E1B">
      <w:pPr>
        <w:rPr>
          <w:rFonts w:ascii="Times New Roman" w:eastAsia="Times New Roman" w:hAnsi="Times New Roman"/>
          <w:color w:val="000000"/>
        </w:rPr>
      </w:pPr>
    </w:p>
    <w:p w14:paraId="2AAD8C63" w14:textId="111C653A" w:rsidR="001F6DDC" w:rsidRPr="00381DC2" w:rsidRDefault="00701D3B" w:rsidP="001F6DDC">
      <w:pPr>
        <w:widowControl/>
        <w:tabs>
          <w:tab w:val="left" w:pos="567"/>
        </w:tabs>
        <w:autoSpaceDE w:val="0"/>
        <w:autoSpaceDN w:val="0"/>
        <w:adjustRightInd w:val="0"/>
        <w:rPr>
          <w:rFonts w:ascii="Times New Roman" w:eastAsia="Times New Roman" w:hAnsi="Times New Roman"/>
          <w:color w:val="000000"/>
        </w:rPr>
      </w:pPr>
      <w:r w:rsidRPr="00381DC2">
        <w:rPr>
          <w:rFonts w:ascii="Times New Roman" w:hAnsi="Times New Roman"/>
          <w:color w:val="000000"/>
        </w:rPr>
        <w:t>Zirabev</w:t>
      </w:r>
      <w:r w:rsidR="001F6DDC" w:rsidRPr="00381DC2">
        <w:rPr>
          <w:rFonts w:ascii="Times New Roman" w:hAnsi="Times New Roman"/>
          <w:color w:val="000000"/>
        </w:rPr>
        <w:t xml:space="preserve"> je tzv. podobným biologickým léčivým přípravkem („biosimilar“). Podrobné informace jsou k dispozici na webových stránkách Evropské agentury pro léčivé přípravky </w:t>
      </w:r>
      <w:hyperlink r:id="rId9" w:history="1">
        <w:r w:rsidR="00B474D5" w:rsidRPr="00F60460">
          <w:rPr>
            <w:rStyle w:val="Hyperlink"/>
            <w:rFonts w:ascii="Times New Roman" w:eastAsia="Times New Roman" w:hAnsi="Times New Roman"/>
            <w:noProof/>
          </w:rPr>
          <w:t>https://www.ema.europa.eu</w:t>
        </w:r>
      </w:hyperlink>
      <w:r w:rsidR="006B6920" w:rsidRPr="00381DC2">
        <w:rPr>
          <w:rFonts w:ascii="Times New Roman" w:hAnsi="Times New Roman"/>
          <w:color w:val="000000"/>
        </w:rPr>
        <w:t>.</w:t>
      </w:r>
    </w:p>
    <w:p w14:paraId="5EEF7566" w14:textId="77777777" w:rsidR="001F6DDC" w:rsidRPr="00381DC2" w:rsidRDefault="001F6DDC" w:rsidP="001F6DDC">
      <w:pPr>
        <w:rPr>
          <w:rFonts w:ascii="Times New Roman" w:eastAsia="Times New Roman" w:hAnsi="Times New Roman"/>
          <w:color w:val="000000"/>
        </w:rPr>
      </w:pPr>
    </w:p>
    <w:p w14:paraId="2377B62E" w14:textId="77777777" w:rsidR="00D15122" w:rsidRPr="00381DC2" w:rsidRDefault="009B0756" w:rsidP="007F6E1B">
      <w:pPr>
        <w:pStyle w:val="BodyText"/>
        <w:spacing w:line="252" w:lineRule="exact"/>
        <w:ind w:left="0"/>
        <w:rPr>
          <w:color w:val="000000"/>
        </w:rPr>
      </w:pPr>
      <w:r w:rsidRPr="00381DC2">
        <w:rPr>
          <w:color w:val="000000"/>
          <w:u w:val="single" w:color="000000"/>
        </w:rPr>
        <w:t>Mechanismus účinku</w:t>
      </w:r>
    </w:p>
    <w:p w14:paraId="4294BA4F" w14:textId="77777777" w:rsidR="00701D3B" w:rsidRPr="00381DC2" w:rsidRDefault="00701D3B" w:rsidP="007F6E1B">
      <w:pPr>
        <w:pStyle w:val="BodyText"/>
        <w:ind w:left="0" w:right="227"/>
        <w:rPr>
          <w:color w:val="000000"/>
        </w:rPr>
      </w:pPr>
    </w:p>
    <w:p w14:paraId="5EBC39FF" w14:textId="77777777" w:rsidR="00D15122" w:rsidRPr="00381DC2" w:rsidRDefault="009B0756" w:rsidP="007F6E1B">
      <w:pPr>
        <w:pStyle w:val="BodyText"/>
        <w:ind w:left="0" w:right="227"/>
        <w:rPr>
          <w:color w:val="000000"/>
        </w:rPr>
      </w:pPr>
      <w:r w:rsidRPr="00381DC2">
        <w:rPr>
          <w:color w:val="000000"/>
        </w:rPr>
        <w:t xml:space="preserve">Bevacizumab se váže na protein zvaný vaskulární endoteliální růstový faktor (VEGF), klíčový mediátor vaskulogeneze a angiogeneze, a tím inhibuje vazbu VEGF na jeho receptory, receptor Flt-1 (VEGFR-1) a KDR (VEGFR-2) na povrchu endotelových buněk. Neutralizace biologické aktivity VEGF vede k regresi </w:t>
      </w:r>
      <w:r w:rsidR="00EB60F7" w:rsidRPr="00381DC2">
        <w:rPr>
          <w:color w:val="000000"/>
        </w:rPr>
        <w:t>vaskularizace nádorů</w:t>
      </w:r>
      <w:r w:rsidRPr="00381DC2">
        <w:rPr>
          <w:color w:val="000000"/>
        </w:rPr>
        <w:t>, normalizuje přetrvávající nádorovou cévní síť a brání vzniku nových nádorových cév, a tím inhibuje růst nádoru.</w:t>
      </w:r>
    </w:p>
    <w:p w14:paraId="7609C88B" w14:textId="77777777" w:rsidR="00D15122" w:rsidRPr="00381DC2" w:rsidRDefault="00D15122" w:rsidP="007F6E1B">
      <w:pPr>
        <w:rPr>
          <w:rFonts w:ascii="Times New Roman" w:eastAsia="Times New Roman" w:hAnsi="Times New Roman"/>
          <w:color w:val="000000"/>
        </w:rPr>
      </w:pPr>
    </w:p>
    <w:p w14:paraId="705F85B0" w14:textId="77777777" w:rsidR="00D15122" w:rsidRPr="00381DC2" w:rsidRDefault="009B0756" w:rsidP="00C0667E">
      <w:pPr>
        <w:pStyle w:val="BodyText"/>
        <w:keepNext/>
        <w:spacing w:line="252" w:lineRule="exact"/>
        <w:ind w:left="0"/>
        <w:rPr>
          <w:color w:val="000000"/>
        </w:rPr>
      </w:pPr>
      <w:r w:rsidRPr="00381DC2">
        <w:rPr>
          <w:color w:val="000000"/>
          <w:u w:val="single" w:color="000000"/>
        </w:rPr>
        <w:t>Farmakodynamické účinky</w:t>
      </w:r>
    </w:p>
    <w:p w14:paraId="1B98A142" w14:textId="77777777" w:rsidR="00701D3B" w:rsidRPr="00381DC2" w:rsidRDefault="00701D3B" w:rsidP="007F6E1B">
      <w:pPr>
        <w:pStyle w:val="BodyText"/>
        <w:ind w:left="0" w:right="227"/>
        <w:rPr>
          <w:color w:val="000000"/>
        </w:rPr>
      </w:pPr>
    </w:p>
    <w:p w14:paraId="496F1F3E" w14:textId="77777777" w:rsidR="00D15122" w:rsidRPr="00381DC2" w:rsidRDefault="009B0756" w:rsidP="007F6E1B">
      <w:pPr>
        <w:pStyle w:val="BodyText"/>
        <w:ind w:left="0" w:right="227"/>
        <w:rPr>
          <w:color w:val="000000"/>
        </w:rPr>
      </w:pPr>
      <w:r w:rsidRPr="00381DC2">
        <w:rPr>
          <w:color w:val="000000"/>
        </w:rPr>
        <w:t xml:space="preserve">Podávání bevacizumabu nebo jeho původní myší protilátky v modelech s xenotransplantáty nádorů u nahých myší mělo za následek extenzivní protinádorovou aktivitu proti lidským </w:t>
      </w:r>
      <w:r w:rsidR="00EB60F7" w:rsidRPr="00381DC2">
        <w:rPr>
          <w:color w:val="000000"/>
        </w:rPr>
        <w:t>nádorovým onemocněním</w:t>
      </w:r>
      <w:r w:rsidRPr="00381DC2">
        <w:rPr>
          <w:color w:val="000000"/>
        </w:rPr>
        <w:t xml:space="preserve">, včetně tlustého střeva, prsu, </w:t>
      </w:r>
      <w:r w:rsidR="00527928" w:rsidRPr="00381DC2">
        <w:rPr>
          <w:color w:val="000000"/>
        </w:rPr>
        <w:t>pankreatu</w:t>
      </w:r>
      <w:r w:rsidRPr="00381DC2">
        <w:rPr>
          <w:color w:val="000000"/>
        </w:rPr>
        <w:t xml:space="preserve"> a prostaty. Byla inhibována progrese </w:t>
      </w:r>
      <w:r w:rsidR="000834FE" w:rsidRPr="00381DC2">
        <w:rPr>
          <w:color w:val="000000"/>
        </w:rPr>
        <w:t>metasta</w:t>
      </w:r>
      <w:r w:rsidR="00527928" w:rsidRPr="00381DC2">
        <w:rPr>
          <w:color w:val="000000"/>
        </w:rPr>
        <w:t>zujícího</w:t>
      </w:r>
      <w:r w:rsidRPr="00381DC2">
        <w:rPr>
          <w:color w:val="000000"/>
        </w:rPr>
        <w:t xml:space="preserve"> onemocnění a snížena mikrovaskulární permeabilita.</w:t>
      </w:r>
    </w:p>
    <w:p w14:paraId="470E6530" w14:textId="77777777" w:rsidR="00D15122" w:rsidRPr="00381DC2" w:rsidRDefault="00D15122" w:rsidP="007F6E1B">
      <w:pPr>
        <w:rPr>
          <w:rFonts w:ascii="Times New Roman" w:eastAsia="Times New Roman" w:hAnsi="Times New Roman"/>
          <w:color w:val="000000"/>
        </w:rPr>
      </w:pPr>
    </w:p>
    <w:p w14:paraId="0E4CD036" w14:textId="645C5A1C" w:rsidR="00D15122" w:rsidRPr="00381DC2" w:rsidRDefault="009B0756" w:rsidP="00A330A9">
      <w:pPr>
        <w:pStyle w:val="BodyText"/>
        <w:ind w:left="0"/>
        <w:rPr>
          <w:color w:val="000000"/>
          <w:u w:val="single"/>
        </w:rPr>
      </w:pPr>
      <w:r w:rsidRPr="00381DC2">
        <w:rPr>
          <w:color w:val="000000"/>
          <w:u w:val="single"/>
        </w:rPr>
        <w:t>Klinická účinnost</w:t>
      </w:r>
      <w:r w:rsidR="00ED2463">
        <w:rPr>
          <w:color w:val="000000"/>
          <w:u w:val="single"/>
        </w:rPr>
        <w:t xml:space="preserve"> a bezpečnost</w:t>
      </w:r>
    </w:p>
    <w:p w14:paraId="33DC5F11" w14:textId="77777777" w:rsidR="00D15122" w:rsidRPr="00381DC2" w:rsidRDefault="00D15122" w:rsidP="00A330A9">
      <w:pPr>
        <w:rPr>
          <w:rFonts w:ascii="Times New Roman" w:eastAsia="Times New Roman" w:hAnsi="Times New Roman"/>
          <w:color w:val="000000"/>
        </w:rPr>
      </w:pPr>
    </w:p>
    <w:p w14:paraId="2837D28A" w14:textId="77777777" w:rsidR="00D15122" w:rsidRPr="00381DC2" w:rsidRDefault="00F01658" w:rsidP="00A330A9">
      <w:pPr>
        <w:rPr>
          <w:rFonts w:ascii="Times New Roman" w:eastAsia="Times New Roman" w:hAnsi="Times New Roman"/>
          <w:color w:val="000000"/>
        </w:rPr>
      </w:pPr>
      <w:r w:rsidRPr="00381DC2">
        <w:rPr>
          <w:rFonts w:ascii="Times New Roman" w:hAnsi="Times New Roman"/>
          <w:i/>
          <w:color w:val="000000"/>
          <w:u w:val="single" w:color="000000"/>
        </w:rPr>
        <w:t>Metasta</w:t>
      </w:r>
      <w:r w:rsidR="00527928" w:rsidRPr="00381DC2">
        <w:rPr>
          <w:rFonts w:ascii="Times New Roman" w:hAnsi="Times New Roman"/>
          <w:i/>
          <w:color w:val="000000"/>
          <w:u w:val="single" w:color="000000"/>
        </w:rPr>
        <w:t>zující</w:t>
      </w:r>
      <w:r w:rsidR="00EB60F7" w:rsidRPr="00381DC2">
        <w:rPr>
          <w:rFonts w:ascii="Times New Roman" w:hAnsi="Times New Roman"/>
          <w:i/>
          <w:color w:val="000000"/>
          <w:u w:val="single" w:color="000000"/>
        </w:rPr>
        <w:t xml:space="preserve"> </w:t>
      </w:r>
      <w:r w:rsidR="009B0756" w:rsidRPr="00381DC2">
        <w:rPr>
          <w:rFonts w:ascii="Times New Roman" w:hAnsi="Times New Roman"/>
          <w:i/>
          <w:color w:val="000000"/>
          <w:u w:val="single" w:color="000000"/>
        </w:rPr>
        <w:t>kolorektální karcinom (mCRC)</w:t>
      </w:r>
    </w:p>
    <w:p w14:paraId="0094B6ED" w14:textId="77777777" w:rsidR="00D15122" w:rsidRPr="00381DC2" w:rsidRDefault="00D15122" w:rsidP="00A330A9">
      <w:pPr>
        <w:rPr>
          <w:rFonts w:ascii="Times New Roman" w:eastAsia="Times New Roman" w:hAnsi="Times New Roman"/>
          <w:color w:val="000000"/>
        </w:rPr>
      </w:pPr>
    </w:p>
    <w:p w14:paraId="643A5DD0" w14:textId="77777777" w:rsidR="00D15122" w:rsidRPr="00381DC2" w:rsidRDefault="009B0756" w:rsidP="00A330A9">
      <w:pPr>
        <w:pStyle w:val="BodyText"/>
        <w:ind w:left="0" w:right="708"/>
        <w:rPr>
          <w:color w:val="000000"/>
        </w:rPr>
      </w:pPr>
      <w:r w:rsidRPr="00381DC2">
        <w:rPr>
          <w:color w:val="000000"/>
        </w:rPr>
        <w:lastRenderedPageBreak/>
        <w:t xml:space="preserve">Bezpečnost a účinnost doporučené dávky (5 mg/kg tělesné hmotnosti </w:t>
      </w:r>
      <w:r w:rsidR="00D63038" w:rsidRPr="00381DC2">
        <w:rPr>
          <w:color w:val="000000"/>
        </w:rPr>
        <w:t xml:space="preserve">každé </w:t>
      </w:r>
      <w:r w:rsidRPr="00381DC2">
        <w:rPr>
          <w:color w:val="000000"/>
        </w:rPr>
        <w:t xml:space="preserve">dva týdny) při léčbě </w:t>
      </w:r>
      <w:r w:rsidR="000834FE" w:rsidRPr="00381DC2">
        <w:rPr>
          <w:color w:val="000000"/>
        </w:rPr>
        <w:t>metasta</w:t>
      </w:r>
      <w:r w:rsidR="00527928" w:rsidRPr="00381DC2">
        <w:rPr>
          <w:color w:val="000000"/>
        </w:rPr>
        <w:t>zujícího</w:t>
      </w:r>
      <w:r w:rsidRPr="00381DC2">
        <w:rPr>
          <w:color w:val="000000"/>
        </w:rPr>
        <w:t xml:space="preserve"> kolorektálního karcinomu </w:t>
      </w:r>
      <w:r w:rsidR="00D63038" w:rsidRPr="00381DC2">
        <w:rPr>
          <w:color w:val="000000"/>
        </w:rPr>
        <w:t>byly hodnoceny</w:t>
      </w:r>
      <w:r w:rsidRPr="00381DC2">
        <w:rPr>
          <w:color w:val="000000"/>
        </w:rPr>
        <w:t xml:space="preserve"> ve třech randomizovaných klinických </w:t>
      </w:r>
      <w:r w:rsidR="00527928" w:rsidRPr="00381DC2">
        <w:rPr>
          <w:color w:val="000000"/>
        </w:rPr>
        <w:t>studiích</w:t>
      </w:r>
      <w:r w:rsidRPr="00381DC2">
        <w:rPr>
          <w:color w:val="000000"/>
        </w:rPr>
        <w:t xml:space="preserve"> s aktivně léčenou kontrolní skupinou v kombinaci s chemoterapií první linie </w:t>
      </w:r>
      <w:r w:rsidR="00FB626D" w:rsidRPr="00381DC2">
        <w:rPr>
          <w:color w:val="000000"/>
        </w:rPr>
        <w:t xml:space="preserve">na bázi </w:t>
      </w:r>
      <w:r w:rsidRPr="00381DC2">
        <w:rPr>
          <w:color w:val="000000"/>
        </w:rPr>
        <w:t>fluoropyrimidinu. Bevacizumab byl kombinován se dvěma chemoterapeutickými režimy:</w:t>
      </w:r>
    </w:p>
    <w:p w14:paraId="2E2DEBDA" w14:textId="77777777" w:rsidR="00D15122" w:rsidRPr="00381DC2" w:rsidRDefault="00D15122" w:rsidP="007F6E1B">
      <w:pPr>
        <w:rPr>
          <w:rFonts w:ascii="Times New Roman" w:eastAsia="Times New Roman" w:hAnsi="Times New Roman"/>
          <w:color w:val="000000"/>
        </w:rPr>
      </w:pPr>
    </w:p>
    <w:p w14:paraId="32BDCFBB" w14:textId="77777777" w:rsidR="00D15122" w:rsidRPr="00381DC2" w:rsidRDefault="009B0756" w:rsidP="00E93E96">
      <w:pPr>
        <w:pStyle w:val="BodyText"/>
        <w:numPr>
          <w:ilvl w:val="0"/>
          <w:numId w:val="28"/>
        </w:numPr>
        <w:tabs>
          <w:tab w:val="left" w:pos="685"/>
        </w:tabs>
        <w:ind w:right="329"/>
        <w:rPr>
          <w:color w:val="000000"/>
        </w:rPr>
      </w:pPr>
      <w:r w:rsidRPr="00381DC2">
        <w:rPr>
          <w:color w:val="000000"/>
        </w:rPr>
        <w:t xml:space="preserve">AVF2107g: </w:t>
      </w:r>
      <w:r w:rsidR="00FB626D" w:rsidRPr="00381DC2">
        <w:rPr>
          <w:color w:val="000000"/>
        </w:rPr>
        <w:t>t</w:t>
      </w:r>
      <w:r w:rsidRPr="00381DC2">
        <w:rPr>
          <w:color w:val="000000"/>
        </w:rPr>
        <w:t xml:space="preserve">ýdenní režim irinotekan / bolus fluoruracil / kyselina folinová (IFL) po dobu </w:t>
      </w:r>
      <w:r w:rsidR="00FB626D" w:rsidRPr="00381DC2">
        <w:rPr>
          <w:color w:val="000000"/>
        </w:rPr>
        <w:t xml:space="preserve">celkem </w:t>
      </w:r>
      <w:r w:rsidRPr="00381DC2">
        <w:rPr>
          <w:color w:val="000000"/>
        </w:rPr>
        <w:t>4 týdnů během každého 6týdenního cyklu (režim Saltz)</w:t>
      </w:r>
      <w:r w:rsidR="00FB626D" w:rsidRPr="00381DC2">
        <w:rPr>
          <w:color w:val="000000"/>
        </w:rPr>
        <w:t>;</w:t>
      </w:r>
    </w:p>
    <w:p w14:paraId="36D701FD" w14:textId="77777777" w:rsidR="00D15122" w:rsidRPr="00381DC2" w:rsidRDefault="009B0756" w:rsidP="00DD4FC5">
      <w:pPr>
        <w:pStyle w:val="BodyText"/>
        <w:numPr>
          <w:ilvl w:val="0"/>
          <w:numId w:val="28"/>
        </w:numPr>
        <w:tabs>
          <w:tab w:val="left" w:pos="685"/>
        </w:tabs>
        <w:ind w:right="519"/>
        <w:rPr>
          <w:color w:val="000000"/>
        </w:rPr>
      </w:pPr>
      <w:r w:rsidRPr="00381DC2">
        <w:rPr>
          <w:color w:val="000000"/>
        </w:rPr>
        <w:t xml:space="preserve">AVF0780g: </w:t>
      </w:r>
      <w:r w:rsidR="00FB626D" w:rsidRPr="00381DC2">
        <w:rPr>
          <w:color w:val="000000"/>
        </w:rPr>
        <w:t>v</w:t>
      </w:r>
      <w:r w:rsidRPr="00381DC2">
        <w:rPr>
          <w:color w:val="000000"/>
        </w:rPr>
        <w:t> kombinaci s </w:t>
      </w:r>
      <w:r w:rsidR="00FB626D" w:rsidRPr="00381DC2">
        <w:rPr>
          <w:color w:val="000000"/>
        </w:rPr>
        <w:t xml:space="preserve">bolusem </w:t>
      </w:r>
      <w:r w:rsidRPr="00381DC2">
        <w:rPr>
          <w:color w:val="000000"/>
        </w:rPr>
        <w:t xml:space="preserve">fluoruracil / kyselinou folinovou (5-FU/LV) po dobu </w:t>
      </w:r>
      <w:r w:rsidR="00FB626D" w:rsidRPr="00381DC2">
        <w:rPr>
          <w:color w:val="000000"/>
        </w:rPr>
        <w:t xml:space="preserve">celkem </w:t>
      </w:r>
      <w:r w:rsidRPr="00381DC2">
        <w:rPr>
          <w:color w:val="000000"/>
        </w:rPr>
        <w:t>6 týdnů během každého 8týdenního cyklu (režim Roswell Park)</w:t>
      </w:r>
      <w:r w:rsidR="00FB626D" w:rsidRPr="00381DC2">
        <w:rPr>
          <w:color w:val="000000"/>
        </w:rPr>
        <w:t>;</w:t>
      </w:r>
    </w:p>
    <w:p w14:paraId="71742491" w14:textId="77777777" w:rsidR="00221EBE" w:rsidRPr="00381DC2" w:rsidRDefault="009B0756" w:rsidP="00DD4FC5">
      <w:pPr>
        <w:pStyle w:val="BodyText"/>
        <w:numPr>
          <w:ilvl w:val="0"/>
          <w:numId w:val="28"/>
        </w:numPr>
        <w:tabs>
          <w:tab w:val="left" w:pos="719"/>
        </w:tabs>
        <w:ind w:right="728"/>
        <w:rPr>
          <w:color w:val="000000"/>
        </w:rPr>
      </w:pPr>
      <w:r w:rsidRPr="00381DC2">
        <w:rPr>
          <w:color w:val="000000"/>
        </w:rPr>
        <w:t xml:space="preserve">AVF2192g: </w:t>
      </w:r>
      <w:r w:rsidR="00FB626D" w:rsidRPr="00381DC2">
        <w:rPr>
          <w:color w:val="000000"/>
        </w:rPr>
        <w:t>v</w:t>
      </w:r>
      <w:r w:rsidRPr="00381DC2">
        <w:rPr>
          <w:color w:val="000000"/>
        </w:rPr>
        <w:t> kombinaci s </w:t>
      </w:r>
      <w:r w:rsidR="00FB626D" w:rsidRPr="00381DC2">
        <w:rPr>
          <w:color w:val="000000"/>
        </w:rPr>
        <w:t xml:space="preserve">bolusem </w:t>
      </w:r>
      <w:r w:rsidRPr="00381DC2">
        <w:rPr>
          <w:color w:val="000000"/>
        </w:rPr>
        <w:t xml:space="preserve">5-FU/FA po dobu </w:t>
      </w:r>
      <w:r w:rsidR="00FB626D" w:rsidRPr="00381DC2">
        <w:rPr>
          <w:color w:val="000000"/>
        </w:rPr>
        <w:t xml:space="preserve">celkem </w:t>
      </w:r>
      <w:r w:rsidRPr="00381DC2">
        <w:rPr>
          <w:color w:val="000000"/>
        </w:rPr>
        <w:t xml:space="preserve">6 týdnů během každého 8týdenního cyklu (režim Roswell Park) u pacientů, kteří nebyli </w:t>
      </w:r>
      <w:r w:rsidR="00FB626D" w:rsidRPr="00381DC2">
        <w:rPr>
          <w:color w:val="000000"/>
        </w:rPr>
        <w:t xml:space="preserve">optimálními </w:t>
      </w:r>
      <w:r w:rsidRPr="00381DC2">
        <w:rPr>
          <w:color w:val="000000"/>
        </w:rPr>
        <w:t>kandidáty pro léčbu první linie irinotekanem.</w:t>
      </w:r>
    </w:p>
    <w:p w14:paraId="0FABD0D4" w14:textId="77777777" w:rsidR="004F312E" w:rsidRPr="00381DC2" w:rsidRDefault="004F312E" w:rsidP="007F6E1B">
      <w:pPr>
        <w:pStyle w:val="BodyText"/>
        <w:tabs>
          <w:tab w:val="left" w:pos="719"/>
        </w:tabs>
        <w:ind w:left="0" w:right="728"/>
        <w:rPr>
          <w:color w:val="000000"/>
        </w:rPr>
      </w:pPr>
    </w:p>
    <w:p w14:paraId="4D771C1F" w14:textId="77777777" w:rsidR="00D15122" w:rsidRPr="00381DC2" w:rsidRDefault="009B0756" w:rsidP="007F6E1B">
      <w:pPr>
        <w:pStyle w:val="BodyText"/>
        <w:tabs>
          <w:tab w:val="left" w:pos="719"/>
        </w:tabs>
        <w:ind w:left="0" w:right="728"/>
        <w:rPr>
          <w:color w:val="000000"/>
        </w:rPr>
      </w:pPr>
      <w:r w:rsidRPr="00381DC2">
        <w:rPr>
          <w:color w:val="000000"/>
        </w:rPr>
        <w:t>Byly provedeny další tři studie s bevacizumabem u pacientů s </w:t>
      </w:r>
      <w:r w:rsidR="00A11DCF" w:rsidRPr="00381DC2">
        <w:rPr>
          <w:color w:val="000000"/>
        </w:rPr>
        <w:t>mCRC</w:t>
      </w:r>
      <w:r w:rsidRPr="00381DC2">
        <w:rPr>
          <w:color w:val="000000"/>
        </w:rPr>
        <w:t xml:space="preserve">: v první linii (NO16966), ve druhé linii bez předchozí léčby bevacizumabem (E3200) a ve druhé linii po progresi onemocnění v první linii při předchozí léčbě bevacizumabem (ML18147). V těchto studiích byl bevacizumab podáván v níže uvedených </w:t>
      </w:r>
      <w:r w:rsidR="00A11DCF" w:rsidRPr="00381DC2">
        <w:rPr>
          <w:color w:val="000000"/>
        </w:rPr>
        <w:t xml:space="preserve">dávkovacích režimech </w:t>
      </w:r>
      <w:r w:rsidRPr="00381DC2">
        <w:rPr>
          <w:color w:val="000000"/>
        </w:rPr>
        <w:t>v kombinaci s FOLFOX-4 (5</w:t>
      </w:r>
      <w:r w:rsidR="00A11DCF" w:rsidRPr="00381DC2">
        <w:rPr>
          <w:color w:val="000000"/>
        </w:rPr>
        <w:t>-</w:t>
      </w:r>
      <w:r w:rsidRPr="00381DC2">
        <w:rPr>
          <w:color w:val="000000"/>
        </w:rPr>
        <w:t>FU/LV/oxaliplatin</w:t>
      </w:r>
      <w:r w:rsidR="00527928" w:rsidRPr="00381DC2">
        <w:rPr>
          <w:color w:val="000000"/>
        </w:rPr>
        <w:t>a</w:t>
      </w:r>
      <w:r w:rsidRPr="00381DC2">
        <w:rPr>
          <w:color w:val="000000"/>
        </w:rPr>
        <w:t>), XELOX (kapecitabin/oxaliplatin</w:t>
      </w:r>
      <w:r w:rsidR="00527928" w:rsidRPr="00381DC2">
        <w:rPr>
          <w:color w:val="000000"/>
        </w:rPr>
        <w:t>a</w:t>
      </w:r>
      <w:r w:rsidRPr="00381DC2">
        <w:rPr>
          <w:color w:val="000000"/>
        </w:rPr>
        <w:t>) a fluorpyrimidin</w:t>
      </w:r>
      <w:r w:rsidR="00A11DCF" w:rsidRPr="00381DC2">
        <w:rPr>
          <w:color w:val="000000"/>
        </w:rPr>
        <w:t>em</w:t>
      </w:r>
      <w:r w:rsidRPr="00381DC2">
        <w:rPr>
          <w:color w:val="000000"/>
        </w:rPr>
        <w:t>/irinotekan</w:t>
      </w:r>
      <w:r w:rsidR="00A11DCF" w:rsidRPr="00381DC2">
        <w:rPr>
          <w:color w:val="000000"/>
        </w:rPr>
        <w:t>em</w:t>
      </w:r>
      <w:r w:rsidRPr="00381DC2">
        <w:rPr>
          <w:color w:val="000000"/>
        </w:rPr>
        <w:t xml:space="preserve"> a fluorpyrimidin</w:t>
      </w:r>
      <w:r w:rsidR="00A11DCF" w:rsidRPr="00381DC2">
        <w:rPr>
          <w:color w:val="000000"/>
        </w:rPr>
        <w:t>em</w:t>
      </w:r>
      <w:r w:rsidRPr="00381DC2">
        <w:rPr>
          <w:color w:val="000000"/>
        </w:rPr>
        <w:t>/</w:t>
      </w:r>
      <w:r w:rsidR="007D1931" w:rsidRPr="00381DC2">
        <w:rPr>
          <w:color w:val="000000"/>
        </w:rPr>
        <w:t>oxaliplatinou</w:t>
      </w:r>
      <w:r w:rsidRPr="00381DC2">
        <w:rPr>
          <w:color w:val="000000"/>
        </w:rPr>
        <w:t>:</w:t>
      </w:r>
    </w:p>
    <w:p w14:paraId="6D7EB98F" w14:textId="77777777" w:rsidR="00D15122" w:rsidRPr="00F60460" w:rsidRDefault="00D15122" w:rsidP="007F6E1B">
      <w:pPr>
        <w:rPr>
          <w:rFonts w:ascii="Times New Roman" w:eastAsia="Times New Roman" w:hAnsi="Times New Roman"/>
          <w:color w:val="000000"/>
          <w:sz w:val="21"/>
          <w:szCs w:val="21"/>
        </w:rPr>
      </w:pPr>
    </w:p>
    <w:p w14:paraId="31A19D29" w14:textId="77777777" w:rsidR="00D15122" w:rsidRPr="00381DC2" w:rsidRDefault="009B0756" w:rsidP="00E93E96">
      <w:pPr>
        <w:pStyle w:val="BodyText"/>
        <w:numPr>
          <w:ilvl w:val="0"/>
          <w:numId w:val="29"/>
        </w:numPr>
        <w:tabs>
          <w:tab w:val="left" w:pos="709"/>
        </w:tabs>
        <w:ind w:right="269"/>
        <w:rPr>
          <w:color w:val="000000"/>
        </w:rPr>
      </w:pPr>
      <w:r w:rsidRPr="00381DC2">
        <w:rPr>
          <w:color w:val="000000"/>
        </w:rPr>
        <w:t xml:space="preserve">NO16966: </w:t>
      </w:r>
      <w:r w:rsidR="00A11DCF" w:rsidRPr="00381DC2">
        <w:rPr>
          <w:color w:val="000000"/>
        </w:rPr>
        <w:t>b</w:t>
      </w:r>
      <w:r w:rsidRPr="00381DC2">
        <w:rPr>
          <w:color w:val="000000"/>
        </w:rPr>
        <w:t>evacizumab 7,5 mg/kg tělesné hmotnosti každé 3 týdny v kombinaci s </w:t>
      </w:r>
      <w:r w:rsidR="00A11DCF" w:rsidRPr="00381DC2">
        <w:rPr>
          <w:color w:val="000000"/>
        </w:rPr>
        <w:t>per</w:t>
      </w:r>
      <w:r w:rsidRPr="00381DC2">
        <w:rPr>
          <w:color w:val="000000"/>
        </w:rPr>
        <w:t>orálním kapecitabinem a intravenózní oxaliplatinou (XELOX) nebo bevacizumab 5 mg/kg každé 2 týdny v kombinaci s leukovorinem plus fluoruracilem podaným jako bolus a následnou infuzí fluoruracilu a s intravenózní oxaliplatinou (FOLFOX-4)</w:t>
      </w:r>
      <w:r w:rsidR="00A11DCF" w:rsidRPr="00381DC2">
        <w:rPr>
          <w:color w:val="000000"/>
        </w:rPr>
        <w:t>;</w:t>
      </w:r>
    </w:p>
    <w:p w14:paraId="2016EB43" w14:textId="77777777" w:rsidR="00D15122" w:rsidRPr="00F60460" w:rsidRDefault="00D15122" w:rsidP="00E93E96">
      <w:pPr>
        <w:tabs>
          <w:tab w:val="left" w:pos="709"/>
        </w:tabs>
        <w:ind w:left="718" w:hanging="601"/>
        <w:rPr>
          <w:rFonts w:ascii="Times New Roman" w:eastAsia="Times New Roman" w:hAnsi="Times New Roman"/>
          <w:color w:val="000000"/>
          <w:sz w:val="21"/>
          <w:szCs w:val="21"/>
        </w:rPr>
      </w:pPr>
    </w:p>
    <w:p w14:paraId="2A4C3A1D" w14:textId="77777777" w:rsidR="00D15122" w:rsidRPr="00381DC2" w:rsidRDefault="009B0756" w:rsidP="00E93E96">
      <w:pPr>
        <w:pStyle w:val="BodyText"/>
        <w:numPr>
          <w:ilvl w:val="0"/>
          <w:numId w:val="30"/>
        </w:numPr>
        <w:tabs>
          <w:tab w:val="left" w:pos="709"/>
        </w:tabs>
        <w:ind w:right="580"/>
        <w:rPr>
          <w:color w:val="000000"/>
        </w:rPr>
      </w:pPr>
      <w:r w:rsidRPr="00381DC2">
        <w:rPr>
          <w:color w:val="000000"/>
        </w:rPr>
        <w:t xml:space="preserve">E3200: </w:t>
      </w:r>
      <w:r w:rsidR="00A11DCF" w:rsidRPr="00381DC2">
        <w:rPr>
          <w:color w:val="000000"/>
        </w:rPr>
        <w:t>b</w:t>
      </w:r>
      <w:r w:rsidRPr="00381DC2">
        <w:rPr>
          <w:color w:val="000000"/>
        </w:rPr>
        <w:t xml:space="preserve">evacizumab 10 mg/kg tělesné hmotnosti každé 2 týdny v kombinaci s leukovorinem </w:t>
      </w:r>
      <w:r w:rsidR="00A11DCF" w:rsidRPr="00381DC2">
        <w:rPr>
          <w:color w:val="000000"/>
        </w:rPr>
        <w:t>a </w:t>
      </w:r>
      <w:r w:rsidRPr="00381DC2">
        <w:rPr>
          <w:color w:val="000000"/>
        </w:rPr>
        <w:t>fluoruracilem podaným jako bolus a následnou infuzí fluoruracilu a s intravenózní oxaliplatinou (FOLFOX-4) u pacientů dosud neléčených bevacizumabem</w:t>
      </w:r>
      <w:r w:rsidR="00A11DCF" w:rsidRPr="00381DC2">
        <w:rPr>
          <w:color w:val="000000"/>
        </w:rPr>
        <w:t>;</w:t>
      </w:r>
    </w:p>
    <w:p w14:paraId="495E3D08" w14:textId="77777777" w:rsidR="00D15122" w:rsidRPr="00381DC2" w:rsidRDefault="00D15122" w:rsidP="00701D3B">
      <w:pPr>
        <w:tabs>
          <w:tab w:val="left" w:pos="709"/>
        </w:tabs>
        <w:ind w:left="718" w:hanging="601"/>
        <w:rPr>
          <w:rFonts w:ascii="Times New Roman" w:eastAsia="Times New Roman" w:hAnsi="Times New Roman"/>
          <w:color w:val="000000"/>
        </w:rPr>
      </w:pPr>
    </w:p>
    <w:p w14:paraId="3F583539" w14:textId="77777777" w:rsidR="00D15122" w:rsidRPr="00381DC2" w:rsidRDefault="009B0756" w:rsidP="00E93E96">
      <w:pPr>
        <w:pStyle w:val="BodyText"/>
        <w:widowControl/>
        <w:numPr>
          <w:ilvl w:val="0"/>
          <w:numId w:val="31"/>
        </w:numPr>
        <w:tabs>
          <w:tab w:val="left" w:pos="709"/>
        </w:tabs>
        <w:ind w:right="274"/>
        <w:rPr>
          <w:color w:val="000000"/>
        </w:rPr>
      </w:pPr>
      <w:r w:rsidRPr="00381DC2">
        <w:rPr>
          <w:color w:val="000000"/>
        </w:rPr>
        <w:t xml:space="preserve">ML18147: </w:t>
      </w:r>
      <w:r w:rsidR="00A11DCF" w:rsidRPr="00381DC2">
        <w:rPr>
          <w:color w:val="000000"/>
        </w:rPr>
        <w:t>b</w:t>
      </w:r>
      <w:r w:rsidRPr="00381DC2">
        <w:rPr>
          <w:color w:val="000000"/>
        </w:rPr>
        <w:t xml:space="preserve">evacizumab 5,0 mg/kg tělesné hmotnosti každé 2 týdny nebo bevacizumab 7,5 mg/kg tělesné hmotnosti každé 3 týdny v kombinaci s fluorpyrimidinem/irinotekanem nebo fluorpyrimidinem/oxaliplatinou u pacientů s progresí </w:t>
      </w:r>
      <w:r w:rsidR="00A11DCF" w:rsidRPr="00381DC2">
        <w:rPr>
          <w:color w:val="000000"/>
        </w:rPr>
        <w:t>onemocn</w:t>
      </w:r>
      <w:r w:rsidR="00A67752" w:rsidRPr="00381DC2">
        <w:rPr>
          <w:color w:val="000000"/>
        </w:rPr>
        <w:t>ění</w:t>
      </w:r>
      <w:r w:rsidR="00A11DCF" w:rsidRPr="00381DC2">
        <w:rPr>
          <w:color w:val="000000"/>
        </w:rPr>
        <w:t xml:space="preserve"> </w:t>
      </w:r>
      <w:r w:rsidRPr="00381DC2">
        <w:rPr>
          <w:color w:val="000000"/>
        </w:rPr>
        <w:t>po léčbě bevacizumabem v první linii. Použití režimu s irinotekanem nebo oxaliplatinou bylo zvoleno v závislosti na použití oxaliplatiny nebo irinotekanu v první linii.</w:t>
      </w:r>
    </w:p>
    <w:p w14:paraId="35FE92F7" w14:textId="77777777" w:rsidR="00D15122" w:rsidRPr="00F60460" w:rsidRDefault="00D15122" w:rsidP="007F6E1B">
      <w:pPr>
        <w:rPr>
          <w:rFonts w:ascii="Times New Roman" w:eastAsia="Times New Roman" w:hAnsi="Times New Roman"/>
          <w:color w:val="000000"/>
          <w:sz w:val="21"/>
          <w:szCs w:val="21"/>
        </w:rPr>
      </w:pPr>
    </w:p>
    <w:p w14:paraId="0258DD9C" w14:textId="77777777" w:rsidR="00D15122" w:rsidRPr="00381DC2" w:rsidRDefault="009B0756" w:rsidP="007F6E1B">
      <w:pPr>
        <w:rPr>
          <w:rFonts w:ascii="Times New Roman" w:eastAsia="Times New Roman" w:hAnsi="Times New Roman"/>
          <w:color w:val="000000"/>
        </w:rPr>
      </w:pPr>
      <w:r w:rsidRPr="00381DC2">
        <w:rPr>
          <w:rFonts w:ascii="Times New Roman" w:hAnsi="Times New Roman"/>
          <w:i/>
          <w:color w:val="000000"/>
        </w:rPr>
        <w:t>AVF2107g</w:t>
      </w:r>
    </w:p>
    <w:p w14:paraId="263A4EEA" w14:textId="77777777" w:rsidR="00D15122" w:rsidRPr="00381DC2" w:rsidRDefault="009B0756" w:rsidP="007F6E1B">
      <w:pPr>
        <w:pStyle w:val="BodyText"/>
        <w:ind w:left="0" w:right="269"/>
        <w:rPr>
          <w:color w:val="000000"/>
        </w:rPr>
      </w:pPr>
      <w:r w:rsidRPr="00381DC2">
        <w:rPr>
          <w:color w:val="000000"/>
        </w:rPr>
        <w:t xml:space="preserve">Jednalo se o randomizované dvojitě zaslepené klinické hodnocení fáze III s aktivně léčenou kontrolní skupinou hodnotící bevacizumab v kombinaci s IFL jako léčby první linie </w:t>
      </w:r>
      <w:r w:rsidR="000834FE" w:rsidRPr="00381DC2">
        <w:rPr>
          <w:color w:val="000000"/>
        </w:rPr>
        <w:t>metastati</w:t>
      </w:r>
      <w:r w:rsidR="00527928" w:rsidRPr="00381DC2">
        <w:rPr>
          <w:color w:val="000000"/>
        </w:rPr>
        <w:t>zujícího</w:t>
      </w:r>
      <w:r w:rsidRPr="00381DC2">
        <w:rPr>
          <w:color w:val="000000"/>
        </w:rPr>
        <w:t xml:space="preserve"> kolorektálního karcinomu. </w:t>
      </w:r>
      <w:r w:rsidR="000F036C" w:rsidRPr="00381DC2">
        <w:rPr>
          <w:color w:val="000000"/>
        </w:rPr>
        <w:t xml:space="preserve">Osm set třináct </w:t>
      </w:r>
      <w:r w:rsidRPr="00381DC2">
        <w:rPr>
          <w:color w:val="000000"/>
        </w:rPr>
        <w:t xml:space="preserve">pacientů bylo randomizováno </w:t>
      </w:r>
      <w:r w:rsidR="000F036C" w:rsidRPr="00381DC2">
        <w:rPr>
          <w:color w:val="000000"/>
        </w:rPr>
        <w:t xml:space="preserve">k podávání </w:t>
      </w:r>
      <w:r w:rsidRPr="00381DC2">
        <w:rPr>
          <w:color w:val="000000"/>
        </w:rPr>
        <w:t>IFL + placeb</w:t>
      </w:r>
      <w:r w:rsidR="000F036C" w:rsidRPr="00381DC2">
        <w:rPr>
          <w:color w:val="000000"/>
        </w:rPr>
        <w:t>a</w:t>
      </w:r>
      <w:r w:rsidRPr="00381DC2">
        <w:rPr>
          <w:color w:val="000000"/>
        </w:rPr>
        <w:t xml:space="preserve"> (rameno 1) nebo IFL + bevacizumab</w:t>
      </w:r>
      <w:r w:rsidR="00A62C8E" w:rsidRPr="00381DC2">
        <w:rPr>
          <w:color w:val="000000"/>
        </w:rPr>
        <w:t>u</w:t>
      </w:r>
      <w:r w:rsidRPr="00381DC2">
        <w:rPr>
          <w:color w:val="000000"/>
        </w:rPr>
        <w:t xml:space="preserve"> (5 mg/kg </w:t>
      </w:r>
      <w:r w:rsidR="00D63038" w:rsidRPr="00381DC2">
        <w:rPr>
          <w:color w:val="000000"/>
        </w:rPr>
        <w:t xml:space="preserve">každé </w:t>
      </w:r>
      <w:r w:rsidRPr="00381DC2">
        <w:rPr>
          <w:color w:val="000000"/>
        </w:rPr>
        <w:t xml:space="preserve">2 týdny, rameno 2). Třetí skupina 110 pacientů </w:t>
      </w:r>
      <w:r w:rsidR="00A62C8E" w:rsidRPr="00381DC2">
        <w:rPr>
          <w:color w:val="000000"/>
        </w:rPr>
        <w:t xml:space="preserve">dostávala </w:t>
      </w:r>
      <w:r w:rsidRPr="00381DC2">
        <w:rPr>
          <w:color w:val="000000"/>
        </w:rPr>
        <w:t xml:space="preserve">bolus 5-FU/FA + bevacizumab (rameno 3). Tak jak bylo stanoveno na začátku, do ramene 3 se již nezařazovali noví pacienti, jakmile byla stanovena bezpečnost léčby bevacizumabem s režimem IFL a uznána za přijatelnou. Se všemi léčbami se pokračovalo až do progrese onemocnění. Celkový průměrný věk byl 59,4 roku; </w:t>
      </w:r>
      <w:r w:rsidR="00A62C8E" w:rsidRPr="00381DC2">
        <w:rPr>
          <w:color w:val="000000"/>
        </w:rPr>
        <w:t>sta</w:t>
      </w:r>
      <w:r w:rsidR="00527928" w:rsidRPr="00381DC2">
        <w:rPr>
          <w:color w:val="000000"/>
        </w:rPr>
        <w:t>v</w:t>
      </w:r>
      <w:r w:rsidR="00A62C8E" w:rsidRPr="00381DC2">
        <w:rPr>
          <w:color w:val="000000"/>
        </w:rPr>
        <w:t xml:space="preserve">s výkonnosti podle </w:t>
      </w:r>
      <w:r w:rsidRPr="00381DC2">
        <w:rPr>
          <w:color w:val="000000"/>
        </w:rPr>
        <w:t xml:space="preserve">ECOG byl u 56,6 % pacientů 0, u 43 % </w:t>
      </w:r>
      <w:r w:rsidR="00A62C8E" w:rsidRPr="00381DC2">
        <w:rPr>
          <w:color w:val="000000"/>
        </w:rPr>
        <w:t xml:space="preserve">měl </w:t>
      </w:r>
      <w:r w:rsidRPr="00381DC2">
        <w:rPr>
          <w:color w:val="000000"/>
        </w:rPr>
        <w:t>hodnot</w:t>
      </w:r>
      <w:r w:rsidR="00A62C8E" w:rsidRPr="00381DC2">
        <w:rPr>
          <w:color w:val="000000"/>
        </w:rPr>
        <w:t>u</w:t>
      </w:r>
      <w:r w:rsidRPr="00381DC2">
        <w:rPr>
          <w:color w:val="000000"/>
        </w:rPr>
        <w:t> 1 a u 0,4 % hodnot</w:t>
      </w:r>
      <w:r w:rsidR="00A62C8E" w:rsidRPr="00381DC2">
        <w:rPr>
          <w:color w:val="000000"/>
        </w:rPr>
        <w:t>u</w:t>
      </w:r>
      <w:r w:rsidRPr="00381DC2">
        <w:rPr>
          <w:color w:val="000000"/>
        </w:rPr>
        <w:t xml:space="preserve"> 2. 15,5 % pacientů podstoupilo předchozí radioterapii a 28,4 % podstoupilo </w:t>
      </w:r>
      <w:r w:rsidR="00A62C8E" w:rsidRPr="00381DC2">
        <w:rPr>
          <w:color w:val="000000"/>
        </w:rPr>
        <w:t xml:space="preserve">předchozí </w:t>
      </w:r>
      <w:r w:rsidRPr="00381DC2">
        <w:rPr>
          <w:color w:val="000000"/>
        </w:rPr>
        <w:t>chemoterapii.</w:t>
      </w:r>
    </w:p>
    <w:p w14:paraId="25F2250D" w14:textId="77777777" w:rsidR="00D15122" w:rsidRPr="00381DC2" w:rsidRDefault="00D15122" w:rsidP="007F6E1B">
      <w:pPr>
        <w:rPr>
          <w:rFonts w:ascii="Times New Roman" w:eastAsia="Times New Roman" w:hAnsi="Times New Roman"/>
          <w:color w:val="000000"/>
        </w:rPr>
      </w:pPr>
    </w:p>
    <w:p w14:paraId="55843D7C" w14:textId="77777777" w:rsidR="00D15122" w:rsidRPr="00381DC2" w:rsidRDefault="009B0756" w:rsidP="007F6E1B">
      <w:pPr>
        <w:pStyle w:val="BodyText"/>
        <w:ind w:left="0" w:right="167"/>
        <w:rPr>
          <w:color w:val="000000"/>
        </w:rPr>
      </w:pPr>
      <w:r w:rsidRPr="00381DC2">
        <w:rPr>
          <w:color w:val="000000"/>
        </w:rPr>
        <w:t>Primární proměnnou účinnosti v hodnocení bylo celkové přežití. Přidání bevacizumabu k IFL způsobilo statisticky významné prodloužení celkové</w:t>
      </w:r>
      <w:r w:rsidR="006376B2" w:rsidRPr="00381DC2">
        <w:rPr>
          <w:color w:val="000000"/>
        </w:rPr>
        <w:t>ho</w:t>
      </w:r>
      <w:r w:rsidRPr="00381DC2">
        <w:rPr>
          <w:color w:val="000000"/>
        </w:rPr>
        <w:t xml:space="preserve"> přežití, přežití bez progrese a celkové četnosti odpovědí (viz </w:t>
      </w:r>
      <w:r w:rsidR="005E6C8E" w:rsidRPr="00381DC2">
        <w:rPr>
          <w:color w:val="000000"/>
        </w:rPr>
        <w:t>t</w:t>
      </w:r>
      <w:r w:rsidRPr="00381DC2">
        <w:rPr>
          <w:color w:val="000000"/>
        </w:rPr>
        <w:t xml:space="preserve">abulka 4). Klinický přínos, měřeno celkovým přežitím, byl zaznamenán u všech </w:t>
      </w:r>
      <w:r w:rsidR="006376B2" w:rsidRPr="00381DC2">
        <w:rPr>
          <w:color w:val="000000"/>
        </w:rPr>
        <w:t xml:space="preserve">předem </w:t>
      </w:r>
      <w:r w:rsidRPr="00381DC2">
        <w:rPr>
          <w:color w:val="000000"/>
        </w:rPr>
        <w:t xml:space="preserve">specifikovaných podskupin pacientů, včetně těch </w:t>
      </w:r>
      <w:r w:rsidR="006376B2" w:rsidRPr="00381DC2">
        <w:rPr>
          <w:color w:val="000000"/>
        </w:rPr>
        <w:t xml:space="preserve">definovaných </w:t>
      </w:r>
      <w:r w:rsidRPr="00381DC2">
        <w:rPr>
          <w:color w:val="000000"/>
        </w:rPr>
        <w:t xml:space="preserve">podle věku, pohlaví, stavu výkonnosti, místa výskytu primárního nádoru, počtu zasažených orgánů a délky trvání </w:t>
      </w:r>
      <w:r w:rsidR="000834FE" w:rsidRPr="00381DC2">
        <w:rPr>
          <w:color w:val="000000"/>
        </w:rPr>
        <w:t>metasta</w:t>
      </w:r>
      <w:r w:rsidR="00527928" w:rsidRPr="00381DC2">
        <w:rPr>
          <w:color w:val="000000"/>
        </w:rPr>
        <w:t>zujícího</w:t>
      </w:r>
      <w:r w:rsidRPr="00381DC2">
        <w:rPr>
          <w:color w:val="000000"/>
        </w:rPr>
        <w:t xml:space="preserve"> onemocnění.</w:t>
      </w:r>
    </w:p>
    <w:p w14:paraId="4D37AF1D" w14:textId="77777777" w:rsidR="00D15122" w:rsidRPr="00F60460" w:rsidRDefault="00D15122" w:rsidP="007F6E1B">
      <w:pPr>
        <w:rPr>
          <w:rFonts w:ascii="Times New Roman" w:eastAsia="Times New Roman" w:hAnsi="Times New Roman"/>
          <w:color w:val="000000"/>
          <w:sz w:val="18"/>
          <w:szCs w:val="18"/>
        </w:rPr>
      </w:pPr>
    </w:p>
    <w:p w14:paraId="6C45C90B" w14:textId="77777777" w:rsidR="00D15122" w:rsidRPr="00381DC2" w:rsidRDefault="009B0756" w:rsidP="007F6E1B">
      <w:pPr>
        <w:pStyle w:val="BodyText"/>
        <w:ind w:left="0"/>
        <w:rPr>
          <w:color w:val="000000"/>
        </w:rPr>
      </w:pPr>
      <w:r w:rsidRPr="00381DC2">
        <w:rPr>
          <w:color w:val="000000"/>
        </w:rPr>
        <w:t xml:space="preserve">Výsledky týkající se účinnosti bevacizumabu v kombinaci s chemoterapií IFL jsou uvedeny </w:t>
      </w:r>
      <w:r w:rsidRPr="00381DC2">
        <w:rPr>
          <w:color w:val="000000"/>
        </w:rPr>
        <w:lastRenderedPageBreak/>
        <w:t>v </w:t>
      </w:r>
      <w:r w:rsidR="005E6C8E" w:rsidRPr="00381DC2">
        <w:rPr>
          <w:color w:val="000000"/>
        </w:rPr>
        <w:t>t</w:t>
      </w:r>
      <w:r w:rsidRPr="00381DC2">
        <w:rPr>
          <w:color w:val="000000"/>
        </w:rPr>
        <w:t>abulce 4.</w:t>
      </w:r>
    </w:p>
    <w:p w14:paraId="4C3E9F36" w14:textId="77777777" w:rsidR="00221EBE" w:rsidRPr="00381DC2" w:rsidRDefault="00221EBE" w:rsidP="005D48D1">
      <w:pPr>
        <w:rPr>
          <w:rFonts w:ascii="Times New Roman" w:eastAsia="Times New Roman" w:hAnsi="Times New Roman"/>
          <w:b/>
          <w:color w:val="000000"/>
        </w:rPr>
      </w:pPr>
    </w:p>
    <w:p w14:paraId="196EA9F8" w14:textId="77777777" w:rsidR="00D15122" w:rsidRPr="00381DC2" w:rsidRDefault="009B0756" w:rsidP="002B0DE8">
      <w:pPr>
        <w:keepNext/>
        <w:keepLines/>
        <w:rPr>
          <w:rFonts w:ascii="Times New Roman" w:eastAsia="Times New Roman" w:hAnsi="Times New Roman"/>
          <w:b/>
          <w:color w:val="000000"/>
        </w:rPr>
      </w:pPr>
      <w:r w:rsidRPr="00381DC2">
        <w:rPr>
          <w:rFonts w:ascii="Times New Roman" w:eastAsia="Times New Roman" w:hAnsi="Times New Roman"/>
          <w:b/>
          <w:color w:val="000000"/>
        </w:rPr>
        <w:t>Tabulka 4</w:t>
      </w:r>
      <w:r w:rsidRPr="00381DC2">
        <w:rPr>
          <w:rFonts w:ascii="Times New Roman" w:eastAsia="Times New Roman" w:hAnsi="Times New Roman"/>
          <w:b/>
          <w:color w:val="000000"/>
        </w:rPr>
        <w:tab/>
        <w:t>Výsledky účinnosti v</w:t>
      </w:r>
      <w:r w:rsidR="00527928" w:rsidRPr="00381DC2">
        <w:rPr>
          <w:rFonts w:ascii="Times New Roman" w:eastAsia="Times New Roman" w:hAnsi="Times New Roman"/>
          <w:b/>
          <w:color w:val="000000"/>
        </w:rPr>
        <w:t>e studii</w:t>
      </w:r>
      <w:r w:rsidRPr="00381DC2">
        <w:rPr>
          <w:rFonts w:ascii="Times New Roman" w:eastAsia="Times New Roman" w:hAnsi="Times New Roman"/>
          <w:b/>
          <w:color w:val="000000"/>
        </w:rPr>
        <w:t> hodnocení AVF2107g</w:t>
      </w:r>
    </w:p>
    <w:p w14:paraId="457B5048" w14:textId="77777777" w:rsidR="00D15122" w:rsidRPr="00381DC2" w:rsidRDefault="00D15122" w:rsidP="002B0DE8">
      <w:pPr>
        <w:keepNext/>
        <w:keepLines/>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3600"/>
        <w:gridCol w:w="2280"/>
        <w:gridCol w:w="2160"/>
      </w:tblGrid>
      <w:tr w:rsidR="00D15122" w:rsidRPr="00F60460" w14:paraId="0F7AED90" w14:textId="77777777" w:rsidTr="006A2145">
        <w:tc>
          <w:tcPr>
            <w:tcW w:w="3600" w:type="dxa"/>
            <w:vMerge w:val="restart"/>
            <w:tcBorders>
              <w:top w:val="single" w:sz="5" w:space="0" w:color="000000"/>
              <w:left w:val="single" w:sz="5" w:space="0" w:color="000000"/>
              <w:right w:val="single" w:sz="5" w:space="0" w:color="000000"/>
            </w:tcBorders>
          </w:tcPr>
          <w:p w14:paraId="26C3B50C" w14:textId="77777777" w:rsidR="00D15122" w:rsidRPr="00381DC2" w:rsidRDefault="00D15122" w:rsidP="002B0DE8">
            <w:pPr>
              <w:keepNext/>
              <w:keepLines/>
              <w:rPr>
                <w:rFonts w:ascii="Times New Roman" w:hAnsi="Times New Roman"/>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3D054D80" w14:textId="77777777" w:rsidR="00D15122" w:rsidRPr="00381DC2" w:rsidRDefault="009B0756" w:rsidP="002B0DE8">
            <w:pPr>
              <w:pStyle w:val="TableParagraph"/>
              <w:keepNext/>
              <w:keepLines/>
              <w:jc w:val="center"/>
              <w:rPr>
                <w:rFonts w:ascii="Times New Roman" w:eastAsia="Times New Roman" w:hAnsi="Times New Roman"/>
                <w:color w:val="000000"/>
              </w:rPr>
            </w:pPr>
            <w:r w:rsidRPr="00381DC2">
              <w:rPr>
                <w:rFonts w:ascii="Times New Roman" w:hAnsi="Times New Roman"/>
                <w:color w:val="000000"/>
              </w:rPr>
              <w:t>AVF2107g</w:t>
            </w:r>
          </w:p>
        </w:tc>
      </w:tr>
      <w:tr w:rsidR="00D15122" w:rsidRPr="00F60460" w14:paraId="3C06012B" w14:textId="77777777" w:rsidTr="006A2145">
        <w:tc>
          <w:tcPr>
            <w:tcW w:w="3600" w:type="dxa"/>
            <w:vMerge/>
            <w:tcBorders>
              <w:left w:val="single" w:sz="5" w:space="0" w:color="000000"/>
              <w:bottom w:val="single" w:sz="5" w:space="0" w:color="000000"/>
              <w:right w:val="single" w:sz="5" w:space="0" w:color="000000"/>
            </w:tcBorders>
          </w:tcPr>
          <w:p w14:paraId="79F85A6B" w14:textId="77777777" w:rsidR="00D15122" w:rsidRPr="00381DC2" w:rsidRDefault="00D15122" w:rsidP="002B0DE8">
            <w:pPr>
              <w:keepNext/>
              <w:keepLines/>
              <w:rPr>
                <w:rFonts w:ascii="Times New Roman" w:hAnsi="Times New Roman"/>
                <w:color w:val="000000"/>
              </w:rPr>
            </w:pPr>
          </w:p>
        </w:tc>
        <w:tc>
          <w:tcPr>
            <w:tcW w:w="2280" w:type="dxa"/>
            <w:tcBorders>
              <w:top w:val="single" w:sz="5" w:space="0" w:color="000000"/>
              <w:left w:val="single" w:sz="5" w:space="0" w:color="000000"/>
              <w:bottom w:val="single" w:sz="5" w:space="0" w:color="000000"/>
              <w:right w:val="single" w:sz="5" w:space="0" w:color="000000"/>
            </w:tcBorders>
          </w:tcPr>
          <w:p w14:paraId="47B1A20C" w14:textId="77777777" w:rsidR="00DE043A" w:rsidRPr="00381DC2" w:rsidRDefault="009B0756" w:rsidP="002B0DE8">
            <w:pPr>
              <w:pStyle w:val="TableParagraph"/>
              <w:keepNext/>
              <w:keepLines/>
              <w:spacing w:line="278" w:lineRule="auto"/>
              <w:ind w:firstLine="14"/>
              <w:jc w:val="center"/>
              <w:rPr>
                <w:rFonts w:ascii="Times New Roman" w:eastAsia="Times New Roman" w:hAnsi="Times New Roman"/>
                <w:color w:val="000000"/>
              </w:rPr>
            </w:pPr>
            <w:r w:rsidRPr="00381DC2">
              <w:rPr>
                <w:rFonts w:ascii="Times New Roman" w:hAnsi="Times New Roman"/>
                <w:color w:val="000000"/>
              </w:rPr>
              <w:t xml:space="preserve">Rameno 1 </w:t>
            </w:r>
          </w:p>
          <w:p w14:paraId="04A284D9" w14:textId="77777777" w:rsidR="00D15122" w:rsidRPr="00381DC2" w:rsidRDefault="009B0756" w:rsidP="002B0DE8">
            <w:pPr>
              <w:pStyle w:val="TableParagraph"/>
              <w:keepNext/>
              <w:keepLines/>
              <w:spacing w:line="278" w:lineRule="auto"/>
              <w:ind w:firstLine="14"/>
              <w:jc w:val="center"/>
              <w:rPr>
                <w:rFonts w:ascii="Times New Roman" w:eastAsia="Times New Roman" w:hAnsi="Times New Roman"/>
                <w:color w:val="000000"/>
              </w:rPr>
            </w:pPr>
            <w:r w:rsidRPr="00381DC2">
              <w:rPr>
                <w:rFonts w:ascii="Times New Roman" w:hAnsi="Times New Roman"/>
                <w:color w:val="000000"/>
              </w:rPr>
              <w:t>IFL + placebo</w:t>
            </w:r>
          </w:p>
        </w:tc>
        <w:tc>
          <w:tcPr>
            <w:tcW w:w="2160" w:type="dxa"/>
            <w:tcBorders>
              <w:top w:val="single" w:sz="5" w:space="0" w:color="000000"/>
              <w:left w:val="single" w:sz="5" w:space="0" w:color="000000"/>
              <w:bottom w:val="single" w:sz="5" w:space="0" w:color="000000"/>
              <w:right w:val="single" w:sz="5" w:space="0" w:color="000000"/>
            </w:tcBorders>
          </w:tcPr>
          <w:p w14:paraId="69CF2E2E" w14:textId="77777777" w:rsidR="00DE043A" w:rsidRPr="00381DC2" w:rsidRDefault="009B0756" w:rsidP="002B0DE8">
            <w:pPr>
              <w:pStyle w:val="TableParagraph"/>
              <w:keepNext/>
              <w:keepLines/>
              <w:spacing w:line="269" w:lineRule="auto"/>
              <w:ind w:right="16"/>
              <w:jc w:val="center"/>
              <w:rPr>
                <w:rFonts w:ascii="Times New Roman" w:eastAsia="Times New Roman" w:hAnsi="Times New Roman"/>
                <w:color w:val="000000"/>
              </w:rPr>
            </w:pPr>
            <w:r w:rsidRPr="00381DC2">
              <w:rPr>
                <w:rFonts w:ascii="Times New Roman" w:hAnsi="Times New Roman"/>
                <w:color w:val="000000"/>
              </w:rPr>
              <w:t xml:space="preserve">Rameno 2 </w:t>
            </w:r>
          </w:p>
          <w:p w14:paraId="4C2B8123" w14:textId="77777777" w:rsidR="00D15122" w:rsidRPr="00F60460" w:rsidRDefault="009B0756" w:rsidP="002B0DE8">
            <w:pPr>
              <w:pStyle w:val="TableParagraph"/>
              <w:keepNext/>
              <w:keepLines/>
              <w:spacing w:line="269" w:lineRule="auto"/>
              <w:ind w:right="16"/>
              <w:jc w:val="center"/>
              <w:rPr>
                <w:rFonts w:ascii="Times New Roman" w:eastAsia="Times New Roman" w:hAnsi="Times New Roman"/>
                <w:color w:val="000000"/>
                <w:sz w:val="14"/>
                <w:szCs w:val="14"/>
              </w:rPr>
            </w:pPr>
            <w:r w:rsidRPr="00381DC2">
              <w:rPr>
                <w:rFonts w:ascii="Times New Roman" w:hAnsi="Times New Roman"/>
                <w:color w:val="000000"/>
              </w:rPr>
              <w:t>IFL + bevacizumab</w:t>
            </w:r>
            <w:r w:rsidRPr="00381DC2">
              <w:rPr>
                <w:rFonts w:ascii="Times New Roman" w:hAnsi="Times New Roman"/>
                <w:color w:val="000000"/>
                <w:vertAlign w:val="superscript"/>
              </w:rPr>
              <w:t>a</w:t>
            </w:r>
          </w:p>
        </w:tc>
      </w:tr>
      <w:tr w:rsidR="00D15122" w:rsidRPr="00F60460" w14:paraId="53204FD2" w14:textId="77777777" w:rsidTr="006A2145">
        <w:tc>
          <w:tcPr>
            <w:tcW w:w="3600" w:type="dxa"/>
            <w:tcBorders>
              <w:top w:val="single" w:sz="5" w:space="0" w:color="000000"/>
              <w:left w:val="single" w:sz="5" w:space="0" w:color="000000"/>
              <w:bottom w:val="single" w:sz="5" w:space="0" w:color="000000"/>
              <w:right w:val="single" w:sz="5" w:space="0" w:color="000000"/>
            </w:tcBorders>
          </w:tcPr>
          <w:p w14:paraId="4D67A636" w14:textId="77777777" w:rsidR="00D15122" w:rsidRPr="00381DC2" w:rsidRDefault="009B0756" w:rsidP="002B0DE8">
            <w:pPr>
              <w:pStyle w:val="TableParagraph"/>
              <w:keepNext/>
              <w:keepLines/>
              <w:rPr>
                <w:rFonts w:ascii="Times New Roman" w:eastAsia="Times New Roman" w:hAnsi="Times New Roman"/>
                <w:color w:val="000000"/>
              </w:rPr>
            </w:pPr>
            <w:r w:rsidRPr="00381DC2">
              <w:rPr>
                <w:rFonts w:ascii="Times New Roman" w:hAnsi="Times New Roman"/>
                <w:color w:val="000000"/>
              </w:rPr>
              <w:t>Počet pacientů</w:t>
            </w:r>
          </w:p>
        </w:tc>
        <w:tc>
          <w:tcPr>
            <w:tcW w:w="2280" w:type="dxa"/>
            <w:tcBorders>
              <w:top w:val="single" w:sz="5" w:space="0" w:color="000000"/>
              <w:left w:val="single" w:sz="5" w:space="0" w:color="000000"/>
              <w:bottom w:val="single" w:sz="5" w:space="0" w:color="000000"/>
              <w:right w:val="single" w:sz="5" w:space="0" w:color="000000"/>
            </w:tcBorders>
          </w:tcPr>
          <w:p w14:paraId="1C604C6C" w14:textId="77777777" w:rsidR="00D15122" w:rsidRPr="00381DC2" w:rsidRDefault="009B0756" w:rsidP="002B0DE8">
            <w:pPr>
              <w:pStyle w:val="TableParagraph"/>
              <w:keepNext/>
              <w:keepLines/>
              <w:jc w:val="center"/>
              <w:rPr>
                <w:rFonts w:ascii="Times New Roman" w:eastAsia="Times New Roman" w:hAnsi="Times New Roman"/>
                <w:color w:val="000000"/>
              </w:rPr>
            </w:pPr>
            <w:r w:rsidRPr="00381DC2">
              <w:rPr>
                <w:rFonts w:ascii="Times New Roman" w:hAnsi="Times New Roman"/>
                <w:color w:val="000000"/>
              </w:rPr>
              <w:t>411</w:t>
            </w:r>
          </w:p>
        </w:tc>
        <w:tc>
          <w:tcPr>
            <w:tcW w:w="2160" w:type="dxa"/>
            <w:tcBorders>
              <w:top w:val="single" w:sz="5" w:space="0" w:color="000000"/>
              <w:left w:val="single" w:sz="5" w:space="0" w:color="000000"/>
              <w:bottom w:val="single" w:sz="5" w:space="0" w:color="000000"/>
              <w:right w:val="single" w:sz="5" w:space="0" w:color="000000"/>
            </w:tcBorders>
          </w:tcPr>
          <w:p w14:paraId="356086CE" w14:textId="77777777" w:rsidR="00D15122" w:rsidRPr="00381DC2" w:rsidRDefault="009B0756" w:rsidP="002B0DE8">
            <w:pPr>
              <w:pStyle w:val="TableParagraph"/>
              <w:keepNext/>
              <w:keepLines/>
              <w:jc w:val="center"/>
              <w:rPr>
                <w:rFonts w:ascii="Times New Roman" w:eastAsia="Times New Roman" w:hAnsi="Times New Roman"/>
                <w:color w:val="000000"/>
              </w:rPr>
            </w:pPr>
            <w:r w:rsidRPr="00381DC2">
              <w:rPr>
                <w:rFonts w:ascii="Times New Roman" w:hAnsi="Times New Roman"/>
                <w:color w:val="000000"/>
              </w:rPr>
              <w:t>402</w:t>
            </w:r>
          </w:p>
        </w:tc>
      </w:tr>
      <w:tr w:rsidR="00D15122" w:rsidRPr="00F60460" w14:paraId="2041BB0E" w14:textId="77777777" w:rsidTr="006A2145">
        <w:tc>
          <w:tcPr>
            <w:tcW w:w="8040" w:type="dxa"/>
            <w:gridSpan w:val="3"/>
            <w:tcBorders>
              <w:top w:val="single" w:sz="5" w:space="0" w:color="000000"/>
              <w:left w:val="single" w:sz="5" w:space="0" w:color="000000"/>
              <w:bottom w:val="single" w:sz="5" w:space="0" w:color="000000"/>
              <w:right w:val="single" w:sz="5" w:space="0" w:color="000000"/>
            </w:tcBorders>
          </w:tcPr>
          <w:p w14:paraId="19A313F7" w14:textId="77777777" w:rsidR="00D15122" w:rsidRPr="00381DC2" w:rsidRDefault="009B0756" w:rsidP="002B0DE8">
            <w:pPr>
              <w:pStyle w:val="TableParagraph"/>
              <w:keepNext/>
              <w:keepLines/>
              <w:rPr>
                <w:rFonts w:ascii="Times New Roman" w:eastAsia="Times New Roman" w:hAnsi="Times New Roman"/>
                <w:color w:val="000000"/>
              </w:rPr>
            </w:pPr>
            <w:r w:rsidRPr="00381DC2">
              <w:rPr>
                <w:rFonts w:ascii="Times New Roman" w:hAnsi="Times New Roman"/>
                <w:color w:val="000000"/>
              </w:rPr>
              <w:t>Celkové přežití</w:t>
            </w:r>
          </w:p>
        </w:tc>
      </w:tr>
      <w:tr w:rsidR="00D15122" w:rsidRPr="00F60460" w14:paraId="2D91B008" w14:textId="77777777" w:rsidTr="006A2145">
        <w:tc>
          <w:tcPr>
            <w:tcW w:w="3600" w:type="dxa"/>
            <w:tcBorders>
              <w:top w:val="single" w:sz="5" w:space="0" w:color="000000"/>
              <w:left w:val="single" w:sz="5" w:space="0" w:color="000000"/>
              <w:bottom w:val="single" w:sz="5" w:space="0" w:color="000000"/>
              <w:right w:val="single" w:sz="5" w:space="0" w:color="000000"/>
            </w:tcBorders>
          </w:tcPr>
          <w:p w14:paraId="14B1D723" w14:textId="77777777" w:rsidR="00D15122" w:rsidRPr="00381DC2" w:rsidRDefault="009B0756" w:rsidP="00EB1891">
            <w:pPr>
              <w:pStyle w:val="TableParagraph"/>
              <w:keepNext/>
              <w:keepLines/>
              <w:ind w:firstLine="269"/>
              <w:rPr>
                <w:rFonts w:ascii="Times New Roman" w:eastAsia="Times New Roman" w:hAnsi="Times New Roman"/>
                <w:color w:val="000000"/>
              </w:rPr>
            </w:pPr>
            <w:r w:rsidRPr="00381DC2">
              <w:rPr>
                <w:rFonts w:ascii="Times New Roman" w:hAnsi="Times New Roman"/>
                <w:color w:val="000000"/>
              </w:rPr>
              <w:t>Medián doby (měsíce)</w:t>
            </w:r>
          </w:p>
        </w:tc>
        <w:tc>
          <w:tcPr>
            <w:tcW w:w="2280" w:type="dxa"/>
            <w:tcBorders>
              <w:top w:val="single" w:sz="5" w:space="0" w:color="000000"/>
              <w:left w:val="single" w:sz="5" w:space="0" w:color="000000"/>
              <w:bottom w:val="single" w:sz="5" w:space="0" w:color="000000"/>
              <w:right w:val="single" w:sz="5" w:space="0" w:color="000000"/>
            </w:tcBorders>
          </w:tcPr>
          <w:p w14:paraId="05972565" w14:textId="77777777" w:rsidR="00D15122" w:rsidRPr="00381DC2" w:rsidRDefault="009B0756" w:rsidP="002B0DE8">
            <w:pPr>
              <w:pStyle w:val="TableParagraph"/>
              <w:keepNext/>
              <w:keepLines/>
              <w:jc w:val="center"/>
              <w:rPr>
                <w:rFonts w:ascii="Times New Roman" w:eastAsia="Times New Roman" w:hAnsi="Times New Roman"/>
                <w:color w:val="000000"/>
              </w:rPr>
            </w:pPr>
            <w:r w:rsidRPr="00381DC2">
              <w:rPr>
                <w:rFonts w:ascii="Times New Roman" w:hAnsi="Times New Roman"/>
                <w:color w:val="000000"/>
              </w:rPr>
              <w:t>15,6</w:t>
            </w:r>
          </w:p>
        </w:tc>
        <w:tc>
          <w:tcPr>
            <w:tcW w:w="2160" w:type="dxa"/>
            <w:tcBorders>
              <w:top w:val="single" w:sz="5" w:space="0" w:color="000000"/>
              <w:left w:val="single" w:sz="5" w:space="0" w:color="000000"/>
              <w:bottom w:val="single" w:sz="5" w:space="0" w:color="000000"/>
              <w:right w:val="single" w:sz="5" w:space="0" w:color="000000"/>
            </w:tcBorders>
          </w:tcPr>
          <w:p w14:paraId="128258B4" w14:textId="77777777" w:rsidR="00D15122" w:rsidRPr="00381DC2" w:rsidRDefault="009B0756" w:rsidP="002B0DE8">
            <w:pPr>
              <w:pStyle w:val="TableParagraph"/>
              <w:keepNext/>
              <w:keepLines/>
              <w:jc w:val="center"/>
              <w:rPr>
                <w:rFonts w:ascii="Times New Roman" w:eastAsia="Times New Roman" w:hAnsi="Times New Roman"/>
                <w:color w:val="000000"/>
              </w:rPr>
            </w:pPr>
            <w:r w:rsidRPr="00381DC2">
              <w:rPr>
                <w:rFonts w:ascii="Times New Roman" w:hAnsi="Times New Roman"/>
                <w:color w:val="000000"/>
              </w:rPr>
              <w:t>20,3</w:t>
            </w:r>
          </w:p>
        </w:tc>
      </w:tr>
      <w:tr w:rsidR="00D15122" w:rsidRPr="00F60460" w14:paraId="23EE93EC" w14:textId="77777777" w:rsidTr="006A2145">
        <w:tc>
          <w:tcPr>
            <w:tcW w:w="3600" w:type="dxa"/>
            <w:tcBorders>
              <w:top w:val="single" w:sz="5" w:space="0" w:color="000000"/>
              <w:left w:val="single" w:sz="5" w:space="0" w:color="000000"/>
              <w:bottom w:val="single" w:sz="5" w:space="0" w:color="000000"/>
              <w:right w:val="single" w:sz="5" w:space="0" w:color="000000"/>
            </w:tcBorders>
          </w:tcPr>
          <w:p w14:paraId="491AF70D" w14:textId="77777777" w:rsidR="00D15122" w:rsidRPr="00381DC2" w:rsidRDefault="009B0756" w:rsidP="00EB1891">
            <w:pPr>
              <w:pStyle w:val="TableParagraph"/>
              <w:keepNext/>
              <w:keepLines/>
              <w:ind w:firstLine="269"/>
              <w:rPr>
                <w:rFonts w:ascii="Times New Roman" w:eastAsia="Times New Roman" w:hAnsi="Times New Roman"/>
                <w:color w:val="000000"/>
              </w:rPr>
            </w:pPr>
            <w:r w:rsidRPr="00381DC2">
              <w:rPr>
                <w:rFonts w:ascii="Times New Roman" w:hAnsi="Times New Roman"/>
                <w:color w:val="000000"/>
              </w:rPr>
              <w:t>95% CI</w:t>
            </w:r>
          </w:p>
        </w:tc>
        <w:tc>
          <w:tcPr>
            <w:tcW w:w="2280" w:type="dxa"/>
            <w:tcBorders>
              <w:top w:val="single" w:sz="5" w:space="0" w:color="000000"/>
              <w:left w:val="single" w:sz="5" w:space="0" w:color="000000"/>
              <w:bottom w:val="single" w:sz="5" w:space="0" w:color="000000"/>
              <w:right w:val="single" w:sz="5" w:space="0" w:color="000000"/>
            </w:tcBorders>
          </w:tcPr>
          <w:p w14:paraId="2A8486E4" w14:textId="77777777" w:rsidR="00D15122" w:rsidRPr="00381DC2" w:rsidRDefault="009B0756" w:rsidP="002B0DE8">
            <w:pPr>
              <w:pStyle w:val="TableParagraph"/>
              <w:keepNext/>
              <w:keepLines/>
              <w:jc w:val="center"/>
              <w:rPr>
                <w:rFonts w:ascii="Times New Roman" w:eastAsia="Times New Roman" w:hAnsi="Times New Roman"/>
                <w:color w:val="000000"/>
              </w:rPr>
            </w:pPr>
            <w:r w:rsidRPr="00381DC2">
              <w:rPr>
                <w:rFonts w:ascii="Times New Roman" w:hAnsi="Times New Roman"/>
                <w:color w:val="000000"/>
              </w:rPr>
              <w:t>14,29–16,99</w:t>
            </w:r>
          </w:p>
        </w:tc>
        <w:tc>
          <w:tcPr>
            <w:tcW w:w="2160" w:type="dxa"/>
            <w:tcBorders>
              <w:top w:val="single" w:sz="5" w:space="0" w:color="000000"/>
              <w:left w:val="single" w:sz="5" w:space="0" w:color="000000"/>
              <w:bottom w:val="single" w:sz="5" w:space="0" w:color="000000"/>
              <w:right w:val="single" w:sz="5" w:space="0" w:color="000000"/>
            </w:tcBorders>
          </w:tcPr>
          <w:p w14:paraId="39379226" w14:textId="77777777" w:rsidR="00D15122" w:rsidRPr="00381DC2" w:rsidRDefault="009B0756" w:rsidP="002B0DE8">
            <w:pPr>
              <w:pStyle w:val="TableParagraph"/>
              <w:keepNext/>
              <w:keepLines/>
              <w:jc w:val="center"/>
              <w:rPr>
                <w:rFonts w:ascii="Times New Roman" w:eastAsia="Times New Roman" w:hAnsi="Times New Roman"/>
                <w:color w:val="000000"/>
              </w:rPr>
            </w:pPr>
            <w:r w:rsidRPr="00381DC2">
              <w:rPr>
                <w:rFonts w:ascii="Times New Roman" w:hAnsi="Times New Roman"/>
                <w:color w:val="000000"/>
              </w:rPr>
              <w:t>18,46–24,18</w:t>
            </w:r>
          </w:p>
        </w:tc>
      </w:tr>
      <w:tr w:rsidR="00D15122" w:rsidRPr="00F60460" w14:paraId="5AFE83EB" w14:textId="77777777" w:rsidTr="006A2145">
        <w:tc>
          <w:tcPr>
            <w:tcW w:w="3600" w:type="dxa"/>
            <w:tcBorders>
              <w:top w:val="single" w:sz="5" w:space="0" w:color="000000"/>
              <w:left w:val="single" w:sz="5" w:space="0" w:color="000000"/>
              <w:bottom w:val="single" w:sz="5" w:space="0" w:color="000000"/>
              <w:right w:val="single" w:sz="5" w:space="0" w:color="000000"/>
            </w:tcBorders>
          </w:tcPr>
          <w:p w14:paraId="12AD8F97" w14:textId="77777777" w:rsidR="00D15122" w:rsidRPr="00F60460" w:rsidRDefault="009B0756" w:rsidP="00EB1891">
            <w:pPr>
              <w:pStyle w:val="TableParagraph"/>
              <w:keepNext/>
              <w:keepLines/>
              <w:ind w:firstLine="269"/>
              <w:rPr>
                <w:rFonts w:ascii="Times New Roman" w:eastAsia="Times New Roman" w:hAnsi="Times New Roman"/>
                <w:color w:val="000000"/>
                <w:sz w:val="14"/>
                <w:szCs w:val="14"/>
              </w:rPr>
            </w:pPr>
            <w:r w:rsidRPr="00381DC2">
              <w:rPr>
                <w:rFonts w:ascii="Times New Roman" w:hAnsi="Times New Roman"/>
                <w:color w:val="000000"/>
              </w:rPr>
              <w:t>Poměr rizik</w:t>
            </w:r>
            <w:r w:rsidRPr="00381DC2">
              <w:rPr>
                <w:rFonts w:ascii="Times New Roman" w:hAnsi="Times New Roman"/>
                <w:color w:val="000000"/>
                <w:vertAlign w:val="superscript"/>
              </w:rPr>
              <w:t>b</w:t>
            </w:r>
          </w:p>
        </w:tc>
        <w:tc>
          <w:tcPr>
            <w:tcW w:w="4440" w:type="dxa"/>
            <w:gridSpan w:val="2"/>
            <w:tcBorders>
              <w:top w:val="single" w:sz="5" w:space="0" w:color="000000"/>
              <w:left w:val="single" w:sz="5" w:space="0" w:color="000000"/>
              <w:bottom w:val="single" w:sz="5" w:space="0" w:color="000000"/>
              <w:right w:val="single" w:sz="5" w:space="0" w:color="000000"/>
            </w:tcBorders>
          </w:tcPr>
          <w:p w14:paraId="276A58F1" w14:textId="77777777" w:rsidR="00D15122" w:rsidRPr="00381DC2" w:rsidRDefault="009B0756" w:rsidP="002B0DE8">
            <w:pPr>
              <w:pStyle w:val="TableParagraph"/>
              <w:keepNext/>
              <w:keepLines/>
              <w:jc w:val="center"/>
              <w:rPr>
                <w:rFonts w:ascii="Times New Roman" w:eastAsia="Times New Roman" w:hAnsi="Times New Roman"/>
                <w:color w:val="000000"/>
              </w:rPr>
            </w:pPr>
            <w:r w:rsidRPr="00381DC2">
              <w:rPr>
                <w:rFonts w:ascii="Times New Roman" w:hAnsi="Times New Roman"/>
                <w:color w:val="000000"/>
              </w:rPr>
              <w:t>0,660</w:t>
            </w:r>
          </w:p>
          <w:p w14:paraId="35E2DB29" w14:textId="77777777" w:rsidR="00D15122" w:rsidRPr="00381DC2" w:rsidRDefault="009B0756" w:rsidP="002B0DE8">
            <w:pPr>
              <w:pStyle w:val="TableParagraph"/>
              <w:keepNext/>
              <w:keepLines/>
              <w:jc w:val="center"/>
              <w:rPr>
                <w:rFonts w:ascii="Times New Roman" w:eastAsia="Times New Roman" w:hAnsi="Times New Roman"/>
                <w:color w:val="000000"/>
              </w:rPr>
            </w:pPr>
            <w:r w:rsidRPr="00381DC2">
              <w:rPr>
                <w:rFonts w:ascii="Times New Roman" w:hAnsi="Times New Roman"/>
                <w:color w:val="000000"/>
              </w:rPr>
              <w:t>(p-hodnota = 0,00004)</w:t>
            </w:r>
          </w:p>
        </w:tc>
      </w:tr>
      <w:tr w:rsidR="00D15122" w:rsidRPr="00F60460" w14:paraId="339171CF" w14:textId="77777777" w:rsidTr="006A2145">
        <w:tc>
          <w:tcPr>
            <w:tcW w:w="8040" w:type="dxa"/>
            <w:gridSpan w:val="3"/>
            <w:tcBorders>
              <w:top w:val="single" w:sz="5" w:space="0" w:color="000000"/>
              <w:left w:val="single" w:sz="5" w:space="0" w:color="000000"/>
              <w:bottom w:val="single" w:sz="5" w:space="0" w:color="000000"/>
              <w:right w:val="single" w:sz="5" w:space="0" w:color="000000"/>
            </w:tcBorders>
          </w:tcPr>
          <w:p w14:paraId="7117A7E8" w14:textId="77777777" w:rsidR="00D15122" w:rsidRPr="00381DC2" w:rsidRDefault="009B0756" w:rsidP="007F6E1B">
            <w:pPr>
              <w:pStyle w:val="TableParagraph"/>
              <w:rPr>
                <w:rFonts w:ascii="Times New Roman" w:eastAsia="Times New Roman" w:hAnsi="Times New Roman"/>
                <w:color w:val="000000"/>
              </w:rPr>
            </w:pPr>
            <w:r w:rsidRPr="00381DC2">
              <w:rPr>
                <w:rFonts w:ascii="Times New Roman" w:hAnsi="Times New Roman"/>
                <w:color w:val="000000"/>
              </w:rPr>
              <w:t>Přežití bez progrese</w:t>
            </w:r>
          </w:p>
        </w:tc>
      </w:tr>
      <w:tr w:rsidR="00D15122" w:rsidRPr="00F60460" w14:paraId="5F83AB84" w14:textId="77777777" w:rsidTr="006A2145">
        <w:tc>
          <w:tcPr>
            <w:tcW w:w="3600" w:type="dxa"/>
            <w:tcBorders>
              <w:top w:val="single" w:sz="5" w:space="0" w:color="000000"/>
              <w:left w:val="single" w:sz="5" w:space="0" w:color="000000"/>
              <w:bottom w:val="single" w:sz="5" w:space="0" w:color="000000"/>
              <w:right w:val="single" w:sz="5" w:space="0" w:color="000000"/>
            </w:tcBorders>
          </w:tcPr>
          <w:p w14:paraId="6DC7D5DB" w14:textId="77777777" w:rsidR="00D15122" w:rsidRPr="00381DC2" w:rsidRDefault="009B0756" w:rsidP="00EB1891">
            <w:pPr>
              <w:pStyle w:val="TableParagraph"/>
              <w:ind w:firstLine="269"/>
              <w:rPr>
                <w:rFonts w:ascii="Times New Roman" w:eastAsia="Times New Roman" w:hAnsi="Times New Roman"/>
                <w:color w:val="000000"/>
              </w:rPr>
            </w:pPr>
            <w:r w:rsidRPr="00381DC2">
              <w:rPr>
                <w:rFonts w:ascii="Times New Roman" w:hAnsi="Times New Roman"/>
                <w:color w:val="000000"/>
              </w:rPr>
              <w:t>Medián doby (měsíce)</w:t>
            </w:r>
          </w:p>
        </w:tc>
        <w:tc>
          <w:tcPr>
            <w:tcW w:w="2280" w:type="dxa"/>
            <w:tcBorders>
              <w:top w:val="single" w:sz="5" w:space="0" w:color="000000"/>
              <w:left w:val="single" w:sz="5" w:space="0" w:color="000000"/>
              <w:bottom w:val="single" w:sz="5" w:space="0" w:color="000000"/>
              <w:right w:val="single" w:sz="5" w:space="0" w:color="000000"/>
            </w:tcBorders>
          </w:tcPr>
          <w:p w14:paraId="26643396"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6,2</w:t>
            </w:r>
          </w:p>
        </w:tc>
        <w:tc>
          <w:tcPr>
            <w:tcW w:w="2160" w:type="dxa"/>
            <w:tcBorders>
              <w:top w:val="single" w:sz="5" w:space="0" w:color="000000"/>
              <w:left w:val="single" w:sz="5" w:space="0" w:color="000000"/>
              <w:bottom w:val="single" w:sz="5" w:space="0" w:color="000000"/>
              <w:right w:val="single" w:sz="5" w:space="0" w:color="000000"/>
            </w:tcBorders>
          </w:tcPr>
          <w:p w14:paraId="6D1BD33D"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10,6</w:t>
            </w:r>
          </w:p>
        </w:tc>
      </w:tr>
      <w:tr w:rsidR="00D15122" w:rsidRPr="00F60460" w14:paraId="7972D534" w14:textId="77777777" w:rsidTr="006A2145">
        <w:tc>
          <w:tcPr>
            <w:tcW w:w="3600" w:type="dxa"/>
            <w:tcBorders>
              <w:top w:val="single" w:sz="5" w:space="0" w:color="000000"/>
              <w:left w:val="single" w:sz="5" w:space="0" w:color="000000"/>
              <w:bottom w:val="single" w:sz="5" w:space="0" w:color="000000"/>
              <w:right w:val="single" w:sz="5" w:space="0" w:color="000000"/>
            </w:tcBorders>
          </w:tcPr>
          <w:p w14:paraId="5957D792" w14:textId="77777777" w:rsidR="00D15122" w:rsidRPr="00381DC2" w:rsidRDefault="009B0756" w:rsidP="00EB1891">
            <w:pPr>
              <w:pStyle w:val="TableParagraph"/>
              <w:ind w:firstLine="269"/>
              <w:rPr>
                <w:rFonts w:ascii="Times New Roman" w:eastAsia="Times New Roman" w:hAnsi="Times New Roman"/>
                <w:color w:val="000000"/>
              </w:rPr>
            </w:pPr>
            <w:r w:rsidRPr="00381DC2">
              <w:rPr>
                <w:rFonts w:ascii="Times New Roman" w:hAnsi="Times New Roman"/>
                <w:color w:val="000000"/>
              </w:rPr>
              <w:t>Poměr rizik</w:t>
            </w:r>
          </w:p>
        </w:tc>
        <w:tc>
          <w:tcPr>
            <w:tcW w:w="4440" w:type="dxa"/>
            <w:gridSpan w:val="2"/>
            <w:tcBorders>
              <w:top w:val="single" w:sz="5" w:space="0" w:color="000000"/>
              <w:left w:val="single" w:sz="5" w:space="0" w:color="000000"/>
              <w:bottom w:val="single" w:sz="5" w:space="0" w:color="000000"/>
              <w:right w:val="single" w:sz="5" w:space="0" w:color="000000"/>
            </w:tcBorders>
          </w:tcPr>
          <w:p w14:paraId="19F5D61B"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0,54</w:t>
            </w:r>
          </w:p>
          <w:p w14:paraId="07238A07" w14:textId="77777777" w:rsidR="00D15122" w:rsidRPr="00381DC2" w:rsidRDefault="00780CBF" w:rsidP="00C0667E">
            <w:pPr>
              <w:pStyle w:val="TableParagraph"/>
              <w:jc w:val="center"/>
              <w:rPr>
                <w:rFonts w:ascii="Times New Roman" w:eastAsia="Times New Roman" w:hAnsi="Times New Roman"/>
                <w:color w:val="000000"/>
              </w:rPr>
            </w:pPr>
            <w:r w:rsidRPr="00381DC2">
              <w:rPr>
                <w:rFonts w:ascii="Times New Roman" w:hAnsi="Times New Roman"/>
                <w:color w:val="000000"/>
              </w:rPr>
              <w:t>(p-hodnota &lt; 0,0001)</w:t>
            </w:r>
          </w:p>
        </w:tc>
      </w:tr>
      <w:tr w:rsidR="00D15122" w:rsidRPr="00F60460" w14:paraId="1397F893" w14:textId="77777777" w:rsidTr="006A2145">
        <w:tc>
          <w:tcPr>
            <w:tcW w:w="8040" w:type="dxa"/>
            <w:gridSpan w:val="3"/>
            <w:tcBorders>
              <w:top w:val="single" w:sz="5" w:space="0" w:color="000000"/>
              <w:left w:val="single" w:sz="5" w:space="0" w:color="000000"/>
              <w:bottom w:val="single" w:sz="5" w:space="0" w:color="000000"/>
              <w:right w:val="single" w:sz="5" w:space="0" w:color="000000"/>
            </w:tcBorders>
          </w:tcPr>
          <w:p w14:paraId="456A219A" w14:textId="77777777" w:rsidR="00D15122" w:rsidRPr="00381DC2" w:rsidRDefault="009B0756" w:rsidP="007F6E1B">
            <w:pPr>
              <w:pStyle w:val="TableParagraph"/>
              <w:rPr>
                <w:rFonts w:ascii="Times New Roman" w:eastAsia="Times New Roman" w:hAnsi="Times New Roman"/>
                <w:color w:val="000000"/>
              </w:rPr>
            </w:pPr>
            <w:r w:rsidRPr="00381DC2">
              <w:rPr>
                <w:rFonts w:ascii="Times New Roman" w:hAnsi="Times New Roman"/>
                <w:color w:val="000000"/>
              </w:rPr>
              <w:t>Celková četnost odpovědi</w:t>
            </w:r>
          </w:p>
        </w:tc>
      </w:tr>
      <w:tr w:rsidR="00D15122" w:rsidRPr="00F60460" w14:paraId="180CA7B2" w14:textId="77777777" w:rsidTr="006A2145">
        <w:tc>
          <w:tcPr>
            <w:tcW w:w="3600" w:type="dxa"/>
            <w:tcBorders>
              <w:top w:val="single" w:sz="5" w:space="0" w:color="000000"/>
              <w:left w:val="single" w:sz="5" w:space="0" w:color="000000"/>
              <w:bottom w:val="single" w:sz="5" w:space="0" w:color="000000"/>
              <w:right w:val="single" w:sz="5" w:space="0" w:color="000000"/>
            </w:tcBorders>
          </w:tcPr>
          <w:p w14:paraId="4827DAE5" w14:textId="77777777" w:rsidR="00D15122" w:rsidRPr="00381DC2" w:rsidRDefault="009B0756" w:rsidP="00B8634B">
            <w:pPr>
              <w:pStyle w:val="TableParagraph"/>
              <w:ind w:firstLine="269"/>
              <w:rPr>
                <w:rFonts w:ascii="Times New Roman" w:eastAsia="Times New Roman" w:hAnsi="Times New Roman"/>
                <w:color w:val="000000"/>
              </w:rPr>
            </w:pPr>
            <w:r w:rsidRPr="00381DC2">
              <w:rPr>
                <w:rFonts w:ascii="Times New Roman" w:hAnsi="Times New Roman"/>
                <w:color w:val="000000"/>
              </w:rPr>
              <w:t>Četnost (%)</w:t>
            </w:r>
          </w:p>
        </w:tc>
        <w:tc>
          <w:tcPr>
            <w:tcW w:w="2280" w:type="dxa"/>
            <w:tcBorders>
              <w:top w:val="single" w:sz="5" w:space="0" w:color="000000"/>
              <w:left w:val="single" w:sz="5" w:space="0" w:color="000000"/>
              <w:bottom w:val="single" w:sz="5" w:space="0" w:color="000000"/>
              <w:right w:val="single" w:sz="5" w:space="0" w:color="000000"/>
            </w:tcBorders>
          </w:tcPr>
          <w:p w14:paraId="3C056593"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34,8</w:t>
            </w:r>
          </w:p>
        </w:tc>
        <w:tc>
          <w:tcPr>
            <w:tcW w:w="2160" w:type="dxa"/>
            <w:tcBorders>
              <w:top w:val="single" w:sz="5" w:space="0" w:color="000000"/>
              <w:left w:val="single" w:sz="5" w:space="0" w:color="000000"/>
              <w:bottom w:val="single" w:sz="5" w:space="0" w:color="000000"/>
              <w:right w:val="single" w:sz="5" w:space="0" w:color="000000"/>
            </w:tcBorders>
          </w:tcPr>
          <w:p w14:paraId="36167ED6"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44,8</w:t>
            </w:r>
          </w:p>
        </w:tc>
      </w:tr>
      <w:tr w:rsidR="00D15122" w:rsidRPr="00F60460" w14:paraId="5F9EC0BE" w14:textId="77777777" w:rsidTr="006A2145">
        <w:tc>
          <w:tcPr>
            <w:tcW w:w="3600" w:type="dxa"/>
            <w:tcBorders>
              <w:top w:val="single" w:sz="5" w:space="0" w:color="000000"/>
              <w:left w:val="single" w:sz="5" w:space="0" w:color="000000"/>
              <w:bottom w:val="single" w:sz="5" w:space="0" w:color="000000"/>
              <w:right w:val="single" w:sz="5" w:space="0" w:color="000000"/>
            </w:tcBorders>
          </w:tcPr>
          <w:p w14:paraId="388A03DF" w14:textId="77777777" w:rsidR="00D15122" w:rsidRPr="00381DC2" w:rsidRDefault="00D15122" w:rsidP="007F6E1B">
            <w:pPr>
              <w:rPr>
                <w:rFonts w:ascii="Times New Roman" w:hAnsi="Times New Roman"/>
                <w:color w:val="000000"/>
              </w:rPr>
            </w:pPr>
          </w:p>
        </w:tc>
        <w:tc>
          <w:tcPr>
            <w:tcW w:w="4440" w:type="dxa"/>
            <w:gridSpan w:val="2"/>
            <w:tcBorders>
              <w:top w:val="single" w:sz="5" w:space="0" w:color="000000"/>
              <w:left w:val="single" w:sz="5" w:space="0" w:color="000000"/>
              <w:bottom w:val="single" w:sz="5" w:space="0" w:color="000000"/>
              <w:right w:val="single" w:sz="5" w:space="0" w:color="000000"/>
            </w:tcBorders>
          </w:tcPr>
          <w:p w14:paraId="21C3624C" w14:textId="77777777" w:rsidR="00D15122" w:rsidRPr="00381DC2" w:rsidRDefault="009B0756" w:rsidP="00DE043A">
            <w:pPr>
              <w:pStyle w:val="TableParagraph"/>
              <w:jc w:val="center"/>
              <w:rPr>
                <w:rFonts w:ascii="Times New Roman" w:eastAsia="Times New Roman" w:hAnsi="Times New Roman"/>
                <w:color w:val="000000"/>
              </w:rPr>
            </w:pPr>
            <w:r w:rsidRPr="00381DC2">
              <w:rPr>
                <w:rFonts w:ascii="Times New Roman" w:hAnsi="Times New Roman"/>
                <w:color w:val="000000"/>
              </w:rPr>
              <w:t>(p-hodnota = 0,0036)</w:t>
            </w:r>
          </w:p>
        </w:tc>
      </w:tr>
    </w:tbl>
    <w:p w14:paraId="68552FA2" w14:textId="77777777" w:rsidR="00D15122" w:rsidRPr="00F60460" w:rsidRDefault="009B0756" w:rsidP="00D23770">
      <w:pPr>
        <w:pStyle w:val="BodyText"/>
        <w:spacing w:line="247" w:lineRule="exact"/>
        <w:ind w:left="284" w:hanging="284"/>
        <w:rPr>
          <w:color w:val="000000"/>
          <w:sz w:val="20"/>
          <w:szCs w:val="20"/>
        </w:rPr>
      </w:pPr>
      <w:r w:rsidRPr="00F60460">
        <w:rPr>
          <w:color w:val="000000"/>
          <w:sz w:val="20"/>
          <w:szCs w:val="20"/>
          <w:vertAlign w:val="superscript"/>
        </w:rPr>
        <w:t>a</w:t>
      </w:r>
      <w:r w:rsidR="00527928" w:rsidRPr="00F60460">
        <w:rPr>
          <w:color w:val="000000"/>
          <w:sz w:val="20"/>
          <w:szCs w:val="20"/>
          <w:vertAlign w:val="superscript"/>
        </w:rPr>
        <w:t xml:space="preserve"> </w:t>
      </w:r>
      <w:r w:rsidR="000408F8" w:rsidRPr="00F60460">
        <w:rPr>
          <w:color w:val="000000"/>
          <w:sz w:val="20"/>
          <w:szCs w:val="20"/>
          <w:vertAlign w:val="superscript"/>
        </w:rPr>
        <w:tab/>
      </w:r>
      <w:r w:rsidRPr="00F60460">
        <w:rPr>
          <w:color w:val="000000"/>
          <w:sz w:val="20"/>
          <w:szCs w:val="20"/>
        </w:rPr>
        <w:t>5 mg/kg každé 2 týdny.</w:t>
      </w:r>
    </w:p>
    <w:p w14:paraId="2711484C" w14:textId="77777777" w:rsidR="00D15122" w:rsidRPr="00F60460" w:rsidRDefault="009B0756" w:rsidP="00D23770">
      <w:pPr>
        <w:pStyle w:val="BodyText"/>
        <w:spacing w:line="265" w:lineRule="exact"/>
        <w:ind w:left="284" w:hanging="284"/>
        <w:rPr>
          <w:color w:val="000000"/>
          <w:sz w:val="20"/>
          <w:szCs w:val="20"/>
        </w:rPr>
      </w:pPr>
      <w:r w:rsidRPr="00F60460">
        <w:rPr>
          <w:color w:val="000000"/>
          <w:sz w:val="20"/>
          <w:szCs w:val="20"/>
          <w:vertAlign w:val="superscript"/>
        </w:rPr>
        <w:t>b</w:t>
      </w:r>
      <w:r w:rsidR="00527928" w:rsidRPr="00F60460">
        <w:rPr>
          <w:color w:val="000000"/>
          <w:sz w:val="20"/>
          <w:szCs w:val="20"/>
        </w:rPr>
        <w:t xml:space="preserve"> </w:t>
      </w:r>
      <w:r w:rsidR="000408F8" w:rsidRPr="00F60460">
        <w:rPr>
          <w:color w:val="000000"/>
          <w:sz w:val="20"/>
          <w:szCs w:val="20"/>
        </w:rPr>
        <w:tab/>
      </w:r>
      <w:r w:rsidRPr="00F60460">
        <w:rPr>
          <w:color w:val="000000"/>
          <w:sz w:val="20"/>
          <w:szCs w:val="20"/>
        </w:rPr>
        <w:t>Vztaženo ke kontrolnímu rameni.</w:t>
      </w:r>
    </w:p>
    <w:p w14:paraId="5D0F5B68" w14:textId="77777777" w:rsidR="00D15122" w:rsidRPr="00381DC2" w:rsidRDefault="00D15122" w:rsidP="007F6E1B">
      <w:pPr>
        <w:rPr>
          <w:rFonts w:ascii="Times New Roman" w:eastAsia="Times New Roman" w:hAnsi="Times New Roman"/>
          <w:color w:val="000000"/>
        </w:rPr>
      </w:pPr>
    </w:p>
    <w:p w14:paraId="31328FC8" w14:textId="77777777" w:rsidR="00D15122" w:rsidRPr="00381DC2" w:rsidRDefault="009B0756" w:rsidP="007F6E1B">
      <w:pPr>
        <w:pStyle w:val="BodyText"/>
        <w:ind w:left="0" w:right="238"/>
        <w:rPr>
          <w:color w:val="000000"/>
        </w:rPr>
      </w:pPr>
      <w:r w:rsidRPr="00381DC2">
        <w:rPr>
          <w:color w:val="000000"/>
        </w:rPr>
        <w:t xml:space="preserve">U 110 pacientů, kteří byli randomizováni do ramene 3 (5-FU/FA + bevacizumab), byl před ukončením tohoto ramene medián celkového přežití 18,3 měsíce a medián </w:t>
      </w:r>
      <w:r w:rsidR="00EA750F" w:rsidRPr="00381DC2">
        <w:rPr>
          <w:color w:val="000000"/>
        </w:rPr>
        <w:t xml:space="preserve">přežití </w:t>
      </w:r>
      <w:r w:rsidRPr="00381DC2">
        <w:rPr>
          <w:color w:val="000000"/>
        </w:rPr>
        <w:t>bez progrese 8,8 měsíce.</w:t>
      </w:r>
    </w:p>
    <w:p w14:paraId="7BC2ADD1" w14:textId="77777777" w:rsidR="00D15122" w:rsidRPr="00381DC2" w:rsidRDefault="00D15122" w:rsidP="007F6E1B">
      <w:pPr>
        <w:rPr>
          <w:rFonts w:ascii="Times New Roman" w:eastAsia="Times New Roman" w:hAnsi="Times New Roman"/>
          <w:color w:val="000000"/>
        </w:rPr>
      </w:pPr>
    </w:p>
    <w:p w14:paraId="769313AC" w14:textId="77777777" w:rsidR="00D15122" w:rsidRPr="00381DC2" w:rsidRDefault="009B0756" w:rsidP="007F6E1B">
      <w:pPr>
        <w:spacing w:line="252" w:lineRule="exact"/>
        <w:rPr>
          <w:rFonts w:ascii="Times New Roman" w:eastAsia="Times New Roman" w:hAnsi="Times New Roman"/>
          <w:color w:val="000000"/>
        </w:rPr>
      </w:pPr>
      <w:r w:rsidRPr="00381DC2">
        <w:rPr>
          <w:rFonts w:ascii="Times New Roman" w:hAnsi="Times New Roman"/>
          <w:i/>
          <w:color w:val="000000"/>
        </w:rPr>
        <w:t>AVF2192g</w:t>
      </w:r>
    </w:p>
    <w:p w14:paraId="0366AB4B" w14:textId="77777777" w:rsidR="00D15122" w:rsidRPr="00381DC2" w:rsidRDefault="009B0756" w:rsidP="007F6E1B">
      <w:pPr>
        <w:pStyle w:val="BodyText"/>
        <w:ind w:left="0" w:right="179" w:hanging="1"/>
        <w:rPr>
          <w:color w:val="000000"/>
        </w:rPr>
      </w:pPr>
      <w:r w:rsidRPr="00381DC2">
        <w:rPr>
          <w:color w:val="000000"/>
        </w:rPr>
        <w:t>Jednalo se o randomizované dvojitě zaslepené klinické hodnocení fáze II s aktivně léčenou kontrolní skupinou hodnotící účinnost a bezpečnost bevacizumab</w:t>
      </w:r>
      <w:r w:rsidR="00E9328E" w:rsidRPr="00381DC2">
        <w:rPr>
          <w:color w:val="000000"/>
        </w:rPr>
        <w:t>u</w:t>
      </w:r>
      <w:r w:rsidRPr="00381DC2">
        <w:rPr>
          <w:color w:val="000000"/>
        </w:rPr>
        <w:t xml:space="preserve"> v kombinaci s 5-FU/FA jako léčby první linie </w:t>
      </w:r>
      <w:r w:rsidR="000834FE" w:rsidRPr="00381DC2">
        <w:rPr>
          <w:color w:val="000000"/>
        </w:rPr>
        <w:t>metasta</w:t>
      </w:r>
      <w:r w:rsidR="00527928" w:rsidRPr="00381DC2">
        <w:rPr>
          <w:color w:val="000000"/>
        </w:rPr>
        <w:t>zujícího</w:t>
      </w:r>
      <w:r w:rsidRPr="00381DC2">
        <w:rPr>
          <w:color w:val="000000"/>
        </w:rPr>
        <w:t xml:space="preserve"> kolorektálního karcinomu u pacientů, kteří nebyli </w:t>
      </w:r>
      <w:r w:rsidR="00E9328E" w:rsidRPr="00381DC2">
        <w:rPr>
          <w:color w:val="000000"/>
        </w:rPr>
        <w:t xml:space="preserve">optimálními </w:t>
      </w:r>
      <w:r w:rsidRPr="00381DC2">
        <w:rPr>
          <w:color w:val="000000"/>
        </w:rPr>
        <w:t xml:space="preserve">kandidáty k léčbě první linie irinotekanem. </w:t>
      </w:r>
      <w:r w:rsidR="00E9328E" w:rsidRPr="00381DC2">
        <w:rPr>
          <w:color w:val="000000"/>
        </w:rPr>
        <w:t xml:space="preserve">Sto pět pacientů </w:t>
      </w:r>
      <w:r w:rsidRPr="00381DC2">
        <w:rPr>
          <w:color w:val="000000"/>
        </w:rPr>
        <w:t>bylo</w:t>
      </w:r>
      <w:r w:rsidR="00E9328E" w:rsidRPr="00381DC2">
        <w:rPr>
          <w:color w:val="000000"/>
        </w:rPr>
        <w:t xml:space="preserve"> randomizováno </w:t>
      </w:r>
      <w:r w:rsidRPr="00381DC2">
        <w:rPr>
          <w:color w:val="000000"/>
        </w:rPr>
        <w:t xml:space="preserve">do ramene </w:t>
      </w:r>
      <w:r w:rsidR="006D30D0" w:rsidRPr="00381DC2">
        <w:rPr>
          <w:color w:val="000000"/>
        </w:rPr>
        <w:t>s </w:t>
      </w:r>
      <w:r w:rsidRPr="00381DC2">
        <w:rPr>
          <w:color w:val="000000"/>
        </w:rPr>
        <w:t>5-FU/FA + placeb</w:t>
      </w:r>
      <w:r w:rsidR="006D30D0" w:rsidRPr="00381DC2">
        <w:rPr>
          <w:color w:val="000000"/>
        </w:rPr>
        <w:t>em</w:t>
      </w:r>
      <w:r w:rsidRPr="00381DC2">
        <w:rPr>
          <w:color w:val="000000"/>
        </w:rPr>
        <w:t xml:space="preserve"> a 104 pacienti </w:t>
      </w:r>
      <w:r w:rsidR="00E9328E" w:rsidRPr="00381DC2">
        <w:rPr>
          <w:color w:val="000000"/>
        </w:rPr>
        <w:t>do ramene</w:t>
      </w:r>
      <w:r w:rsidR="006D30D0" w:rsidRPr="00381DC2">
        <w:rPr>
          <w:color w:val="000000"/>
        </w:rPr>
        <w:t xml:space="preserve"> s</w:t>
      </w:r>
      <w:r w:rsidRPr="00381DC2">
        <w:rPr>
          <w:color w:val="000000"/>
        </w:rPr>
        <w:t xml:space="preserve"> 5-FU/FA + bevacizumab</w:t>
      </w:r>
      <w:r w:rsidR="006D30D0" w:rsidRPr="00381DC2">
        <w:rPr>
          <w:color w:val="000000"/>
        </w:rPr>
        <w:t>em</w:t>
      </w:r>
      <w:r w:rsidRPr="00381DC2">
        <w:rPr>
          <w:color w:val="000000"/>
        </w:rPr>
        <w:t xml:space="preserve"> (5 mg/kg </w:t>
      </w:r>
      <w:r w:rsidR="00D63038" w:rsidRPr="00381DC2">
        <w:rPr>
          <w:color w:val="000000"/>
        </w:rPr>
        <w:t xml:space="preserve">každé </w:t>
      </w:r>
      <w:r w:rsidRPr="00381DC2">
        <w:rPr>
          <w:color w:val="000000"/>
        </w:rPr>
        <w:t xml:space="preserve">2 týdny). Se všemi léčbami se pokračovalo až do progrese onemocnění. Přidání bevacizumabu </w:t>
      </w:r>
      <w:r w:rsidR="006D30D0" w:rsidRPr="00381DC2">
        <w:rPr>
          <w:color w:val="000000"/>
        </w:rPr>
        <w:t xml:space="preserve">5 mg/kg </w:t>
      </w:r>
      <w:r w:rsidR="00D63038" w:rsidRPr="00381DC2">
        <w:rPr>
          <w:color w:val="000000"/>
        </w:rPr>
        <w:t xml:space="preserve">každé </w:t>
      </w:r>
      <w:r w:rsidRPr="00381DC2">
        <w:rPr>
          <w:color w:val="000000"/>
        </w:rPr>
        <w:t xml:space="preserve">dva týdny k 5-FU/FA mělo za následek vyšší četnost objektivních odpovědí na léčbu, významně delší </w:t>
      </w:r>
      <w:r w:rsidR="006D30D0" w:rsidRPr="00381DC2">
        <w:rPr>
          <w:color w:val="000000"/>
        </w:rPr>
        <w:t>přežití</w:t>
      </w:r>
      <w:r w:rsidRPr="00381DC2">
        <w:rPr>
          <w:color w:val="000000"/>
        </w:rPr>
        <w:t xml:space="preserve"> bez progrese a trend k </w:t>
      </w:r>
      <w:r w:rsidR="006D30D0" w:rsidRPr="00381DC2">
        <w:rPr>
          <w:color w:val="000000"/>
        </w:rPr>
        <w:t xml:space="preserve">delšímu </w:t>
      </w:r>
      <w:r w:rsidRPr="00381DC2">
        <w:rPr>
          <w:color w:val="000000"/>
        </w:rPr>
        <w:t>přežití v porovnání se samotnou chemoterapií 5-FU/FA.</w:t>
      </w:r>
    </w:p>
    <w:p w14:paraId="14C60ED3" w14:textId="77777777" w:rsidR="00D15122" w:rsidRPr="00381DC2" w:rsidRDefault="00D15122" w:rsidP="007F6E1B">
      <w:pPr>
        <w:rPr>
          <w:rFonts w:ascii="Times New Roman" w:eastAsia="Times New Roman" w:hAnsi="Times New Roman"/>
          <w:color w:val="000000"/>
        </w:rPr>
      </w:pPr>
    </w:p>
    <w:p w14:paraId="0D337F6F" w14:textId="77777777" w:rsidR="00D15122" w:rsidRPr="00381DC2" w:rsidRDefault="009B0756" w:rsidP="007F6E1B">
      <w:pPr>
        <w:spacing w:line="252" w:lineRule="exact"/>
        <w:rPr>
          <w:rFonts w:ascii="Times New Roman" w:eastAsia="Times New Roman" w:hAnsi="Times New Roman"/>
          <w:color w:val="000000"/>
        </w:rPr>
      </w:pPr>
      <w:r w:rsidRPr="00381DC2">
        <w:rPr>
          <w:rFonts w:ascii="Times New Roman" w:hAnsi="Times New Roman"/>
          <w:i/>
          <w:color w:val="000000"/>
        </w:rPr>
        <w:t>AVF0780g</w:t>
      </w:r>
    </w:p>
    <w:p w14:paraId="0BAC8371" w14:textId="77777777" w:rsidR="00D15122" w:rsidRPr="00381DC2" w:rsidRDefault="009B0756" w:rsidP="00DD4FC5">
      <w:pPr>
        <w:pStyle w:val="BodyText"/>
        <w:ind w:left="0" w:right="190"/>
        <w:rPr>
          <w:color w:val="000000"/>
        </w:rPr>
      </w:pPr>
      <w:r w:rsidRPr="00381DC2">
        <w:rPr>
          <w:color w:val="000000"/>
        </w:rPr>
        <w:t xml:space="preserve">Jednalo se o randomizované otevřené klinické hodnocení fáze II s aktivně léčenou kontrolní skupinou </w:t>
      </w:r>
      <w:r w:rsidR="006D30D0" w:rsidRPr="00381DC2">
        <w:rPr>
          <w:color w:val="000000"/>
        </w:rPr>
        <w:t xml:space="preserve">hodnotící </w:t>
      </w:r>
      <w:r w:rsidRPr="00381DC2">
        <w:rPr>
          <w:color w:val="000000"/>
        </w:rPr>
        <w:t xml:space="preserve">bevacizumab v kombinaci s 5-FU/LV jako léčbu první linie </w:t>
      </w:r>
      <w:r w:rsidR="000834FE" w:rsidRPr="00381DC2">
        <w:rPr>
          <w:color w:val="000000"/>
        </w:rPr>
        <w:t>metasta</w:t>
      </w:r>
      <w:r w:rsidR="00F33CDD" w:rsidRPr="00381DC2">
        <w:rPr>
          <w:color w:val="000000"/>
        </w:rPr>
        <w:t>zujícího</w:t>
      </w:r>
      <w:r w:rsidRPr="00381DC2">
        <w:rPr>
          <w:color w:val="000000"/>
        </w:rPr>
        <w:t xml:space="preserve"> kolorektálního karcinomu. Medián věku byl 64 let. 19 % pacientů podstoupilo předchozí chemoterapii a 14 % předchozí radioterapii. </w:t>
      </w:r>
      <w:r w:rsidR="006D30D0" w:rsidRPr="00381DC2">
        <w:rPr>
          <w:color w:val="000000"/>
        </w:rPr>
        <w:t xml:space="preserve">Sedmdesát jedna </w:t>
      </w:r>
      <w:r w:rsidRPr="00381DC2">
        <w:rPr>
          <w:color w:val="000000"/>
        </w:rPr>
        <w:t xml:space="preserve">pacientů bylo randomizováno </w:t>
      </w:r>
      <w:r w:rsidR="006D30D0" w:rsidRPr="00381DC2">
        <w:rPr>
          <w:color w:val="000000"/>
        </w:rPr>
        <w:t xml:space="preserve">k podávání </w:t>
      </w:r>
      <w:r w:rsidRPr="00381DC2">
        <w:rPr>
          <w:color w:val="000000"/>
        </w:rPr>
        <w:t>5-FU/FA ve formě bolusu, nebo 5-FU/FA + bevacizumab</w:t>
      </w:r>
      <w:r w:rsidR="006D30D0" w:rsidRPr="00381DC2">
        <w:rPr>
          <w:color w:val="000000"/>
        </w:rPr>
        <w:t>u</w:t>
      </w:r>
      <w:r w:rsidRPr="00381DC2">
        <w:rPr>
          <w:color w:val="000000"/>
        </w:rPr>
        <w:t xml:space="preserve"> (5 mg/kg </w:t>
      </w:r>
      <w:r w:rsidR="00D63038" w:rsidRPr="00381DC2">
        <w:rPr>
          <w:color w:val="000000"/>
        </w:rPr>
        <w:t xml:space="preserve">každé </w:t>
      </w:r>
      <w:r w:rsidRPr="00381DC2">
        <w:rPr>
          <w:color w:val="000000"/>
        </w:rPr>
        <w:t xml:space="preserve">2 týdny). Třetí skupina 33 pacientů </w:t>
      </w:r>
      <w:r w:rsidR="006D30D0" w:rsidRPr="00381DC2">
        <w:rPr>
          <w:color w:val="000000"/>
        </w:rPr>
        <w:t xml:space="preserve">dostávala </w:t>
      </w:r>
      <w:r w:rsidRPr="00381DC2">
        <w:rPr>
          <w:color w:val="000000"/>
        </w:rPr>
        <w:t xml:space="preserve">5-FU/FA ve formě bolusu + bevacizumab (10 mg/kg </w:t>
      </w:r>
      <w:r w:rsidR="00D63038" w:rsidRPr="00381DC2">
        <w:rPr>
          <w:color w:val="000000"/>
        </w:rPr>
        <w:t xml:space="preserve">každé </w:t>
      </w:r>
      <w:r w:rsidRPr="00381DC2">
        <w:rPr>
          <w:color w:val="000000"/>
        </w:rPr>
        <w:t xml:space="preserve">2 týdny). Pacienti byli léčeni až do progrese onemocnění. Primárními cílovými parametry studie byly četnost objektivních odpovědí na léčbu a přežití bez progrese. Přidání 5 mg/kg bevacizumabu </w:t>
      </w:r>
      <w:r w:rsidR="00D63038" w:rsidRPr="00381DC2">
        <w:rPr>
          <w:color w:val="000000"/>
        </w:rPr>
        <w:t xml:space="preserve">každé </w:t>
      </w:r>
      <w:r w:rsidRPr="00381DC2">
        <w:rPr>
          <w:color w:val="000000"/>
        </w:rPr>
        <w:t>dva týdny k 5-FU/FA mělo za následek vyšší četnost objektivních odpovědí na léčbu, delší dobu přežití bez progrese a trend k </w:t>
      </w:r>
      <w:r w:rsidR="00526D85" w:rsidRPr="00381DC2">
        <w:rPr>
          <w:color w:val="000000"/>
        </w:rPr>
        <w:t xml:space="preserve">delšímu </w:t>
      </w:r>
      <w:r w:rsidRPr="00381DC2">
        <w:rPr>
          <w:color w:val="000000"/>
        </w:rPr>
        <w:t xml:space="preserve">přežití v porovnání se samotnou chemoterapií 5-FU/FA (viz </w:t>
      </w:r>
      <w:r w:rsidR="005E6C8E" w:rsidRPr="00381DC2">
        <w:rPr>
          <w:color w:val="000000"/>
        </w:rPr>
        <w:t>t</w:t>
      </w:r>
      <w:r w:rsidRPr="00381DC2">
        <w:rPr>
          <w:color w:val="000000"/>
        </w:rPr>
        <w:t>abulka 5). Tyto výsledky týkající se účinnosti odpovídají výsledkům získaným z hodnocení AVF2107g.</w:t>
      </w:r>
    </w:p>
    <w:p w14:paraId="743B4FC7" w14:textId="77777777" w:rsidR="00D15122" w:rsidRPr="00F60460" w:rsidRDefault="00D15122" w:rsidP="007F6E1B">
      <w:pPr>
        <w:rPr>
          <w:rFonts w:ascii="Times New Roman" w:eastAsia="Times New Roman" w:hAnsi="Times New Roman"/>
          <w:color w:val="000000"/>
          <w:sz w:val="21"/>
          <w:szCs w:val="21"/>
        </w:rPr>
      </w:pPr>
    </w:p>
    <w:p w14:paraId="22707B4F" w14:textId="77777777" w:rsidR="00D15122" w:rsidRPr="00381DC2" w:rsidRDefault="009B0756" w:rsidP="007F6E1B">
      <w:pPr>
        <w:pStyle w:val="BodyText"/>
        <w:ind w:left="0" w:right="458"/>
        <w:rPr>
          <w:color w:val="000000"/>
        </w:rPr>
      </w:pPr>
      <w:r w:rsidRPr="00381DC2">
        <w:rPr>
          <w:color w:val="000000"/>
        </w:rPr>
        <w:t xml:space="preserve">Výsledky týkající se účinnosti zjištěné v rámci hodnocení AVF0780g a AVF2192g </w:t>
      </w:r>
      <w:r w:rsidR="008B4FB1" w:rsidRPr="00381DC2">
        <w:rPr>
          <w:color w:val="000000"/>
        </w:rPr>
        <w:t xml:space="preserve">hodnotící </w:t>
      </w:r>
      <w:r w:rsidRPr="00381DC2">
        <w:rPr>
          <w:color w:val="000000"/>
        </w:rPr>
        <w:t>bevacizumab v kombinaci s chemoterapií 5-FU/FA jsou shrnuty v </w:t>
      </w:r>
      <w:r w:rsidR="005E6C8E" w:rsidRPr="00381DC2">
        <w:rPr>
          <w:color w:val="000000"/>
        </w:rPr>
        <w:t>t</w:t>
      </w:r>
      <w:r w:rsidRPr="00381DC2">
        <w:rPr>
          <w:color w:val="000000"/>
        </w:rPr>
        <w:t>abulce 5.</w:t>
      </w:r>
    </w:p>
    <w:p w14:paraId="50373C79" w14:textId="77777777" w:rsidR="00221EBE" w:rsidRPr="00381DC2" w:rsidRDefault="00221EBE" w:rsidP="005D48D1">
      <w:pPr>
        <w:rPr>
          <w:rFonts w:ascii="Times New Roman" w:eastAsia="Times New Roman" w:hAnsi="Times New Roman"/>
          <w:b/>
          <w:color w:val="000000"/>
        </w:rPr>
      </w:pPr>
    </w:p>
    <w:p w14:paraId="7217BF54" w14:textId="77777777" w:rsidR="00D15122" w:rsidRPr="00381DC2" w:rsidRDefault="009B0756" w:rsidP="002B0DE8">
      <w:pPr>
        <w:keepNext/>
        <w:keepLines/>
        <w:rPr>
          <w:rFonts w:ascii="Times New Roman" w:eastAsia="Times New Roman" w:hAnsi="Times New Roman"/>
          <w:b/>
          <w:color w:val="000000"/>
        </w:rPr>
      </w:pPr>
      <w:r w:rsidRPr="00381DC2">
        <w:rPr>
          <w:rFonts w:ascii="Times New Roman" w:eastAsia="Times New Roman" w:hAnsi="Times New Roman"/>
          <w:b/>
          <w:color w:val="000000"/>
        </w:rPr>
        <w:lastRenderedPageBreak/>
        <w:t>Tabulka 5</w:t>
      </w:r>
      <w:r w:rsidRPr="00381DC2">
        <w:rPr>
          <w:rFonts w:ascii="Times New Roman" w:eastAsia="Times New Roman" w:hAnsi="Times New Roman"/>
          <w:b/>
          <w:color w:val="000000"/>
        </w:rPr>
        <w:tab/>
        <w:t>Výsledky účinnosti v</w:t>
      </w:r>
      <w:r w:rsidR="005C0EB0" w:rsidRPr="00381DC2">
        <w:rPr>
          <w:rFonts w:ascii="Times New Roman" w:eastAsia="Times New Roman" w:hAnsi="Times New Roman"/>
          <w:b/>
          <w:color w:val="000000"/>
        </w:rPr>
        <w:t>e studiích</w:t>
      </w:r>
      <w:r w:rsidRPr="00381DC2">
        <w:rPr>
          <w:rFonts w:ascii="Times New Roman" w:eastAsia="Times New Roman" w:hAnsi="Times New Roman"/>
          <w:b/>
          <w:color w:val="000000"/>
        </w:rPr>
        <w:t xml:space="preserve"> AVF0780g a AVF2192g</w:t>
      </w:r>
    </w:p>
    <w:p w14:paraId="1413DD66" w14:textId="77777777" w:rsidR="00D15122" w:rsidRPr="00F60460" w:rsidRDefault="00D15122" w:rsidP="007F6E1B">
      <w:pPr>
        <w:keepNext/>
        <w:rPr>
          <w:rFonts w:ascii="Times New Roman" w:eastAsia="Times New Roman" w:hAnsi="Times New Roman"/>
          <w:bCs/>
          <w:color w:val="000000"/>
          <w:sz w:val="20"/>
          <w:szCs w:val="20"/>
        </w:rPr>
      </w:pPr>
    </w:p>
    <w:tbl>
      <w:tblPr>
        <w:tblW w:w="9211" w:type="dxa"/>
        <w:tblInd w:w="6" w:type="dxa"/>
        <w:tblLayout w:type="fixed"/>
        <w:tblCellMar>
          <w:left w:w="0" w:type="dxa"/>
          <w:right w:w="0" w:type="dxa"/>
        </w:tblCellMar>
        <w:tblLook w:val="01E0" w:firstRow="1" w:lastRow="1" w:firstColumn="1" w:lastColumn="1" w:noHBand="0" w:noVBand="0"/>
      </w:tblPr>
      <w:tblGrid>
        <w:gridCol w:w="2791"/>
        <w:gridCol w:w="1284"/>
        <w:gridCol w:w="1284"/>
        <w:gridCol w:w="1284"/>
        <w:gridCol w:w="1284"/>
        <w:gridCol w:w="1284"/>
      </w:tblGrid>
      <w:tr w:rsidR="00D15122" w:rsidRPr="00F60460" w14:paraId="1AEA84B7" w14:textId="77777777" w:rsidTr="006A2145">
        <w:trPr>
          <w:tblHeader/>
        </w:trPr>
        <w:tc>
          <w:tcPr>
            <w:tcW w:w="2791" w:type="dxa"/>
            <w:vMerge w:val="restart"/>
            <w:tcBorders>
              <w:top w:val="single" w:sz="5" w:space="0" w:color="000000"/>
              <w:left w:val="single" w:sz="5" w:space="0" w:color="000000"/>
              <w:right w:val="single" w:sz="5" w:space="0" w:color="000000"/>
            </w:tcBorders>
          </w:tcPr>
          <w:p w14:paraId="59214A79" w14:textId="77777777" w:rsidR="00D15122" w:rsidRPr="00381DC2" w:rsidRDefault="00D15122" w:rsidP="007F6E1B">
            <w:pPr>
              <w:keepNext/>
              <w:rPr>
                <w:rFonts w:ascii="Times New Roman" w:hAnsi="Times New Roman"/>
                <w:color w:val="000000"/>
              </w:rPr>
            </w:pPr>
          </w:p>
        </w:tc>
        <w:tc>
          <w:tcPr>
            <w:tcW w:w="3852" w:type="dxa"/>
            <w:gridSpan w:val="3"/>
            <w:tcBorders>
              <w:top w:val="single" w:sz="5" w:space="0" w:color="000000"/>
              <w:left w:val="single" w:sz="5" w:space="0" w:color="000000"/>
              <w:bottom w:val="single" w:sz="5" w:space="0" w:color="000000"/>
              <w:right w:val="single" w:sz="5" w:space="0" w:color="000000"/>
            </w:tcBorders>
          </w:tcPr>
          <w:p w14:paraId="6D32FB8A" w14:textId="77777777" w:rsidR="00D15122" w:rsidRPr="00381DC2" w:rsidRDefault="009B0756" w:rsidP="007F6E1B">
            <w:pPr>
              <w:pStyle w:val="TableParagraph"/>
              <w:keepNext/>
              <w:jc w:val="center"/>
              <w:rPr>
                <w:rFonts w:ascii="Times New Roman" w:eastAsia="Times New Roman" w:hAnsi="Times New Roman"/>
                <w:color w:val="000000"/>
              </w:rPr>
            </w:pPr>
            <w:r w:rsidRPr="00381DC2">
              <w:rPr>
                <w:rFonts w:ascii="Times New Roman" w:hAnsi="Times New Roman"/>
                <w:color w:val="000000"/>
              </w:rPr>
              <w:t>AVF0780g</w:t>
            </w:r>
          </w:p>
        </w:tc>
        <w:tc>
          <w:tcPr>
            <w:tcW w:w="2568" w:type="dxa"/>
            <w:gridSpan w:val="2"/>
            <w:tcBorders>
              <w:top w:val="single" w:sz="5" w:space="0" w:color="000000"/>
              <w:left w:val="single" w:sz="5" w:space="0" w:color="000000"/>
              <w:bottom w:val="single" w:sz="5" w:space="0" w:color="000000"/>
              <w:right w:val="single" w:sz="5" w:space="0" w:color="000000"/>
            </w:tcBorders>
          </w:tcPr>
          <w:p w14:paraId="57E8D970" w14:textId="77777777" w:rsidR="00D15122" w:rsidRPr="00381DC2" w:rsidRDefault="009B0756" w:rsidP="007F6E1B">
            <w:pPr>
              <w:pStyle w:val="TableParagraph"/>
              <w:keepNext/>
              <w:rPr>
                <w:rFonts w:ascii="Times New Roman" w:eastAsia="Times New Roman" w:hAnsi="Times New Roman"/>
                <w:color w:val="000000"/>
              </w:rPr>
            </w:pPr>
            <w:r w:rsidRPr="00381DC2">
              <w:rPr>
                <w:rFonts w:ascii="Times New Roman" w:hAnsi="Times New Roman"/>
                <w:color w:val="000000"/>
              </w:rPr>
              <w:t>AVF2192g</w:t>
            </w:r>
          </w:p>
        </w:tc>
      </w:tr>
      <w:tr w:rsidR="00D15122" w:rsidRPr="00F60460" w14:paraId="6F00428B" w14:textId="77777777" w:rsidTr="006A2145">
        <w:trPr>
          <w:tblHeader/>
        </w:trPr>
        <w:tc>
          <w:tcPr>
            <w:tcW w:w="2791" w:type="dxa"/>
            <w:vMerge/>
            <w:tcBorders>
              <w:left w:val="single" w:sz="5" w:space="0" w:color="000000"/>
              <w:bottom w:val="single" w:sz="5" w:space="0" w:color="000000"/>
              <w:right w:val="single" w:sz="5" w:space="0" w:color="000000"/>
            </w:tcBorders>
          </w:tcPr>
          <w:p w14:paraId="31F230F4" w14:textId="77777777" w:rsidR="00D15122" w:rsidRPr="00381DC2" w:rsidRDefault="00D15122" w:rsidP="007F6E1B">
            <w:pPr>
              <w:keepNext/>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vAlign w:val="center"/>
          </w:tcPr>
          <w:p w14:paraId="334CDDA1" w14:textId="77777777" w:rsidR="00D15122" w:rsidRPr="00F60460" w:rsidRDefault="00D15122" w:rsidP="00C0667E">
            <w:pPr>
              <w:pStyle w:val="TableParagraph"/>
              <w:keepNext/>
              <w:jc w:val="center"/>
              <w:rPr>
                <w:rFonts w:ascii="Times New Roman" w:eastAsia="Times New Roman" w:hAnsi="Times New Roman"/>
                <w:bCs/>
                <w:color w:val="000000"/>
                <w:sz w:val="20"/>
                <w:szCs w:val="20"/>
              </w:rPr>
            </w:pPr>
          </w:p>
          <w:p w14:paraId="26DF2CED" w14:textId="77777777" w:rsidR="00D15122" w:rsidRPr="00381DC2" w:rsidRDefault="009B0756" w:rsidP="00C0667E">
            <w:pPr>
              <w:pStyle w:val="TableParagraph"/>
              <w:keepNext/>
              <w:jc w:val="center"/>
              <w:rPr>
                <w:rFonts w:ascii="Times New Roman" w:eastAsia="Times New Roman" w:hAnsi="Times New Roman"/>
                <w:color w:val="000000"/>
              </w:rPr>
            </w:pPr>
            <w:r w:rsidRPr="00381DC2">
              <w:rPr>
                <w:rFonts w:ascii="Times New Roman" w:hAnsi="Times New Roman"/>
                <w:color w:val="000000"/>
              </w:rPr>
              <w:t>5-FU/FA</w:t>
            </w:r>
          </w:p>
        </w:tc>
        <w:tc>
          <w:tcPr>
            <w:tcW w:w="1284" w:type="dxa"/>
            <w:tcBorders>
              <w:top w:val="single" w:sz="5" w:space="0" w:color="000000"/>
              <w:left w:val="single" w:sz="5" w:space="0" w:color="000000"/>
              <w:bottom w:val="single" w:sz="5" w:space="0" w:color="000000"/>
              <w:right w:val="single" w:sz="5" w:space="0" w:color="000000"/>
            </w:tcBorders>
            <w:vAlign w:val="center"/>
          </w:tcPr>
          <w:p w14:paraId="5ACB45DB" w14:textId="77777777" w:rsidR="00D15122" w:rsidRPr="00381DC2" w:rsidRDefault="009B0756" w:rsidP="00C0667E">
            <w:pPr>
              <w:pStyle w:val="TableParagraph"/>
              <w:keepNext/>
              <w:spacing w:line="257" w:lineRule="exact"/>
              <w:ind w:right="2"/>
              <w:jc w:val="center"/>
              <w:rPr>
                <w:rFonts w:ascii="Times New Roman" w:eastAsia="Symbol" w:hAnsi="Times New Roman"/>
                <w:color w:val="000000"/>
              </w:rPr>
            </w:pPr>
            <w:r w:rsidRPr="00381DC2">
              <w:rPr>
                <w:rFonts w:ascii="Times New Roman" w:hAnsi="Times New Roman"/>
                <w:color w:val="000000"/>
              </w:rPr>
              <w:t>5-FU/FA +</w:t>
            </w:r>
          </w:p>
          <w:p w14:paraId="4343C085" w14:textId="77777777" w:rsidR="00D15122" w:rsidRPr="00F60460" w:rsidRDefault="00022607" w:rsidP="00022607">
            <w:pPr>
              <w:pStyle w:val="TableParagraph"/>
              <w:keepNext/>
              <w:spacing w:line="266" w:lineRule="exact"/>
              <w:jc w:val="center"/>
              <w:rPr>
                <w:rFonts w:ascii="Times New Roman" w:eastAsia="Times New Roman" w:hAnsi="Times New Roman"/>
                <w:color w:val="000000"/>
                <w:sz w:val="14"/>
                <w:szCs w:val="14"/>
              </w:rPr>
            </w:pPr>
            <w:r w:rsidRPr="00381DC2">
              <w:rPr>
                <w:rFonts w:ascii="Times New Roman" w:hAnsi="Times New Roman"/>
                <w:color w:val="000000"/>
              </w:rPr>
              <w:t>bevacizumab</w:t>
            </w:r>
            <w:r w:rsidRPr="00381DC2">
              <w:rPr>
                <w:rFonts w:ascii="Times New Roman" w:hAnsi="Times New Roman"/>
                <w:color w:val="000000"/>
                <w:vertAlign w:val="superscript"/>
              </w:rPr>
              <w:t>a</w:t>
            </w:r>
          </w:p>
        </w:tc>
        <w:tc>
          <w:tcPr>
            <w:tcW w:w="1284" w:type="dxa"/>
            <w:tcBorders>
              <w:top w:val="single" w:sz="5" w:space="0" w:color="000000"/>
              <w:left w:val="single" w:sz="5" w:space="0" w:color="000000"/>
              <w:bottom w:val="single" w:sz="5" w:space="0" w:color="000000"/>
              <w:right w:val="single" w:sz="5" w:space="0" w:color="000000"/>
            </w:tcBorders>
            <w:vAlign w:val="center"/>
          </w:tcPr>
          <w:p w14:paraId="193D7F9E" w14:textId="77777777" w:rsidR="00D15122" w:rsidRPr="00381DC2" w:rsidRDefault="009B0756" w:rsidP="00C0667E">
            <w:pPr>
              <w:pStyle w:val="TableParagraph"/>
              <w:keepNext/>
              <w:spacing w:line="257" w:lineRule="exact"/>
              <w:ind w:right="1"/>
              <w:jc w:val="center"/>
              <w:rPr>
                <w:rFonts w:ascii="Times New Roman" w:eastAsia="Symbol" w:hAnsi="Times New Roman"/>
                <w:color w:val="000000"/>
              </w:rPr>
            </w:pPr>
            <w:r w:rsidRPr="00381DC2">
              <w:rPr>
                <w:rFonts w:ascii="Times New Roman" w:hAnsi="Times New Roman"/>
                <w:color w:val="000000"/>
              </w:rPr>
              <w:t>5-FU/FA +</w:t>
            </w:r>
          </w:p>
          <w:p w14:paraId="675586F2" w14:textId="77777777" w:rsidR="00D15122" w:rsidRPr="00F60460" w:rsidRDefault="00022607" w:rsidP="00022607">
            <w:pPr>
              <w:pStyle w:val="TableParagraph"/>
              <w:keepNext/>
              <w:spacing w:line="266" w:lineRule="exact"/>
              <w:jc w:val="center"/>
              <w:rPr>
                <w:rFonts w:ascii="Times New Roman" w:eastAsia="Times New Roman" w:hAnsi="Times New Roman"/>
                <w:color w:val="000000"/>
                <w:sz w:val="14"/>
                <w:szCs w:val="14"/>
              </w:rPr>
            </w:pPr>
            <w:r w:rsidRPr="00381DC2">
              <w:rPr>
                <w:rFonts w:ascii="Times New Roman" w:hAnsi="Times New Roman"/>
                <w:color w:val="000000"/>
              </w:rPr>
              <w:t>bevacizumab</w:t>
            </w:r>
            <w:r w:rsidRPr="00381DC2">
              <w:rPr>
                <w:rFonts w:ascii="Times New Roman" w:hAnsi="Times New Roman"/>
                <w:color w:val="000000"/>
                <w:vertAlign w:val="superscript"/>
              </w:rPr>
              <w:t>b</w:t>
            </w:r>
          </w:p>
        </w:tc>
        <w:tc>
          <w:tcPr>
            <w:tcW w:w="1284" w:type="dxa"/>
            <w:tcBorders>
              <w:top w:val="single" w:sz="5" w:space="0" w:color="000000"/>
              <w:left w:val="single" w:sz="5" w:space="0" w:color="000000"/>
              <w:bottom w:val="single" w:sz="5" w:space="0" w:color="000000"/>
              <w:right w:val="single" w:sz="5" w:space="0" w:color="000000"/>
            </w:tcBorders>
            <w:vAlign w:val="center"/>
          </w:tcPr>
          <w:p w14:paraId="5726D4BE" w14:textId="77777777" w:rsidR="00D15122" w:rsidRPr="00381DC2" w:rsidRDefault="009B0756" w:rsidP="00C0667E">
            <w:pPr>
              <w:pStyle w:val="TableParagraph"/>
              <w:keepNext/>
              <w:jc w:val="center"/>
              <w:rPr>
                <w:rFonts w:ascii="Times New Roman" w:eastAsia="Times New Roman" w:hAnsi="Times New Roman"/>
                <w:color w:val="000000"/>
              </w:rPr>
            </w:pPr>
            <w:r w:rsidRPr="00381DC2">
              <w:rPr>
                <w:rFonts w:ascii="Times New Roman" w:hAnsi="Times New Roman"/>
                <w:color w:val="000000"/>
              </w:rPr>
              <w:t>5-FU/FA +</w:t>
            </w:r>
          </w:p>
          <w:p w14:paraId="07BC6D45" w14:textId="77777777" w:rsidR="00D15122" w:rsidRPr="00381DC2" w:rsidRDefault="009B0756" w:rsidP="00C0667E">
            <w:pPr>
              <w:pStyle w:val="TableParagraph"/>
              <w:keepNext/>
              <w:jc w:val="center"/>
              <w:rPr>
                <w:rFonts w:ascii="Times New Roman" w:eastAsia="Times New Roman" w:hAnsi="Times New Roman"/>
                <w:color w:val="000000"/>
              </w:rPr>
            </w:pPr>
            <w:r w:rsidRPr="00381DC2">
              <w:rPr>
                <w:rFonts w:ascii="Times New Roman" w:hAnsi="Times New Roman"/>
                <w:color w:val="000000"/>
              </w:rPr>
              <w:t>placebo</w:t>
            </w:r>
          </w:p>
        </w:tc>
        <w:tc>
          <w:tcPr>
            <w:tcW w:w="1284" w:type="dxa"/>
            <w:tcBorders>
              <w:top w:val="single" w:sz="5" w:space="0" w:color="000000"/>
              <w:left w:val="single" w:sz="5" w:space="0" w:color="000000"/>
              <w:bottom w:val="single" w:sz="5" w:space="0" w:color="000000"/>
              <w:right w:val="single" w:sz="5" w:space="0" w:color="000000"/>
            </w:tcBorders>
            <w:vAlign w:val="center"/>
          </w:tcPr>
          <w:p w14:paraId="62B8A749" w14:textId="77777777" w:rsidR="00D15122" w:rsidRPr="00381DC2" w:rsidRDefault="009B0756" w:rsidP="00C0667E">
            <w:pPr>
              <w:pStyle w:val="TableParagraph"/>
              <w:keepNext/>
              <w:jc w:val="center"/>
              <w:rPr>
                <w:rFonts w:ascii="Times New Roman" w:eastAsia="Times New Roman" w:hAnsi="Times New Roman"/>
                <w:color w:val="000000"/>
              </w:rPr>
            </w:pPr>
            <w:r w:rsidRPr="00381DC2">
              <w:rPr>
                <w:rFonts w:ascii="Times New Roman" w:hAnsi="Times New Roman"/>
                <w:color w:val="000000"/>
              </w:rPr>
              <w:t>5-FU/FA +</w:t>
            </w:r>
          </w:p>
          <w:p w14:paraId="60F696B3" w14:textId="77777777" w:rsidR="00D15122" w:rsidRPr="00381DC2" w:rsidRDefault="00022607" w:rsidP="00022607">
            <w:pPr>
              <w:pStyle w:val="TableParagraph"/>
              <w:keepNext/>
              <w:jc w:val="center"/>
              <w:rPr>
                <w:rFonts w:ascii="Times New Roman" w:eastAsia="Times New Roman" w:hAnsi="Times New Roman"/>
                <w:color w:val="000000"/>
              </w:rPr>
            </w:pPr>
            <w:r w:rsidRPr="00381DC2">
              <w:rPr>
                <w:rFonts w:ascii="Times New Roman" w:hAnsi="Times New Roman"/>
                <w:color w:val="000000"/>
              </w:rPr>
              <w:t>bevacizumab</w:t>
            </w:r>
          </w:p>
        </w:tc>
      </w:tr>
      <w:tr w:rsidR="00D15122" w:rsidRPr="00F60460" w14:paraId="1A84B827" w14:textId="77777777" w:rsidTr="006A2145">
        <w:tc>
          <w:tcPr>
            <w:tcW w:w="2791" w:type="dxa"/>
            <w:tcBorders>
              <w:top w:val="single" w:sz="5" w:space="0" w:color="000000"/>
              <w:left w:val="single" w:sz="5" w:space="0" w:color="000000"/>
              <w:bottom w:val="single" w:sz="5" w:space="0" w:color="000000"/>
              <w:right w:val="single" w:sz="5" w:space="0" w:color="000000"/>
            </w:tcBorders>
          </w:tcPr>
          <w:p w14:paraId="7805AF73" w14:textId="77777777" w:rsidR="00D15122" w:rsidRPr="00381DC2" w:rsidRDefault="009B0756" w:rsidP="007F6E1B">
            <w:pPr>
              <w:pStyle w:val="TableParagraph"/>
              <w:keepNext/>
              <w:rPr>
                <w:rFonts w:ascii="Times New Roman" w:eastAsia="Times New Roman" w:hAnsi="Times New Roman"/>
                <w:color w:val="000000"/>
              </w:rPr>
            </w:pPr>
            <w:r w:rsidRPr="00381DC2">
              <w:rPr>
                <w:rFonts w:ascii="Times New Roman" w:hAnsi="Times New Roman"/>
                <w:color w:val="000000"/>
              </w:rPr>
              <w:t>Počet pacientů</w:t>
            </w:r>
          </w:p>
        </w:tc>
        <w:tc>
          <w:tcPr>
            <w:tcW w:w="1284" w:type="dxa"/>
            <w:tcBorders>
              <w:top w:val="single" w:sz="5" w:space="0" w:color="000000"/>
              <w:left w:val="single" w:sz="5" w:space="0" w:color="000000"/>
              <w:bottom w:val="single" w:sz="5" w:space="0" w:color="000000"/>
              <w:right w:val="single" w:sz="5" w:space="0" w:color="000000"/>
            </w:tcBorders>
          </w:tcPr>
          <w:p w14:paraId="0D28D0C8" w14:textId="77777777" w:rsidR="00D15122" w:rsidRPr="00381DC2" w:rsidRDefault="009B0756" w:rsidP="007F6E1B">
            <w:pPr>
              <w:pStyle w:val="TableParagraph"/>
              <w:keepNext/>
              <w:jc w:val="center"/>
              <w:rPr>
                <w:rFonts w:ascii="Times New Roman" w:eastAsia="Times New Roman" w:hAnsi="Times New Roman"/>
                <w:color w:val="000000"/>
              </w:rPr>
            </w:pPr>
            <w:r w:rsidRPr="00381DC2">
              <w:rPr>
                <w:rFonts w:ascii="Times New Roman" w:hAnsi="Times New Roman"/>
                <w:color w:val="000000"/>
              </w:rPr>
              <w:t>36</w:t>
            </w:r>
          </w:p>
        </w:tc>
        <w:tc>
          <w:tcPr>
            <w:tcW w:w="1284" w:type="dxa"/>
            <w:tcBorders>
              <w:top w:val="single" w:sz="5" w:space="0" w:color="000000"/>
              <w:left w:val="single" w:sz="5" w:space="0" w:color="000000"/>
              <w:bottom w:val="single" w:sz="5" w:space="0" w:color="000000"/>
              <w:right w:val="single" w:sz="5" w:space="0" w:color="000000"/>
            </w:tcBorders>
          </w:tcPr>
          <w:p w14:paraId="71DE41D3" w14:textId="77777777" w:rsidR="00D15122" w:rsidRPr="00381DC2" w:rsidRDefault="009B0756" w:rsidP="007F6E1B">
            <w:pPr>
              <w:pStyle w:val="TableParagraph"/>
              <w:keepNext/>
              <w:jc w:val="center"/>
              <w:rPr>
                <w:rFonts w:ascii="Times New Roman" w:eastAsia="Times New Roman" w:hAnsi="Times New Roman"/>
                <w:color w:val="000000"/>
              </w:rPr>
            </w:pPr>
            <w:r w:rsidRPr="00381DC2">
              <w:rPr>
                <w:rFonts w:ascii="Times New Roman" w:hAnsi="Times New Roman"/>
                <w:color w:val="000000"/>
              </w:rPr>
              <w:t>35</w:t>
            </w:r>
          </w:p>
        </w:tc>
        <w:tc>
          <w:tcPr>
            <w:tcW w:w="1284" w:type="dxa"/>
            <w:tcBorders>
              <w:top w:val="single" w:sz="5" w:space="0" w:color="000000"/>
              <w:left w:val="single" w:sz="5" w:space="0" w:color="000000"/>
              <w:bottom w:val="single" w:sz="5" w:space="0" w:color="000000"/>
              <w:right w:val="single" w:sz="5" w:space="0" w:color="000000"/>
            </w:tcBorders>
          </w:tcPr>
          <w:p w14:paraId="76902C31" w14:textId="77777777" w:rsidR="00D15122" w:rsidRPr="00381DC2" w:rsidRDefault="009B0756" w:rsidP="007F6E1B">
            <w:pPr>
              <w:pStyle w:val="TableParagraph"/>
              <w:keepNext/>
              <w:jc w:val="center"/>
              <w:rPr>
                <w:rFonts w:ascii="Times New Roman" w:eastAsia="Times New Roman" w:hAnsi="Times New Roman"/>
                <w:color w:val="000000"/>
              </w:rPr>
            </w:pPr>
            <w:r w:rsidRPr="00381DC2">
              <w:rPr>
                <w:rFonts w:ascii="Times New Roman" w:hAnsi="Times New Roman"/>
                <w:color w:val="000000"/>
              </w:rPr>
              <w:t>33</w:t>
            </w:r>
          </w:p>
        </w:tc>
        <w:tc>
          <w:tcPr>
            <w:tcW w:w="1284" w:type="dxa"/>
            <w:tcBorders>
              <w:top w:val="single" w:sz="5" w:space="0" w:color="000000"/>
              <w:left w:val="single" w:sz="5" w:space="0" w:color="000000"/>
              <w:bottom w:val="single" w:sz="5" w:space="0" w:color="000000"/>
              <w:right w:val="single" w:sz="5" w:space="0" w:color="000000"/>
            </w:tcBorders>
          </w:tcPr>
          <w:p w14:paraId="13FC4D6A" w14:textId="77777777" w:rsidR="00D15122" w:rsidRPr="00381DC2" w:rsidRDefault="009B0756" w:rsidP="007F6E1B">
            <w:pPr>
              <w:pStyle w:val="TableParagraph"/>
              <w:keepNext/>
              <w:jc w:val="center"/>
              <w:rPr>
                <w:rFonts w:ascii="Times New Roman" w:eastAsia="Times New Roman" w:hAnsi="Times New Roman"/>
                <w:color w:val="000000"/>
              </w:rPr>
            </w:pPr>
            <w:r w:rsidRPr="00381DC2">
              <w:rPr>
                <w:rFonts w:ascii="Times New Roman" w:hAnsi="Times New Roman"/>
                <w:color w:val="000000"/>
              </w:rPr>
              <w:t>105</w:t>
            </w:r>
          </w:p>
        </w:tc>
        <w:tc>
          <w:tcPr>
            <w:tcW w:w="1284" w:type="dxa"/>
            <w:tcBorders>
              <w:top w:val="single" w:sz="5" w:space="0" w:color="000000"/>
              <w:left w:val="single" w:sz="5" w:space="0" w:color="000000"/>
              <w:bottom w:val="single" w:sz="5" w:space="0" w:color="000000"/>
              <w:right w:val="single" w:sz="5" w:space="0" w:color="000000"/>
            </w:tcBorders>
          </w:tcPr>
          <w:p w14:paraId="5132877D" w14:textId="77777777" w:rsidR="00D15122" w:rsidRPr="00381DC2" w:rsidRDefault="009B0756" w:rsidP="007F6E1B">
            <w:pPr>
              <w:pStyle w:val="TableParagraph"/>
              <w:keepNext/>
              <w:jc w:val="center"/>
              <w:rPr>
                <w:rFonts w:ascii="Times New Roman" w:eastAsia="Times New Roman" w:hAnsi="Times New Roman"/>
                <w:color w:val="000000"/>
              </w:rPr>
            </w:pPr>
            <w:r w:rsidRPr="00381DC2">
              <w:rPr>
                <w:rFonts w:ascii="Times New Roman" w:hAnsi="Times New Roman"/>
                <w:color w:val="000000"/>
              </w:rPr>
              <w:t>104</w:t>
            </w:r>
          </w:p>
        </w:tc>
      </w:tr>
      <w:tr w:rsidR="00D15122" w:rsidRPr="00F60460" w14:paraId="4BC3923F" w14:textId="77777777" w:rsidTr="006A2145">
        <w:tc>
          <w:tcPr>
            <w:tcW w:w="9211" w:type="dxa"/>
            <w:gridSpan w:val="6"/>
            <w:tcBorders>
              <w:top w:val="single" w:sz="5" w:space="0" w:color="000000"/>
              <w:left w:val="single" w:sz="5" w:space="0" w:color="000000"/>
              <w:bottom w:val="single" w:sz="5" w:space="0" w:color="000000"/>
              <w:right w:val="single" w:sz="5" w:space="0" w:color="000000"/>
            </w:tcBorders>
          </w:tcPr>
          <w:p w14:paraId="70997FAA" w14:textId="77777777" w:rsidR="00D15122" w:rsidRPr="00381DC2" w:rsidRDefault="009B0756" w:rsidP="007F6E1B">
            <w:pPr>
              <w:pStyle w:val="TableParagraph"/>
              <w:keepNext/>
              <w:rPr>
                <w:rFonts w:ascii="Times New Roman" w:eastAsia="Times New Roman" w:hAnsi="Times New Roman"/>
                <w:color w:val="000000"/>
              </w:rPr>
            </w:pPr>
            <w:r w:rsidRPr="00381DC2">
              <w:rPr>
                <w:rFonts w:ascii="Times New Roman" w:hAnsi="Times New Roman"/>
                <w:color w:val="000000"/>
              </w:rPr>
              <w:t>Celkové přežití</w:t>
            </w:r>
          </w:p>
        </w:tc>
      </w:tr>
      <w:tr w:rsidR="00D15122" w:rsidRPr="00F60460" w14:paraId="61AA5F94" w14:textId="77777777" w:rsidTr="006A2145">
        <w:tc>
          <w:tcPr>
            <w:tcW w:w="2791" w:type="dxa"/>
            <w:tcBorders>
              <w:top w:val="single" w:sz="5" w:space="0" w:color="000000"/>
              <w:left w:val="single" w:sz="5" w:space="0" w:color="000000"/>
              <w:bottom w:val="single" w:sz="5" w:space="0" w:color="000000"/>
              <w:right w:val="single" w:sz="5" w:space="0" w:color="000000"/>
            </w:tcBorders>
          </w:tcPr>
          <w:p w14:paraId="28CE4D89" w14:textId="77777777" w:rsidR="00D15122" w:rsidRPr="00381DC2" w:rsidRDefault="009B0756" w:rsidP="00835740">
            <w:pPr>
              <w:pStyle w:val="TableParagraph"/>
              <w:ind w:left="263"/>
              <w:rPr>
                <w:rFonts w:ascii="Times New Roman" w:eastAsia="Times New Roman" w:hAnsi="Times New Roman"/>
                <w:color w:val="000000"/>
              </w:rPr>
            </w:pPr>
            <w:r w:rsidRPr="00381DC2">
              <w:rPr>
                <w:rFonts w:ascii="Times New Roman" w:hAnsi="Times New Roman"/>
                <w:color w:val="000000"/>
              </w:rPr>
              <w:t>Medián doby (měsíce)</w:t>
            </w:r>
          </w:p>
        </w:tc>
        <w:tc>
          <w:tcPr>
            <w:tcW w:w="1284" w:type="dxa"/>
            <w:tcBorders>
              <w:top w:val="single" w:sz="5" w:space="0" w:color="000000"/>
              <w:left w:val="single" w:sz="5" w:space="0" w:color="000000"/>
              <w:bottom w:val="single" w:sz="5" w:space="0" w:color="000000"/>
              <w:right w:val="single" w:sz="5" w:space="0" w:color="000000"/>
            </w:tcBorders>
          </w:tcPr>
          <w:p w14:paraId="0D8141A9"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13,6</w:t>
            </w:r>
          </w:p>
        </w:tc>
        <w:tc>
          <w:tcPr>
            <w:tcW w:w="1284" w:type="dxa"/>
            <w:tcBorders>
              <w:top w:val="single" w:sz="5" w:space="0" w:color="000000"/>
              <w:left w:val="single" w:sz="5" w:space="0" w:color="000000"/>
              <w:bottom w:val="single" w:sz="5" w:space="0" w:color="000000"/>
              <w:right w:val="single" w:sz="5" w:space="0" w:color="000000"/>
            </w:tcBorders>
          </w:tcPr>
          <w:p w14:paraId="32C0AF69"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17,7</w:t>
            </w:r>
          </w:p>
        </w:tc>
        <w:tc>
          <w:tcPr>
            <w:tcW w:w="1284" w:type="dxa"/>
            <w:tcBorders>
              <w:top w:val="single" w:sz="5" w:space="0" w:color="000000"/>
              <w:left w:val="single" w:sz="5" w:space="0" w:color="000000"/>
              <w:bottom w:val="single" w:sz="5" w:space="0" w:color="000000"/>
              <w:right w:val="single" w:sz="5" w:space="0" w:color="000000"/>
            </w:tcBorders>
          </w:tcPr>
          <w:p w14:paraId="25161FC5"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5CCD8D20"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12,9</w:t>
            </w:r>
          </w:p>
        </w:tc>
        <w:tc>
          <w:tcPr>
            <w:tcW w:w="1284" w:type="dxa"/>
            <w:tcBorders>
              <w:top w:val="single" w:sz="5" w:space="0" w:color="000000"/>
              <w:left w:val="single" w:sz="5" w:space="0" w:color="000000"/>
              <w:bottom w:val="single" w:sz="5" w:space="0" w:color="000000"/>
              <w:right w:val="single" w:sz="5" w:space="0" w:color="000000"/>
            </w:tcBorders>
          </w:tcPr>
          <w:p w14:paraId="54ABE62E"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16,6</w:t>
            </w:r>
          </w:p>
        </w:tc>
      </w:tr>
      <w:tr w:rsidR="00D15122" w:rsidRPr="00F60460" w14:paraId="3F958A71" w14:textId="77777777" w:rsidTr="006A2145">
        <w:tc>
          <w:tcPr>
            <w:tcW w:w="2791" w:type="dxa"/>
            <w:tcBorders>
              <w:top w:val="single" w:sz="5" w:space="0" w:color="000000"/>
              <w:left w:val="single" w:sz="5" w:space="0" w:color="000000"/>
              <w:bottom w:val="single" w:sz="5" w:space="0" w:color="000000"/>
              <w:right w:val="single" w:sz="5" w:space="0" w:color="000000"/>
            </w:tcBorders>
          </w:tcPr>
          <w:p w14:paraId="6021AE0B" w14:textId="77777777" w:rsidR="00D15122" w:rsidRPr="00381DC2" w:rsidRDefault="009B0756" w:rsidP="00835740">
            <w:pPr>
              <w:pStyle w:val="TableParagraph"/>
              <w:ind w:left="263"/>
              <w:rPr>
                <w:rFonts w:ascii="Times New Roman" w:eastAsia="Times New Roman" w:hAnsi="Times New Roman"/>
                <w:color w:val="000000"/>
              </w:rPr>
            </w:pPr>
            <w:r w:rsidRPr="00381DC2">
              <w:rPr>
                <w:rFonts w:ascii="Times New Roman" w:hAnsi="Times New Roman"/>
                <w:color w:val="000000"/>
              </w:rPr>
              <w:t>95% CI</w:t>
            </w:r>
          </w:p>
        </w:tc>
        <w:tc>
          <w:tcPr>
            <w:tcW w:w="1284" w:type="dxa"/>
            <w:tcBorders>
              <w:top w:val="single" w:sz="5" w:space="0" w:color="000000"/>
              <w:left w:val="single" w:sz="5" w:space="0" w:color="000000"/>
              <w:bottom w:val="single" w:sz="5" w:space="0" w:color="000000"/>
              <w:right w:val="single" w:sz="5" w:space="0" w:color="000000"/>
            </w:tcBorders>
          </w:tcPr>
          <w:p w14:paraId="071ED0D0" w14:textId="77777777" w:rsidR="00D15122" w:rsidRPr="00381DC2"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43D75DB" w14:textId="77777777" w:rsidR="00D15122" w:rsidRPr="00381DC2"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4DF388A" w14:textId="77777777" w:rsidR="00D15122" w:rsidRPr="00381DC2"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288C1C8" w14:textId="77777777" w:rsidR="00D15122" w:rsidRPr="00381DC2" w:rsidRDefault="009B0756" w:rsidP="00835740">
            <w:pPr>
              <w:pStyle w:val="TableParagraph"/>
              <w:ind w:right="14" w:firstLine="100"/>
              <w:jc w:val="center"/>
              <w:rPr>
                <w:rFonts w:ascii="Times New Roman" w:eastAsia="Times New Roman" w:hAnsi="Times New Roman"/>
                <w:color w:val="000000"/>
              </w:rPr>
            </w:pPr>
            <w:r w:rsidRPr="00381DC2">
              <w:rPr>
                <w:rFonts w:ascii="Times New Roman" w:hAnsi="Times New Roman"/>
                <w:color w:val="000000"/>
              </w:rPr>
              <w:t>10,35–16,95</w:t>
            </w:r>
          </w:p>
        </w:tc>
        <w:tc>
          <w:tcPr>
            <w:tcW w:w="1284" w:type="dxa"/>
            <w:tcBorders>
              <w:top w:val="single" w:sz="5" w:space="0" w:color="000000"/>
              <w:left w:val="single" w:sz="5" w:space="0" w:color="000000"/>
              <w:bottom w:val="single" w:sz="5" w:space="0" w:color="000000"/>
              <w:right w:val="single" w:sz="5" w:space="0" w:color="000000"/>
            </w:tcBorders>
          </w:tcPr>
          <w:p w14:paraId="537EB93F" w14:textId="77777777" w:rsidR="00D15122" w:rsidRPr="00381DC2" w:rsidRDefault="009B0756" w:rsidP="00835740">
            <w:pPr>
              <w:pStyle w:val="TableParagraph"/>
              <w:ind w:right="14" w:firstLine="100"/>
              <w:jc w:val="center"/>
              <w:rPr>
                <w:rFonts w:ascii="Times New Roman" w:eastAsia="Times New Roman" w:hAnsi="Times New Roman"/>
                <w:color w:val="000000"/>
              </w:rPr>
            </w:pPr>
            <w:r w:rsidRPr="00381DC2">
              <w:rPr>
                <w:rFonts w:ascii="Times New Roman" w:hAnsi="Times New Roman"/>
                <w:color w:val="000000"/>
              </w:rPr>
              <w:t>13,63–19,32</w:t>
            </w:r>
          </w:p>
        </w:tc>
      </w:tr>
      <w:tr w:rsidR="00D15122" w:rsidRPr="00F60460" w14:paraId="50887EFA" w14:textId="77777777" w:rsidTr="006A2145">
        <w:tc>
          <w:tcPr>
            <w:tcW w:w="2791" w:type="dxa"/>
            <w:tcBorders>
              <w:top w:val="single" w:sz="5" w:space="0" w:color="000000"/>
              <w:left w:val="single" w:sz="5" w:space="0" w:color="000000"/>
              <w:bottom w:val="single" w:sz="5" w:space="0" w:color="000000"/>
              <w:right w:val="single" w:sz="5" w:space="0" w:color="000000"/>
            </w:tcBorders>
          </w:tcPr>
          <w:p w14:paraId="66ECF8C0" w14:textId="77777777" w:rsidR="00D15122" w:rsidRPr="00F60460" w:rsidRDefault="009B0756" w:rsidP="00835740">
            <w:pPr>
              <w:pStyle w:val="TableParagraph"/>
              <w:ind w:left="263"/>
              <w:rPr>
                <w:rFonts w:ascii="Times New Roman" w:eastAsia="Times New Roman" w:hAnsi="Times New Roman"/>
                <w:color w:val="000000"/>
                <w:sz w:val="14"/>
                <w:szCs w:val="14"/>
              </w:rPr>
            </w:pPr>
            <w:r w:rsidRPr="00381DC2">
              <w:rPr>
                <w:rFonts w:ascii="Times New Roman" w:hAnsi="Times New Roman"/>
                <w:color w:val="000000"/>
              </w:rPr>
              <w:t>Poměr rizik</w:t>
            </w:r>
            <w:r w:rsidRPr="00381DC2">
              <w:rPr>
                <w:rFonts w:ascii="Times New Roman" w:hAnsi="Times New Roman"/>
                <w:color w:val="000000"/>
                <w:vertAlign w:val="superscript"/>
              </w:rPr>
              <w:t>c</w:t>
            </w:r>
          </w:p>
        </w:tc>
        <w:tc>
          <w:tcPr>
            <w:tcW w:w="1284" w:type="dxa"/>
            <w:tcBorders>
              <w:top w:val="single" w:sz="5" w:space="0" w:color="000000"/>
              <w:left w:val="single" w:sz="5" w:space="0" w:color="000000"/>
              <w:bottom w:val="single" w:sz="5" w:space="0" w:color="000000"/>
              <w:right w:val="single" w:sz="5" w:space="0" w:color="000000"/>
            </w:tcBorders>
          </w:tcPr>
          <w:p w14:paraId="2C0FC694"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7441D3A9"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0,52</w:t>
            </w:r>
          </w:p>
        </w:tc>
        <w:tc>
          <w:tcPr>
            <w:tcW w:w="1284" w:type="dxa"/>
            <w:tcBorders>
              <w:top w:val="single" w:sz="5" w:space="0" w:color="000000"/>
              <w:left w:val="single" w:sz="5" w:space="0" w:color="000000"/>
              <w:bottom w:val="single" w:sz="5" w:space="0" w:color="000000"/>
              <w:right w:val="single" w:sz="5" w:space="0" w:color="000000"/>
            </w:tcBorders>
          </w:tcPr>
          <w:p w14:paraId="1C61E791"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1,01</w:t>
            </w:r>
          </w:p>
        </w:tc>
        <w:tc>
          <w:tcPr>
            <w:tcW w:w="1284" w:type="dxa"/>
            <w:tcBorders>
              <w:top w:val="single" w:sz="5" w:space="0" w:color="000000"/>
              <w:left w:val="single" w:sz="5" w:space="0" w:color="000000"/>
              <w:bottom w:val="single" w:sz="5" w:space="0" w:color="000000"/>
              <w:right w:val="single" w:sz="5" w:space="0" w:color="000000"/>
            </w:tcBorders>
          </w:tcPr>
          <w:p w14:paraId="72FD722D" w14:textId="77777777" w:rsidR="00D15122" w:rsidRPr="00381DC2"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01213A6"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0,79</w:t>
            </w:r>
          </w:p>
        </w:tc>
      </w:tr>
      <w:tr w:rsidR="00D15122" w:rsidRPr="00F60460" w14:paraId="69BFFCE2" w14:textId="77777777" w:rsidTr="006A2145">
        <w:tc>
          <w:tcPr>
            <w:tcW w:w="2791" w:type="dxa"/>
            <w:tcBorders>
              <w:top w:val="single" w:sz="5" w:space="0" w:color="000000"/>
              <w:left w:val="single" w:sz="5" w:space="0" w:color="000000"/>
              <w:bottom w:val="single" w:sz="5" w:space="0" w:color="000000"/>
              <w:right w:val="single" w:sz="5" w:space="0" w:color="000000"/>
            </w:tcBorders>
          </w:tcPr>
          <w:p w14:paraId="1F7C1517" w14:textId="77777777" w:rsidR="00D15122" w:rsidRPr="00381DC2" w:rsidRDefault="009B0756" w:rsidP="00835740">
            <w:pPr>
              <w:pStyle w:val="TableParagraph"/>
              <w:ind w:left="263"/>
              <w:rPr>
                <w:rFonts w:ascii="Times New Roman" w:eastAsia="Times New Roman" w:hAnsi="Times New Roman"/>
                <w:color w:val="000000"/>
              </w:rPr>
            </w:pPr>
            <w:r w:rsidRPr="00381DC2">
              <w:rPr>
                <w:rFonts w:ascii="Times New Roman" w:hAnsi="Times New Roman"/>
                <w:color w:val="000000"/>
              </w:rPr>
              <w:t>p-hodnota</w:t>
            </w:r>
          </w:p>
        </w:tc>
        <w:tc>
          <w:tcPr>
            <w:tcW w:w="1284" w:type="dxa"/>
            <w:tcBorders>
              <w:top w:val="single" w:sz="5" w:space="0" w:color="000000"/>
              <w:left w:val="single" w:sz="5" w:space="0" w:color="000000"/>
              <w:bottom w:val="single" w:sz="5" w:space="0" w:color="000000"/>
              <w:right w:val="single" w:sz="5" w:space="0" w:color="000000"/>
            </w:tcBorders>
          </w:tcPr>
          <w:p w14:paraId="7641D36B" w14:textId="77777777" w:rsidR="00D15122" w:rsidRPr="00381DC2"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56589553"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0,073</w:t>
            </w:r>
          </w:p>
        </w:tc>
        <w:tc>
          <w:tcPr>
            <w:tcW w:w="1284" w:type="dxa"/>
            <w:tcBorders>
              <w:top w:val="single" w:sz="5" w:space="0" w:color="000000"/>
              <w:left w:val="single" w:sz="5" w:space="0" w:color="000000"/>
              <w:bottom w:val="single" w:sz="5" w:space="0" w:color="000000"/>
              <w:right w:val="single" w:sz="5" w:space="0" w:color="000000"/>
            </w:tcBorders>
          </w:tcPr>
          <w:p w14:paraId="1F6568E5"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0,978</w:t>
            </w:r>
          </w:p>
        </w:tc>
        <w:tc>
          <w:tcPr>
            <w:tcW w:w="1284" w:type="dxa"/>
            <w:tcBorders>
              <w:top w:val="single" w:sz="5" w:space="0" w:color="000000"/>
              <w:left w:val="single" w:sz="5" w:space="0" w:color="000000"/>
              <w:bottom w:val="single" w:sz="5" w:space="0" w:color="000000"/>
              <w:right w:val="single" w:sz="5" w:space="0" w:color="000000"/>
            </w:tcBorders>
          </w:tcPr>
          <w:p w14:paraId="1075E792" w14:textId="77777777" w:rsidR="00D15122" w:rsidRPr="00381DC2"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16417F5E"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0,16</w:t>
            </w:r>
          </w:p>
        </w:tc>
      </w:tr>
      <w:tr w:rsidR="00D15122" w:rsidRPr="00F60460" w14:paraId="344738C6" w14:textId="77777777" w:rsidTr="006A2145">
        <w:tc>
          <w:tcPr>
            <w:tcW w:w="9211" w:type="dxa"/>
            <w:gridSpan w:val="6"/>
            <w:tcBorders>
              <w:top w:val="single" w:sz="5" w:space="0" w:color="000000"/>
              <w:left w:val="single" w:sz="5" w:space="0" w:color="000000"/>
              <w:bottom w:val="single" w:sz="5" w:space="0" w:color="000000"/>
              <w:right w:val="single" w:sz="5" w:space="0" w:color="000000"/>
            </w:tcBorders>
          </w:tcPr>
          <w:p w14:paraId="05554BBD" w14:textId="77777777" w:rsidR="00D15122" w:rsidRPr="00381DC2" w:rsidRDefault="009B0756" w:rsidP="007F6E1B">
            <w:pPr>
              <w:pStyle w:val="TableParagraph"/>
              <w:rPr>
                <w:rFonts w:ascii="Times New Roman" w:eastAsia="Times New Roman" w:hAnsi="Times New Roman"/>
                <w:color w:val="000000"/>
              </w:rPr>
            </w:pPr>
            <w:r w:rsidRPr="00381DC2">
              <w:rPr>
                <w:rFonts w:ascii="Times New Roman" w:hAnsi="Times New Roman"/>
                <w:color w:val="000000"/>
              </w:rPr>
              <w:t>Přežití bez progrese</w:t>
            </w:r>
          </w:p>
        </w:tc>
      </w:tr>
      <w:tr w:rsidR="00D15122" w:rsidRPr="00F60460" w14:paraId="6D8431F6" w14:textId="77777777" w:rsidTr="006A2145">
        <w:tc>
          <w:tcPr>
            <w:tcW w:w="2791" w:type="dxa"/>
            <w:tcBorders>
              <w:top w:val="single" w:sz="5" w:space="0" w:color="000000"/>
              <w:left w:val="single" w:sz="5" w:space="0" w:color="000000"/>
              <w:bottom w:val="single" w:sz="5" w:space="0" w:color="000000"/>
              <w:right w:val="single" w:sz="5" w:space="0" w:color="000000"/>
            </w:tcBorders>
          </w:tcPr>
          <w:p w14:paraId="2B59D6BA" w14:textId="77777777" w:rsidR="00D15122" w:rsidRPr="00381DC2" w:rsidRDefault="009B0756" w:rsidP="00835740">
            <w:pPr>
              <w:pStyle w:val="TableParagraph"/>
              <w:ind w:left="263"/>
              <w:rPr>
                <w:rFonts w:ascii="Times New Roman" w:eastAsia="Times New Roman" w:hAnsi="Times New Roman"/>
                <w:color w:val="000000"/>
              </w:rPr>
            </w:pPr>
            <w:r w:rsidRPr="00381DC2">
              <w:rPr>
                <w:rFonts w:ascii="Times New Roman" w:hAnsi="Times New Roman"/>
                <w:color w:val="000000"/>
              </w:rPr>
              <w:t>Medián doby (měsíce)</w:t>
            </w:r>
          </w:p>
        </w:tc>
        <w:tc>
          <w:tcPr>
            <w:tcW w:w="1284" w:type="dxa"/>
            <w:tcBorders>
              <w:top w:val="single" w:sz="5" w:space="0" w:color="000000"/>
              <w:left w:val="single" w:sz="5" w:space="0" w:color="000000"/>
              <w:bottom w:val="single" w:sz="5" w:space="0" w:color="000000"/>
              <w:right w:val="single" w:sz="5" w:space="0" w:color="000000"/>
            </w:tcBorders>
          </w:tcPr>
          <w:p w14:paraId="308F6C65"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5,2</w:t>
            </w:r>
          </w:p>
        </w:tc>
        <w:tc>
          <w:tcPr>
            <w:tcW w:w="1284" w:type="dxa"/>
            <w:tcBorders>
              <w:top w:val="single" w:sz="5" w:space="0" w:color="000000"/>
              <w:left w:val="single" w:sz="5" w:space="0" w:color="000000"/>
              <w:bottom w:val="single" w:sz="5" w:space="0" w:color="000000"/>
              <w:right w:val="single" w:sz="5" w:space="0" w:color="000000"/>
            </w:tcBorders>
          </w:tcPr>
          <w:p w14:paraId="093E3BD5"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9,0</w:t>
            </w:r>
          </w:p>
        </w:tc>
        <w:tc>
          <w:tcPr>
            <w:tcW w:w="1284" w:type="dxa"/>
            <w:tcBorders>
              <w:top w:val="single" w:sz="5" w:space="0" w:color="000000"/>
              <w:left w:val="single" w:sz="5" w:space="0" w:color="000000"/>
              <w:bottom w:val="single" w:sz="5" w:space="0" w:color="000000"/>
              <w:right w:val="single" w:sz="5" w:space="0" w:color="000000"/>
            </w:tcBorders>
          </w:tcPr>
          <w:p w14:paraId="338A0564"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7,2</w:t>
            </w:r>
          </w:p>
        </w:tc>
        <w:tc>
          <w:tcPr>
            <w:tcW w:w="1284" w:type="dxa"/>
            <w:tcBorders>
              <w:top w:val="single" w:sz="5" w:space="0" w:color="000000"/>
              <w:left w:val="single" w:sz="5" w:space="0" w:color="000000"/>
              <w:bottom w:val="single" w:sz="5" w:space="0" w:color="000000"/>
              <w:right w:val="single" w:sz="5" w:space="0" w:color="000000"/>
            </w:tcBorders>
          </w:tcPr>
          <w:p w14:paraId="50FD8AD8"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5,5</w:t>
            </w:r>
          </w:p>
        </w:tc>
        <w:tc>
          <w:tcPr>
            <w:tcW w:w="1284" w:type="dxa"/>
            <w:tcBorders>
              <w:top w:val="single" w:sz="5" w:space="0" w:color="000000"/>
              <w:left w:val="single" w:sz="5" w:space="0" w:color="000000"/>
              <w:bottom w:val="single" w:sz="5" w:space="0" w:color="000000"/>
              <w:right w:val="single" w:sz="5" w:space="0" w:color="000000"/>
            </w:tcBorders>
          </w:tcPr>
          <w:p w14:paraId="29C45F2E"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9,2</w:t>
            </w:r>
          </w:p>
        </w:tc>
      </w:tr>
      <w:tr w:rsidR="00D15122" w:rsidRPr="00F60460" w14:paraId="159416DC" w14:textId="77777777" w:rsidTr="006A2145">
        <w:tc>
          <w:tcPr>
            <w:tcW w:w="2791" w:type="dxa"/>
            <w:tcBorders>
              <w:top w:val="single" w:sz="5" w:space="0" w:color="000000"/>
              <w:left w:val="single" w:sz="5" w:space="0" w:color="000000"/>
              <w:bottom w:val="single" w:sz="5" w:space="0" w:color="000000"/>
              <w:right w:val="single" w:sz="5" w:space="0" w:color="000000"/>
            </w:tcBorders>
          </w:tcPr>
          <w:p w14:paraId="037DAACC" w14:textId="77777777" w:rsidR="00D15122" w:rsidRPr="00381DC2" w:rsidRDefault="009B0756" w:rsidP="00835740">
            <w:pPr>
              <w:pStyle w:val="TableParagraph"/>
              <w:ind w:left="263"/>
              <w:rPr>
                <w:rFonts w:ascii="Times New Roman" w:eastAsia="Times New Roman" w:hAnsi="Times New Roman"/>
                <w:color w:val="000000"/>
              </w:rPr>
            </w:pPr>
            <w:r w:rsidRPr="00381DC2">
              <w:rPr>
                <w:rFonts w:ascii="Times New Roman" w:hAnsi="Times New Roman"/>
                <w:color w:val="000000"/>
              </w:rPr>
              <w:t>Poměr rizik</w:t>
            </w:r>
          </w:p>
        </w:tc>
        <w:tc>
          <w:tcPr>
            <w:tcW w:w="1284" w:type="dxa"/>
            <w:tcBorders>
              <w:top w:val="single" w:sz="5" w:space="0" w:color="000000"/>
              <w:left w:val="single" w:sz="5" w:space="0" w:color="000000"/>
              <w:bottom w:val="single" w:sz="5" w:space="0" w:color="000000"/>
              <w:right w:val="single" w:sz="5" w:space="0" w:color="000000"/>
            </w:tcBorders>
          </w:tcPr>
          <w:p w14:paraId="070E147A" w14:textId="77777777" w:rsidR="00D15122" w:rsidRPr="00381DC2"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23440EC"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0,44</w:t>
            </w:r>
          </w:p>
        </w:tc>
        <w:tc>
          <w:tcPr>
            <w:tcW w:w="1284" w:type="dxa"/>
            <w:tcBorders>
              <w:top w:val="single" w:sz="5" w:space="0" w:color="000000"/>
              <w:left w:val="single" w:sz="5" w:space="0" w:color="000000"/>
              <w:bottom w:val="single" w:sz="5" w:space="0" w:color="000000"/>
              <w:right w:val="single" w:sz="5" w:space="0" w:color="000000"/>
            </w:tcBorders>
          </w:tcPr>
          <w:p w14:paraId="69AB64D7"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0,69</w:t>
            </w:r>
          </w:p>
        </w:tc>
        <w:tc>
          <w:tcPr>
            <w:tcW w:w="1284" w:type="dxa"/>
            <w:tcBorders>
              <w:top w:val="single" w:sz="5" w:space="0" w:color="000000"/>
              <w:left w:val="single" w:sz="5" w:space="0" w:color="000000"/>
              <w:bottom w:val="single" w:sz="5" w:space="0" w:color="000000"/>
              <w:right w:val="single" w:sz="5" w:space="0" w:color="000000"/>
            </w:tcBorders>
          </w:tcPr>
          <w:p w14:paraId="6F487467" w14:textId="77777777" w:rsidR="00D15122" w:rsidRPr="00381DC2"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9A68DA0"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0,5</w:t>
            </w:r>
          </w:p>
        </w:tc>
      </w:tr>
      <w:tr w:rsidR="00D15122" w:rsidRPr="00F60460" w14:paraId="1797C817" w14:textId="77777777" w:rsidTr="006A2145">
        <w:tc>
          <w:tcPr>
            <w:tcW w:w="2791" w:type="dxa"/>
            <w:tcBorders>
              <w:top w:val="single" w:sz="5" w:space="0" w:color="000000"/>
              <w:left w:val="single" w:sz="5" w:space="0" w:color="000000"/>
              <w:bottom w:val="single" w:sz="5" w:space="0" w:color="000000"/>
              <w:right w:val="single" w:sz="5" w:space="0" w:color="000000"/>
            </w:tcBorders>
          </w:tcPr>
          <w:p w14:paraId="6D3DA054" w14:textId="77777777" w:rsidR="00D15122" w:rsidRPr="00381DC2" w:rsidRDefault="009B0756" w:rsidP="00835740">
            <w:pPr>
              <w:pStyle w:val="TableParagraph"/>
              <w:ind w:left="263"/>
              <w:rPr>
                <w:rFonts w:ascii="Times New Roman" w:eastAsia="Times New Roman" w:hAnsi="Times New Roman"/>
                <w:color w:val="000000"/>
              </w:rPr>
            </w:pPr>
            <w:r w:rsidRPr="00381DC2">
              <w:rPr>
                <w:rFonts w:ascii="Times New Roman" w:hAnsi="Times New Roman"/>
                <w:color w:val="000000"/>
              </w:rPr>
              <w:t>p-hodnota</w:t>
            </w:r>
          </w:p>
        </w:tc>
        <w:tc>
          <w:tcPr>
            <w:tcW w:w="1284" w:type="dxa"/>
            <w:tcBorders>
              <w:top w:val="single" w:sz="5" w:space="0" w:color="000000"/>
              <w:left w:val="single" w:sz="5" w:space="0" w:color="000000"/>
              <w:bottom w:val="single" w:sz="5" w:space="0" w:color="000000"/>
              <w:right w:val="single" w:sz="5" w:space="0" w:color="000000"/>
            </w:tcBorders>
          </w:tcPr>
          <w:p w14:paraId="703CAF5F"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w:t>
            </w:r>
          </w:p>
        </w:tc>
        <w:tc>
          <w:tcPr>
            <w:tcW w:w="1284" w:type="dxa"/>
            <w:tcBorders>
              <w:top w:val="single" w:sz="5" w:space="0" w:color="000000"/>
              <w:left w:val="single" w:sz="5" w:space="0" w:color="000000"/>
              <w:bottom w:val="single" w:sz="5" w:space="0" w:color="000000"/>
              <w:right w:val="single" w:sz="5" w:space="0" w:color="000000"/>
            </w:tcBorders>
          </w:tcPr>
          <w:p w14:paraId="6320CF43"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0,0049</w:t>
            </w:r>
          </w:p>
        </w:tc>
        <w:tc>
          <w:tcPr>
            <w:tcW w:w="1284" w:type="dxa"/>
            <w:tcBorders>
              <w:top w:val="single" w:sz="5" w:space="0" w:color="000000"/>
              <w:left w:val="single" w:sz="5" w:space="0" w:color="000000"/>
              <w:bottom w:val="single" w:sz="5" w:space="0" w:color="000000"/>
              <w:right w:val="single" w:sz="5" w:space="0" w:color="000000"/>
            </w:tcBorders>
          </w:tcPr>
          <w:p w14:paraId="7CBC3200"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0,217</w:t>
            </w:r>
          </w:p>
        </w:tc>
        <w:tc>
          <w:tcPr>
            <w:tcW w:w="1284" w:type="dxa"/>
            <w:tcBorders>
              <w:top w:val="single" w:sz="5" w:space="0" w:color="000000"/>
              <w:left w:val="single" w:sz="5" w:space="0" w:color="000000"/>
              <w:bottom w:val="single" w:sz="5" w:space="0" w:color="000000"/>
              <w:right w:val="single" w:sz="5" w:space="0" w:color="000000"/>
            </w:tcBorders>
          </w:tcPr>
          <w:p w14:paraId="5AD72315" w14:textId="77777777" w:rsidR="00D15122" w:rsidRPr="00381DC2" w:rsidRDefault="00D15122" w:rsidP="007F6E1B">
            <w:pP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0A69CADA"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0,0002</w:t>
            </w:r>
          </w:p>
        </w:tc>
      </w:tr>
      <w:tr w:rsidR="00D15122" w:rsidRPr="00F60460" w14:paraId="26C8C319" w14:textId="77777777" w:rsidTr="006A2145">
        <w:tc>
          <w:tcPr>
            <w:tcW w:w="9211" w:type="dxa"/>
            <w:gridSpan w:val="6"/>
            <w:tcBorders>
              <w:top w:val="single" w:sz="5" w:space="0" w:color="000000"/>
              <w:left w:val="single" w:sz="5" w:space="0" w:color="000000"/>
              <w:bottom w:val="single" w:sz="5" w:space="0" w:color="000000"/>
              <w:right w:val="single" w:sz="5" w:space="0" w:color="000000"/>
            </w:tcBorders>
          </w:tcPr>
          <w:p w14:paraId="34E3EB5B" w14:textId="77777777" w:rsidR="00D15122" w:rsidRPr="00381DC2" w:rsidRDefault="009B0756" w:rsidP="007F6E1B">
            <w:pPr>
              <w:pStyle w:val="TableParagraph"/>
              <w:rPr>
                <w:rFonts w:ascii="Times New Roman" w:eastAsia="Times New Roman" w:hAnsi="Times New Roman"/>
                <w:color w:val="000000"/>
              </w:rPr>
            </w:pPr>
            <w:r w:rsidRPr="00381DC2">
              <w:rPr>
                <w:rFonts w:ascii="Times New Roman" w:hAnsi="Times New Roman"/>
                <w:color w:val="000000"/>
              </w:rPr>
              <w:t>Celková četnost odpovědi</w:t>
            </w:r>
          </w:p>
        </w:tc>
      </w:tr>
      <w:tr w:rsidR="00D15122" w:rsidRPr="00F60460" w14:paraId="4D434A77" w14:textId="77777777" w:rsidTr="006A2145">
        <w:tc>
          <w:tcPr>
            <w:tcW w:w="2791" w:type="dxa"/>
            <w:tcBorders>
              <w:top w:val="single" w:sz="5" w:space="0" w:color="000000"/>
              <w:left w:val="single" w:sz="5" w:space="0" w:color="000000"/>
              <w:bottom w:val="single" w:sz="5" w:space="0" w:color="000000"/>
              <w:right w:val="single" w:sz="5" w:space="0" w:color="000000"/>
            </w:tcBorders>
          </w:tcPr>
          <w:p w14:paraId="7EF16308" w14:textId="77777777" w:rsidR="00D15122" w:rsidRPr="00381DC2" w:rsidRDefault="009B0756" w:rsidP="00835740">
            <w:pPr>
              <w:pStyle w:val="TableParagraph"/>
              <w:ind w:left="263"/>
              <w:rPr>
                <w:rFonts w:ascii="Times New Roman" w:eastAsia="Times New Roman" w:hAnsi="Times New Roman"/>
                <w:color w:val="000000"/>
              </w:rPr>
            </w:pPr>
            <w:r w:rsidRPr="00381DC2">
              <w:rPr>
                <w:rFonts w:ascii="Times New Roman" w:hAnsi="Times New Roman"/>
                <w:color w:val="000000"/>
              </w:rPr>
              <w:t>Četnost (procenta)</w:t>
            </w:r>
          </w:p>
        </w:tc>
        <w:tc>
          <w:tcPr>
            <w:tcW w:w="1284" w:type="dxa"/>
            <w:tcBorders>
              <w:top w:val="single" w:sz="5" w:space="0" w:color="000000"/>
              <w:left w:val="single" w:sz="5" w:space="0" w:color="000000"/>
              <w:bottom w:val="single" w:sz="5" w:space="0" w:color="000000"/>
              <w:right w:val="single" w:sz="5" w:space="0" w:color="000000"/>
            </w:tcBorders>
          </w:tcPr>
          <w:p w14:paraId="0D7118A7"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16,7</w:t>
            </w:r>
          </w:p>
        </w:tc>
        <w:tc>
          <w:tcPr>
            <w:tcW w:w="1284" w:type="dxa"/>
            <w:tcBorders>
              <w:top w:val="single" w:sz="5" w:space="0" w:color="000000"/>
              <w:left w:val="single" w:sz="5" w:space="0" w:color="000000"/>
              <w:bottom w:val="single" w:sz="5" w:space="0" w:color="000000"/>
              <w:right w:val="single" w:sz="5" w:space="0" w:color="000000"/>
            </w:tcBorders>
          </w:tcPr>
          <w:p w14:paraId="46CB8420"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40,0</w:t>
            </w:r>
          </w:p>
        </w:tc>
        <w:tc>
          <w:tcPr>
            <w:tcW w:w="1284" w:type="dxa"/>
            <w:tcBorders>
              <w:top w:val="single" w:sz="5" w:space="0" w:color="000000"/>
              <w:left w:val="single" w:sz="5" w:space="0" w:color="000000"/>
              <w:bottom w:val="single" w:sz="5" w:space="0" w:color="000000"/>
              <w:right w:val="single" w:sz="5" w:space="0" w:color="000000"/>
            </w:tcBorders>
          </w:tcPr>
          <w:p w14:paraId="0898A814"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24,2</w:t>
            </w:r>
          </w:p>
        </w:tc>
        <w:tc>
          <w:tcPr>
            <w:tcW w:w="1284" w:type="dxa"/>
            <w:tcBorders>
              <w:top w:val="single" w:sz="5" w:space="0" w:color="000000"/>
              <w:left w:val="single" w:sz="5" w:space="0" w:color="000000"/>
              <w:bottom w:val="single" w:sz="5" w:space="0" w:color="000000"/>
              <w:right w:val="single" w:sz="5" w:space="0" w:color="000000"/>
            </w:tcBorders>
          </w:tcPr>
          <w:p w14:paraId="6374C2AF"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15,2</w:t>
            </w:r>
          </w:p>
        </w:tc>
        <w:tc>
          <w:tcPr>
            <w:tcW w:w="1284" w:type="dxa"/>
            <w:tcBorders>
              <w:top w:val="single" w:sz="5" w:space="0" w:color="000000"/>
              <w:left w:val="single" w:sz="5" w:space="0" w:color="000000"/>
              <w:bottom w:val="single" w:sz="5" w:space="0" w:color="000000"/>
              <w:right w:val="single" w:sz="5" w:space="0" w:color="000000"/>
            </w:tcBorders>
          </w:tcPr>
          <w:p w14:paraId="115D8EFD"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26</w:t>
            </w:r>
          </w:p>
        </w:tc>
      </w:tr>
      <w:tr w:rsidR="00D15122" w:rsidRPr="00F60460" w14:paraId="48AAFDD8" w14:textId="77777777" w:rsidTr="006A2145">
        <w:tc>
          <w:tcPr>
            <w:tcW w:w="2791" w:type="dxa"/>
            <w:tcBorders>
              <w:top w:val="single" w:sz="5" w:space="0" w:color="000000"/>
              <w:left w:val="single" w:sz="5" w:space="0" w:color="000000"/>
              <w:bottom w:val="single" w:sz="5" w:space="0" w:color="000000"/>
              <w:right w:val="single" w:sz="5" w:space="0" w:color="000000"/>
            </w:tcBorders>
          </w:tcPr>
          <w:p w14:paraId="298C86CE" w14:textId="77777777" w:rsidR="00D15122" w:rsidRPr="00381DC2" w:rsidRDefault="009B0756" w:rsidP="00835740">
            <w:pPr>
              <w:pStyle w:val="TableParagraph"/>
              <w:ind w:left="263"/>
              <w:rPr>
                <w:rFonts w:ascii="Times New Roman" w:eastAsia="Times New Roman" w:hAnsi="Times New Roman"/>
                <w:color w:val="000000"/>
              </w:rPr>
            </w:pPr>
            <w:r w:rsidRPr="00381DC2">
              <w:rPr>
                <w:rFonts w:ascii="Times New Roman" w:hAnsi="Times New Roman"/>
                <w:color w:val="000000"/>
              </w:rPr>
              <w:t>95% CI</w:t>
            </w:r>
          </w:p>
        </w:tc>
        <w:tc>
          <w:tcPr>
            <w:tcW w:w="1284" w:type="dxa"/>
            <w:tcBorders>
              <w:top w:val="single" w:sz="5" w:space="0" w:color="000000"/>
              <w:left w:val="single" w:sz="5" w:space="0" w:color="000000"/>
              <w:bottom w:val="single" w:sz="5" w:space="0" w:color="000000"/>
              <w:right w:val="single" w:sz="5" w:space="0" w:color="000000"/>
            </w:tcBorders>
          </w:tcPr>
          <w:p w14:paraId="0F1C62EF"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7,0–33,5</w:t>
            </w:r>
          </w:p>
        </w:tc>
        <w:tc>
          <w:tcPr>
            <w:tcW w:w="1284" w:type="dxa"/>
            <w:tcBorders>
              <w:top w:val="single" w:sz="5" w:space="0" w:color="000000"/>
              <w:left w:val="single" w:sz="5" w:space="0" w:color="000000"/>
              <w:bottom w:val="single" w:sz="5" w:space="0" w:color="000000"/>
              <w:right w:val="single" w:sz="5" w:space="0" w:color="000000"/>
            </w:tcBorders>
          </w:tcPr>
          <w:p w14:paraId="4F0C12FC"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24,4–57,8</w:t>
            </w:r>
          </w:p>
        </w:tc>
        <w:tc>
          <w:tcPr>
            <w:tcW w:w="1284" w:type="dxa"/>
            <w:tcBorders>
              <w:top w:val="single" w:sz="5" w:space="0" w:color="000000"/>
              <w:left w:val="single" w:sz="5" w:space="0" w:color="000000"/>
              <w:bottom w:val="single" w:sz="5" w:space="0" w:color="000000"/>
              <w:right w:val="single" w:sz="5" w:space="0" w:color="000000"/>
            </w:tcBorders>
          </w:tcPr>
          <w:p w14:paraId="1D41352D"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11,7–42,6</w:t>
            </w:r>
          </w:p>
        </w:tc>
        <w:tc>
          <w:tcPr>
            <w:tcW w:w="1284" w:type="dxa"/>
            <w:tcBorders>
              <w:top w:val="single" w:sz="5" w:space="0" w:color="000000"/>
              <w:left w:val="single" w:sz="5" w:space="0" w:color="000000"/>
              <w:bottom w:val="single" w:sz="5" w:space="0" w:color="000000"/>
              <w:right w:val="single" w:sz="5" w:space="0" w:color="000000"/>
            </w:tcBorders>
          </w:tcPr>
          <w:p w14:paraId="69A1BAD7"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9,2–23,9</w:t>
            </w:r>
          </w:p>
        </w:tc>
        <w:tc>
          <w:tcPr>
            <w:tcW w:w="1284" w:type="dxa"/>
            <w:tcBorders>
              <w:top w:val="single" w:sz="5" w:space="0" w:color="000000"/>
              <w:left w:val="single" w:sz="5" w:space="0" w:color="000000"/>
              <w:bottom w:val="single" w:sz="5" w:space="0" w:color="000000"/>
              <w:right w:val="single" w:sz="5" w:space="0" w:color="000000"/>
            </w:tcBorders>
          </w:tcPr>
          <w:p w14:paraId="7C89AC7C"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18,1–35,6</w:t>
            </w:r>
          </w:p>
        </w:tc>
      </w:tr>
      <w:tr w:rsidR="00D15122" w:rsidRPr="00F60460" w14:paraId="096F64BA" w14:textId="77777777" w:rsidTr="006A2145">
        <w:tc>
          <w:tcPr>
            <w:tcW w:w="2791" w:type="dxa"/>
            <w:tcBorders>
              <w:top w:val="single" w:sz="5" w:space="0" w:color="000000"/>
              <w:left w:val="single" w:sz="5" w:space="0" w:color="000000"/>
              <w:bottom w:val="single" w:sz="5" w:space="0" w:color="000000"/>
              <w:right w:val="single" w:sz="5" w:space="0" w:color="000000"/>
            </w:tcBorders>
          </w:tcPr>
          <w:p w14:paraId="62D9176A" w14:textId="77777777" w:rsidR="00D15122" w:rsidRPr="00381DC2" w:rsidRDefault="009B0756" w:rsidP="00835740">
            <w:pPr>
              <w:pStyle w:val="TableParagraph"/>
              <w:ind w:left="263"/>
              <w:rPr>
                <w:rFonts w:ascii="Times New Roman" w:eastAsia="Times New Roman" w:hAnsi="Times New Roman"/>
                <w:color w:val="000000"/>
              </w:rPr>
            </w:pPr>
            <w:r w:rsidRPr="00381DC2">
              <w:rPr>
                <w:rFonts w:ascii="Times New Roman" w:hAnsi="Times New Roman"/>
                <w:color w:val="000000"/>
              </w:rPr>
              <w:t>p-hodnota</w:t>
            </w:r>
          </w:p>
        </w:tc>
        <w:tc>
          <w:tcPr>
            <w:tcW w:w="1284" w:type="dxa"/>
            <w:tcBorders>
              <w:top w:val="single" w:sz="5" w:space="0" w:color="000000"/>
              <w:left w:val="single" w:sz="5" w:space="0" w:color="000000"/>
              <w:bottom w:val="single" w:sz="5" w:space="0" w:color="000000"/>
              <w:right w:val="single" w:sz="5" w:space="0" w:color="000000"/>
            </w:tcBorders>
          </w:tcPr>
          <w:p w14:paraId="3D643671" w14:textId="77777777" w:rsidR="00D15122" w:rsidRPr="00381DC2" w:rsidRDefault="00D15122" w:rsidP="00AF5221">
            <w:pPr>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48896D55"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0,029</w:t>
            </w:r>
          </w:p>
        </w:tc>
        <w:tc>
          <w:tcPr>
            <w:tcW w:w="1284" w:type="dxa"/>
            <w:tcBorders>
              <w:top w:val="single" w:sz="5" w:space="0" w:color="000000"/>
              <w:left w:val="single" w:sz="5" w:space="0" w:color="000000"/>
              <w:bottom w:val="single" w:sz="5" w:space="0" w:color="000000"/>
              <w:right w:val="single" w:sz="5" w:space="0" w:color="000000"/>
            </w:tcBorders>
          </w:tcPr>
          <w:p w14:paraId="5B343F60"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0,43</w:t>
            </w:r>
          </w:p>
        </w:tc>
        <w:tc>
          <w:tcPr>
            <w:tcW w:w="1284" w:type="dxa"/>
            <w:tcBorders>
              <w:top w:val="single" w:sz="5" w:space="0" w:color="000000"/>
              <w:left w:val="single" w:sz="5" w:space="0" w:color="000000"/>
              <w:bottom w:val="single" w:sz="5" w:space="0" w:color="000000"/>
              <w:right w:val="single" w:sz="5" w:space="0" w:color="000000"/>
            </w:tcBorders>
          </w:tcPr>
          <w:p w14:paraId="7E703C7C" w14:textId="77777777" w:rsidR="00D15122" w:rsidRPr="00381DC2" w:rsidRDefault="00D15122" w:rsidP="00AF5221">
            <w:pPr>
              <w:jc w:val="center"/>
              <w:rPr>
                <w:rFonts w:ascii="Times New Roman" w:hAnsi="Times New Roman"/>
                <w:color w:val="000000"/>
              </w:rPr>
            </w:pPr>
          </w:p>
        </w:tc>
        <w:tc>
          <w:tcPr>
            <w:tcW w:w="1284" w:type="dxa"/>
            <w:tcBorders>
              <w:top w:val="single" w:sz="5" w:space="0" w:color="000000"/>
              <w:left w:val="single" w:sz="5" w:space="0" w:color="000000"/>
              <w:bottom w:val="single" w:sz="5" w:space="0" w:color="000000"/>
              <w:right w:val="single" w:sz="5" w:space="0" w:color="000000"/>
            </w:tcBorders>
          </w:tcPr>
          <w:p w14:paraId="32CD4F7E"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0,055</w:t>
            </w:r>
          </w:p>
        </w:tc>
      </w:tr>
      <w:tr w:rsidR="00D15122" w:rsidRPr="00F60460" w14:paraId="3ED0B594" w14:textId="77777777" w:rsidTr="006A2145">
        <w:tc>
          <w:tcPr>
            <w:tcW w:w="9211" w:type="dxa"/>
            <w:gridSpan w:val="6"/>
            <w:tcBorders>
              <w:top w:val="single" w:sz="5" w:space="0" w:color="000000"/>
              <w:left w:val="single" w:sz="5" w:space="0" w:color="000000"/>
              <w:bottom w:val="single" w:sz="5" w:space="0" w:color="000000"/>
              <w:right w:val="single" w:sz="5" w:space="0" w:color="000000"/>
            </w:tcBorders>
          </w:tcPr>
          <w:p w14:paraId="1177DFC8" w14:textId="77777777" w:rsidR="00D15122" w:rsidRPr="00381DC2" w:rsidRDefault="009B0756" w:rsidP="007F6E1B">
            <w:pPr>
              <w:pStyle w:val="TableParagraph"/>
              <w:rPr>
                <w:rFonts w:ascii="Times New Roman" w:eastAsia="Times New Roman" w:hAnsi="Times New Roman"/>
                <w:color w:val="000000"/>
              </w:rPr>
            </w:pPr>
            <w:r w:rsidRPr="00381DC2">
              <w:rPr>
                <w:rFonts w:ascii="Times New Roman" w:hAnsi="Times New Roman"/>
                <w:color w:val="000000"/>
              </w:rPr>
              <w:t>Doba trvání odpovědi</w:t>
            </w:r>
          </w:p>
        </w:tc>
      </w:tr>
      <w:tr w:rsidR="00D15122" w:rsidRPr="00F60460" w14:paraId="215E2095" w14:textId="77777777" w:rsidTr="006A2145">
        <w:tc>
          <w:tcPr>
            <w:tcW w:w="2791" w:type="dxa"/>
            <w:tcBorders>
              <w:top w:val="single" w:sz="5" w:space="0" w:color="000000"/>
              <w:left w:val="single" w:sz="5" w:space="0" w:color="000000"/>
              <w:bottom w:val="single" w:sz="5" w:space="0" w:color="000000"/>
              <w:right w:val="single" w:sz="5" w:space="0" w:color="000000"/>
            </w:tcBorders>
          </w:tcPr>
          <w:p w14:paraId="67D2B1E6" w14:textId="77777777" w:rsidR="00D15122" w:rsidRPr="00381DC2" w:rsidRDefault="009B0756" w:rsidP="007F6E1B">
            <w:pPr>
              <w:pStyle w:val="TableParagraph"/>
              <w:rPr>
                <w:rFonts w:ascii="Times New Roman" w:eastAsia="Times New Roman" w:hAnsi="Times New Roman"/>
                <w:color w:val="000000"/>
              </w:rPr>
            </w:pPr>
            <w:r w:rsidRPr="00381DC2">
              <w:rPr>
                <w:rFonts w:ascii="Times New Roman" w:hAnsi="Times New Roman"/>
                <w:color w:val="000000"/>
              </w:rPr>
              <w:t>Medián doby (měsíce)</w:t>
            </w:r>
          </w:p>
        </w:tc>
        <w:tc>
          <w:tcPr>
            <w:tcW w:w="1284" w:type="dxa"/>
            <w:tcBorders>
              <w:top w:val="single" w:sz="5" w:space="0" w:color="000000"/>
              <w:left w:val="single" w:sz="5" w:space="0" w:color="000000"/>
              <w:bottom w:val="single" w:sz="5" w:space="0" w:color="000000"/>
              <w:right w:val="single" w:sz="5" w:space="0" w:color="000000"/>
            </w:tcBorders>
          </w:tcPr>
          <w:p w14:paraId="18FFBB2B"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NR</w:t>
            </w:r>
          </w:p>
        </w:tc>
        <w:tc>
          <w:tcPr>
            <w:tcW w:w="1284" w:type="dxa"/>
            <w:tcBorders>
              <w:top w:val="single" w:sz="5" w:space="0" w:color="000000"/>
              <w:left w:val="single" w:sz="5" w:space="0" w:color="000000"/>
              <w:bottom w:val="single" w:sz="5" w:space="0" w:color="000000"/>
              <w:right w:val="single" w:sz="5" w:space="0" w:color="000000"/>
            </w:tcBorders>
          </w:tcPr>
          <w:p w14:paraId="25BC28B4"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9,3</w:t>
            </w:r>
          </w:p>
        </w:tc>
        <w:tc>
          <w:tcPr>
            <w:tcW w:w="1284" w:type="dxa"/>
            <w:tcBorders>
              <w:top w:val="single" w:sz="5" w:space="0" w:color="000000"/>
              <w:left w:val="single" w:sz="5" w:space="0" w:color="000000"/>
              <w:bottom w:val="single" w:sz="5" w:space="0" w:color="000000"/>
              <w:right w:val="single" w:sz="5" w:space="0" w:color="000000"/>
            </w:tcBorders>
          </w:tcPr>
          <w:p w14:paraId="3E725131"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5,0</w:t>
            </w:r>
          </w:p>
        </w:tc>
        <w:tc>
          <w:tcPr>
            <w:tcW w:w="1284" w:type="dxa"/>
            <w:tcBorders>
              <w:top w:val="single" w:sz="5" w:space="0" w:color="000000"/>
              <w:left w:val="single" w:sz="5" w:space="0" w:color="000000"/>
              <w:bottom w:val="single" w:sz="5" w:space="0" w:color="000000"/>
              <w:right w:val="single" w:sz="5" w:space="0" w:color="000000"/>
            </w:tcBorders>
          </w:tcPr>
          <w:p w14:paraId="42A1896F"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6,8</w:t>
            </w:r>
          </w:p>
        </w:tc>
        <w:tc>
          <w:tcPr>
            <w:tcW w:w="1284" w:type="dxa"/>
            <w:tcBorders>
              <w:top w:val="single" w:sz="5" w:space="0" w:color="000000"/>
              <w:left w:val="single" w:sz="5" w:space="0" w:color="000000"/>
              <w:bottom w:val="single" w:sz="5" w:space="0" w:color="000000"/>
              <w:right w:val="single" w:sz="5" w:space="0" w:color="000000"/>
            </w:tcBorders>
          </w:tcPr>
          <w:p w14:paraId="4A224FD9"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9,2</w:t>
            </w:r>
          </w:p>
        </w:tc>
      </w:tr>
      <w:tr w:rsidR="00D15122" w:rsidRPr="00F60460" w14:paraId="594B2036" w14:textId="77777777" w:rsidTr="006A2145">
        <w:tc>
          <w:tcPr>
            <w:tcW w:w="2791" w:type="dxa"/>
            <w:tcBorders>
              <w:top w:val="single" w:sz="5" w:space="0" w:color="000000"/>
              <w:left w:val="single" w:sz="5" w:space="0" w:color="000000"/>
              <w:bottom w:val="single" w:sz="5" w:space="0" w:color="000000"/>
              <w:right w:val="single" w:sz="5" w:space="0" w:color="000000"/>
            </w:tcBorders>
          </w:tcPr>
          <w:p w14:paraId="3314CB6C" w14:textId="77777777" w:rsidR="00D15122" w:rsidRPr="00381DC2" w:rsidRDefault="009B0756" w:rsidP="007F6E1B">
            <w:pPr>
              <w:pStyle w:val="TableParagraph"/>
              <w:rPr>
                <w:rFonts w:ascii="Times New Roman" w:eastAsia="Times New Roman" w:hAnsi="Times New Roman"/>
                <w:color w:val="000000"/>
              </w:rPr>
            </w:pPr>
            <w:r w:rsidRPr="00381DC2">
              <w:rPr>
                <w:rFonts w:ascii="Times New Roman" w:hAnsi="Times New Roman"/>
                <w:color w:val="000000"/>
              </w:rPr>
              <w:t>25.–75. percentil (měsíce)</w:t>
            </w:r>
          </w:p>
        </w:tc>
        <w:tc>
          <w:tcPr>
            <w:tcW w:w="1284" w:type="dxa"/>
            <w:tcBorders>
              <w:top w:val="single" w:sz="5" w:space="0" w:color="000000"/>
              <w:left w:val="single" w:sz="5" w:space="0" w:color="000000"/>
              <w:bottom w:val="single" w:sz="5" w:space="0" w:color="000000"/>
              <w:right w:val="single" w:sz="5" w:space="0" w:color="000000"/>
            </w:tcBorders>
          </w:tcPr>
          <w:p w14:paraId="3FCCB92A"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5,5 – NR</w:t>
            </w:r>
          </w:p>
        </w:tc>
        <w:tc>
          <w:tcPr>
            <w:tcW w:w="1284" w:type="dxa"/>
            <w:tcBorders>
              <w:top w:val="single" w:sz="5" w:space="0" w:color="000000"/>
              <w:left w:val="single" w:sz="5" w:space="0" w:color="000000"/>
              <w:bottom w:val="single" w:sz="5" w:space="0" w:color="000000"/>
              <w:right w:val="single" w:sz="5" w:space="0" w:color="000000"/>
            </w:tcBorders>
          </w:tcPr>
          <w:p w14:paraId="2BE84C50"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6,1 – NR</w:t>
            </w:r>
          </w:p>
        </w:tc>
        <w:tc>
          <w:tcPr>
            <w:tcW w:w="1284" w:type="dxa"/>
            <w:tcBorders>
              <w:top w:val="single" w:sz="5" w:space="0" w:color="000000"/>
              <w:left w:val="single" w:sz="5" w:space="0" w:color="000000"/>
              <w:bottom w:val="single" w:sz="5" w:space="0" w:color="000000"/>
              <w:right w:val="single" w:sz="5" w:space="0" w:color="000000"/>
            </w:tcBorders>
          </w:tcPr>
          <w:p w14:paraId="09C45A8E"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3,8–7,8</w:t>
            </w:r>
          </w:p>
        </w:tc>
        <w:tc>
          <w:tcPr>
            <w:tcW w:w="1284" w:type="dxa"/>
            <w:tcBorders>
              <w:top w:val="single" w:sz="5" w:space="0" w:color="000000"/>
              <w:left w:val="single" w:sz="5" w:space="0" w:color="000000"/>
              <w:bottom w:val="single" w:sz="5" w:space="0" w:color="000000"/>
              <w:right w:val="single" w:sz="5" w:space="0" w:color="000000"/>
            </w:tcBorders>
          </w:tcPr>
          <w:p w14:paraId="4CD2A39F"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5,59–9,17</w:t>
            </w:r>
          </w:p>
        </w:tc>
        <w:tc>
          <w:tcPr>
            <w:tcW w:w="1284" w:type="dxa"/>
            <w:tcBorders>
              <w:top w:val="single" w:sz="5" w:space="0" w:color="000000"/>
              <w:left w:val="single" w:sz="5" w:space="0" w:color="000000"/>
              <w:bottom w:val="single" w:sz="5" w:space="0" w:color="000000"/>
              <w:right w:val="single" w:sz="5" w:space="0" w:color="000000"/>
            </w:tcBorders>
          </w:tcPr>
          <w:p w14:paraId="47DBE0C7" w14:textId="77777777" w:rsidR="00D15122" w:rsidRPr="00381DC2" w:rsidRDefault="009B0756" w:rsidP="00AF5221">
            <w:pPr>
              <w:pStyle w:val="TableParagraph"/>
              <w:jc w:val="center"/>
              <w:rPr>
                <w:rFonts w:ascii="Times New Roman" w:eastAsia="Times New Roman" w:hAnsi="Times New Roman"/>
                <w:color w:val="000000"/>
              </w:rPr>
            </w:pPr>
            <w:r w:rsidRPr="00381DC2">
              <w:rPr>
                <w:rFonts w:ascii="Times New Roman" w:hAnsi="Times New Roman"/>
                <w:color w:val="000000"/>
              </w:rPr>
              <w:t>5,88–13,01</w:t>
            </w:r>
          </w:p>
        </w:tc>
      </w:tr>
    </w:tbl>
    <w:p w14:paraId="321FA35E" w14:textId="77777777" w:rsidR="004F312E" w:rsidRPr="00F60460" w:rsidRDefault="004F312E" w:rsidP="00D23770">
      <w:pPr>
        <w:spacing w:line="227" w:lineRule="exact"/>
        <w:ind w:left="284" w:hanging="284"/>
        <w:rPr>
          <w:rFonts w:ascii="Times New Roman" w:eastAsia="Times New Roman" w:hAnsi="Times New Roman"/>
          <w:color w:val="000000"/>
          <w:sz w:val="20"/>
          <w:szCs w:val="20"/>
        </w:rPr>
      </w:pPr>
      <w:r w:rsidRPr="00381DC2">
        <w:rPr>
          <w:rFonts w:ascii="Times New Roman" w:hAnsi="Times New Roman"/>
          <w:color w:val="000000"/>
          <w:vertAlign w:val="superscript"/>
        </w:rPr>
        <w:t>a</w:t>
      </w:r>
      <w:r w:rsidRPr="00F60460">
        <w:rPr>
          <w:rFonts w:ascii="Times New Roman" w:hAnsi="Times New Roman"/>
          <w:color w:val="000000"/>
          <w:sz w:val="13"/>
        </w:rPr>
        <w:t xml:space="preserve"> </w:t>
      </w:r>
      <w:r w:rsidR="000408F8" w:rsidRPr="00F60460">
        <w:rPr>
          <w:rFonts w:ascii="Times New Roman" w:hAnsi="Times New Roman"/>
          <w:color w:val="000000"/>
          <w:sz w:val="13"/>
        </w:rPr>
        <w:tab/>
      </w:r>
      <w:r w:rsidRPr="00F60460">
        <w:rPr>
          <w:rFonts w:ascii="Times New Roman" w:hAnsi="Times New Roman"/>
          <w:color w:val="000000"/>
          <w:sz w:val="20"/>
        </w:rPr>
        <w:t>5 mg/kg každé 2 týdny.</w:t>
      </w:r>
    </w:p>
    <w:p w14:paraId="02CB0845" w14:textId="77777777" w:rsidR="004F312E" w:rsidRPr="00F60460" w:rsidRDefault="004F312E" w:rsidP="00D23770">
      <w:pPr>
        <w:spacing w:line="230" w:lineRule="exact"/>
        <w:ind w:left="284" w:right="6750" w:hanging="284"/>
        <w:rPr>
          <w:rFonts w:ascii="Times New Roman" w:hAnsi="Times New Roman"/>
          <w:color w:val="000000"/>
          <w:sz w:val="20"/>
        </w:rPr>
      </w:pPr>
      <w:r w:rsidRPr="00381DC2">
        <w:rPr>
          <w:rFonts w:ascii="Times New Roman" w:hAnsi="Times New Roman"/>
          <w:color w:val="000000"/>
          <w:vertAlign w:val="superscript"/>
        </w:rPr>
        <w:t>b</w:t>
      </w:r>
      <w:r w:rsidRPr="00F60460">
        <w:rPr>
          <w:rFonts w:ascii="Times New Roman" w:hAnsi="Times New Roman"/>
          <w:color w:val="000000"/>
          <w:sz w:val="13"/>
        </w:rPr>
        <w:t xml:space="preserve"> </w:t>
      </w:r>
      <w:r w:rsidR="000408F8" w:rsidRPr="00F60460">
        <w:rPr>
          <w:rFonts w:ascii="Times New Roman" w:hAnsi="Times New Roman"/>
          <w:color w:val="000000"/>
          <w:sz w:val="13"/>
        </w:rPr>
        <w:tab/>
      </w:r>
      <w:r w:rsidRPr="00F60460">
        <w:rPr>
          <w:rFonts w:ascii="Times New Roman" w:hAnsi="Times New Roman"/>
          <w:color w:val="000000"/>
          <w:sz w:val="20"/>
        </w:rPr>
        <w:t xml:space="preserve">10 mg/kg každé 2 týdny. </w:t>
      </w:r>
    </w:p>
    <w:p w14:paraId="4208FE9B" w14:textId="77777777" w:rsidR="004F312E" w:rsidRPr="00F60460" w:rsidRDefault="004F312E" w:rsidP="00D23770">
      <w:pPr>
        <w:spacing w:line="230" w:lineRule="exact"/>
        <w:ind w:left="284" w:right="5868" w:hanging="284"/>
        <w:rPr>
          <w:rFonts w:ascii="Times New Roman" w:hAnsi="Times New Roman"/>
          <w:color w:val="000000"/>
          <w:sz w:val="20"/>
        </w:rPr>
      </w:pPr>
      <w:r w:rsidRPr="00381DC2">
        <w:rPr>
          <w:rFonts w:ascii="Times New Roman" w:hAnsi="Times New Roman"/>
          <w:color w:val="000000"/>
          <w:vertAlign w:val="superscript"/>
        </w:rPr>
        <w:t>c</w:t>
      </w:r>
      <w:r w:rsidRPr="00F60460">
        <w:rPr>
          <w:rFonts w:ascii="Times New Roman" w:hAnsi="Times New Roman"/>
          <w:color w:val="000000"/>
          <w:sz w:val="13"/>
        </w:rPr>
        <w:t xml:space="preserve"> </w:t>
      </w:r>
      <w:r w:rsidR="000408F8" w:rsidRPr="00F60460">
        <w:rPr>
          <w:rFonts w:ascii="Times New Roman" w:hAnsi="Times New Roman"/>
          <w:color w:val="000000"/>
          <w:sz w:val="13"/>
        </w:rPr>
        <w:tab/>
      </w:r>
      <w:r w:rsidRPr="00F60460">
        <w:rPr>
          <w:rFonts w:ascii="Times New Roman" w:hAnsi="Times New Roman"/>
          <w:color w:val="000000"/>
          <w:sz w:val="20"/>
        </w:rPr>
        <w:t xml:space="preserve">Vztaženo ke kontrolnímu rameni. </w:t>
      </w:r>
    </w:p>
    <w:p w14:paraId="6E1C5B59" w14:textId="77777777" w:rsidR="004F312E" w:rsidRPr="00F60460" w:rsidRDefault="004F312E" w:rsidP="00D23770">
      <w:pPr>
        <w:spacing w:line="230" w:lineRule="exact"/>
        <w:ind w:left="142" w:right="6930" w:hanging="142"/>
        <w:rPr>
          <w:rFonts w:ascii="Times New Roman" w:eastAsia="Times New Roman" w:hAnsi="Times New Roman"/>
          <w:color w:val="000000"/>
          <w:sz w:val="20"/>
          <w:szCs w:val="20"/>
        </w:rPr>
      </w:pPr>
      <w:r w:rsidRPr="00F60460">
        <w:rPr>
          <w:rFonts w:ascii="Times New Roman" w:hAnsi="Times New Roman"/>
          <w:color w:val="000000"/>
          <w:sz w:val="20"/>
        </w:rPr>
        <w:t>NR = nebylo dosaženo.</w:t>
      </w:r>
    </w:p>
    <w:p w14:paraId="50E94A69" w14:textId="77777777" w:rsidR="00D15122" w:rsidRPr="00381DC2" w:rsidRDefault="00D15122" w:rsidP="007F6E1B">
      <w:pPr>
        <w:rPr>
          <w:rFonts w:ascii="Times New Roman" w:eastAsia="Times New Roman" w:hAnsi="Times New Roman"/>
          <w:color w:val="000000"/>
        </w:rPr>
      </w:pPr>
    </w:p>
    <w:p w14:paraId="20D87956" w14:textId="77777777" w:rsidR="00D15122" w:rsidRPr="00381DC2" w:rsidRDefault="009B0756" w:rsidP="007F6E1B">
      <w:pPr>
        <w:rPr>
          <w:rFonts w:ascii="Times New Roman" w:eastAsia="Times New Roman" w:hAnsi="Times New Roman"/>
          <w:color w:val="000000"/>
        </w:rPr>
      </w:pPr>
      <w:r w:rsidRPr="00381DC2">
        <w:rPr>
          <w:rFonts w:ascii="Times New Roman" w:hAnsi="Times New Roman"/>
          <w:i/>
          <w:color w:val="000000"/>
        </w:rPr>
        <w:t>NO16966</w:t>
      </w:r>
    </w:p>
    <w:p w14:paraId="2BB38DE4" w14:textId="77777777" w:rsidR="00D15122" w:rsidRPr="00381DC2" w:rsidRDefault="009B0756" w:rsidP="007F6E1B">
      <w:pPr>
        <w:pStyle w:val="BodyText"/>
        <w:spacing w:line="252" w:lineRule="exact"/>
        <w:ind w:left="0"/>
        <w:rPr>
          <w:color w:val="000000"/>
        </w:rPr>
      </w:pPr>
      <w:r w:rsidRPr="00381DC2">
        <w:rPr>
          <w:color w:val="000000"/>
        </w:rPr>
        <w:t xml:space="preserve">Randomizované dvojitě zaslepené (pro bevacizumab) klinické hodnocení fáze III hodnotilo bevacizumab v dávce 7,5 mg/kg v kombinaci s perorálním kapecitabinem a intravenózní oxaliplatinou (XELOX) podávanými v 3týdenním režimu nebo bevacizumab v dávce 5 mg/kg v kombinaci s leukovorinem plus fluoruracilem podaným jako bolus a následnou infuzí fluoruracilu a s intravenózní oxaliplatinou (FOLFOX-4) podávanými </w:t>
      </w:r>
      <w:r w:rsidR="007D1931" w:rsidRPr="00381DC2">
        <w:rPr>
          <w:color w:val="000000"/>
        </w:rPr>
        <w:t>v</w:t>
      </w:r>
      <w:r w:rsidRPr="00381DC2">
        <w:rPr>
          <w:color w:val="000000"/>
        </w:rPr>
        <w:t xml:space="preserve"> 2týdenním režimu. Hodnocení mělo dvě části: úvodní nezaslepenou část se </w:t>
      </w:r>
      <w:r w:rsidR="009A44BC" w:rsidRPr="00381DC2">
        <w:rPr>
          <w:color w:val="000000"/>
        </w:rPr>
        <w:t>2 </w:t>
      </w:r>
      <w:r w:rsidRPr="00381DC2">
        <w:rPr>
          <w:color w:val="000000"/>
        </w:rPr>
        <w:t xml:space="preserve">rameny (část I), ve které byli pacienti randomizováni do </w:t>
      </w:r>
      <w:r w:rsidR="009A44BC" w:rsidRPr="00381DC2">
        <w:rPr>
          <w:color w:val="000000"/>
        </w:rPr>
        <w:t xml:space="preserve">dvou </w:t>
      </w:r>
      <w:r w:rsidRPr="00381DC2">
        <w:rPr>
          <w:color w:val="000000"/>
        </w:rPr>
        <w:t xml:space="preserve">různých léčebných skupin (XELOX a FOLFOX-4) a následné části 2 x 2 faktoriálové se 4 rameny (část II), v níž byli pacienti randomizováni do čtyř léčebných skupin (XELOX + placebo, FOLFOX-4 + placebo, XELOX + bevacizumab, FOLFOX-4 + bevacizumab). V části II </w:t>
      </w:r>
      <w:r w:rsidR="00700849" w:rsidRPr="00381DC2">
        <w:rPr>
          <w:color w:val="000000"/>
        </w:rPr>
        <w:t xml:space="preserve">bylo přiřazení léčby z hlediska </w:t>
      </w:r>
      <w:r w:rsidRPr="00381DC2">
        <w:rPr>
          <w:color w:val="000000"/>
        </w:rPr>
        <w:t>bevacizumabu dvojitě zaslepen</w:t>
      </w:r>
      <w:r w:rsidR="00700849" w:rsidRPr="00381DC2">
        <w:rPr>
          <w:color w:val="000000"/>
        </w:rPr>
        <w:t>é</w:t>
      </w:r>
      <w:r w:rsidRPr="00381DC2">
        <w:rPr>
          <w:color w:val="000000"/>
        </w:rPr>
        <w:t>.</w:t>
      </w:r>
    </w:p>
    <w:p w14:paraId="22573FC4" w14:textId="77777777" w:rsidR="00D15122" w:rsidRPr="00381DC2" w:rsidRDefault="00D15122" w:rsidP="007F6E1B">
      <w:pPr>
        <w:rPr>
          <w:rFonts w:ascii="Times New Roman" w:eastAsia="Times New Roman" w:hAnsi="Times New Roman"/>
          <w:color w:val="000000"/>
        </w:rPr>
      </w:pPr>
    </w:p>
    <w:p w14:paraId="0836172D" w14:textId="77777777" w:rsidR="00D15122" w:rsidRPr="00381DC2" w:rsidRDefault="009B0756" w:rsidP="007F6E1B">
      <w:pPr>
        <w:pStyle w:val="BodyText"/>
        <w:ind w:left="0"/>
        <w:rPr>
          <w:color w:val="000000"/>
        </w:rPr>
      </w:pPr>
      <w:r w:rsidRPr="00381DC2">
        <w:rPr>
          <w:color w:val="000000"/>
        </w:rPr>
        <w:t>V části II hodnocení bylo do každého ze 4 ramen randomizováno kolem 350 pacientů.</w:t>
      </w:r>
    </w:p>
    <w:p w14:paraId="1E23CC14" w14:textId="77777777" w:rsidR="00221EBE" w:rsidRPr="00381DC2" w:rsidRDefault="00221EBE" w:rsidP="005D48D1">
      <w:pPr>
        <w:rPr>
          <w:rFonts w:ascii="Times New Roman" w:eastAsia="Times New Roman" w:hAnsi="Times New Roman"/>
          <w:b/>
          <w:color w:val="000000"/>
        </w:rPr>
      </w:pPr>
    </w:p>
    <w:p w14:paraId="5E58CD9E" w14:textId="77777777" w:rsidR="00D15122" w:rsidRPr="00381DC2" w:rsidRDefault="009B0756" w:rsidP="00363CA4">
      <w:pPr>
        <w:keepNext/>
        <w:keepLines/>
        <w:rPr>
          <w:rFonts w:ascii="Times New Roman" w:eastAsia="Times New Roman" w:hAnsi="Times New Roman"/>
          <w:b/>
          <w:color w:val="000000"/>
        </w:rPr>
      </w:pPr>
      <w:r w:rsidRPr="00381DC2">
        <w:rPr>
          <w:rFonts w:ascii="Times New Roman" w:eastAsia="Times New Roman" w:hAnsi="Times New Roman"/>
          <w:b/>
          <w:color w:val="000000"/>
        </w:rPr>
        <w:lastRenderedPageBreak/>
        <w:t>Tabulka 6</w:t>
      </w:r>
      <w:r w:rsidRPr="00381DC2">
        <w:rPr>
          <w:rFonts w:ascii="Times New Roman" w:eastAsia="Times New Roman" w:hAnsi="Times New Roman"/>
          <w:b/>
          <w:color w:val="000000"/>
        </w:rPr>
        <w:tab/>
        <w:t>Léčebné režimy v</w:t>
      </w:r>
      <w:r w:rsidR="00CA5C05" w:rsidRPr="00381DC2">
        <w:rPr>
          <w:rFonts w:ascii="Times New Roman" w:eastAsia="Times New Roman" w:hAnsi="Times New Roman"/>
          <w:b/>
          <w:color w:val="000000"/>
        </w:rPr>
        <w:t>e</w:t>
      </w:r>
      <w:r w:rsidRPr="00381DC2">
        <w:rPr>
          <w:rFonts w:ascii="Times New Roman" w:eastAsia="Times New Roman" w:hAnsi="Times New Roman"/>
          <w:b/>
          <w:color w:val="000000"/>
        </w:rPr>
        <w:t> </w:t>
      </w:r>
      <w:r w:rsidR="00CA5C05" w:rsidRPr="00381DC2">
        <w:rPr>
          <w:rFonts w:ascii="Times New Roman" w:eastAsia="Times New Roman" w:hAnsi="Times New Roman"/>
          <w:b/>
          <w:color w:val="000000"/>
        </w:rPr>
        <w:t>studii</w:t>
      </w:r>
      <w:r w:rsidRPr="00381DC2">
        <w:rPr>
          <w:rFonts w:ascii="Times New Roman" w:eastAsia="Times New Roman" w:hAnsi="Times New Roman"/>
          <w:b/>
          <w:color w:val="000000"/>
        </w:rPr>
        <w:t xml:space="preserve"> NO16966 (</w:t>
      </w:r>
      <w:r w:rsidR="00700849" w:rsidRPr="00381DC2">
        <w:rPr>
          <w:rFonts w:ascii="Times New Roman" w:eastAsia="Times New Roman" w:hAnsi="Times New Roman"/>
          <w:b/>
          <w:color w:val="000000"/>
        </w:rPr>
        <w:t>mCRC</w:t>
      </w:r>
      <w:r w:rsidRPr="00381DC2">
        <w:rPr>
          <w:rFonts w:ascii="Times New Roman" w:eastAsia="Times New Roman" w:hAnsi="Times New Roman"/>
          <w:b/>
          <w:color w:val="000000"/>
        </w:rPr>
        <w:t>)</w:t>
      </w:r>
    </w:p>
    <w:p w14:paraId="0FD502A3" w14:textId="77777777" w:rsidR="00D15122" w:rsidRPr="00381DC2" w:rsidRDefault="00D15122" w:rsidP="006A2145">
      <w:pPr>
        <w:keepNext/>
        <w:keepLines/>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5"/>
        <w:gridCol w:w="1646"/>
        <w:gridCol w:w="2250"/>
        <w:gridCol w:w="3088"/>
      </w:tblGrid>
      <w:tr w:rsidR="00D15122" w:rsidRPr="00F60460" w14:paraId="133EC061" w14:textId="77777777" w:rsidTr="006A2145">
        <w:tc>
          <w:tcPr>
            <w:tcW w:w="1445" w:type="dxa"/>
          </w:tcPr>
          <w:p w14:paraId="79D2F1B1" w14:textId="77777777" w:rsidR="00D15122" w:rsidRPr="00381DC2" w:rsidRDefault="00D15122" w:rsidP="006A2145">
            <w:pPr>
              <w:keepNext/>
              <w:keepLines/>
              <w:rPr>
                <w:rFonts w:ascii="Times New Roman" w:hAnsi="Times New Roman"/>
                <w:color w:val="000000"/>
              </w:rPr>
            </w:pPr>
          </w:p>
        </w:tc>
        <w:tc>
          <w:tcPr>
            <w:tcW w:w="1646" w:type="dxa"/>
          </w:tcPr>
          <w:p w14:paraId="2C8F0245" w14:textId="77777777" w:rsidR="00D15122" w:rsidRPr="00381DC2" w:rsidRDefault="009B0756" w:rsidP="006A2145">
            <w:pPr>
              <w:pStyle w:val="TableParagraph"/>
              <w:keepNext/>
              <w:keepLines/>
              <w:ind w:left="111"/>
              <w:jc w:val="center"/>
              <w:rPr>
                <w:rFonts w:ascii="Times New Roman" w:eastAsia="Times New Roman" w:hAnsi="Times New Roman"/>
                <w:color w:val="000000"/>
              </w:rPr>
            </w:pPr>
            <w:r w:rsidRPr="00381DC2">
              <w:rPr>
                <w:rFonts w:ascii="Times New Roman" w:hAnsi="Times New Roman"/>
                <w:color w:val="000000"/>
              </w:rPr>
              <w:t>Léčba</w:t>
            </w:r>
          </w:p>
        </w:tc>
        <w:tc>
          <w:tcPr>
            <w:tcW w:w="2250" w:type="dxa"/>
          </w:tcPr>
          <w:p w14:paraId="0556EB5C" w14:textId="77777777" w:rsidR="00D15122" w:rsidRPr="00381DC2" w:rsidRDefault="009B0756" w:rsidP="006A2145">
            <w:pPr>
              <w:pStyle w:val="TableParagraph"/>
              <w:keepNext/>
              <w:keepLines/>
              <w:ind w:left="85"/>
              <w:jc w:val="center"/>
              <w:rPr>
                <w:rFonts w:ascii="Times New Roman" w:eastAsia="Times New Roman" w:hAnsi="Times New Roman"/>
                <w:color w:val="000000"/>
              </w:rPr>
            </w:pPr>
            <w:r w:rsidRPr="00381DC2">
              <w:rPr>
                <w:rFonts w:ascii="Times New Roman" w:hAnsi="Times New Roman"/>
                <w:color w:val="000000"/>
              </w:rPr>
              <w:t>Úvodní dávka</w:t>
            </w:r>
          </w:p>
        </w:tc>
        <w:tc>
          <w:tcPr>
            <w:tcW w:w="3088" w:type="dxa"/>
          </w:tcPr>
          <w:p w14:paraId="728FD72D" w14:textId="77777777" w:rsidR="00D15122" w:rsidRPr="00381DC2" w:rsidRDefault="009B0756" w:rsidP="006A2145">
            <w:pPr>
              <w:pStyle w:val="TableParagraph"/>
              <w:keepNext/>
              <w:keepLines/>
              <w:jc w:val="center"/>
              <w:rPr>
                <w:rFonts w:ascii="Times New Roman" w:eastAsia="Times New Roman" w:hAnsi="Times New Roman"/>
                <w:color w:val="000000"/>
              </w:rPr>
            </w:pPr>
            <w:r w:rsidRPr="00381DC2">
              <w:rPr>
                <w:rFonts w:ascii="Times New Roman" w:hAnsi="Times New Roman"/>
                <w:color w:val="000000"/>
              </w:rPr>
              <w:t>Režim</w:t>
            </w:r>
          </w:p>
        </w:tc>
      </w:tr>
      <w:tr w:rsidR="00D15122" w:rsidRPr="00F60460" w14:paraId="33277928" w14:textId="77777777" w:rsidTr="006A2145">
        <w:tc>
          <w:tcPr>
            <w:tcW w:w="1445" w:type="dxa"/>
            <w:vMerge w:val="restart"/>
          </w:tcPr>
          <w:p w14:paraId="6966F36C" w14:textId="77777777" w:rsidR="00D15122" w:rsidRPr="00381DC2" w:rsidRDefault="009B0756" w:rsidP="006A2145">
            <w:pPr>
              <w:pStyle w:val="TableParagraph"/>
              <w:keepNext/>
              <w:keepLines/>
              <w:jc w:val="center"/>
              <w:rPr>
                <w:rFonts w:ascii="Times New Roman" w:eastAsia="Times New Roman" w:hAnsi="Times New Roman"/>
                <w:color w:val="000000"/>
              </w:rPr>
            </w:pPr>
            <w:r w:rsidRPr="00381DC2">
              <w:rPr>
                <w:rFonts w:ascii="Times New Roman" w:hAnsi="Times New Roman"/>
                <w:color w:val="000000"/>
              </w:rPr>
              <w:t>FOLFOX-4 nebo FOLFOX-4 + bevacizumab</w:t>
            </w:r>
          </w:p>
        </w:tc>
        <w:tc>
          <w:tcPr>
            <w:tcW w:w="1646" w:type="dxa"/>
          </w:tcPr>
          <w:p w14:paraId="2D955A31" w14:textId="77777777" w:rsidR="00D15122" w:rsidRPr="00381DC2" w:rsidRDefault="00B15D97" w:rsidP="006A2145">
            <w:pPr>
              <w:pStyle w:val="TableParagraph"/>
              <w:keepNext/>
              <w:keepLines/>
              <w:spacing w:line="341" w:lineRule="auto"/>
              <w:ind w:left="111" w:right="5"/>
              <w:rPr>
                <w:rFonts w:ascii="Times New Roman" w:eastAsia="Times New Roman" w:hAnsi="Times New Roman"/>
                <w:color w:val="000000"/>
              </w:rPr>
            </w:pPr>
            <w:r w:rsidRPr="00381DC2">
              <w:rPr>
                <w:rFonts w:ascii="Times New Roman" w:hAnsi="Times New Roman"/>
                <w:color w:val="000000"/>
              </w:rPr>
              <w:t>Oxaliplatina Leukovorin</w:t>
            </w:r>
          </w:p>
          <w:p w14:paraId="55B1C91D" w14:textId="77777777" w:rsidR="00D15122" w:rsidRPr="00381DC2" w:rsidRDefault="00860935" w:rsidP="006A2145">
            <w:pPr>
              <w:pStyle w:val="TableParagraph"/>
              <w:keepNext/>
              <w:keepLines/>
              <w:ind w:left="111"/>
              <w:rPr>
                <w:rFonts w:ascii="Times New Roman" w:eastAsia="Times New Roman" w:hAnsi="Times New Roman"/>
                <w:color w:val="000000"/>
              </w:rPr>
            </w:pPr>
            <w:r w:rsidRPr="00381DC2">
              <w:rPr>
                <w:rFonts w:ascii="Times New Roman" w:hAnsi="Times New Roman"/>
                <w:color w:val="000000"/>
              </w:rPr>
              <w:t>5-F</w:t>
            </w:r>
            <w:r w:rsidR="009B0756" w:rsidRPr="00381DC2">
              <w:rPr>
                <w:rFonts w:ascii="Times New Roman" w:hAnsi="Times New Roman"/>
                <w:color w:val="000000"/>
              </w:rPr>
              <w:t>luor</w:t>
            </w:r>
            <w:r w:rsidRPr="00381DC2">
              <w:rPr>
                <w:rFonts w:ascii="Times New Roman" w:hAnsi="Times New Roman"/>
                <w:color w:val="000000"/>
              </w:rPr>
              <w:t>o</w:t>
            </w:r>
            <w:r w:rsidR="009B0756" w:rsidRPr="00381DC2">
              <w:rPr>
                <w:rFonts w:ascii="Times New Roman" w:hAnsi="Times New Roman"/>
                <w:color w:val="000000"/>
              </w:rPr>
              <w:t>uracil</w:t>
            </w:r>
          </w:p>
        </w:tc>
        <w:tc>
          <w:tcPr>
            <w:tcW w:w="2250" w:type="dxa"/>
          </w:tcPr>
          <w:p w14:paraId="207D4A09" w14:textId="77777777" w:rsidR="00B15D97" w:rsidRPr="00381DC2" w:rsidRDefault="009B0756" w:rsidP="006A2145">
            <w:pPr>
              <w:pStyle w:val="TableParagraph"/>
              <w:keepNext/>
              <w:keepLines/>
              <w:spacing w:after="120"/>
              <w:ind w:left="85"/>
              <w:rPr>
                <w:rFonts w:ascii="Times New Roman" w:hAnsi="Times New Roman"/>
                <w:color w:val="000000"/>
              </w:rPr>
            </w:pPr>
            <w:r w:rsidRPr="00381DC2">
              <w:rPr>
                <w:rFonts w:ascii="Times New Roman" w:hAnsi="Times New Roman"/>
                <w:color w:val="000000"/>
              </w:rPr>
              <w:t>85 mg/m</w:t>
            </w:r>
            <w:r w:rsidRPr="00381DC2">
              <w:rPr>
                <w:rFonts w:ascii="Times New Roman" w:hAnsi="Times New Roman"/>
                <w:color w:val="000000"/>
                <w:vertAlign w:val="superscript"/>
              </w:rPr>
              <w:t>2</w:t>
            </w:r>
            <w:r w:rsidR="00527928" w:rsidRPr="00381DC2">
              <w:rPr>
                <w:rFonts w:ascii="Times New Roman" w:hAnsi="Times New Roman"/>
                <w:color w:val="000000"/>
              </w:rPr>
              <w:t xml:space="preserve"> </w:t>
            </w:r>
            <w:r w:rsidR="00D5294C" w:rsidRPr="00381DC2">
              <w:rPr>
                <w:rFonts w:ascii="Times New Roman" w:hAnsi="Times New Roman"/>
                <w:color w:val="000000"/>
              </w:rPr>
              <w:t>intravenózně</w:t>
            </w:r>
            <w:r w:rsidRPr="00381DC2">
              <w:rPr>
                <w:rFonts w:ascii="Times New Roman" w:hAnsi="Times New Roman"/>
                <w:color w:val="000000"/>
              </w:rPr>
              <w:t xml:space="preserve"> 2 h</w:t>
            </w:r>
          </w:p>
          <w:p w14:paraId="018DEF59" w14:textId="77777777" w:rsidR="00B15D97" w:rsidRPr="00381DC2" w:rsidRDefault="009B0756" w:rsidP="006A2145">
            <w:pPr>
              <w:pStyle w:val="TableParagraph"/>
              <w:keepNext/>
              <w:keepLines/>
              <w:spacing w:after="120"/>
              <w:ind w:left="85"/>
              <w:rPr>
                <w:rFonts w:ascii="Times New Roman" w:hAnsi="Times New Roman"/>
                <w:color w:val="000000"/>
              </w:rPr>
            </w:pPr>
            <w:r w:rsidRPr="00381DC2">
              <w:rPr>
                <w:rFonts w:ascii="Times New Roman" w:hAnsi="Times New Roman"/>
                <w:color w:val="000000"/>
              </w:rPr>
              <w:t>200 mg/m</w:t>
            </w:r>
            <w:r w:rsidRPr="00381DC2">
              <w:rPr>
                <w:rFonts w:ascii="Times New Roman" w:hAnsi="Times New Roman"/>
                <w:color w:val="000000"/>
                <w:vertAlign w:val="superscript"/>
              </w:rPr>
              <w:t>2</w:t>
            </w:r>
            <w:r w:rsidRPr="00381DC2">
              <w:rPr>
                <w:rFonts w:ascii="Times New Roman" w:hAnsi="Times New Roman"/>
                <w:color w:val="000000"/>
              </w:rPr>
              <w:t xml:space="preserve"> </w:t>
            </w:r>
            <w:r w:rsidR="00D5294C" w:rsidRPr="00381DC2">
              <w:rPr>
                <w:rFonts w:ascii="Times New Roman" w:hAnsi="Times New Roman"/>
                <w:color w:val="000000"/>
              </w:rPr>
              <w:t>intravenózně</w:t>
            </w:r>
            <w:r w:rsidRPr="00381DC2">
              <w:rPr>
                <w:rFonts w:ascii="Times New Roman" w:hAnsi="Times New Roman"/>
                <w:color w:val="000000"/>
              </w:rPr>
              <w:t xml:space="preserve"> 2 h </w:t>
            </w:r>
          </w:p>
          <w:p w14:paraId="3D23E606" w14:textId="77777777" w:rsidR="003904CE" w:rsidRPr="00381DC2" w:rsidRDefault="009B0756" w:rsidP="006A2145">
            <w:pPr>
              <w:pStyle w:val="TableParagraph"/>
              <w:keepNext/>
              <w:keepLines/>
              <w:ind w:left="85"/>
              <w:rPr>
                <w:rFonts w:ascii="Times New Roman" w:hAnsi="Times New Roman"/>
                <w:color w:val="000000"/>
              </w:rPr>
            </w:pPr>
            <w:r w:rsidRPr="00381DC2">
              <w:rPr>
                <w:rFonts w:ascii="Times New Roman" w:hAnsi="Times New Roman"/>
                <w:color w:val="000000"/>
              </w:rPr>
              <w:t>400 mg/m</w:t>
            </w:r>
            <w:r w:rsidRPr="00381DC2">
              <w:rPr>
                <w:rFonts w:ascii="Times New Roman" w:hAnsi="Times New Roman"/>
                <w:color w:val="000000"/>
                <w:vertAlign w:val="superscript"/>
              </w:rPr>
              <w:t>2</w:t>
            </w:r>
            <w:r w:rsidR="00527928" w:rsidRPr="00381DC2">
              <w:rPr>
                <w:rFonts w:ascii="Times New Roman" w:hAnsi="Times New Roman"/>
                <w:color w:val="000000"/>
              </w:rPr>
              <w:t xml:space="preserve"> </w:t>
            </w:r>
            <w:r w:rsidR="00D5294C" w:rsidRPr="00381DC2">
              <w:rPr>
                <w:rFonts w:ascii="Times New Roman" w:hAnsi="Times New Roman"/>
                <w:color w:val="000000"/>
              </w:rPr>
              <w:t>intravenózně</w:t>
            </w:r>
            <w:r w:rsidRPr="00381DC2">
              <w:rPr>
                <w:rFonts w:ascii="Times New Roman" w:hAnsi="Times New Roman"/>
                <w:color w:val="000000"/>
              </w:rPr>
              <w:t xml:space="preserve"> bolus, </w:t>
            </w:r>
          </w:p>
          <w:p w14:paraId="253C52F8" w14:textId="77777777" w:rsidR="00D15122" w:rsidRPr="00381DC2" w:rsidRDefault="009B0756" w:rsidP="006A2145">
            <w:pPr>
              <w:pStyle w:val="TableParagraph"/>
              <w:keepNext/>
              <w:keepLines/>
              <w:ind w:left="85"/>
              <w:rPr>
                <w:rFonts w:ascii="Times New Roman" w:eastAsia="Times New Roman" w:hAnsi="Times New Roman"/>
                <w:color w:val="000000"/>
              </w:rPr>
            </w:pPr>
            <w:r w:rsidRPr="00381DC2">
              <w:rPr>
                <w:rFonts w:ascii="Times New Roman" w:hAnsi="Times New Roman"/>
                <w:color w:val="000000"/>
              </w:rPr>
              <w:t>600 mg/m</w:t>
            </w:r>
            <w:r w:rsidRPr="00381DC2">
              <w:rPr>
                <w:rFonts w:ascii="Times New Roman" w:hAnsi="Times New Roman"/>
                <w:color w:val="000000"/>
                <w:vertAlign w:val="superscript"/>
              </w:rPr>
              <w:t>2</w:t>
            </w:r>
            <w:r w:rsidR="00527928" w:rsidRPr="00381DC2">
              <w:rPr>
                <w:rFonts w:ascii="Times New Roman" w:hAnsi="Times New Roman"/>
                <w:color w:val="000000"/>
              </w:rPr>
              <w:t xml:space="preserve"> </w:t>
            </w:r>
            <w:r w:rsidR="00D5294C" w:rsidRPr="00381DC2">
              <w:rPr>
                <w:rFonts w:ascii="Times New Roman" w:hAnsi="Times New Roman"/>
                <w:color w:val="000000"/>
              </w:rPr>
              <w:t>intravenózně</w:t>
            </w:r>
            <w:r w:rsidRPr="00381DC2">
              <w:rPr>
                <w:rFonts w:ascii="Times New Roman" w:hAnsi="Times New Roman"/>
                <w:color w:val="000000"/>
              </w:rPr>
              <w:t xml:space="preserve"> 22 h</w:t>
            </w:r>
          </w:p>
        </w:tc>
        <w:tc>
          <w:tcPr>
            <w:tcW w:w="3088" w:type="dxa"/>
          </w:tcPr>
          <w:p w14:paraId="1647AA6B" w14:textId="77777777" w:rsidR="00207976" w:rsidRPr="00381DC2" w:rsidRDefault="009B0756" w:rsidP="006A2145">
            <w:pPr>
              <w:pStyle w:val="TableParagraph"/>
              <w:keepNext/>
              <w:keepLines/>
              <w:spacing w:after="120"/>
              <w:ind w:left="85" w:right="29"/>
              <w:rPr>
                <w:rFonts w:ascii="Times New Roman" w:hAnsi="Times New Roman"/>
                <w:color w:val="000000"/>
              </w:rPr>
            </w:pPr>
            <w:r w:rsidRPr="00381DC2">
              <w:rPr>
                <w:rFonts w:ascii="Times New Roman" w:hAnsi="Times New Roman"/>
                <w:color w:val="000000"/>
              </w:rPr>
              <w:t xml:space="preserve">Oxaliplatina den 1 </w:t>
            </w:r>
          </w:p>
          <w:p w14:paraId="566198CC" w14:textId="77777777" w:rsidR="00207976" w:rsidRPr="00381DC2" w:rsidRDefault="009B0756" w:rsidP="006A2145">
            <w:pPr>
              <w:pStyle w:val="TableParagraph"/>
              <w:keepNext/>
              <w:keepLines/>
              <w:spacing w:after="120"/>
              <w:ind w:left="85" w:right="29"/>
              <w:rPr>
                <w:rFonts w:ascii="Times New Roman" w:hAnsi="Times New Roman"/>
                <w:color w:val="000000"/>
              </w:rPr>
            </w:pPr>
            <w:r w:rsidRPr="00381DC2">
              <w:rPr>
                <w:rFonts w:ascii="Times New Roman" w:hAnsi="Times New Roman"/>
                <w:color w:val="000000"/>
              </w:rPr>
              <w:t xml:space="preserve">Leukovorin den 1 a 2 </w:t>
            </w:r>
          </w:p>
          <w:p w14:paraId="792FA059" w14:textId="77777777" w:rsidR="00D15122" w:rsidRPr="00381DC2" w:rsidRDefault="009B0756" w:rsidP="006A2145">
            <w:pPr>
              <w:pStyle w:val="TableParagraph"/>
              <w:keepNext/>
              <w:keepLines/>
              <w:spacing w:line="273" w:lineRule="auto"/>
              <w:ind w:left="85" w:right="33"/>
              <w:rPr>
                <w:rFonts w:ascii="Times New Roman" w:eastAsia="Times New Roman" w:hAnsi="Times New Roman"/>
                <w:color w:val="000000"/>
              </w:rPr>
            </w:pPr>
            <w:r w:rsidRPr="00381DC2">
              <w:rPr>
                <w:rFonts w:ascii="Times New Roman" w:hAnsi="Times New Roman"/>
                <w:color w:val="000000"/>
              </w:rPr>
              <w:t xml:space="preserve">fluoruracil </w:t>
            </w:r>
            <w:r w:rsidR="00D5294C" w:rsidRPr="00381DC2">
              <w:rPr>
                <w:rFonts w:ascii="Times New Roman" w:hAnsi="Times New Roman"/>
                <w:color w:val="000000"/>
              </w:rPr>
              <w:t>intravenózní</w:t>
            </w:r>
            <w:r w:rsidRPr="00381DC2">
              <w:rPr>
                <w:rFonts w:ascii="Times New Roman" w:hAnsi="Times New Roman"/>
                <w:color w:val="000000"/>
              </w:rPr>
              <w:t xml:space="preserve"> bolus/infuze, obojí den 1 a 2</w:t>
            </w:r>
          </w:p>
        </w:tc>
      </w:tr>
      <w:tr w:rsidR="00D15122" w:rsidRPr="00F60460" w14:paraId="014C224E" w14:textId="77777777" w:rsidTr="006A2145">
        <w:tc>
          <w:tcPr>
            <w:tcW w:w="1445" w:type="dxa"/>
            <w:vMerge/>
          </w:tcPr>
          <w:p w14:paraId="0C5FD311" w14:textId="77777777" w:rsidR="00D15122" w:rsidRPr="00381DC2" w:rsidRDefault="00D15122" w:rsidP="006A2145">
            <w:pPr>
              <w:keepNext/>
              <w:keepLines/>
              <w:rPr>
                <w:rFonts w:ascii="Times New Roman" w:hAnsi="Times New Roman"/>
                <w:color w:val="000000"/>
              </w:rPr>
            </w:pPr>
          </w:p>
        </w:tc>
        <w:tc>
          <w:tcPr>
            <w:tcW w:w="1646" w:type="dxa"/>
          </w:tcPr>
          <w:p w14:paraId="5330FD5B" w14:textId="77777777" w:rsidR="00D15122" w:rsidRPr="00381DC2" w:rsidRDefault="009B0756" w:rsidP="006A2145">
            <w:pPr>
              <w:pStyle w:val="TableParagraph"/>
              <w:keepNext/>
              <w:keepLines/>
              <w:ind w:left="111" w:right="274"/>
              <w:rPr>
                <w:rFonts w:ascii="Times New Roman" w:eastAsia="Times New Roman" w:hAnsi="Times New Roman"/>
                <w:color w:val="000000"/>
              </w:rPr>
            </w:pPr>
            <w:r w:rsidRPr="00381DC2">
              <w:rPr>
                <w:rFonts w:ascii="Times New Roman" w:hAnsi="Times New Roman"/>
                <w:color w:val="000000"/>
              </w:rPr>
              <w:t>Placebo nebo bevacizumab</w:t>
            </w:r>
          </w:p>
        </w:tc>
        <w:tc>
          <w:tcPr>
            <w:tcW w:w="2250" w:type="dxa"/>
          </w:tcPr>
          <w:p w14:paraId="19745F28" w14:textId="77777777" w:rsidR="00D15122" w:rsidRPr="00381DC2" w:rsidRDefault="009B0756" w:rsidP="006A2145">
            <w:pPr>
              <w:pStyle w:val="TableParagraph"/>
              <w:keepNext/>
              <w:keepLines/>
              <w:spacing w:line="238" w:lineRule="exact"/>
              <w:ind w:left="85" w:right="457"/>
              <w:rPr>
                <w:rFonts w:ascii="Times New Roman" w:eastAsia="Times New Roman" w:hAnsi="Times New Roman"/>
                <w:color w:val="000000"/>
              </w:rPr>
            </w:pPr>
            <w:r w:rsidRPr="00381DC2">
              <w:rPr>
                <w:rFonts w:ascii="Times New Roman" w:hAnsi="Times New Roman"/>
                <w:color w:val="000000"/>
              </w:rPr>
              <w:t xml:space="preserve">5 mg/kg </w:t>
            </w:r>
            <w:r w:rsidR="00D5294C" w:rsidRPr="00381DC2">
              <w:rPr>
                <w:rFonts w:ascii="Times New Roman" w:hAnsi="Times New Roman"/>
                <w:color w:val="000000"/>
              </w:rPr>
              <w:t>intravenózně</w:t>
            </w:r>
            <w:r w:rsidRPr="00381DC2">
              <w:rPr>
                <w:rFonts w:ascii="Times New Roman" w:hAnsi="Times New Roman"/>
                <w:color w:val="000000"/>
              </w:rPr>
              <w:t xml:space="preserve"> 30–90 min</w:t>
            </w:r>
          </w:p>
        </w:tc>
        <w:tc>
          <w:tcPr>
            <w:tcW w:w="3088" w:type="dxa"/>
          </w:tcPr>
          <w:p w14:paraId="207345DE" w14:textId="77777777" w:rsidR="00D15122" w:rsidRPr="00381DC2" w:rsidRDefault="009B0756" w:rsidP="006A2145">
            <w:pPr>
              <w:pStyle w:val="TableParagraph"/>
              <w:keepNext/>
              <w:keepLines/>
              <w:spacing w:line="238" w:lineRule="exact"/>
              <w:ind w:left="85" w:right="546"/>
              <w:rPr>
                <w:rFonts w:ascii="Times New Roman" w:eastAsia="Times New Roman" w:hAnsi="Times New Roman"/>
                <w:color w:val="000000"/>
              </w:rPr>
            </w:pPr>
            <w:r w:rsidRPr="00381DC2">
              <w:rPr>
                <w:rFonts w:ascii="Times New Roman" w:hAnsi="Times New Roman"/>
                <w:color w:val="000000"/>
              </w:rPr>
              <w:t>Den 1, před FOLFOX-4, každé 2 týdny</w:t>
            </w:r>
          </w:p>
        </w:tc>
      </w:tr>
      <w:tr w:rsidR="00D15122" w:rsidRPr="00F60460" w14:paraId="2C3F9443" w14:textId="77777777" w:rsidTr="006A2145">
        <w:tc>
          <w:tcPr>
            <w:tcW w:w="1445" w:type="dxa"/>
            <w:vMerge w:val="restart"/>
          </w:tcPr>
          <w:p w14:paraId="60CCB6D7" w14:textId="77777777" w:rsidR="00D15122" w:rsidRPr="00381DC2" w:rsidRDefault="009B0756" w:rsidP="006A2145">
            <w:pPr>
              <w:pStyle w:val="TableParagraph"/>
              <w:keepNext/>
              <w:keepLines/>
              <w:jc w:val="center"/>
              <w:rPr>
                <w:rFonts w:ascii="Times New Roman" w:hAnsi="Times New Roman"/>
                <w:color w:val="000000"/>
              </w:rPr>
            </w:pPr>
            <w:r w:rsidRPr="00381DC2">
              <w:rPr>
                <w:rFonts w:ascii="Times New Roman" w:hAnsi="Times New Roman"/>
                <w:color w:val="000000"/>
              </w:rPr>
              <w:t>XELOX</w:t>
            </w:r>
          </w:p>
          <w:p w14:paraId="288F5244" w14:textId="77777777" w:rsidR="00D15122" w:rsidRPr="00381DC2" w:rsidRDefault="009B0756" w:rsidP="006A2145">
            <w:pPr>
              <w:pStyle w:val="TableParagraph"/>
              <w:keepNext/>
              <w:keepLines/>
              <w:jc w:val="center"/>
              <w:rPr>
                <w:rFonts w:ascii="Times New Roman" w:hAnsi="Times New Roman"/>
                <w:color w:val="000000"/>
              </w:rPr>
            </w:pPr>
            <w:r w:rsidRPr="00381DC2">
              <w:rPr>
                <w:rFonts w:ascii="Times New Roman" w:hAnsi="Times New Roman"/>
                <w:color w:val="000000"/>
              </w:rPr>
              <w:t>nebo XELOX +</w:t>
            </w:r>
          </w:p>
          <w:p w14:paraId="1D53B8D2" w14:textId="77777777" w:rsidR="00D15122" w:rsidRPr="00381DC2" w:rsidRDefault="00022607" w:rsidP="006A2145">
            <w:pPr>
              <w:pStyle w:val="TableParagraph"/>
              <w:keepNext/>
              <w:keepLines/>
              <w:jc w:val="center"/>
              <w:rPr>
                <w:rFonts w:ascii="Times New Roman" w:eastAsia="Times New Roman" w:hAnsi="Times New Roman"/>
                <w:color w:val="000000"/>
              </w:rPr>
            </w:pPr>
            <w:r w:rsidRPr="00381DC2">
              <w:rPr>
                <w:rFonts w:ascii="Times New Roman" w:hAnsi="Times New Roman"/>
                <w:color w:val="000000"/>
              </w:rPr>
              <w:t>bevacizumab</w:t>
            </w:r>
          </w:p>
        </w:tc>
        <w:tc>
          <w:tcPr>
            <w:tcW w:w="1646" w:type="dxa"/>
          </w:tcPr>
          <w:p w14:paraId="2FE61A05" w14:textId="77777777" w:rsidR="00B15D97" w:rsidRPr="00381DC2" w:rsidRDefault="009B0756" w:rsidP="006A2145">
            <w:pPr>
              <w:pStyle w:val="TableParagraph"/>
              <w:keepNext/>
              <w:keepLines/>
              <w:spacing w:after="120"/>
              <w:ind w:left="111" w:right="29"/>
              <w:rPr>
                <w:rFonts w:ascii="Times New Roman" w:hAnsi="Times New Roman"/>
                <w:color w:val="000000"/>
              </w:rPr>
            </w:pPr>
            <w:r w:rsidRPr="00381DC2">
              <w:rPr>
                <w:rFonts w:ascii="Times New Roman" w:hAnsi="Times New Roman"/>
                <w:color w:val="000000"/>
              </w:rPr>
              <w:t xml:space="preserve">Oxaliplatina </w:t>
            </w:r>
          </w:p>
          <w:p w14:paraId="29810178" w14:textId="77777777" w:rsidR="00D15122" w:rsidRPr="00381DC2" w:rsidRDefault="009B0756" w:rsidP="006A2145">
            <w:pPr>
              <w:pStyle w:val="TableParagraph"/>
              <w:keepNext/>
              <w:keepLines/>
              <w:spacing w:after="120"/>
              <w:ind w:left="111" w:right="29"/>
              <w:rPr>
                <w:rFonts w:ascii="Times New Roman" w:eastAsia="Times New Roman" w:hAnsi="Times New Roman"/>
                <w:color w:val="000000"/>
              </w:rPr>
            </w:pPr>
            <w:r w:rsidRPr="00381DC2">
              <w:rPr>
                <w:rFonts w:ascii="Times New Roman" w:hAnsi="Times New Roman"/>
                <w:color w:val="000000"/>
              </w:rPr>
              <w:t>Kapecitabin</w:t>
            </w:r>
          </w:p>
        </w:tc>
        <w:tc>
          <w:tcPr>
            <w:tcW w:w="2250" w:type="dxa"/>
          </w:tcPr>
          <w:p w14:paraId="55220F4A" w14:textId="77777777" w:rsidR="00B15D97" w:rsidRPr="00381DC2" w:rsidRDefault="009B0756" w:rsidP="006A2145">
            <w:pPr>
              <w:pStyle w:val="TableParagraph"/>
              <w:keepNext/>
              <w:keepLines/>
              <w:spacing w:after="120"/>
              <w:ind w:left="85" w:right="29"/>
              <w:rPr>
                <w:rFonts w:ascii="Times New Roman" w:hAnsi="Times New Roman"/>
                <w:color w:val="000000"/>
              </w:rPr>
            </w:pPr>
            <w:r w:rsidRPr="00381DC2">
              <w:rPr>
                <w:rFonts w:ascii="Times New Roman" w:hAnsi="Times New Roman"/>
                <w:color w:val="000000"/>
              </w:rPr>
              <w:t>130 mg/m</w:t>
            </w:r>
            <w:r w:rsidRPr="00381DC2">
              <w:rPr>
                <w:rFonts w:ascii="Times New Roman" w:hAnsi="Times New Roman"/>
                <w:color w:val="000000"/>
                <w:vertAlign w:val="superscript"/>
              </w:rPr>
              <w:t>2</w:t>
            </w:r>
            <w:r w:rsidRPr="00381DC2">
              <w:rPr>
                <w:rFonts w:ascii="Times New Roman" w:hAnsi="Times New Roman"/>
                <w:color w:val="000000"/>
              </w:rPr>
              <w:t xml:space="preserve"> </w:t>
            </w:r>
            <w:r w:rsidR="00D5294C" w:rsidRPr="00381DC2">
              <w:rPr>
                <w:rFonts w:ascii="Times New Roman" w:hAnsi="Times New Roman"/>
                <w:color w:val="000000"/>
              </w:rPr>
              <w:t>intravenózně</w:t>
            </w:r>
            <w:r w:rsidRPr="00381DC2">
              <w:rPr>
                <w:rFonts w:ascii="Times New Roman" w:hAnsi="Times New Roman"/>
                <w:color w:val="000000"/>
              </w:rPr>
              <w:t xml:space="preserve"> 2 h </w:t>
            </w:r>
          </w:p>
          <w:p w14:paraId="16B17AA7" w14:textId="77777777" w:rsidR="00D15122" w:rsidRPr="00381DC2" w:rsidRDefault="009B0756" w:rsidP="006A2145">
            <w:pPr>
              <w:pStyle w:val="TableParagraph"/>
              <w:keepNext/>
              <w:keepLines/>
              <w:spacing w:after="120"/>
              <w:ind w:left="85" w:right="29"/>
              <w:rPr>
                <w:rFonts w:ascii="Times New Roman" w:eastAsia="Times New Roman" w:hAnsi="Times New Roman"/>
                <w:color w:val="000000"/>
              </w:rPr>
            </w:pPr>
            <w:r w:rsidRPr="00381DC2">
              <w:rPr>
                <w:rFonts w:ascii="Times New Roman" w:hAnsi="Times New Roman"/>
                <w:color w:val="000000"/>
              </w:rPr>
              <w:t>1000 mg/m</w:t>
            </w:r>
            <w:r w:rsidRPr="00381DC2">
              <w:rPr>
                <w:rFonts w:ascii="Times New Roman" w:hAnsi="Times New Roman"/>
                <w:color w:val="000000"/>
                <w:vertAlign w:val="superscript"/>
              </w:rPr>
              <w:t>2</w:t>
            </w:r>
            <w:r w:rsidRPr="00381DC2">
              <w:rPr>
                <w:rFonts w:ascii="Times New Roman" w:hAnsi="Times New Roman"/>
                <w:color w:val="000000"/>
              </w:rPr>
              <w:t xml:space="preserve"> perorálně dvakrát denně</w:t>
            </w:r>
          </w:p>
        </w:tc>
        <w:tc>
          <w:tcPr>
            <w:tcW w:w="3088" w:type="dxa"/>
          </w:tcPr>
          <w:p w14:paraId="31BB1A4E" w14:textId="77777777" w:rsidR="00B15D97" w:rsidRPr="00381DC2" w:rsidRDefault="009B0756" w:rsidP="006A2145">
            <w:pPr>
              <w:pStyle w:val="TableParagraph"/>
              <w:keepNext/>
              <w:keepLines/>
              <w:spacing w:after="120" w:line="252" w:lineRule="auto"/>
              <w:ind w:left="85" w:right="259"/>
              <w:rPr>
                <w:rFonts w:ascii="Times New Roman" w:hAnsi="Times New Roman"/>
                <w:color w:val="000000"/>
              </w:rPr>
            </w:pPr>
            <w:r w:rsidRPr="00381DC2">
              <w:rPr>
                <w:rFonts w:ascii="Times New Roman" w:hAnsi="Times New Roman"/>
                <w:color w:val="000000"/>
              </w:rPr>
              <w:t xml:space="preserve">Oxaliplatina den 1 </w:t>
            </w:r>
          </w:p>
          <w:p w14:paraId="71ED00AB" w14:textId="77777777" w:rsidR="00D15122" w:rsidRPr="00381DC2" w:rsidRDefault="009B0756" w:rsidP="006A2145">
            <w:pPr>
              <w:pStyle w:val="TableParagraph"/>
              <w:keepNext/>
              <w:keepLines/>
              <w:spacing w:after="120" w:line="252" w:lineRule="auto"/>
              <w:ind w:left="85" w:right="259"/>
              <w:rPr>
                <w:rFonts w:ascii="Times New Roman" w:eastAsia="Times New Roman" w:hAnsi="Times New Roman"/>
                <w:color w:val="000000"/>
              </w:rPr>
            </w:pPr>
            <w:r w:rsidRPr="00381DC2">
              <w:rPr>
                <w:rFonts w:ascii="Times New Roman" w:hAnsi="Times New Roman"/>
                <w:color w:val="000000"/>
              </w:rPr>
              <w:t xml:space="preserve">Kapecitabin perorálně </w:t>
            </w:r>
            <w:r w:rsidR="00700849" w:rsidRPr="00381DC2">
              <w:rPr>
                <w:rFonts w:ascii="Times New Roman" w:hAnsi="Times New Roman"/>
                <w:color w:val="000000"/>
              </w:rPr>
              <w:t xml:space="preserve">dvakrát denně </w:t>
            </w:r>
            <w:r w:rsidRPr="00381DC2">
              <w:rPr>
                <w:rFonts w:ascii="Times New Roman" w:hAnsi="Times New Roman"/>
                <w:color w:val="000000"/>
              </w:rPr>
              <w:t>po dobu 2 týdnů (následně 1 týden bez léčby)</w:t>
            </w:r>
          </w:p>
        </w:tc>
      </w:tr>
      <w:tr w:rsidR="00D15122" w:rsidRPr="00F60460" w14:paraId="1E5ED085" w14:textId="77777777" w:rsidTr="006A2145">
        <w:tc>
          <w:tcPr>
            <w:tcW w:w="1445" w:type="dxa"/>
            <w:vMerge/>
          </w:tcPr>
          <w:p w14:paraId="1E2796CC" w14:textId="77777777" w:rsidR="00D15122" w:rsidRPr="00381DC2" w:rsidRDefault="00D15122" w:rsidP="004822DC">
            <w:pPr>
              <w:rPr>
                <w:rFonts w:ascii="Times New Roman" w:hAnsi="Times New Roman"/>
                <w:color w:val="000000"/>
              </w:rPr>
            </w:pPr>
          </w:p>
        </w:tc>
        <w:tc>
          <w:tcPr>
            <w:tcW w:w="1646" w:type="dxa"/>
          </w:tcPr>
          <w:p w14:paraId="6FD0DC62" w14:textId="77777777" w:rsidR="00D15122" w:rsidRPr="00381DC2" w:rsidRDefault="009B0756" w:rsidP="004822DC">
            <w:pPr>
              <w:pStyle w:val="TableParagraph"/>
              <w:ind w:left="111" w:right="274"/>
              <w:rPr>
                <w:rFonts w:ascii="Times New Roman" w:eastAsia="Times New Roman" w:hAnsi="Times New Roman"/>
                <w:color w:val="000000"/>
              </w:rPr>
            </w:pPr>
            <w:r w:rsidRPr="00381DC2">
              <w:rPr>
                <w:rFonts w:ascii="Times New Roman" w:hAnsi="Times New Roman"/>
                <w:color w:val="000000"/>
              </w:rPr>
              <w:t>Placebo nebo bevacizumab</w:t>
            </w:r>
          </w:p>
        </w:tc>
        <w:tc>
          <w:tcPr>
            <w:tcW w:w="2250" w:type="dxa"/>
          </w:tcPr>
          <w:p w14:paraId="3AA3985C" w14:textId="77777777" w:rsidR="00D15122" w:rsidRPr="00381DC2" w:rsidRDefault="009B0756" w:rsidP="004822DC">
            <w:pPr>
              <w:pStyle w:val="TableParagraph"/>
              <w:spacing w:line="240" w:lineRule="exact"/>
              <w:ind w:left="85" w:right="292"/>
              <w:rPr>
                <w:rFonts w:ascii="Times New Roman" w:eastAsia="Times New Roman" w:hAnsi="Times New Roman"/>
                <w:color w:val="000000"/>
              </w:rPr>
            </w:pPr>
            <w:r w:rsidRPr="00381DC2">
              <w:rPr>
                <w:rFonts w:ascii="Times New Roman" w:hAnsi="Times New Roman"/>
                <w:color w:val="000000"/>
              </w:rPr>
              <w:t xml:space="preserve">7,5 mg/kg </w:t>
            </w:r>
            <w:r w:rsidR="00D5294C" w:rsidRPr="00381DC2">
              <w:rPr>
                <w:rFonts w:ascii="Times New Roman" w:hAnsi="Times New Roman"/>
                <w:color w:val="000000"/>
              </w:rPr>
              <w:t>intravenózně</w:t>
            </w:r>
            <w:r w:rsidRPr="00381DC2">
              <w:rPr>
                <w:rFonts w:ascii="Times New Roman" w:hAnsi="Times New Roman"/>
                <w:color w:val="000000"/>
              </w:rPr>
              <w:t xml:space="preserve"> 30–90 min</w:t>
            </w:r>
          </w:p>
        </w:tc>
        <w:tc>
          <w:tcPr>
            <w:tcW w:w="3088" w:type="dxa"/>
          </w:tcPr>
          <w:p w14:paraId="3118C588" w14:textId="77777777" w:rsidR="00D15122" w:rsidRPr="00381DC2" w:rsidRDefault="009B0756" w:rsidP="004822DC">
            <w:pPr>
              <w:pStyle w:val="TableParagraph"/>
              <w:spacing w:line="240" w:lineRule="exact"/>
              <w:ind w:left="85" w:right="671"/>
              <w:rPr>
                <w:rFonts w:ascii="Times New Roman" w:eastAsia="Times New Roman" w:hAnsi="Times New Roman"/>
                <w:color w:val="000000"/>
              </w:rPr>
            </w:pPr>
            <w:r w:rsidRPr="00381DC2">
              <w:rPr>
                <w:rFonts w:ascii="Times New Roman" w:hAnsi="Times New Roman"/>
                <w:color w:val="000000"/>
              </w:rPr>
              <w:t>Den 1, před XELOX, každé 3 týdny</w:t>
            </w:r>
          </w:p>
        </w:tc>
      </w:tr>
      <w:tr w:rsidR="00D15122" w:rsidRPr="00F60460" w14:paraId="56BC011B" w14:textId="77777777" w:rsidTr="006A2145">
        <w:tc>
          <w:tcPr>
            <w:tcW w:w="8429" w:type="dxa"/>
            <w:gridSpan w:val="4"/>
          </w:tcPr>
          <w:p w14:paraId="36723730" w14:textId="77777777" w:rsidR="00D15122" w:rsidRPr="00381DC2" w:rsidRDefault="00860935">
            <w:pPr>
              <w:pStyle w:val="TableParagraph"/>
              <w:tabs>
                <w:tab w:val="left" w:pos="1798"/>
              </w:tabs>
              <w:rPr>
                <w:rFonts w:ascii="Times New Roman" w:eastAsia="Times New Roman" w:hAnsi="Times New Roman"/>
                <w:color w:val="000000"/>
              </w:rPr>
            </w:pPr>
            <w:r w:rsidRPr="00381DC2">
              <w:rPr>
                <w:rFonts w:ascii="Times New Roman" w:hAnsi="Times New Roman"/>
                <w:color w:val="000000"/>
              </w:rPr>
              <w:t>5-F</w:t>
            </w:r>
            <w:r w:rsidR="009B0756" w:rsidRPr="00381DC2">
              <w:rPr>
                <w:rFonts w:ascii="Times New Roman" w:hAnsi="Times New Roman"/>
                <w:color w:val="000000"/>
              </w:rPr>
              <w:t>luor</w:t>
            </w:r>
            <w:r w:rsidRPr="00381DC2">
              <w:rPr>
                <w:rFonts w:ascii="Times New Roman" w:hAnsi="Times New Roman"/>
                <w:color w:val="000000"/>
              </w:rPr>
              <w:t>o</w:t>
            </w:r>
            <w:r w:rsidR="009B0756" w:rsidRPr="00381DC2">
              <w:rPr>
                <w:rFonts w:ascii="Times New Roman" w:hAnsi="Times New Roman"/>
                <w:color w:val="000000"/>
              </w:rPr>
              <w:t>uracil:</w:t>
            </w:r>
            <w:r w:rsidR="009B0756" w:rsidRPr="00381DC2">
              <w:rPr>
                <w:rFonts w:ascii="Times New Roman" w:hAnsi="Times New Roman"/>
                <w:color w:val="000000"/>
              </w:rPr>
              <w:tab/>
            </w:r>
            <w:r w:rsidR="00D5294C" w:rsidRPr="00381DC2">
              <w:rPr>
                <w:rFonts w:ascii="Times New Roman" w:hAnsi="Times New Roman"/>
                <w:color w:val="000000"/>
              </w:rPr>
              <w:t>intravenózní</w:t>
            </w:r>
            <w:r w:rsidR="009B0756" w:rsidRPr="00381DC2">
              <w:rPr>
                <w:rFonts w:ascii="Times New Roman" w:hAnsi="Times New Roman"/>
                <w:color w:val="000000"/>
              </w:rPr>
              <w:t xml:space="preserve"> bolus</w:t>
            </w:r>
            <w:r w:rsidR="00700849" w:rsidRPr="00381DC2">
              <w:rPr>
                <w:rFonts w:ascii="Times New Roman" w:hAnsi="Times New Roman"/>
                <w:color w:val="000000"/>
              </w:rPr>
              <w:t>ová injekce</w:t>
            </w:r>
            <w:r w:rsidR="009B0756" w:rsidRPr="00381DC2">
              <w:rPr>
                <w:rFonts w:ascii="Times New Roman" w:hAnsi="Times New Roman"/>
                <w:color w:val="000000"/>
              </w:rPr>
              <w:t xml:space="preserve"> bezprostředně po leukovorinu</w:t>
            </w:r>
          </w:p>
        </w:tc>
      </w:tr>
    </w:tbl>
    <w:p w14:paraId="05834C64" w14:textId="77777777" w:rsidR="00D15122" w:rsidRPr="00381DC2" w:rsidRDefault="00D15122" w:rsidP="007F6E1B">
      <w:pPr>
        <w:rPr>
          <w:rFonts w:ascii="Times New Roman" w:eastAsia="Times New Roman" w:hAnsi="Times New Roman"/>
          <w:bCs/>
          <w:color w:val="000000"/>
        </w:rPr>
      </w:pPr>
    </w:p>
    <w:p w14:paraId="19165B2B" w14:textId="77777777" w:rsidR="00D15122" w:rsidRPr="00381DC2" w:rsidRDefault="009B0756" w:rsidP="007F6E1B">
      <w:pPr>
        <w:pStyle w:val="BodyText"/>
        <w:ind w:left="0" w:right="157"/>
        <w:rPr>
          <w:color w:val="000000"/>
        </w:rPr>
      </w:pPr>
      <w:r w:rsidRPr="00381DC2">
        <w:rPr>
          <w:color w:val="000000"/>
        </w:rPr>
        <w:t xml:space="preserve">Primárním parametrem účinnosti </w:t>
      </w:r>
      <w:r w:rsidR="00F706F5" w:rsidRPr="00381DC2">
        <w:rPr>
          <w:color w:val="000000"/>
        </w:rPr>
        <w:t xml:space="preserve">v tomto hodnocení </w:t>
      </w:r>
      <w:r w:rsidRPr="00381DC2">
        <w:rPr>
          <w:color w:val="000000"/>
        </w:rPr>
        <w:t xml:space="preserve">byla doba </w:t>
      </w:r>
      <w:r w:rsidR="00700849" w:rsidRPr="00381DC2">
        <w:rPr>
          <w:color w:val="000000"/>
        </w:rPr>
        <w:t xml:space="preserve">přežití </w:t>
      </w:r>
      <w:r w:rsidRPr="00381DC2">
        <w:rPr>
          <w:color w:val="000000"/>
        </w:rPr>
        <w:t>bez progrese. Toto hodnocení mělo dva primární cíle: prokázat, že XELOX</w:t>
      </w:r>
      <w:r w:rsidR="00527928" w:rsidRPr="00381DC2">
        <w:rPr>
          <w:color w:val="000000"/>
        </w:rPr>
        <w:t xml:space="preserve"> je</w:t>
      </w:r>
      <w:r w:rsidRPr="00381DC2">
        <w:rPr>
          <w:color w:val="000000"/>
        </w:rPr>
        <w:t xml:space="preserve"> </w:t>
      </w:r>
      <w:r w:rsidR="00DB62BD" w:rsidRPr="00381DC2">
        <w:rPr>
          <w:color w:val="000000"/>
        </w:rPr>
        <w:t xml:space="preserve">non-inferiorní vůči </w:t>
      </w:r>
      <w:r w:rsidRPr="00381DC2">
        <w:rPr>
          <w:color w:val="000000"/>
        </w:rPr>
        <w:t xml:space="preserve">FOLFOX-4, a prokázat, že bevacizumab v kombinaci s chemoterapií FOLFOX-4 nebo XELOX je </w:t>
      </w:r>
      <w:r w:rsidR="00DB62BD" w:rsidRPr="00381DC2">
        <w:rPr>
          <w:color w:val="000000"/>
        </w:rPr>
        <w:t xml:space="preserve">superiorní vůči </w:t>
      </w:r>
      <w:r w:rsidRPr="00381DC2">
        <w:rPr>
          <w:color w:val="000000"/>
        </w:rPr>
        <w:t>chemoterapi</w:t>
      </w:r>
      <w:r w:rsidR="00DB62BD" w:rsidRPr="00381DC2">
        <w:rPr>
          <w:color w:val="000000"/>
        </w:rPr>
        <w:t>i</w:t>
      </w:r>
      <w:r w:rsidRPr="00381DC2">
        <w:rPr>
          <w:color w:val="000000"/>
        </w:rPr>
        <w:t xml:space="preserve"> samotn</w:t>
      </w:r>
      <w:r w:rsidR="00DB62BD" w:rsidRPr="00381DC2">
        <w:rPr>
          <w:color w:val="000000"/>
        </w:rPr>
        <w:t>é</w:t>
      </w:r>
      <w:r w:rsidRPr="00381DC2">
        <w:rPr>
          <w:color w:val="000000"/>
        </w:rPr>
        <w:t>. Oba tyto primární cíle byly splněny:</w:t>
      </w:r>
    </w:p>
    <w:p w14:paraId="09B43500" w14:textId="77777777" w:rsidR="00D15122" w:rsidRPr="00381DC2" w:rsidRDefault="00D15122" w:rsidP="007F6E1B">
      <w:pPr>
        <w:rPr>
          <w:rFonts w:ascii="Times New Roman" w:eastAsia="Times New Roman" w:hAnsi="Times New Roman"/>
          <w:color w:val="000000"/>
        </w:rPr>
      </w:pPr>
    </w:p>
    <w:p w14:paraId="6161F333" w14:textId="77777777" w:rsidR="00D15122" w:rsidRPr="00381DC2" w:rsidRDefault="009B0756" w:rsidP="00E93E96">
      <w:pPr>
        <w:pStyle w:val="BodyText"/>
        <w:numPr>
          <w:ilvl w:val="0"/>
          <w:numId w:val="32"/>
        </w:numPr>
        <w:tabs>
          <w:tab w:val="left" w:pos="719"/>
        </w:tabs>
        <w:ind w:right="157"/>
        <w:rPr>
          <w:color w:val="000000"/>
        </w:rPr>
      </w:pPr>
      <w:r w:rsidRPr="00381DC2">
        <w:rPr>
          <w:color w:val="000000"/>
        </w:rPr>
        <w:t>Byla prokázána non-inferiorita ramen s režimem XELOX ve srovnání s rameny s režimem FOLFOX-4 při celkovém porovnání přežití bez progrese a celkového přežití u hodnotitelné populace, která dokončila studii podle protokolu.</w:t>
      </w:r>
    </w:p>
    <w:p w14:paraId="05BBE032" w14:textId="77777777" w:rsidR="00D15122" w:rsidRPr="00381DC2" w:rsidRDefault="00D15122" w:rsidP="00E93E96">
      <w:pPr>
        <w:ind w:left="90" w:firstLine="619"/>
        <w:rPr>
          <w:rFonts w:ascii="Times New Roman" w:eastAsia="Times New Roman" w:hAnsi="Times New Roman"/>
          <w:color w:val="000000"/>
        </w:rPr>
      </w:pPr>
    </w:p>
    <w:p w14:paraId="13948A86" w14:textId="77777777" w:rsidR="00D15122" w:rsidRPr="00381DC2" w:rsidRDefault="009B0756" w:rsidP="00E93E96">
      <w:pPr>
        <w:pStyle w:val="BodyText"/>
        <w:numPr>
          <w:ilvl w:val="0"/>
          <w:numId w:val="32"/>
        </w:numPr>
        <w:tabs>
          <w:tab w:val="left" w:pos="719"/>
        </w:tabs>
        <w:ind w:right="317"/>
        <w:rPr>
          <w:color w:val="000000"/>
        </w:rPr>
      </w:pPr>
      <w:r w:rsidRPr="00381DC2">
        <w:rPr>
          <w:color w:val="000000"/>
        </w:rPr>
        <w:t>Superiorita ramen obsahujících bevacizumab ve srovnání s</w:t>
      </w:r>
      <w:r w:rsidR="00DB62BD" w:rsidRPr="00381DC2">
        <w:rPr>
          <w:color w:val="000000"/>
        </w:rPr>
        <w:t> rameny se</w:t>
      </w:r>
      <w:r w:rsidRPr="00381DC2">
        <w:rPr>
          <w:color w:val="000000"/>
        </w:rPr>
        <w:t xml:space="preserve"> samotnou chemoterapií byla prokázána při </w:t>
      </w:r>
      <w:r w:rsidR="00DB62BD" w:rsidRPr="00381DC2">
        <w:rPr>
          <w:color w:val="000000"/>
        </w:rPr>
        <w:t xml:space="preserve">celkovém porovnání </w:t>
      </w:r>
      <w:r w:rsidRPr="00381DC2">
        <w:rPr>
          <w:color w:val="000000"/>
        </w:rPr>
        <w:t xml:space="preserve">přežití bez progrese </w:t>
      </w:r>
      <w:r w:rsidR="00AB0F5A" w:rsidRPr="00381DC2">
        <w:rPr>
          <w:color w:val="000000"/>
        </w:rPr>
        <w:t xml:space="preserve">celé ITT (Intent-to-Treat) populace </w:t>
      </w:r>
      <w:r w:rsidRPr="00381DC2">
        <w:rPr>
          <w:color w:val="000000"/>
        </w:rPr>
        <w:t>(</w:t>
      </w:r>
      <w:r w:rsidR="005E6C8E" w:rsidRPr="00381DC2">
        <w:rPr>
          <w:color w:val="000000"/>
        </w:rPr>
        <w:t>t</w:t>
      </w:r>
      <w:r w:rsidRPr="00381DC2">
        <w:rPr>
          <w:color w:val="000000"/>
        </w:rPr>
        <w:t>abulka 7).</w:t>
      </w:r>
    </w:p>
    <w:p w14:paraId="4492FE89" w14:textId="77777777" w:rsidR="00D15122" w:rsidRPr="00381DC2" w:rsidRDefault="00D15122" w:rsidP="00801A56">
      <w:pPr>
        <w:rPr>
          <w:rFonts w:ascii="Times New Roman" w:eastAsia="Times New Roman" w:hAnsi="Times New Roman"/>
          <w:color w:val="000000"/>
        </w:rPr>
      </w:pPr>
    </w:p>
    <w:p w14:paraId="563BAF07" w14:textId="77777777" w:rsidR="00D15122" w:rsidRPr="00381DC2" w:rsidRDefault="009B0756" w:rsidP="007F6E1B">
      <w:pPr>
        <w:pStyle w:val="BodyText"/>
        <w:ind w:left="0" w:right="157"/>
        <w:rPr>
          <w:color w:val="000000"/>
        </w:rPr>
      </w:pPr>
      <w:r w:rsidRPr="00381DC2">
        <w:rPr>
          <w:color w:val="000000"/>
        </w:rPr>
        <w:t xml:space="preserve">Sekundární analýzy přežití bez progrese založené na hodnocení odpovědi „na léčbě“ potvrdily významně </w:t>
      </w:r>
      <w:r w:rsidR="00AB0F5A" w:rsidRPr="00381DC2">
        <w:rPr>
          <w:color w:val="000000"/>
        </w:rPr>
        <w:t xml:space="preserve">superiorní </w:t>
      </w:r>
      <w:r w:rsidRPr="00381DC2">
        <w:rPr>
          <w:color w:val="000000"/>
        </w:rPr>
        <w:t xml:space="preserve">klinický </w:t>
      </w:r>
      <w:r w:rsidR="00AB0F5A" w:rsidRPr="00381DC2">
        <w:rPr>
          <w:color w:val="000000"/>
        </w:rPr>
        <w:t xml:space="preserve">přínos </w:t>
      </w:r>
      <w:r w:rsidRPr="00381DC2">
        <w:rPr>
          <w:color w:val="000000"/>
        </w:rPr>
        <w:t>pro pacienty léčené bevacizumabem (analýza je uvedena v </w:t>
      </w:r>
      <w:r w:rsidR="005E6C8E" w:rsidRPr="00381DC2">
        <w:rPr>
          <w:color w:val="000000"/>
        </w:rPr>
        <w:t>t</w:t>
      </w:r>
      <w:r w:rsidRPr="00381DC2">
        <w:rPr>
          <w:color w:val="000000"/>
        </w:rPr>
        <w:t xml:space="preserve">abulce 7), což je v souladu se statisticky významným </w:t>
      </w:r>
      <w:r w:rsidR="00AB0F5A" w:rsidRPr="00381DC2">
        <w:rPr>
          <w:color w:val="000000"/>
        </w:rPr>
        <w:t xml:space="preserve">přínosem </w:t>
      </w:r>
      <w:r w:rsidRPr="00381DC2">
        <w:rPr>
          <w:color w:val="000000"/>
        </w:rPr>
        <w:t>pozorovaným při souhrnné analýze.</w:t>
      </w:r>
    </w:p>
    <w:p w14:paraId="4AB6708A" w14:textId="77777777" w:rsidR="00221EBE" w:rsidRPr="00381DC2" w:rsidRDefault="00221EBE" w:rsidP="005D48D1">
      <w:pPr>
        <w:rPr>
          <w:rFonts w:ascii="Times New Roman" w:eastAsia="Times New Roman" w:hAnsi="Times New Roman"/>
          <w:b/>
          <w:color w:val="000000"/>
        </w:rPr>
      </w:pPr>
    </w:p>
    <w:p w14:paraId="54084588" w14:textId="77777777" w:rsidR="00D15122" w:rsidRPr="00381DC2" w:rsidRDefault="009B0756" w:rsidP="00363CA4">
      <w:pPr>
        <w:keepNext/>
        <w:keepLines/>
        <w:rPr>
          <w:rFonts w:ascii="Times New Roman" w:eastAsia="Times New Roman" w:hAnsi="Times New Roman"/>
          <w:b/>
          <w:color w:val="000000"/>
        </w:rPr>
      </w:pPr>
      <w:r w:rsidRPr="00381DC2">
        <w:rPr>
          <w:rFonts w:ascii="Times New Roman" w:eastAsia="Times New Roman" w:hAnsi="Times New Roman"/>
          <w:b/>
          <w:color w:val="000000"/>
        </w:rPr>
        <w:lastRenderedPageBreak/>
        <w:t>Tabulka 7</w:t>
      </w:r>
      <w:r w:rsidRPr="00381DC2">
        <w:rPr>
          <w:rFonts w:ascii="Times New Roman" w:eastAsia="Times New Roman" w:hAnsi="Times New Roman"/>
          <w:b/>
          <w:color w:val="000000"/>
        </w:rPr>
        <w:tab/>
        <w:t xml:space="preserve">Klíčové výsledky </w:t>
      </w:r>
      <w:r w:rsidR="00AB0F5A" w:rsidRPr="00381DC2">
        <w:rPr>
          <w:rFonts w:ascii="Times New Roman" w:eastAsia="Times New Roman" w:hAnsi="Times New Roman"/>
          <w:b/>
          <w:color w:val="000000"/>
        </w:rPr>
        <w:t xml:space="preserve">účinnosti </w:t>
      </w:r>
      <w:r w:rsidRPr="00381DC2">
        <w:rPr>
          <w:rFonts w:ascii="Times New Roman" w:eastAsia="Times New Roman" w:hAnsi="Times New Roman"/>
          <w:b/>
          <w:color w:val="000000"/>
        </w:rPr>
        <w:t xml:space="preserve">pro </w:t>
      </w:r>
      <w:r w:rsidR="00AB0F5A" w:rsidRPr="00381DC2">
        <w:rPr>
          <w:rFonts w:ascii="Times New Roman" w:eastAsia="Times New Roman" w:hAnsi="Times New Roman"/>
          <w:b/>
          <w:color w:val="000000"/>
        </w:rPr>
        <w:t xml:space="preserve">analýzu </w:t>
      </w:r>
      <w:r w:rsidRPr="00381DC2">
        <w:rPr>
          <w:rFonts w:ascii="Times New Roman" w:eastAsia="Times New Roman" w:hAnsi="Times New Roman"/>
          <w:b/>
          <w:color w:val="000000"/>
        </w:rPr>
        <w:t>superiority (ITT populace, hodnocení NO16966)</w:t>
      </w:r>
    </w:p>
    <w:p w14:paraId="5C6065B8" w14:textId="77777777" w:rsidR="00D15122" w:rsidRPr="00381DC2" w:rsidRDefault="00D15122" w:rsidP="006A2145">
      <w:pPr>
        <w:keepNext/>
        <w:keepLines/>
        <w:rPr>
          <w:rFonts w:ascii="Times New Roman" w:eastAsia="Times New Roman" w:hAnsi="Times New Roman"/>
          <w:bCs/>
          <w:color w:val="000000"/>
        </w:rPr>
      </w:pPr>
    </w:p>
    <w:tbl>
      <w:tblPr>
        <w:tblW w:w="0" w:type="auto"/>
        <w:tblInd w:w="104" w:type="dxa"/>
        <w:tblLayout w:type="fixed"/>
        <w:tblCellMar>
          <w:left w:w="0" w:type="dxa"/>
          <w:right w:w="0" w:type="dxa"/>
        </w:tblCellMar>
        <w:tblLook w:val="01E0" w:firstRow="1" w:lastRow="1" w:firstColumn="1" w:lastColumn="1" w:noHBand="0" w:noVBand="0"/>
      </w:tblPr>
      <w:tblGrid>
        <w:gridCol w:w="3370"/>
        <w:gridCol w:w="2138"/>
        <w:gridCol w:w="2160"/>
        <w:gridCol w:w="1620"/>
      </w:tblGrid>
      <w:tr w:rsidR="00D15122" w:rsidRPr="00F60460" w14:paraId="135060CE" w14:textId="77777777" w:rsidTr="006A2145">
        <w:trPr>
          <w:tblHeader/>
        </w:trPr>
        <w:tc>
          <w:tcPr>
            <w:tcW w:w="3370" w:type="dxa"/>
            <w:tcBorders>
              <w:top w:val="single" w:sz="5" w:space="0" w:color="000000"/>
              <w:left w:val="single" w:sz="5" w:space="0" w:color="000000"/>
              <w:bottom w:val="single" w:sz="5" w:space="0" w:color="000000"/>
              <w:right w:val="single" w:sz="5" w:space="0" w:color="000000"/>
            </w:tcBorders>
          </w:tcPr>
          <w:p w14:paraId="792B3296" w14:textId="77777777" w:rsidR="00D15122" w:rsidRPr="00381DC2" w:rsidRDefault="009B0756" w:rsidP="00D23770">
            <w:pPr>
              <w:pStyle w:val="TableParagraph"/>
              <w:keepNext/>
              <w:keepLines/>
              <w:spacing w:line="246" w:lineRule="exact"/>
              <w:ind w:left="191"/>
              <w:rPr>
                <w:rFonts w:ascii="Times New Roman" w:eastAsia="Times New Roman" w:hAnsi="Times New Roman"/>
                <w:color w:val="000000"/>
              </w:rPr>
            </w:pPr>
            <w:r w:rsidRPr="00381DC2">
              <w:rPr>
                <w:rFonts w:ascii="Times New Roman" w:hAnsi="Times New Roman"/>
                <w:color w:val="000000"/>
              </w:rPr>
              <w:t>Cíl (měsíce)</w:t>
            </w:r>
          </w:p>
        </w:tc>
        <w:tc>
          <w:tcPr>
            <w:tcW w:w="2138" w:type="dxa"/>
            <w:tcBorders>
              <w:top w:val="single" w:sz="5" w:space="0" w:color="000000"/>
              <w:left w:val="single" w:sz="5" w:space="0" w:color="000000"/>
              <w:bottom w:val="single" w:sz="5" w:space="0" w:color="000000"/>
              <w:right w:val="single" w:sz="5" w:space="0" w:color="000000"/>
            </w:tcBorders>
          </w:tcPr>
          <w:p w14:paraId="0940902B" w14:textId="77777777" w:rsidR="00D15122" w:rsidRPr="00381DC2" w:rsidRDefault="009B0756" w:rsidP="006A2145">
            <w:pPr>
              <w:pStyle w:val="TableParagraph"/>
              <w:keepNext/>
              <w:keepLines/>
              <w:spacing w:line="241" w:lineRule="auto"/>
              <w:ind w:right="81"/>
              <w:jc w:val="center"/>
              <w:rPr>
                <w:rFonts w:ascii="Times New Roman" w:eastAsia="Times New Roman" w:hAnsi="Times New Roman"/>
                <w:color w:val="000000"/>
              </w:rPr>
            </w:pPr>
            <w:r w:rsidRPr="00381DC2">
              <w:rPr>
                <w:rFonts w:ascii="Times New Roman" w:hAnsi="Times New Roman"/>
                <w:color w:val="000000"/>
              </w:rPr>
              <w:t>FOLFOX-4 nebo XELOX</w:t>
            </w:r>
          </w:p>
          <w:p w14:paraId="0CE775D9" w14:textId="77777777" w:rsidR="00D15122" w:rsidRPr="00381DC2" w:rsidRDefault="009B0756" w:rsidP="006A2145">
            <w:pPr>
              <w:pStyle w:val="TableParagraph"/>
              <w:keepNext/>
              <w:keepLines/>
              <w:spacing w:line="241" w:lineRule="auto"/>
              <w:ind w:right="81"/>
              <w:jc w:val="center"/>
              <w:rPr>
                <w:rFonts w:ascii="Times New Roman" w:eastAsia="Times New Roman" w:hAnsi="Times New Roman"/>
                <w:color w:val="000000"/>
              </w:rPr>
            </w:pPr>
            <w:r w:rsidRPr="00381DC2">
              <w:rPr>
                <w:rFonts w:ascii="Times New Roman" w:hAnsi="Times New Roman"/>
                <w:color w:val="000000"/>
              </w:rPr>
              <w:t>+ placebo (n = 701)</w:t>
            </w:r>
          </w:p>
        </w:tc>
        <w:tc>
          <w:tcPr>
            <w:tcW w:w="2160" w:type="dxa"/>
            <w:tcBorders>
              <w:top w:val="single" w:sz="5" w:space="0" w:color="000000"/>
              <w:left w:val="single" w:sz="5" w:space="0" w:color="000000"/>
              <w:bottom w:val="single" w:sz="5" w:space="0" w:color="000000"/>
              <w:right w:val="single" w:sz="5" w:space="0" w:color="000000"/>
            </w:tcBorders>
          </w:tcPr>
          <w:p w14:paraId="26A0D076" w14:textId="77777777" w:rsidR="00D15122" w:rsidRPr="00381DC2" w:rsidRDefault="009B0756" w:rsidP="006A2145">
            <w:pPr>
              <w:pStyle w:val="TableParagraph"/>
              <w:keepNext/>
              <w:keepLines/>
              <w:spacing w:line="241" w:lineRule="auto"/>
              <w:ind w:right="81"/>
              <w:jc w:val="center"/>
              <w:rPr>
                <w:rFonts w:ascii="Times New Roman" w:eastAsia="Times New Roman" w:hAnsi="Times New Roman"/>
                <w:color w:val="000000"/>
              </w:rPr>
            </w:pPr>
            <w:r w:rsidRPr="00381DC2">
              <w:rPr>
                <w:rFonts w:ascii="Times New Roman" w:hAnsi="Times New Roman"/>
                <w:color w:val="000000"/>
              </w:rPr>
              <w:t>FOLFOX-4 nebo XELOX</w:t>
            </w:r>
          </w:p>
          <w:p w14:paraId="026A156A" w14:textId="77777777" w:rsidR="00D15122" w:rsidRPr="00381DC2" w:rsidRDefault="009B0756" w:rsidP="006A2145">
            <w:pPr>
              <w:pStyle w:val="TableParagraph"/>
              <w:keepNext/>
              <w:keepLines/>
              <w:spacing w:line="241" w:lineRule="auto"/>
              <w:ind w:right="81"/>
              <w:jc w:val="center"/>
              <w:rPr>
                <w:rFonts w:ascii="Times New Roman" w:eastAsia="Times New Roman" w:hAnsi="Times New Roman"/>
                <w:color w:val="000000"/>
              </w:rPr>
            </w:pPr>
            <w:r w:rsidRPr="00381DC2">
              <w:rPr>
                <w:rFonts w:ascii="Times New Roman" w:hAnsi="Times New Roman"/>
                <w:color w:val="000000"/>
              </w:rPr>
              <w:t>+ bevacizumab (n = 699)</w:t>
            </w:r>
          </w:p>
        </w:tc>
        <w:tc>
          <w:tcPr>
            <w:tcW w:w="1620" w:type="dxa"/>
            <w:tcBorders>
              <w:top w:val="single" w:sz="5" w:space="0" w:color="000000"/>
              <w:left w:val="single" w:sz="5" w:space="0" w:color="000000"/>
              <w:bottom w:val="single" w:sz="5" w:space="0" w:color="000000"/>
              <w:right w:val="single" w:sz="5" w:space="0" w:color="000000"/>
            </w:tcBorders>
          </w:tcPr>
          <w:p w14:paraId="3AC42F1E" w14:textId="77777777" w:rsidR="00D15122" w:rsidRPr="00381DC2" w:rsidRDefault="009B0756" w:rsidP="006A2145">
            <w:pPr>
              <w:pStyle w:val="TableParagraph"/>
              <w:keepNext/>
              <w:keepLines/>
              <w:spacing w:line="246" w:lineRule="exact"/>
              <w:jc w:val="center"/>
              <w:rPr>
                <w:rFonts w:ascii="Times New Roman" w:eastAsia="Times New Roman" w:hAnsi="Times New Roman"/>
                <w:color w:val="000000"/>
              </w:rPr>
            </w:pPr>
            <w:r w:rsidRPr="00381DC2">
              <w:rPr>
                <w:rFonts w:ascii="Times New Roman" w:hAnsi="Times New Roman"/>
                <w:color w:val="000000"/>
              </w:rPr>
              <w:t>P-hodnota</w:t>
            </w:r>
          </w:p>
        </w:tc>
      </w:tr>
      <w:tr w:rsidR="00D15122" w:rsidRPr="00F60460" w14:paraId="11D0C188" w14:textId="77777777" w:rsidTr="006A2145">
        <w:tc>
          <w:tcPr>
            <w:tcW w:w="9288" w:type="dxa"/>
            <w:gridSpan w:val="4"/>
            <w:tcBorders>
              <w:top w:val="single" w:sz="5" w:space="0" w:color="000000"/>
              <w:left w:val="single" w:sz="5" w:space="0" w:color="000000"/>
              <w:bottom w:val="single" w:sz="5" w:space="0" w:color="000000"/>
              <w:right w:val="single" w:sz="5" w:space="0" w:color="000000"/>
            </w:tcBorders>
          </w:tcPr>
          <w:p w14:paraId="0D9E6D38" w14:textId="77777777" w:rsidR="00D15122" w:rsidRPr="00381DC2" w:rsidRDefault="009B0756" w:rsidP="00EB1891">
            <w:pPr>
              <w:pStyle w:val="TableParagraph"/>
              <w:keepNext/>
              <w:keepLines/>
              <w:spacing w:line="246" w:lineRule="exact"/>
              <w:ind w:left="191" w:hanging="154"/>
              <w:rPr>
                <w:rFonts w:ascii="Times New Roman" w:eastAsia="Times New Roman" w:hAnsi="Times New Roman"/>
                <w:color w:val="000000"/>
              </w:rPr>
            </w:pPr>
            <w:r w:rsidRPr="00381DC2">
              <w:rPr>
                <w:rFonts w:ascii="Times New Roman" w:hAnsi="Times New Roman"/>
                <w:color w:val="000000"/>
              </w:rPr>
              <w:t>Primární cíl</w:t>
            </w:r>
          </w:p>
        </w:tc>
      </w:tr>
      <w:tr w:rsidR="00D15122" w:rsidRPr="00F60460" w14:paraId="2F3D076D" w14:textId="77777777" w:rsidTr="006A2145">
        <w:tc>
          <w:tcPr>
            <w:tcW w:w="3370" w:type="dxa"/>
            <w:tcBorders>
              <w:top w:val="single" w:sz="5" w:space="0" w:color="000000"/>
              <w:left w:val="single" w:sz="5" w:space="0" w:color="000000"/>
              <w:bottom w:val="single" w:sz="5" w:space="0" w:color="000000"/>
              <w:right w:val="single" w:sz="5" w:space="0" w:color="000000"/>
            </w:tcBorders>
          </w:tcPr>
          <w:p w14:paraId="109D3D20" w14:textId="77777777" w:rsidR="00D15122" w:rsidRPr="00381DC2" w:rsidRDefault="009B0756" w:rsidP="00D23770">
            <w:pPr>
              <w:pStyle w:val="TableParagraph"/>
              <w:keepNext/>
              <w:keepLines/>
              <w:spacing w:line="246" w:lineRule="exact"/>
              <w:ind w:left="191"/>
              <w:rPr>
                <w:rFonts w:ascii="Times New Roman" w:eastAsia="Times New Roman" w:hAnsi="Times New Roman"/>
                <w:color w:val="000000"/>
              </w:rPr>
            </w:pPr>
            <w:r w:rsidRPr="00381DC2">
              <w:rPr>
                <w:rFonts w:ascii="Times New Roman" w:hAnsi="Times New Roman"/>
                <w:color w:val="000000"/>
              </w:rPr>
              <w:t>Medián přežití bez progrese**</w:t>
            </w:r>
          </w:p>
        </w:tc>
        <w:tc>
          <w:tcPr>
            <w:tcW w:w="2138" w:type="dxa"/>
            <w:tcBorders>
              <w:top w:val="single" w:sz="5" w:space="0" w:color="000000"/>
              <w:left w:val="single" w:sz="5" w:space="0" w:color="000000"/>
              <w:bottom w:val="single" w:sz="5" w:space="0" w:color="000000"/>
              <w:right w:val="single" w:sz="5" w:space="0" w:color="000000"/>
            </w:tcBorders>
          </w:tcPr>
          <w:p w14:paraId="7B3EA95F" w14:textId="77777777" w:rsidR="00D15122" w:rsidRPr="00381DC2" w:rsidRDefault="009B0756" w:rsidP="00D23770">
            <w:pPr>
              <w:pStyle w:val="TableParagraph"/>
              <w:keepNext/>
              <w:keepLines/>
              <w:spacing w:line="246" w:lineRule="exact"/>
              <w:ind w:left="191"/>
              <w:jc w:val="center"/>
              <w:rPr>
                <w:rFonts w:ascii="Times New Roman" w:eastAsia="Times New Roman" w:hAnsi="Times New Roman"/>
                <w:color w:val="000000"/>
              </w:rPr>
            </w:pPr>
            <w:r w:rsidRPr="00381DC2">
              <w:rPr>
                <w:rFonts w:ascii="Times New Roman" w:hAnsi="Times New Roman"/>
                <w:color w:val="000000"/>
              </w:rPr>
              <w:t>8,0</w:t>
            </w:r>
          </w:p>
        </w:tc>
        <w:tc>
          <w:tcPr>
            <w:tcW w:w="2160" w:type="dxa"/>
            <w:tcBorders>
              <w:top w:val="single" w:sz="5" w:space="0" w:color="000000"/>
              <w:left w:val="single" w:sz="5" w:space="0" w:color="000000"/>
              <w:bottom w:val="single" w:sz="5" w:space="0" w:color="000000"/>
              <w:right w:val="single" w:sz="5" w:space="0" w:color="000000"/>
            </w:tcBorders>
          </w:tcPr>
          <w:p w14:paraId="2DF49CEC" w14:textId="77777777" w:rsidR="00D15122" w:rsidRPr="00381DC2" w:rsidRDefault="009B0756" w:rsidP="00D23770">
            <w:pPr>
              <w:pStyle w:val="TableParagraph"/>
              <w:keepNext/>
              <w:keepLines/>
              <w:spacing w:line="246" w:lineRule="exact"/>
              <w:ind w:left="191"/>
              <w:jc w:val="center"/>
              <w:rPr>
                <w:rFonts w:ascii="Times New Roman" w:eastAsia="Times New Roman" w:hAnsi="Times New Roman"/>
                <w:color w:val="000000"/>
              </w:rPr>
            </w:pPr>
            <w:r w:rsidRPr="00381DC2">
              <w:rPr>
                <w:rFonts w:ascii="Times New Roman" w:hAnsi="Times New Roman"/>
                <w:color w:val="000000"/>
              </w:rPr>
              <w:t>9,4</w:t>
            </w:r>
          </w:p>
        </w:tc>
        <w:tc>
          <w:tcPr>
            <w:tcW w:w="1620" w:type="dxa"/>
            <w:tcBorders>
              <w:top w:val="single" w:sz="5" w:space="0" w:color="000000"/>
              <w:left w:val="single" w:sz="5" w:space="0" w:color="000000"/>
              <w:bottom w:val="single" w:sz="5" w:space="0" w:color="000000"/>
              <w:right w:val="single" w:sz="5" w:space="0" w:color="000000"/>
            </w:tcBorders>
          </w:tcPr>
          <w:p w14:paraId="1C34C382" w14:textId="77777777" w:rsidR="00D15122" w:rsidRPr="00381DC2" w:rsidRDefault="009B0756" w:rsidP="00D23770">
            <w:pPr>
              <w:pStyle w:val="TableParagraph"/>
              <w:keepNext/>
              <w:keepLines/>
              <w:spacing w:line="246" w:lineRule="exact"/>
              <w:ind w:left="191"/>
              <w:jc w:val="center"/>
              <w:rPr>
                <w:rFonts w:ascii="Times New Roman" w:eastAsia="Times New Roman" w:hAnsi="Times New Roman"/>
                <w:color w:val="000000"/>
              </w:rPr>
            </w:pPr>
            <w:r w:rsidRPr="00381DC2">
              <w:rPr>
                <w:rFonts w:ascii="Times New Roman" w:hAnsi="Times New Roman"/>
                <w:color w:val="000000"/>
              </w:rPr>
              <w:t>0,0023</w:t>
            </w:r>
          </w:p>
        </w:tc>
      </w:tr>
      <w:tr w:rsidR="00D15122" w:rsidRPr="00F60460" w14:paraId="4764BC23" w14:textId="77777777" w:rsidTr="006A2145">
        <w:tc>
          <w:tcPr>
            <w:tcW w:w="3370" w:type="dxa"/>
            <w:tcBorders>
              <w:top w:val="single" w:sz="5" w:space="0" w:color="000000"/>
              <w:left w:val="single" w:sz="5" w:space="0" w:color="000000"/>
              <w:bottom w:val="single" w:sz="5" w:space="0" w:color="000000"/>
              <w:right w:val="single" w:sz="5" w:space="0" w:color="000000"/>
            </w:tcBorders>
          </w:tcPr>
          <w:p w14:paraId="5352B916" w14:textId="77777777" w:rsidR="00D15122" w:rsidRPr="00F60460" w:rsidRDefault="009B0756" w:rsidP="00D23770">
            <w:pPr>
              <w:pStyle w:val="TableParagraph"/>
              <w:keepNext/>
              <w:keepLines/>
              <w:spacing w:line="246" w:lineRule="exact"/>
              <w:ind w:left="191"/>
              <w:rPr>
                <w:rFonts w:ascii="Times New Roman" w:eastAsia="Times New Roman" w:hAnsi="Times New Roman"/>
                <w:color w:val="000000"/>
                <w:sz w:val="13"/>
                <w:szCs w:val="13"/>
              </w:rPr>
            </w:pPr>
            <w:r w:rsidRPr="00381DC2">
              <w:rPr>
                <w:rFonts w:ascii="Times New Roman" w:hAnsi="Times New Roman"/>
                <w:color w:val="000000"/>
              </w:rPr>
              <w:t xml:space="preserve">Poměr rizik (97,5% CI) </w:t>
            </w:r>
            <w:r w:rsidRPr="00381DC2">
              <w:rPr>
                <w:rFonts w:ascii="Times New Roman" w:hAnsi="Times New Roman"/>
                <w:color w:val="000000"/>
                <w:vertAlign w:val="superscript"/>
              </w:rPr>
              <w:t>a</w:t>
            </w:r>
          </w:p>
        </w:tc>
        <w:tc>
          <w:tcPr>
            <w:tcW w:w="4298" w:type="dxa"/>
            <w:gridSpan w:val="2"/>
            <w:tcBorders>
              <w:top w:val="single" w:sz="5" w:space="0" w:color="000000"/>
              <w:left w:val="single" w:sz="5" w:space="0" w:color="000000"/>
              <w:bottom w:val="single" w:sz="5" w:space="0" w:color="000000"/>
              <w:right w:val="single" w:sz="5" w:space="0" w:color="000000"/>
            </w:tcBorders>
          </w:tcPr>
          <w:p w14:paraId="27936EB0" w14:textId="77777777" w:rsidR="00D15122" w:rsidRPr="00381DC2" w:rsidRDefault="009B0756" w:rsidP="00D23770">
            <w:pPr>
              <w:pStyle w:val="TableParagraph"/>
              <w:keepNext/>
              <w:keepLines/>
              <w:spacing w:line="246" w:lineRule="exact"/>
              <w:ind w:left="191"/>
              <w:jc w:val="center"/>
              <w:rPr>
                <w:rFonts w:ascii="Times New Roman" w:eastAsia="Times New Roman" w:hAnsi="Times New Roman"/>
                <w:color w:val="000000"/>
              </w:rPr>
            </w:pPr>
            <w:r w:rsidRPr="00381DC2">
              <w:rPr>
                <w:rFonts w:ascii="Times New Roman" w:hAnsi="Times New Roman"/>
                <w:color w:val="000000"/>
              </w:rPr>
              <w:t>0,83 (0,72–0,95)</w:t>
            </w:r>
          </w:p>
        </w:tc>
        <w:tc>
          <w:tcPr>
            <w:tcW w:w="1620" w:type="dxa"/>
            <w:tcBorders>
              <w:top w:val="single" w:sz="5" w:space="0" w:color="000000"/>
              <w:left w:val="single" w:sz="5" w:space="0" w:color="000000"/>
              <w:bottom w:val="single" w:sz="5" w:space="0" w:color="000000"/>
              <w:right w:val="single" w:sz="5" w:space="0" w:color="000000"/>
            </w:tcBorders>
          </w:tcPr>
          <w:p w14:paraId="5E0A2CC7" w14:textId="77777777" w:rsidR="00D15122" w:rsidRPr="00381DC2" w:rsidRDefault="00D15122" w:rsidP="00D23770">
            <w:pPr>
              <w:keepNext/>
              <w:keepLines/>
              <w:ind w:left="191"/>
              <w:rPr>
                <w:rFonts w:ascii="Times New Roman" w:hAnsi="Times New Roman"/>
                <w:color w:val="000000"/>
              </w:rPr>
            </w:pPr>
          </w:p>
        </w:tc>
      </w:tr>
      <w:tr w:rsidR="00D15122" w:rsidRPr="00F60460" w14:paraId="52CC1A60" w14:textId="77777777" w:rsidTr="006A2145">
        <w:tc>
          <w:tcPr>
            <w:tcW w:w="9288" w:type="dxa"/>
            <w:gridSpan w:val="4"/>
            <w:tcBorders>
              <w:top w:val="single" w:sz="5" w:space="0" w:color="000000"/>
              <w:left w:val="single" w:sz="5" w:space="0" w:color="000000"/>
              <w:bottom w:val="single" w:sz="5" w:space="0" w:color="000000"/>
              <w:right w:val="single" w:sz="5" w:space="0" w:color="000000"/>
            </w:tcBorders>
          </w:tcPr>
          <w:p w14:paraId="7E926F7D" w14:textId="77777777" w:rsidR="00D15122" w:rsidRPr="00381DC2" w:rsidRDefault="009B0756" w:rsidP="00B8634B">
            <w:pPr>
              <w:pStyle w:val="TableParagraph"/>
              <w:keepNext/>
              <w:keepLines/>
              <w:spacing w:line="246" w:lineRule="exact"/>
              <w:ind w:left="191" w:hanging="154"/>
              <w:rPr>
                <w:rFonts w:ascii="Times New Roman" w:eastAsia="Times New Roman" w:hAnsi="Times New Roman"/>
                <w:color w:val="000000"/>
              </w:rPr>
            </w:pPr>
            <w:r w:rsidRPr="00381DC2">
              <w:rPr>
                <w:rFonts w:ascii="Times New Roman" w:hAnsi="Times New Roman"/>
                <w:color w:val="000000"/>
              </w:rPr>
              <w:t>Sekundární cíle</w:t>
            </w:r>
          </w:p>
        </w:tc>
      </w:tr>
      <w:tr w:rsidR="00D15122" w:rsidRPr="00F60460" w14:paraId="6DFAA471" w14:textId="77777777" w:rsidTr="006A2145">
        <w:tc>
          <w:tcPr>
            <w:tcW w:w="3370" w:type="dxa"/>
            <w:tcBorders>
              <w:top w:val="single" w:sz="5" w:space="0" w:color="000000"/>
              <w:left w:val="single" w:sz="5" w:space="0" w:color="000000"/>
              <w:bottom w:val="single" w:sz="5" w:space="0" w:color="000000"/>
              <w:right w:val="single" w:sz="5" w:space="0" w:color="000000"/>
            </w:tcBorders>
          </w:tcPr>
          <w:p w14:paraId="7B1CBA66" w14:textId="77777777" w:rsidR="00D15122" w:rsidRPr="00381DC2" w:rsidRDefault="009B0756" w:rsidP="00D23770">
            <w:pPr>
              <w:pStyle w:val="TableParagraph"/>
              <w:keepNext/>
              <w:keepLines/>
              <w:spacing w:line="246" w:lineRule="exact"/>
              <w:ind w:left="191"/>
              <w:rPr>
                <w:rFonts w:ascii="Times New Roman" w:eastAsia="Times New Roman" w:hAnsi="Times New Roman"/>
                <w:color w:val="000000"/>
              </w:rPr>
            </w:pPr>
            <w:r w:rsidRPr="00381DC2">
              <w:rPr>
                <w:rFonts w:ascii="Times New Roman" w:hAnsi="Times New Roman"/>
                <w:color w:val="000000"/>
              </w:rPr>
              <w:t>Medián přežití bez progrese (na léčbě)**</w:t>
            </w:r>
          </w:p>
        </w:tc>
        <w:tc>
          <w:tcPr>
            <w:tcW w:w="2138" w:type="dxa"/>
            <w:tcBorders>
              <w:top w:val="single" w:sz="5" w:space="0" w:color="000000"/>
              <w:left w:val="single" w:sz="5" w:space="0" w:color="000000"/>
              <w:bottom w:val="single" w:sz="5" w:space="0" w:color="000000"/>
              <w:right w:val="single" w:sz="5" w:space="0" w:color="000000"/>
            </w:tcBorders>
          </w:tcPr>
          <w:p w14:paraId="1827DFFB" w14:textId="77777777" w:rsidR="00D15122" w:rsidRPr="00381DC2" w:rsidRDefault="009B0756" w:rsidP="00D23770">
            <w:pPr>
              <w:pStyle w:val="TableParagraph"/>
              <w:keepNext/>
              <w:keepLines/>
              <w:spacing w:line="246" w:lineRule="exact"/>
              <w:ind w:left="191"/>
              <w:jc w:val="center"/>
              <w:rPr>
                <w:rFonts w:ascii="Times New Roman" w:eastAsia="Times New Roman" w:hAnsi="Times New Roman"/>
                <w:color w:val="000000"/>
              </w:rPr>
            </w:pPr>
            <w:r w:rsidRPr="00381DC2">
              <w:rPr>
                <w:rFonts w:ascii="Times New Roman" w:hAnsi="Times New Roman"/>
                <w:color w:val="000000"/>
              </w:rPr>
              <w:t>7,9</w:t>
            </w:r>
          </w:p>
        </w:tc>
        <w:tc>
          <w:tcPr>
            <w:tcW w:w="2160" w:type="dxa"/>
            <w:tcBorders>
              <w:top w:val="single" w:sz="5" w:space="0" w:color="000000"/>
              <w:left w:val="single" w:sz="5" w:space="0" w:color="000000"/>
              <w:bottom w:val="single" w:sz="5" w:space="0" w:color="000000"/>
              <w:right w:val="single" w:sz="5" w:space="0" w:color="000000"/>
            </w:tcBorders>
          </w:tcPr>
          <w:p w14:paraId="4CC85CA6" w14:textId="77777777" w:rsidR="00D15122" w:rsidRPr="00381DC2" w:rsidRDefault="009B0756" w:rsidP="00D23770">
            <w:pPr>
              <w:pStyle w:val="TableParagraph"/>
              <w:keepNext/>
              <w:keepLines/>
              <w:spacing w:line="246" w:lineRule="exact"/>
              <w:ind w:left="191"/>
              <w:jc w:val="center"/>
              <w:rPr>
                <w:rFonts w:ascii="Times New Roman" w:eastAsia="Times New Roman" w:hAnsi="Times New Roman"/>
                <w:color w:val="000000"/>
              </w:rPr>
            </w:pPr>
            <w:r w:rsidRPr="00381DC2">
              <w:rPr>
                <w:rFonts w:ascii="Times New Roman" w:hAnsi="Times New Roman"/>
                <w:color w:val="000000"/>
              </w:rPr>
              <w:t>10,4</w:t>
            </w:r>
          </w:p>
        </w:tc>
        <w:tc>
          <w:tcPr>
            <w:tcW w:w="1620" w:type="dxa"/>
            <w:tcBorders>
              <w:top w:val="single" w:sz="5" w:space="0" w:color="000000"/>
              <w:left w:val="single" w:sz="5" w:space="0" w:color="000000"/>
              <w:bottom w:val="single" w:sz="5" w:space="0" w:color="000000"/>
              <w:right w:val="single" w:sz="5" w:space="0" w:color="000000"/>
            </w:tcBorders>
          </w:tcPr>
          <w:p w14:paraId="3D973C8C" w14:textId="77777777" w:rsidR="00D15122" w:rsidRPr="00381DC2" w:rsidRDefault="009B0756" w:rsidP="00D23770">
            <w:pPr>
              <w:pStyle w:val="TableParagraph"/>
              <w:keepNext/>
              <w:keepLines/>
              <w:spacing w:line="246" w:lineRule="exact"/>
              <w:ind w:left="191"/>
              <w:rPr>
                <w:rFonts w:ascii="Times New Roman" w:eastAsia="Times New Roman" w:hAnsi="Times New Roman"/>
                <w:color w:val="000000"/>
              </w:rPr>
            </w:pPr>
            <w:r w:rsidRPr="00381DC2">
              <w:rPr>
                <w:rFonts w:ascii="Times New Roman" w:hAnsi="Times New Roman"/>
                <w:color w:val="000000"/>
              </w:rPr>
              <w:t>&lt; 0,0001</w:t>
            </w:r>
          </w:p>
        </w:tc>
      </w:tr>
      <w:tr w:rsidR="00D15122" w:rsidRPr="00F60460" w14:paraId="43E39649" w14:textId="77777777" w:rsidTr="006A2145">
        <w:tc>
          <w:tcPr>
            <w:tcW w:w="3370" w:type="dxa"/>
            <w:tcBorders>
              <w:top w:val="single" w:sz="5" w:space="0" w:color="000000"/>
              <w:left w:val="single" w:sz="5" w:space="0" w:color="000000"/>
              <w:bottom w:val="single" w:sz="5" w:space="0" w:color="000000"/>
              <w:right w:val="single" w:sz="5" w:space="0" w:color="000000"/>
            </w:tcBorders>
          </w:tcPr>
          <w:p w14:paraId="43837E3C" w14:textId="77777777" w:rsidR="00D15122" w:rsidRPr="00381DC2" w:rsidRDefault="009B0756" w:rsidP="00D23770">
            <w:pPr>
              <w:pStyle w:val="TableParagraph"/>
              <w:keepNext/>
              <w:keepLines/>
              <w:spacing w:line="246" w:lineRule="exact"/>
              <w:ind w:left="191"/>
              <w:rPr>
                <w:rFonts w:ascii="Times New Roman" w:eastAsia="Times New Roman" w:hAnsi="Times New Roman"/>
                <w:color w:val="000000"/>
              </w:rPr>
            </w:pPr>
            <w:r w:rsidRPr="00381DC2">
              <w:rPr>
                <w:rFonts w:ascii="Times New Roman" w:hAnsi="Times New Roman"/>
                <w:color w:val="000000"/>
              </w:rPr>
              <w:t>Poměr rizik (97,5% CI)</w:t>
            </w:r>
          </w:p>
        </w:tc>
        <w:tc>
          <w:tcPr>
            <w:tcW w:w="4298" w:type="dxa"/>
            <w:gridSpan w:val="2"/>
            <w:tcBorders>
              <w:top w:val="single" w:sz="5" w:space="0" w:color="000000"/>
              <w:left w:val="single" w:sz="5" w:space="0" w:color="000000"/>
              <w:bottom w:val="single" w:sz="5" w:space="0" w:color="000000"/>
              <w:right w:val="single" w:sz="5" w:space="0" w:color="000000"/>
            </w:tcBorders>
          </w:tcPr>
          <w:p w14:paraId="268E8EF4" w14:textId="77777777" w:rsidR="00D15122" w:rsidRPr="00381DC2" w:rsidRDefault="009B0756" w:rsidP="00D23770">
            <w:pPr>
              <w:pStyle w:val="TableParagraph"/>
              <w:keepNext/>
              <w:keepLines/>
              <w:spacing w:line="246" w:lineRule="exact"/>
              <w:ind w:left="191"/>
              <w:jc w:val="center"/>
              <w:rPr>
                <w:rFonts w:ascii="Times New Roman" w:eastAsia="Times New Roman" w:hAnsi="Times New Roman"/>
                <w:color w:val="000000"/>
              </w:rPr>
            </w:pPr>
            <w:r w:rsidRPr="00381DC2">
              <w:rPr>
                <w:rFonts w:ascii="Times New Roman" w:hAnsi="Times New Roman"/>
                <w:color w:val="000000"/>
              </w:rPr>
              <w:t>0,63 (0,52–0,75)</w:t>
            </w:r>
          </w:p>
        </w:tc>
        <w:tc>
          <w:tcPr>
            <w:tcW w:w="1620" w:type="dxa"/>
            <w:tcBorders>
              <w:top w:val="single" w:sz="5" w:space="0" w:color="000000"/>
              <w:left w:val="single" w:sz="5" w:space="0" w:color="000000"/>
              <w:bottom w:val="single" w:sz="5" w:space="0" w:color="000000"/>
              <w:right w:val="single" w:sz="5" w:space="0" w:color="000000"/>
            </w:tcBorders>
          </w:tcPr>
          <w:p w14:paraId="460EE13C" w14:textId="77777777" w:rsidR="00D15122" w:rsidRPr="00381DC2" w:rsidRDefault="00D15122" w:rsidP="00D23770">
            <w:pPr>
              <w:keepNext/>
              <w:keepLines/>
              <w:ind w:left="191"/>
              <w:rPr>
                <w:rFonts w:ascii="Times New Roman" w:hAnsi="Times New Roman"/>
                <w:color w:val="000000"/>
              </w:rPr>
            </w:pPr>
          </w:p>
        </w:tc>
      </w:tr>
      <w:tr w:rsidR="00D15122" w:rsidRPr="00F60460" w14:paraId="7AC803D8" w14:textId="77777777" w:rsidTr="006A2145">
        <w:tc>
          <w:tcPr>
            <w:tcW w:w="3370" w:type="dxa"/>
            <w:tcBorders>
              <w:top w:val="single" w:sz="5" w:space="0" w:color="000000"/>
              <w:left w:val="single" w:sz="5" w:space="0" w:color="000000"/>
              <w:bottom w:val="single" w:sz="5" w:space="0" w:color="000000"/>
              <w:right w:val="single" w:sz="5" w:space="0" w:color="000000"/>
            </w:tcBorders>
          </w:tcPr>
          <w:p w14:paraId="0D09400C" w14:textId="77777777" w:rsidR="00D15122" w:rsidRPr="00381DC2" w:rsidRDefault="009B0756" w:rsidP="00B8634B">
            <w:pPr>
              <w:pStyle w:val="TableParagraph"/>
              <w:keepNext/>
              <w:keepLines/>
              <w:spacing w:line="241" w:lineRule="auto"/>
              <w:ind w:left="37" w:right="913"/>
              <w:rPr>
                <w:rFonts w:ascii="Times New Roman" w:eastAsia="Times New Roman" w:hAnsi="Times New Roman"/>
                <w:color w:val="000000"/>
              </w:rPr>
            </w:pPr>
            <w:r w:rsidRPr="00381DC2">
              <w:rPr>
                <w:rFonts w:ascii="Times New Roman" w:hAnsi="Times New Roman"/>
                <w:color w:val="000000"/>
              </w:rPr>
              <w:t>Celková četnost odpovědí (hodnocení zkoušejícími)**</w:t>
            </w:r>
          </w:p>
        </w:tc>
        <w:tc>
          <w:tcPr>
            <w:tcW w:w="2138" w:type="dxa"/>
            <w:tcBorders>
              <w:top w:val="single" w:sz="5" w:space="0" w:color="000000"/>
              <w:left w:val="single" w:sz="5" w:space="0" w:color="000000"/>
              <w:bottom w:val="single" w:sz="5" w:space="0" w:color="000000"/>
              <w:right w:val="single" w:sz="5" w:space="0" w:color="000000"/>
            </w:tcBorders>
          </w:tcPr>
          <w:p w14:paraId="36EAB173" w14:textId="77777777" w:rsidR="00D15122" w:rsidRPr="00381DC2" w:rsidRDefault="009B0756" w:rsidP="00D23770">
            <w:pPr>
              <w:pStyle w:val="TableParagraph"/>
              <w:keepNext/>
              <w:keepLines/>
              <w:spacing w:line="246" w:lineRule="exact"/>
              <w:ind w:left="191"/>
              <w:jc w:val="center"/>
              <w:rPr>
                <w:rFonts w:ascii="Times New Roman" w:eastAsia="Times New Roman" w:hAnsi="Times New Roman"/>
                <w:color w:val="000000"/>
              </w:rPr>
            </w:pPr>
            <w:r w:rsidRPr="00381DC2">
              <w:rPr>
                <w:rFonts w:ascii="Times New Roman" w:hAnsi="Times New Roman"/>
                <w:color w:val="000000"/>
              </w:rPr>
              <w:t>49,2 %</w:t>
            </w:r>
          </w:p>
        </w:tc>
        <w:tc>
          <w:tcPr>
            <w:tcW w:w="2160" w:type="dxa"/>
            <w:tcBorders>
              <w:top w:val="single" w:sz="5" w:space="0" w:color="000000"/>
              <w:left w:val="single" w:sz="5" w:space="0" w:color="000000"/>
              <w:bottom w:val="single" w:sz="5" w:space="0" w:color="000000"/>
              <w:right w:val="single" w:sz="5" w:space="0" w:color="000000"/>
            </w:tcBorders>
          </w:tcPr>
          <w:p w14:paraId="64A65F3E" w14:textId="77777777" w:rsidR="00D15122" w:rsidRPr="00381DC2" w:rsidRDefault="009B0756" w:rsidP="00D23770">
            <w:pPr>
              <w:pStyle w:val="TableParagraph"/>
              <w:keepNext/>
              <w:keepLines/>
              <w:spacing w:line="246" w:lineRule="exact"/>
              <w:ind w:left="191"/>
              <w:jc w:val="center"/>
              <w:rPr>
                <w:rFonts w:ascii="Times New Roman" w:eastAsia="Times New Roman" w:hAnsi="Times New Roman"/>
                <w:color w:val="000000"/>
              </w:rPr>
            </w:pPr>
            <w:r w:rsidRPr="00381DC2">
              <w:rPr>
                <w:rFonts w:ascii="Times New Roman" w:hAnsi="Times New Roman"/>
                <w:color w:val="000000"/>
              </w:rPr>
              <w:t>46,5 %</w:t>
            </w:r>
          </w:p>
        </w:tc>
        <w:tc>
          <w:tcPr>
            <w:tcW w:w="1620" w:type="dxa"/>
            <w:tcBorders>
              <w:top w:val="single" w:sz="5" w:space="0" w:color="000000"/>
              <w:left w:val="single" w:sz="5" w:space="0" w:color="000000"/>
              <w:bottom w:val="single" w:sz="5" w:space="0" w:color="000000"/>
              <w:right w:val="single" w:sz="5" w:space="0" w:color="000000"/>
            </w:tcBorders>
          </w:tcPr>
          <w:p w14:paraId="5DA0BEE3" w14:textId="77777777" w:rsidR="00D15122" w:rsidRPr="00381DC2" w:rsidRDefault="00D15122" w:rsidP="00D23770">
            <w:pPr>
              <w:keepNext/>
              <w:keepLines/>
              <w:ind w:left="191"/>
              <w:rPr>
                <w:rFonts w:ascii="Times New Roman" w:hAnsi="Times New Roman"/>
                <w:color w:val="000000"/>
              </w:rPr>
            </w:pPr>
          </w:p>
        </w:tc>
      </w:tr>
      <w:tr w:rsidR="00D15122" w:rsidRPr="00F60460" w14:paraId="628FF107" w14:textId="77777777" w:rsidTr="006A2145">
        <w:tc>
          <w:tcPr>
            <w:tcW w:w="3370" w:type="dxa"/>
            <w:tcBorders>
              <w:top w:val="single" w:sz="5" w:space="0" w:color="000000"/>
              <w:left w:val="single" w:sz="5" w:space="0" w:color="000000"/>
              <w:bottom w:val="single" w:sz="5" w:space="0" w:color="000000"/>
              <w:right w:val="single" w:sz="5" w:space="0" w:color="000000"/>
            </w:tcBorders>
          </w:tcPr>
          <w:p w14:paraId="66487F8F" w14:textId="77777777" w:rsidR="00D15122" w:rsidRPr="00381DC2" w:rsidRDefault="009B0756" w:rsidP="00D23770">
            <w:pPr>
              <w:pStyle w:val="TableParagraph"/>
              <w:spacing w:line="248" w:lineRule="exact"/>
              <w:ind w:left="191"/>
              <w:rPr>
                <w:rFonts w:ascii="Times New Roman" w:eastAsia="Times New Roman" w:hAnsi="Times New Roman"/>
                <w:color w:val="000000"/>
              </w:rPr>
            </w:pPr>
            <w:r w:rsidRPr="00381DC2">
              <w:rPr>
                <w:rFonts w:ascii="Times New Roman" w:hAnsi="Times New Roman"/>
                <w:color w:val="000000"/>
              </w:rPr>
              <w:t>Medián celkového přežití*</w:t>
            </w:r>
          </w:p>
        </w:tc>
        <w:tc>
          <w:tcPr>
            <w:tcW w:w="2138" w:type="dxa"/>
            <w:tcBorders>
              <w:top w:val="single" w:sz="5" w:space="0" w:color="000000"/>
              <w:left w:val="single" w:sz="5" w:space="0" w:color="000000"/>
              <w:bottom w:val="single" w:sz="5" w:space="0" w:color="000000"/>
              <w:right w:val="single" w:sz="5" w:space="0" w:color="000000"/>
            </w:tcBorders>
          </w:tcPr>
          <w:p w14:paraId="0652882A" w14:textId="77777777" w:rsidR="00D15122" w:rsidRPr="00381DC2" w:rsidRDefault="009B0756" w:rsidP="00D23770">
            <w:pPr>
              <w:pStyle w:val="TableParagraph"/>
              <w:spacing w:line="248" w:lineRule="exact"/>
              <w:ind w:left="191"/>
              <w:jc w:val="center"/>
              <w:rPr>
                <w:rFonts w:ascii="Times New Roman" w:eastAsia="Times New Roman" w:hAnsi="Times New Roman"/>
                <w:color w:val="000000"/>
              </w:rPr>
            </w:pPr>
            <w:r w:rsidRPr="00381DC2">
              <w:rPr>
                <w:rFonts w:ascii="Times New Roman" w:hAnsi="Times New Roman"/>
                <w:color w:val="000000"/>
              </w:rPr>
              <w:t>19,9</w:t>
            </w:r>
          </w:p>
        </w:tc>
        <w:tc>
          <w:tcPr>
            <w:tcW w:w="2160" w:type="dxa"/>
            <w:tcBorders>
              <w:top w:val="single" w:sz="5" w:space="0" w:color="000000"/>
              <w:left w:val="single" w:sz="5" w:space="0" w:color="000000"/>
              <w:bottom w:val="single" w:sz="5" w:space="0" w:color="000000"/>
              <w:right w:val="single" w:sz="5" w:space="0" w:color="000000"/>
            </w:tcBorders>
          </w:tcPr>
          <w:p w14:paraId="273E665C" w14:textId="77777777" w:rsidR="00D15122" w:rsidRPr="00381DC2" w:rsidRDefault="009B0756" w:rsidP="00D23770">
            <w:pPr>
              <w:pStyle w:val="TableParagraph"/>
              <w:spacing w:line="248" w:lineRule="exact"/>
              <w:ind w:left="191"/>
              <w:jc w:val="center"/>
              <w:rPr>
                <w:rFonts w:ascii="Times New Roman" w:eastAsia="Times New Roman" w:hAnsi="Times New Roman"/>
                <w:color w:val="000000"/>
              </w:rPr>
            </w:pPr>
            <w:r w:rsidRPr="00381DC2">
              <w:rPr>
                <w:rFonts w:ascii="Times New Roman" w:hAnsi="Times New Roman"/>
                <w:color w:val="000000"/>
              </w:rPr>
              <w:t>21,2</w:t>
            </w:r>
          </w:p>
        </w:tc>
        <w:tc>
          <w:tcPr>
            <w:tcW w:w="1620" w:type="dxa"/>
            <w:tcBorders>
              <w:top w:val="single" w:sz="5" w:space="0" w:color="000000"/>
              <w:left w:val="single" w:sz="5" w:space="0" w:color="000000"/>
              <w:bottom w:val="single" w:sz="5" w:space="0" w:color="000000"/>
              <w:right w:val="single" w:sz="5" w:space="0" w:color="000000"/>
            </w:tcBorders>
          </w:tcPr>
          <w:p w14:paraId="1FE9AC9E" w14:textId="77777777" w:rsidR="00D15122" w:rsidRPr="00381DC2" w:rsidRDefault="009B0756" w:rsidP="00D23770">
            <w:pPr>
              <w:pStyle w:val="TableParagraph"/>
              <w:spacing w:line="248" w:lineRule="exact"/>
              <w:ind w:left="191"/>
              <w:jc w:val="center"/>
              <w:rPr>
                <w:rFonts w:ascii="Times New Roman" w:eastAsia="Times New Roman" w:hAnsi="Times New Roman"/>
                <w:color w:val="000000"/>
              </w:rPr>
            </w:pPr>
            <w:r w:rsidRPr="00381DC2">
              <w:rPr>
                <w:rFonts w:ascii="Times New Roman" w:hAnsi="Times New Roman"/>
                <w:color w:val="000000"/>
              </w:rPr>
              <w:t>0,0769</w:t>
            </w:r>
          </w:p>
        </w:tc>
      </w:tr>
      <w:tr w:rsidR="00D15122" w:rsidRPr="00F60460" w14:paraId="7CA80FE7" w14:textId="77777777" w:rsidTr="006A2145">
        <w:tc>
          <w:tcPr>
            <w:tcW w:w="3370" w:type="dxa"/>
            <w:tcBorders>
              <w:top w:val="single" w:sz="5" w:space="0" w:color="000000"/>
              <w:left w:val="single" w:sz="5" w:space="0" w:color="000000"/>
              <w:bottom w:val="single" w:sz="5" w:space="0" w:color="000000"/>
              <w:right w:val="single" w:sz="5" w:space="0" w:color="000000"/>
            </w:tcBorders>
          </w:tcPr>
          <w:p w14:paraId="471E8C42" w14:textId="77777777" w:rsidR="00D15122" w:rsidRPr="00381DC2" w:rsidRDefault="009B0756" w:rsidP="00D23770">
            <w:pPr>
              <w:pStyle w:val="TableParagraph"/>
              <w:spacing w:line="248" w:lineRule="exact"/>
              <w:ind w:left="191"/>
              <w:rPr>
                <w:rFonts w:ascii="Times New Roman" w:eastAsia="Times New Roman" w:hAnsi="Times New Roman"/>
                <w:color w:val="000000"/>
              </w:rPr>
            </w:pPr>
            <w:r w:rsidRPr="00381DC2">
              <w:rPr>
                <w:rFonts w:ascii="Times New Roman" w:hAnsi="Times New Roman"/>
                <w:color w:val="000000"/>
              </w:rPr>
              <w:t>Poměr rizik (97,5% CI)</w:t>
            </w:r>
          </w:p>
        </w:tc>
        <w:tc>
          <w:tcPr>
            <w:tcW w:w="4298" w:type="dxa"/>
            <w:gridSpan w:val="2"/>
            <w:tcBorders>
              <w:top w:val="single" w:sz="5" w:space="0" w:color="000000"/>
              <w:left w:val="single" w:sz="5" w:space="0" w:color="000000"/>
              <w:bottom w:val="single" w:sz="5" w:space="0" w:color="000000"/>
              <w:right w:val="single" w:sz="5" w:space="0" w:color="000000"/>
            </w:tcBorders>
          </w:tcPr>
          <w:p w14:paraId="79F79D56" w14:textId="77777777" w:rsidR="00D15122" w:rsidRPr="00381DC2" w:rsidRDefault="0063042E" w:rsidP="00D23770">
            <w:pPr>
              <w:pStyle w:val="TableParagraph"/>
              <w:spacing w:line="248" w:lineRule="exact"/>
              <w:ind w:left="191"/>
              <w:jc w:val="center"/>
              <w:rPr>
                <w:rFonts w:ascii="Times New Roman" w:eastAsia="Times New Roman" w:hAnsi="Times New Roman"/>
                <w:color w:val="000000"/>
              </w:rPr>
            </w:pPr>
            <w:r w:rsidRPr="00381DC2">
              <w:rPr>
                <w:rFonts w:ascii="Times New Roman" w:hAnsi="Times New Roman"/>
                <w:color w:val="000000"/>
              </w:rPr>
              <w:t>0,89 (0,76–1,03)</w:t>
            </w:r>
          </w:p>
        </w:tc>
        <w:tc>
          <w:tcPr>
            <w:tcW w:w="1620" w:type="dxa"/>
            <w:tcBorders>
              <w:top w:val="single" w:sz="5" w:space="0" w:color="000000"/>
              <w:left w:val="single" w:sz="5" w:space="0" w:color="000000"/>
              <w:bottom w:val="single" w:sz="5" w:space="0" w:color="000000"/>
              <w:right w:val="single" w:sz="5" w:space="0" w:color="000000"/>
            </w:tcBorders>
          </w:tcPr>
          <w:p w14:paraId="2B5BD285" w14:textId="77777777" w:rsidR="00D15122" w:rsidRPr="00381DC2" w:rsidRDefault="00D15122" w:rsidP="00D23770">
            <w:pPr>
              <w:ind w:left="191"/>
              <w:rPr>
                <w:rFonts w:ascii="Times New Roman" w:hAnsi="Times New Roman"/>
                <w:color w:val="000000"/>
              </w:rPr>
            </w:pPr>
          </w:p>
        </w:tc>
      </w:tr>
    </w:tbl>
    <w:p w14:paraId="56771E15" w14:textId="77777777" w:rsidR="004F312E" w:rsidRPr="00F60460" w:rsidRDefault="004F312E" w:rsidP="00D23770">
      <w:pPr>
        <w:spacing w:line="221" w:lineRule="exact"/>
        <w:ind w:left="284" w:hanging="284"/>
        <w:rPr>
          <w:rFonts w:ascii="Times New Roman" w:eastAsia="Times New Roman" w:hAnsi="Times New Roman"/>
          <w:color w:val="000000"/>
          <w:sz w:val="20"/>
          <w:szCs w:val="20"/>
        </w:rPr>
      </w:pPr>
      <w:r w:rsidRPr="00F60460">
        <w:rPr>
          <w:rFonts w:ascii="Times New Roman" w:hAnsi="Times New Roman"/>
          <w:color w:val="000000"/>
          <w:sz w:val="20"/>
        </w:rPr>
        <w:t>*</w:t>
      </w:r>
      <w:r w:rsidR="00433E0D" w:rsidRPr="00F60460">
        <w:rPr>
          <w:rFonts w:ascii="Times New Roman" w:hAnsi="Times New Roman"/>
          <w:color w:val="000000"/>
          <w:sz w:val="20"/>
        </w:rPr>
        <w:tab/>
      </w:r>
      <w:r w:rsidRPr="00F60460">
        <w:rPr>
          <w:rFonts w:ascii="Times New Roman" w:hAnsi="Times New Roman"/>
          <w:color w:val="000000"/>
          <w:sz w:val="20"/>
        </w:rPr>
        <w:t>Analýza celkového přežití k datu ukončení sběru klinických údajů 31. ledna 2007</w:t>
      </w:r>
    </w:p>
    <w:p w14:paraId="32C9ED90" w14:textId="77777777" w:rsidR="004F312E" w:rsidRPr="00F60460" w:rsidRDefault="004F312E" w:rsidP="00D23770">
      <w:pPr>
        <w:spacing w:line="217" w:lineRule="exact"/>
        <w:ind w:left="284" w:hanging="284"/>
        <w:rPr>
          <w:rFonts w:ascii="Times New Roman" w:eastAsia="Times New Roman" w:hAnsi="Times New Roman"/>
          <w:color w:val="000000"/>
          <w:sz w:val="20"/>
          <w:szCs w:val="20"/>
        </w:rPr>
      </w:pPr>
      <w:r w:rsidRPr="00F60460">
        <w:rPr>
          <w:rFonts w:ascii="Times New Roman" w:hAnsi="Times New Roman"/>
          <w:color w:val="000000"/>
          <w:sz w:val="20"/>
        </w:rPr>
        <w:t>**</w:t>
      </w:r>
      <w:r w:rsidR="00433E0D" w:rsidRPr="00F60460">
        <w:rPr>
          <w:rFonts w:ascii="Times New Roman" w:hAnsi="Times New Roman"/>
          <w:color w:val="000000"/>
          <w:sz w:val="20"/>
        </w:rPr>
        <w:tab/>
      </w:r>
      <w:r w:rsidRPr="00F60460">
        <w:rPr>
          <w:rFonts w:ascii="Times New Roman" w:hAnsi="Times New Roman"/>
          <w:color w:val="000000"/>
          <w:sz w:val="20"/>
        </w:rPr>
        <w:t>Primární analýza k datu ukončení sběru klinických údajů 31. ledna 2006</w:t>
      </w:r>
    </w:p>
    <w:p w14:paraId="07AB704D" w14:textId="77777777" w:rsidR="004F312E" w:rsidRPr="00F60460" w:rsidRDefault="004F312E" w:rsidP="00D23770">
      <w:pPr>
        <w:spacing w:line="242" w:lineRule="exact"/>
        <w:ind w:left="284" w:hanging="284"/>
        <w:rPr>
          <w:rFonts w:ascii="Times New Roman" w:eastAsia="Times New Roman" w:hAnsi="Times New Roman"/>
          <w:color w:val="000000"/>
          <w:sz w:val="20"/>
          <w:szCs w:val="20"/>
        </w:rPr>
      </w:pPr>
      <w:r w:rsidRPr="00381DC2">
        <w:rPr>
          <w:rFonts w:ascii="Times New Roman" w:hAnsi="Times New Roman"/>
          <w:color w:val="000000"/>
          <w:vertAlign w:val="superscript"/>
        </w:rPr>
        <w:t>a</w:t>
      </w:r>
      <w:r w:rsidRPr="00F60460">
        <w:rPr>
          <w:rFonts w:ascii="Times New Roman" w:hAnsi="Times New Roman"/>
          <w:color w:val="000000"/>
          <w:sz w:val="13"/>
        </w:rPr>
        <w:t xml:space="preserve"> </w:t>
      </w:r>
      <w:r w:rsidR="00433E0D" w:rsidRPr="00F60460">
        <w:rPr>
          <w:rFonts w:ascii="Times New Roman" w:hAnsi="Times New Roman"/>
          <w:color w:val="000000"/>
          <w:sz w:val="13"/>
        </w:rPr>
        <w:tab/>
      </w:r>
      <w:r w:rsidRPr="00F60460">
        <w:rPr>
          <w:rFonts w:ascii="Times New Roman" w:hAnsi="Times New Roman"/>
          <w:color w:val="000000"/>
          <w:sz w:val="20"/>
        </w:rPr>
        <w:t>Vztaženo ke kontrolnímu rameni.</w:t>
      </w:r>
    </w:p>
    <w:p w14:paraId="56FFFC48" w14:textId="77777777" w:rsidR="00D15122" w:rsidRPr="00381DC2" w:rsidRDefault="00D15122" w:rsidP="007F6E1B">
      <w:pPr>
        <w:rPr>
          <w:rFonts w:ascii="Times New Roman" w:eastAsia="Times New Roman" w:hAnsi="Times New Roman"/>
          <w:color w:val="000000"/>
        </w:rPr>
      </w:pPr>
    </w:p>
    <w:p w14:paraId="357E4CD8" w14:textId="77777777" w:rsidR="00D15122" w:rsidRPr="00381DC2" w:rsidRDefault="009B0756" w:rsidP="007F6E1B">
      <w:pPr>
        <w:pStyle w:val="BodyText"/>
        <w:ind w:left="0" w:right="266"/>
        <w:rPr>
          <w:color w:val="000000"/>
        </w:rPr>
      </w:pPr>
      <w:r w:rsidRPr="00381DC2">
        <w:rPr>
          <w:color w:val="000000"/>
        </w:rPr>
        <w:t>V podskupině léčené režimem FOLFOX činil medián přežití bez progrese 8,6 měsíce při podávání placeba a 9,4 měsíce u pacientů léčených bevacizumabem, poměr rizik</w:t>
      </w:r>
      <w:r w:rsidR="007B67A5" w:rsidRPr="00381DC2">
        <w:rPr>
          <w:color w:val="000000"/>
        </w:rPr>
        <w:t xml:space="preserve"> (HR)</w:t>
      </w:r>
      <w:r w:rsidRPr="00381DC2">
        <w:rPr>
          <w:color w:val="000000"/>
        </w:rPr>
        <w:t xml:space="preserve"> = 0,89, 97,5% CI = [0,73; 1,08], p-hodnota = 0,1871, odpovídající </w:t>
      </w:r>
      <w:r w:rsidR="007B67A5" w:rsidRPr="00381DC2">
        <w:rPr>
          <w:color w:val="000000"/>
        </w:rPr>
        <w:t xml:space="preserve">výsledky </w:t>
      </w:r>
      <w:r w:rsidRPr="00381DC2">
        <w:rPr>
          <w:color w:val="000000"/>
        </w:rPr>
        <w:t>v podskupině léčené režimem XELOX byly 7,4 versus 9,3 měsíce,</w:t>
      </w:r>
      <w:r w:rsidR="00796434" w:rsidRPr="00381DC2">
        <w:rPr>
          <w:color w:val="000000"/>
        </w:rPr>
        <w:t xml:space="preserve"> </w:t>
      </w:r>
      <w:r w:rsidR="007B67A5" w:rsidRPr="00381DC2">
        <w:rPr>
          <w:color w:val="000000"/>
        </w:rPr>
        <w:t>HR =</w:t>
      </w:r>
      <w:r w:rsidRPr="00381DC2">
        <w:rPr>
          <w:color w:val="000000"/>
        </w:rPr>
        <w:t xml:space="preserve"> 0,77, 97,5% CI = [0,63; 0,94], p-hodnota</w:t>
      </w:r>
      <w:r w:rsidR="007B67A5" w:rsidRPr="00381DC2">
        <w:rPr>
          <w:color w:val="000000"/>
        </w:rPr>
        <w:t xml:space="preserve"> </w:t>
      </w:r>
      <w:r w:rsidRPr="00381DC2">
        <w:rPr>
          <w:color w:val="000000"/>
        </w:rPr>
        <w:t>=</w:t>
      </w:r>
      <w:r w:rsidR="007B67A5" w:rsidRPr="00381DC2">
        <w:rPr>
          <w:color w:val="000000"/>
        </w:rPr>
        <w:t xml:space="preserve"> </w:t>
      </w:r>
      <w:r w:rsidRPr="00381DC2">
        <w:rPr>
          <w:color w:val="000000"/>
        </w:rPr>
        <w:t>0,0026.</w:t>
      </w:r>
    </w:p>
    <w:p w14:paraId="4956C985" w14:textId="77777777" w:rsidR="00D15122" w:rsidRPr="00381DC2" w:rsidRDefault="00D15122" w:rsidP="007F6E1B">
      <w:pPr>
        <w:rPr>
          <w:rFonts w:ascii="Times New Roman" w:eastAsia="Times New Roman" w:hAnsi="Times New Roman"/>
          <w:color w:val="000000"/>
        </w:rPr>
      </w:pPr>
    </w:p>
    <w:p w14:paraId="217DBEFF" w14:textId="77777777" w:rsidR="00D15122" w:rsidRPr="00381DC2" w:rsidRDefault="007B67A5" w:rsidP="007F6E1B">
      <w:pPr>
        <w:pStyle w:val="BodyText"/>
        <w:ind w:left="0" w:right="266"/>
        <w:rPr>
          <w:color w:val="000000"/>
        </w:rPr>
      </w:pPr>
      <w:r w:rsidRPr="00381DC2">
        <w:rPr>
          <w:color w:val="000000"/>
        </w:rPr>
        <w:t xml:space="preserve">Medián celkového </w:t>
      </w:r>
      <w:r w:rsidR="009B0756" w:rsidRPr="00381DC2">
        <w:rPr>
          <w:color w:val="000000"/>
        </w:rPr>
        <w:t xml:space="preserve">přežití činil 20,3 měsíce při podávání placeba a 21,2 měsíce u pacientů léčených bevacizumabem v podskupině s režimem FOLFOX, </w:t>
      </w:r>
      <w:r w:rsidRPr="00381DC2">
        <w:rPr>
          <w:color w:val="000000"/>
        </w:rPr>
        <w:t xml:space="preserve">HR </w:t>
      </w:r>
      <w:r w:rsidR="009B0756" w:rsidRPr="00381DC2">
        <w:rPr>
          <w:color w:val="000000"/>
        </w:rPr>
        <w:t xml:space="preserve">= 0,94, 97,5% CI = [0,75; 1,16], p-hodnota = 0,4937, odpovídající </w:t>
      </w:r>
      <w:r w:rsidRPr="00381DC2">
        <w:rPr>
          <w:color w:val="000000"/>
        </w:rPr>
        <w:t xml:space="preserve">výsledky </w:t>
      </w:r>
      <w:r w:rsidR="009B0756" w:rsidRPr="00381DC2">
        <w:rPr>
          <w:color w:val="000000"/>
        </w:rPr>
        <w:t xml:space="preserve">v podskupině s režimem XELOX jsou 19,2 versus 21,4 měsíce, </w:t>
      </w:r>
      <w:r w:rsidR="00F706F5" w:rsidRPr="00381DC2">
        <w:rPr>
          <w:color w:val="000000"/>
        </w:rPr>
        <w:t>HR =</w:t>
      </w:r>
      <w:r w:rsidR="009B0756" w:rsidRPr="00381DC2">
        <w:rPr>
          <w:color w:val="000000"/>
        </w:rPr>
        <w:t xml:space="preserve"> 0,84, 97,5% CI [0,68; 1,04], p-hodnota = 0,0698.</w:t>
      </w:r>
    </w:p>
    <w:p w14:paraId="701501A5" w14:textId="77777777" w:rsidR="00D15122" w:rsidRPr="00381DC2" w:rsidRDefault="00D15122" w:rsidP="007F6E1B">
      <w:pPr>
        <w:rPr>
          <w:rFonts w:ascii="Times New Roman" w:eastAsia="Times New Roman" w:hAnsi="Times New Roman"/>
          <w:color w:val="000000"/>
        </w:rPr>
      </w:pPr>
    </w:p>
    <w:p w14:paraId="70ECFBF1" w14:textId="77777777" w:rsidR="00D15122" w:rsidRPr="00381DC2" w:rsidRDefault="009B0756" w:rsidP="004F6645">
      <w:pPr>
        <w:keepNext/>
        <w:rPr>
          <w:rFonts w:ascii="Times New Roman" w:eastAsia="Times New Roman" w:hAnsi="Times New Roman"/>
          <w:color w:val="000000"/>
        </w:rPr>
      </w:pPr>
      <w:r w:rsidRPr="00381DC2">
        <w:rPr>
          <w:rFonts w:ascii="Times New Roman" w:hAnsi="Times New Roman"/>
          <w:i/>
          <w:color w:val="000000"/>
        </w:rPr>
        <w:t>ECOG E3200</w:t>
      </w:r>
    </w:p>
    <w:p w14:paraId="4E8A470F" w14:textId="77777777" w:rsidR="00D15122" w:rsidRPr="00381DC2" w:rsidRDefault="009B0756" w:rsidP="007F6E1B">
      <w:pPr>
        <w:pStyle w:val="BodyText"/>
        <w:ind w:left="0" w:right="376"/>
        <w:rPr>
          <w:color w:val="000000"/>
        </w:rPr>
      </w:pPr>
      <w:r w:rsidRPr="00381DC2">
        <w:rPr>
          <w:color w:val="000000"/>
        </w:rPr>
        <w:t xml:space="preserve">Toto </w:t>
      </w:r>
      <w:r w:rsidR="00F706F5" w:rsidRPr="00381DC2">
        <w:rPr>
          <w:color w:val="000000"/>
        </w:rPr>
        <w:t>r</w:t>
      </w:r>
      <w:r w:rsidR="00875571" w:rsidRPr="00381DC2">
        <w:rPr>
          <w:color w:val="000000"/>
        </w:rPr>
        <w:t>andomizované</w:t>
      </w:r>
      <w:r w:rsidR="00F706F5" w:rsidRPr="00381DC2">
        <w:rPr>
          <w:color w:val="000000"/>
        </w:rPr>
        <w:t xml:space="preserve"> </w:t>
      </w:r>
      <w:r w:rsidRPr="00381DC2">
        <w:rPr>
          <w:color w:val="000000"/>
        </w:rPr>
        <w:t>otevřené hodnocení fáze III s aktivně léčenou kontrolní skupinou hodnotilo bevacizumab 10 mg/kg v kombinaci s leukovorinem plus fluoruracilem podaným jako bolus a následnou infuzí fluoruracilu a s </w:t>
      </w:r>
      <w:r w:rsidR="00D5294C" w:rsidRPr="00381DC2">
        <w:rPr>
          <w:color w:val="000000"/>
        </w:rPr>
        <w:t xml:space="preserve">intravenózní </w:t>
      </w:r>
      <w:r w:rsidRPr="00381DC2">
        <w:rPr>
          <w:color w:val="000000"/>
        </w:rPr>
        <w:t xml:space="preserve">oxaliplatinou (FOLFOX-4) podávanými </w:t>
      </w:r>
      <w:r w:rsidR="00F706F5" w:rsidRPr="00381DC2">
        <w:rPr>
          <w:color w:val="000000"/>
        </w:rPr>
        <w:t xml:space="preserve">v 2týdenním režimu </w:t>
      </w:r>
      <w:r w:rsidRPr="00381DC2">
        <w:rPr>
          <w:color w:val="000000"/>
        </w:rPr>
        <w:t>u již dříve léčených pacientů (druhá linie) s pokročilým kolorektálním karcinomem. V ramenech s chemoterapií byla použita kombinace FOLFOX-4 ve stejných dávkách a režimu, jak je uvedeno v </w:t>
      </w:r>
      <w:r w:rsidR="005E6C8E" w:rsidRPr="00381DC2">
        <w:rPr>
          <w:color w:val="000000"/>
        </w:rPr>
        <w:t>t</w:t>
      </w:r>
      <w:r w:rsidRPr="00381DC2">
        <w:rPr>
          <w:color w:val="000000"/>
        </w:rPr>
        <w:t>abulce 6 pro hodnocení NO16966.</w:t>
      </w:r>
    </w:p>
    <w:p w14:paraId="29D4E3B1" w14:textId="77777777" w:rsidR="00D15122" w:rsidRPr="00381DC2" w:rsidRDefault="00D15122" w:rsidP="007F6E1B">
      <w:pPr>
        <w:rPr>
          <w:rFonts w:ascii="Times New Roman" w:eastAsia="Times New Roman" w:hAnsi="Times New Roman"/>
          <w:color w:val="000000"/>
        </w:rPr>
      </w:pPr>
    </w:p>
    <w:p w14:paraId="672FBD96" w14:textId="77777777" w:rsidR="00D15122" w:rsidRPr="00381DC2" w:rsidRDefault="009B0756" w:rsidP="007F6E1B">
      <w:pPr>
        <w:pStyle w:val="BodyText"/>
        <w:ind w:left="0" w:right="266"/>
        <w:rPr>
          <w:color w:val="000000"/>
        </w:rPr>
      </w:pPr>
      <w:r w:rsidRPr="00381DC2">
        <w:rPr>
          <w:color w:val="000000"/>
        </w:rPr>
        <w:t>Primárním parametrem účinnosti v tomto hodnocení byl</w:t>
      </w:r>
      <w:r w:rsidR="00527928" w:rsidRPr="00381DC2">
        <w:rPr>
          <w:color w:val="000000"/>
        </w:rPr>
        <w:t>o</w:t>
      </w:r>
      <w:r w:rsidRPr="00381DC2">
        <w:rPr>
          <w:color w:val="000000"/>
        </w:rPr>
        <w:t xml:space="preserve"> </w:t>
      </w:r>
      <w:r w:rsidR="00F706F5" w:rsidRPr="00381DC2">
        <w:rPr>
          <w:color w:val="000000"/>
        </w:rPr>
        <w:t xml:space="preserve">celkové </w:t>
      </w:r>
      <w:r w:rsidRPr="00381DC2">
        <w:rPr>
          <w:color w:val="000000"/>
        </w:rPr>
        <w:t>přežití definovan</w:t>
      </w:r>
      <w:r w:rsidR="00F706F5" w:rsidRPr="00381DC2">
        <w:rPr>
          <w:color w:val="000000"/>
        </w:rPr>
        <w:t>é</w:t>
      </w:r>
      <w:r w:rsidRPr="00381DC2">
        <w:rPr>
          <w:color w:val="000000"/>
        </w:rPr>
        <w:t xml:space="preserve"> jako doba od randomizace do úmrtí z jakýchkoli příčin. Bylo randomizováno 829 pacientů (292 FOLFOX-4, 293 bevacizumab + FOLFOX-4 a 244 bevacizumab </w:t>
      </w:r>
      <w:r w:rsidR="00F706F5" w:rsidRPr="00381DC2">
        <w:rPr>
          <w:color w:val="000000"/>
        </w:rPr>
        <w:t>v </w:t>
      </w:r>
      <w:r w:rsidRPr="00381DC2">
        <w:rPr>
          <w:color w:val="000000"/>
        </w:rPr>
        <w:t>monoterapi</w:t>
      </w:r>
      <w:r w:rsidR="00F706F5" w:rsidRPr="00381DC2">
        <w:rPr>
          <w:color w:val="000000"/>
        </w:rPr>
        <w:t>i</w:t>
      </w:r>
      <w:r w:rsidRPr="00381DC2">
        <w:rPr>
          <w:color w:val="000000"/>
        </w:rPr>
        <w:t xml:space="preserve">). Přidání bevacizumabu k režimu FOLFOX-4 vedlo ke statisticky významnému prodloužení přežití. Bylo pozorováno rovněž statisticky významné prodloužení přežití bez progrese a zvýšení četnosti objektivních odpovědí (viz </w:t>
      </w:r>
      <w:r w:rsidR="005E6C8E" w:rsidRPr="00381DC2">
        <w:rPr>
          <w:color w:val="000000"/>
        </w:rPr>
        <w:t>t</w:t>
      </w:r>
      <w:r w:rsidRPr="00381DC2">
        <w:rPr>
          <w:color w:val="000000"/>
        </w:rPr>
        <w:t>abulka 8).</w:t>
      </w:r>
    </w:p>
    <w:p w14:paraId="2D891DDA" w14:textId="77777777" w:rsidR="00221EBE" w:rsidRPr="00381DC2" w:rsidRDefault="00221EBE" w:rsidP="005D48D1">
      <w:pPr>
        <w:rPr>
          <w:rFonts w:ascii="Times New Roman" w:eastAsia="Times New Roman" w:hAnsi="Times New Roman"/>
          <w:b/>
          <w:color w:val="000000"/>
        </w:rPr>
      </w:pPr>
    </w:p>
    <w:p w14:paraId="004AFF6D" w14:textId="77777777" w:rsidR="00D15122" w:rsidRPr="00381DC2" w:rsidRDefault="009B0756" w:rsidP="00363CA4">
      <w:pPr>
        <w:keepNext/>
        <w:keepLines/>
        <w:rPr>
          <w:rFonts w:ascii="Times New Roman" w:eastAsia="Times New Roman" w:hAnsi="Times New Roman"/>
          <w:b/>
          <w:color w:val="000000"/>
        </w:rPr>
      </w:pPr>
      <w:r w:rsidRPr="00381DC2">
        <w:rPr>
          <w:rFonts w:ascii="Times New Roman" w:eastAsia="Times New Roman" w:hAnsi="Times New Roman"/>
          <w:b/>
          <w:color w:val="000000"/>
        </w:rPr>
        <w:lastRenderedPageBreak/>
        <w:t>Tabulka 8</w:t>
      </w:r>
      <w:r w:rsidRPr="00381DC2">
        <w:rPr>
          <w:rFonts w:ascii="Times New Roman" w:eastAsia="Times New Roman" w:hAnsi="Times New Roman"/>
          <w:b/>
          <w:color w:val="000000"/>
        </w:rPr>
        <w:tab/>
        <w:t>Výsledky účinnosti v</w:t>
      </w:r>
      <w:r w:rsidR="00527928" w:rsidRPr="00381DC2">
        <w:rPr>
          <w:rFonts w:ascii="Times New Roman" w:eastAsia="Times New Roman" w:hAnsi="Times New Roman"/>
          <w:b/>
          <w:color w:val="000000"/>
        </w:rPr>
        <w:t>e studii</w:t>
      </w:r>
      <w:r w:rsidRPr="00381DC2">
        <w:rPr>
          <w:rFonts w:ascii="Times New Roman" w:eastAsia="Times New Roman" w:hAnsi="Times New Roman"/>
          <w:b/>
          <w:color w:val="000000"/>
        </w:rPr>
        <w:t xml:space="preserve"> E3200</w:t>
      </w:r>
    </w:p>
    <w:p w14:paraId="5835BA29" w14:textId="77777777" w:rsidR="00D15122" w:rsidRPr="00381DC2" w:rsidRDefault="00D15122" w:rsidP="00804C7A">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3"/>
        <w:gridCol w:w="2160"/>
        <w:gridCol w:w="2402"/>
      </w:tblGrid>
      <w:tr w:rsidR="00D15122" w:rsidRPr="00F60460" w14:paraId="23843D43" w14:textId="77777777" w:rsidTr="006A2145">
        <w:trPr>
          <w:tblHeader/>
        </w:trPr>
        <w:tc>
          <w:tcPr>
            <w:tcW w:w="3893" w:type="dxa"/>
            <w:vMerge w:val="restart"/>
          </w:tcPr>
          <w:p w14:paraId="20338E44" w14:textId="77777777" w:rsidR="00D15122" w:rsidRPr="00381DC2" w:rsidRDefault="00D15122" w:rsidP="00804C7A">
            <w:pPr>
              <w:keepNext/>
              <w:rPr>
                <w:rFonts w:ascii="Times New Roman" w:hAnsi="Times New Roman"/>
                <w:color w:val="000000"/>
              </w:rPr>
            </w:pPr>
          </w:p>
        </w:tc>
        <w:tc>
          <w:tcPr>
            <w:tcW w:w="4562" w:type="dxa"/>
            <w:gridSpan w:val="2"/>
          </w:tcPr>
          <w:p w14:paraId="74E5809F"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E3200</w:t>
            </w:r>
          </w:p>
        </w:tc>
      </w:tr>
      <w:tr w:rsidR="00D15122" w:rsidRPr="00F60460" w14:paraId="2726538C" w14:textId="77777777" w:rsidTr="006A2145">
        <w:trPr>
          <w:tblHeader/>
        </w:trPr>
        <w:tc>
          <w:tcPr>
            <w:tcW w:w="3893" w:type="dxa"/>
            <w:vMerge/>
          </w:tcPr>
          <w:p w14:paraId="232F0397" w14:textId="77777777" w:rsidR="00D15122" w:rsidRPr="00381DC2" w:rsidRDefault="00D15122" w:rsidP="00804C7A">
            <w:pPr>
              <w:keepNext/>
              <w:rPr>
                <w:rFonts w:ascii="Times New Roman" w:hAnsi="Times New Roman"/>
                <w:color w:val="000000"/>
              </w:rPr>
            </w:pPr>
          </w:p>
        </w:tc>
        <w:tc>
          <w:tcPr>
            <w:tcW w:w="2160" w:type="dxa"/>
          </w:tcPr>
          <w:p w14:paraId="5DA97FEF"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FOLFOX-4</w:t>
            </w:r>
          </w:p>
        </w:tc>
        <w:tc>
          <w:tcPr>
            <w:tcW w:w="2402" w:type="dxa"/>
          </w:tcPr>
          <w:p w14:paraId="4A9DE9FC" w14:textId="77777777" w:rsidR="00D15122" w:rsidRPr="00F60460" w:rsidRDefault="009B0756" w:rsidP="00022607">
            <w:pPr>
              <w:pStyle w:val="TableParagraph"/>
              <w:keepNext/>
              <w:jc w:val="center"/>
              <w:rPr>
                <w:rFonts w:ascii="Times New Roman" w:eastAsia="Times New Roman" w:hAnsi="Times New Roman"/>
                <w:color w:val="000000"/>
                <w:sz w:val="14"/>
                <w:szCs w:val="14"/>
              </w:rPr>
            </w:pPr>
            <w:r w:rsidRPr="00381DC2">
              <w:rPr>
                <w:rFonts w:ascii="Times New Roman" w:hAnsi="Times New Roman"/>
                <w:color w:val="000000"/>
              </w:rPr>
              <w:t>FOLFOX-4 + bevacizumab</w:t>
            </w:r>
            <w:r w:rsidRPr="00381DC2">
              <w:rPr>
                <w:rFonts w:ascii="Times New Roman" w:hAnsi="Times New Roman"/>
                <w:color w:val="000000"/>
                <w:vertAlign w:val="superscript"/>
              </w:rPr>
              <w:t>a</w:t>
            </w:r>
          </w:p>
        </w:tc>
      </w:tr>
      <w:tr w:rsidR="00D15122" w:rsidRPr="00F60460" w14:paraId="2F06FE19" w14:textId="77777777" w:rsidTr="006A2145">
        <w:tc>
          <w:tcPr>
            <w:tcW w:w="3893" w:type="dxa"/>
          </w:tcPr>
          <w:p w14:paraId="045FE406" w14:textId="77777777" w:rsidR="00D15122" w:rsidRPr="00381DC2" w:rsidRDefault="009B0756" w:rsidP="00804C7A">
            <w:pPr>
              <w:pStyle w:val="TableParagraph"/>
              <w:keepNext/>
              <w:rPr>
                <w:rFonts w:ascii="Times New Roman" w:eastAsia="Times New Roman" w:hAnsi="Times New Roman"/>
                <w:color w:val="000000"/>
              </w:rPr>
            </w:pPr>
            <w:r w:rsidRPr="00381DC2">
              <w:rPr>
                <w:rFonts w:ascii="Times New Roman" w:hAnsi="Times New Roman"/>
                <w:color w:val="000000"/>
              </w:rPr>
              <w:t>Počet pacientů</w:t>
            </w:r>
          </w:p>
        </w:tc>
        <w:tc>
          <w:tcPr>
            <w:tcW w:w="2160" w:type="dxa"/>
          </w:tcPr>
          <w:p w14:paraId="6DBB7C90" w14:textId="77777777" w:rsidR="00D15122" w:rsidRPr="00381DC2" w:rsidRDefault="009B0756" w:rsidP="00804C7A">
            <w:pPr>
              <w:pStyle w:val="TableParagraph"/>
              <w:keepNext/>
              <w:ind w:right="2"/>
              <w:jc w:val="center"/>
              <w:rPr>
                <w:rFonts w:ascii="Times New Roman" w:eastAsia="Times New Roman" w:hAnsi="Times New Roman"/>
                <w:color w:val="000000"/>
              </w:rPr>
            </w:pPr>
            <w:r w:rsidRPr="00381DC2">
              <w:rPr>
                <w:rFonts w:ascii="Times New Roman" w:hAnsi="Times New Roman"/>
                <w:color w:val="000000"/>
              </w:rPr>
              <w:t>292</w:t>
            </w:r>
          </w:p>
        </w:tc>
        <w:tc>
          <w:tcPr>
            <w:tcW w:w="2402" w:type="dxa"/>
          </w:tcPr>
          <w:p w14:paraId="4CA69DF8"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293</w:t>
            </w:r>
          </w:p>
        </w:tc>
      </w:tr>
      <w:tr w:rsidR="00D15122" w:rsidRPr="00F60460" w14:paraId="7DC5412C" w14:textId="77777777" w:rsidTr="006A2145">
        <w:tc>
          <w:tcPr>
            <w:tcW w:w="8455" w:type="dxa"/>
            <w:gridSpan w:val="3"/>
          </w:tcPr>
          <w:p w14:paraId="3A4ED81A" w14:textId="77777777" w:rsidR="00D15122" w:rsidRPr="00381DC2" w:rsidRDefault="009B0756" w:rsidP="00804C7A">
            <w:pPr>
              <w:pStyle w:val="TableParagraph"/>
              <w:keepNext/>
              <w:rPr>
                <w:rFonts w:ascii="Times New Roman" w:eastAsia="Times New Roman" w:hAnsi="Times New Roman"/>
                <w:color w:val="000000"/>
              </w:rPr>
            </w:pPr>
            <w:r w:rsidRPr="00381DC2">
              <w:rPr>
                <w:rFonts w:ascii="Times New Roman" w:hAnsi="Times New Roman"/>
                <w:color w:val="000000"/>
              </w:rPr>
              <w:t>Celkové přežití</w:t>
            </w:r>
          </w:p>
        </w:tc>
      </w:tr>
      <w:tr w:rsidR="00D15122" w:rsidRPr="00F60460" w14:paraId="54B0B0C9" w14:textId="77777777" w:rsidTr="006A2145">
        <w:tc>
          <w:tcPr>
            <w:tcW w:w="3893" w:type="dxa"/>
          </w:tcPr>
          <w:p w14:paraId="13622C20" w14:textId="77777777" w:rsidR="00D15122" w:rsidRPr="00381DC2" w:rsidRDefault="009B0756" w:rsidP="00804C7A">
            <w:pPr>
              <w:pStyle w:val="TableParagraph"/>
              <w:keepNext/>
              <w:ind w:left="310"/>
              <w:rPr>
                <w:rFonts w:ascii="Times New Roman" w:eastAsia="Times New Roman" w:hAnsi="Times New Roman"/>
                <w:color w:val="000000"/>
              </w:rPr>
            </w:pPr>
            <w:r w:rsidRPr="00381DC2">
              <w:rPr>
                <w:rFonts w:ascii="Times New Roman" w:hAnsi="Times New Roman"/>
                <w:color w:val="000000"/>
              </w:rPr>
              <w:t>Medián (měsíce)</w:t>
            </w:r>
          </w:p>
        </w:tc>
        <w:tc>
          <w:tcPr>
            <w:tcW w:w="2160" w:type="dxa"/>
          </w:tcPr>
          <w:p w14:paraId="384373E9"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10,8</w:t>
            </w:r>
          </w:p>
        </w:tc>
        <w:tc>
          <w:tcPr>
            <w:tcW w:w="2402" w:type="dxa"/>
          </w:tcPr>
          <w:p w14:paraId="0EC27289"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13,0</w:t>
            </w:r>
          </w:p>
        </w:tc>
      </w:tr>
      <w:tr w:rsidR="00D15122" w:rsidRPr="00F60460" w14:paraId="03291EF6" w14:textId="77777777" w:rsidTr="006A2145">
        <w:tc>
          <w:tcPr>
            <w:tcW w:w="3893" w:type="dxa"/>
          </w:tcPr>
          <w:p w14:paraId="197ADFA5" w14:textId="77777777" w:rsidR="00D15122" w:rsidRPr="00381DC2" w:rsidRDefault="009B0756" w:rsidP="00804C7A">
            <w:pPr>
              <w:pStyle w:val="TableParagraph"/>
              <w:keepNext/>
              <w:ind w:left="310"/>
              <w:rPr>
                <w:rFonts w:ascii="Times New Roman" w:eastAsia="Times New Roman" w:hAnsi="Times New Roman"/>
                <w:color w:val="000000"/>
              </w:rPr>
            </w:pPr>
            <w:r w:rsidRPr="00381DC2">
              <w:rPr>
                <w:rFonts w:ascii="Times New Roman" w:hAnsi="Times New Roman"/>
                <w:color w:val="000000"/>
              </w:rPr>
              <w:t>95% CI</w:t>
            </w:r>
          </w:p>
        </w:tc>
        <w:tc>
          <w:tcPr>
            <w:tcW w:w="2160" w:type="dxa"/>
          </w:tcPr>
          <w:p w14:paraId="19E28181"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10,12–11,86</w:t>
            </w:r>
          </w:p>
        </w:tc>
        <w:tc>
          <w:tcPr>
            <w:tcW w:w="2402" w:type="dxa"/>
          </w:tcPr>
          <w:p w14:paraId="218EED0F"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12,09–14,03</w:t>
            </w:r>
          </w:p>
        </w:tc>
      </w:tr>
      <w:tr w:rsidR="00D15122" w:rsidRPr="00F60460" w14:paraId="7BCB8E34" w14:textId="77777777" w:rsidTr="006A2145">
        <w:tc>
          <w:tcPr>
            <w:tcW w:w="3893" w:type="dxa"/>
          </w:tcPr>
          <w:p w14:paraId="5B9573EB" w14:textId="77777777" w:rsidR="00D15122" w:rsidRPr="00F60460" w:rsidRDefault="009B0756" w:rsidP="00804C7A">
            <w:pPr>
              <w:pStyle w:val="TableParagraph"/>
              <w:keepNext/>
              <w:ind w:left="310"/>
              <w:rPr>
                <w:rFonts w:ascii="Times New Roman" w:eastAsia="Times New Roman" w:hAnsi="Times New Roman"/>
                <w:color w:val="000000"/>
                <w:sz w:val="14"/>
                <w:szCs w:val="14"/>
              </w:rPr>
            </w:pPr>
            <w:r w:rsidRPr="00381DC2">
              <w:rPr>
                <w:rFonts w:ascii="Times New Roman" w:hAnsi="Times New Roman"/>
                <w:color w:val="000000"/>
              </w:rPr>
              <w:t>Poměr rizik</w:t>
            </w:r>
            <w:r w:rsidRPr="00381DC2">
              <w:rPr>
                <w:rFonts w:ascii="Times New Roman" w:hAnsi="Times New Roman"/>
                <w:color w:val="000000"/>
                <w:vertAlign w:val="superscript"/>
              </w:rPr>
              <w:t>b</w:t>
            </w:r>
          </w:p>
        </w:tc>
        <w:tc>
          <w:tcPr>
            <w:tcW w:w="4562" w:type="dxa"/>
            <w:gridSpan w:val="2"/>
          </w:tcPr>
          <w:p w14:paraId="0F8CF331"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0,751</w:t>
            </w:r>
          </w:p>
          <w:p w14:paraId="2D5A49BC"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(p-hodnota = 0,0012)</w:t>
            </w:r>
          </w:p>
        </w:tc>
      </w:tr>
      <w:tr w:rsidR="00D15122" w:rsidRPr="00F60460" w14:paraId="75C197F2" w14:textId="77777777" w:rsidTr="006A2145">
        <w:tc>
          <w:tcPr>
            <w:tcW w:w="8455" w:type="dxa"/>
            <w:gridSpan w:val="3"/>
          </w:tcPr>
          <w:p w14:paraId="4B1B6A15" w14:textId="77777777" w:rsidR="00D15122" w:rsidRPr="00381DC2" w:rsidRDefault="009B0756" w:rsidP="00804C7A">
            <w:pPr>
              <w:pStyle w:val="TableParagraph"/>
              <w:keepNext/>
              <w:rPr>
                <w:rFonts w:ascii="Times New Roman" w:eastAsia="Times New Roman" w:hAnsi="Times New Roman"/>
                <w:color w:val="000000"/>
              </w:rPr>
            </w:pPr>
            <w:r w:rsidRPr="00381DC2">
              <w:rPr>
                <w:rFonts w:ascii="Times New Roman" w:hAnsi="Times New Roman"/>
                <w:color w:val="000000"/>
              </w:rPr>
              <w:t>Přežití bez progrese</w:t>
            </w:r>
          </w:p>
        </w:tc>
      </w:tr>
      <w:tr w:rsidR="00D15122" w:rsidRPr="00F60460" w14:paraId="6A6F8025" w14:textId="77777777" w:rsidTr="006A2145">
        <w:tc>
          <w:tcPr>
            <w:tcW w:w="3893" w:type="dxa"/>
          </w:tcPr>
          <w:p w14:paraId="1EEF0378" w14:textId="77777777" w:rsidR="00D15122" w:rsidRPr="00381DC2" w:rsidRDefault="009B0756" w:rsidP="00804C7A">
            <w:pPr>
              <w:pStyle w:val="TableParagraph"/>
              <w:keepNext/>
              <w:ind w:left="310"/>
              <w:rPr>
                <w:rFonts w:ascii="Times New Roman" w:eastAsia="Times New Roman" w:hAnsi="Times New Roman"/>
                <w:color w:val="000000"/>
              </w:rPr>
            </w:pPr>
            <w:r w:rsidRPr="00381DC2">
              <w:rPr>
                <w:rFonts w:ascii="Times New Roman" w:hAnsi="Times New Roman"/>
                <w:color w:val="000000"/>
              </w:rPr>
              <w:t>Medián (měsíce)</w:t>
            </w:r>
          </w:p>
        </w:tc>
        <w:tc>
          <w:tcPr>
            <w:tcW w:w="2160" w:type="dxa"/>
          </w:tcPr>
          <w:p w14:paraId="5264E371"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4,5</w:t>
            </w:r>
          </w:p>
        </w:tc>
        <w:tc>
          <w:tcPr>
            <w:tcW w:w="2402" w:type="dxa"/>
          </w:tcPr>
          <w:p w14:paraId="03763F85"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7,5</w:t>
            </w:r>
          </w:p>
        </w:tc>
      </w:tr>
      <w:tr w:rsidR="00D15122" w:rsidRPr="00F60460" w14:paraId="4FB93C8D" w14:textId="77777777" w:rsidTr="006A2145">
        <w:tc>
          <w:tcPr>
            <w:tcW w:w="3893" w:type="dxa"/>
          </w:tcPr>
          <w:p w14:paraId="5293F96F" w14:textId="77777777" w:rsidR="00D15122" w:rsidRPr="00381DC2" w:rsidRDefault="009B0756" w:rsidP="00804C7A">
            <w:pPr>
              <w:pStyle w:val="TableParagraph"/>
              <w:keepNext/>
              <w:ind w:left="310"/>
              <w:rPr>
                <w:rFonts w:ascii="Times New Roman" w:eastAsia="Times New Roman" w:hAnsi="Times New Roman"/>
                <w:color w:val="000000"/>
              </w:rPr>
            </w:pPr>
            <w:r w:rsidRPr="00381DC2">
              <w:rPr>
                <w:rFonts w:ascii="Times New Roman" w:hAnsi="Times New Roman"/>
                <w:color w:val="000000"/>
              </w:rPr>
              <w:t>Poměr rizik</w:t>
            </w:r>
          </w:p>
        </w:tc>
        <w:tc>
          <w:tcPr>
            <w:tcW w:w="4562" w:type="dxa"/>
            <w:gridSpan w:val="2"/>
          </w:tcPr>
          <w:p w14:paraId="11D50A0B"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0,518</w:t>
            </w:r>
          </w:p>
          <w:p w14:paraId="34EEFEFF"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(p-hodnota &lt; 0,0001)</w:t>
            </w:r>
          </w:p>
        </w:tc>
      </w:tr>
      <w:tr w:rsidR="00D15122" w:rsidRPr="00F60460" w14:paraId="1F0C667F" w14:textId="77777777" w:rsidTr="006A2145">
        <w:tc>
          <w:tcPr>
            <w:tcW w:w="8455" w:type="dxa"/>
            <w:gridSpan w:val="3"/>
          </w:tcPr>
          <w:p w14:paraId="1054C4BE" w14:textId="77777777" w:rsidR="00D15122" w:rsidRPr="00381DC2" w:rsidRDefault="009B0756" w:rsidP="00804C7A">
            <w:pPr>
              <w:pStyle w:val="TableParagraph"/>
              <w:keepNext/>
              <w:rPr>
                <w:rFonts w:ascii="Times New Roman" w:eastAsia="Times New Roman" w:hAnsi="Times New Roman"/>
                <w:color w:val="000000"/>
              </w:rPr>
            </w:pPr>
            <w:r w:rsidRPr="00381DC2">
              <w:rPr>
                <w:rFonts w:ascii="Times New Roman" w:hAnsi="Times New Roman"/>
                <w:color w:val="000000"/>
              </w:rPr>
              <w:t>Četnost objektivních odpovědí</w:t>
            </w:r>
          </w:p>
        </w:tc>
      </w:tr>
      <w:tr w:rsidR="00D15122" w:rsidRPr="00F60460" w14:paraId="5685E4B7" w14:textId="77777777" w:rsidTr="006A2145">
        <w:tc>
          <w:tcPr>
            <w:tcW w:w="3893" w:type="dxa"/>
          </w:tcPr>
          <w:p w14:paraId="39C4D5D4" w14:textId="77777777" w:rsidR="00D15122" w:rsidRPr="00381DC2" w:rsidRDefault="009B0756" w:rsidP="00804C7A">
            <w:pPr>
              <w:pStyle w:val="TableParagraph"/>
              <w:keepNext/>
              <w:ind w:left="310"/>
              <w:rPr>
                <w:rFonts w:ascii="Times New Roman" w:eastAsia="Times New Roman" w:hAnsi="Times New Roman"/>
                <w:color w:val="000000"/>
              </w:rPr>
            </w:pPr>
            <w:r w:rsidRPr="00381DC2">
              <w:rPr>
                <w:rFonts w:ascii="Times New Roman" w:hAnsi="Times New Roman"/>
                <w:color w:val="000000"/>
              </w:rPr>
              <w:t>Četnost</w:t>
            </w:r>
          </w:p>
        </w:tc>
        <w:tc>
          <w:tcPr>
            <w:tcW w:w="2160" w:type="dxa"/>
          </w:tcPr>
          <w:p w14:paraId="4F4BE8A0"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8,6 %</w:t>
            </w:r>
          </w:p>
        </w:tc>
        <w:tc>
          <w:tcPr>
            <w:tcW w:w="2402" w:type="dxa"/>
          </w:tcPr>
          <w:p w14:paraId="2E282E53"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22,2 %</w:t>
            </w:r>
          </w:p>
        </w:tc>
      </w:tr>
      <w:tr w:rsidR="00D15122" w:rsidRPr="00F60460" w14:paraId="6CA1A1C0" w14:textId="77777777" w:rsidTr="006A2145">
        <w:tc>
          <w:tcPr>
            <w:tcW w:w="3893" w:type="dxa"/>
          </w:tcPr>
          <w:p w14:paraId="69A43405" w14:textId="77777777" w:rsidR="00D15122" w:rsidRPr="00381DC2" w:rsidRDefault="00D15122" w:rsidP="00804C7A">
            <w:pPr>
              <w:keepNext/>
              <w:rPr>
                <w:rFonts w:ascii="Times New Roman" w:hAnsi="Times New Roman"/>
                <w:color w:val="000000"/>
              </w:rPr>
            </w:pPr>
          </w:p>
        </w:tc>
        <w:tc>
          <w:tcPr>
            <w:tcW w:w="4562" w:type="dxa"/>
            <w:gridSpan w:val="2"/>
          </w:tcPr>
          <w:p w14:paraId="5B6C811A" w14:textId="77777777" w:rsidR="00D15122" w:rsidRPr="00381DC2" w:rsidRDefault="009B0756" w:rsidP="00804C7A">
            <w:pPr>
              <w:pStyle w:val="TableParagraph"/>
              <w:keepNext/>
              <w:jc w:val="center"/>
              <w:rPr>
                <w:rFonts w:ascii="Times New Roman" w:eastAsia="Times New Roman" w:hAnsi="Times New Roman"/>
                <w:color w:val="000000"/>
              </w:rPr>
            </w:pPr>
            <w:r w:rsidRPr="00381DC2">
              <w:rPr>
                <w:rFonts w:ascii="Times New Roman" w:hAnsi="Times New Roman"/>
                <w:color w:val="000000"/>
              </w:rPr>
              <w:t>(p-hodnota &lt; 0,0001)</w:t>
            </w:r>
          </w:p>
        </w:tc>
      </w:tr>
    </w:tbl>
    <w:p w14:paraId="0FC744C1" w14:textId="77777777" w:rsidR="004F312E" w:rsidRPr="00F60460" w:rsidRDefault="004F312E" w:rsidP="00D23770">
      <w:pPr>
        <w:keepNext/>
        <w:ind w:left="284" w:hanging="284"/>
        <w:rPr>
          <w:rFonts w:ascii="Times New Roman" w:eastAsia="Times New Roman" w:hAnsi="Times New Roman"/>
          <w:color w:val="000000"/>
          <w:sz w:val="20"/>
          <w:szCs w:val="20"/>
        </w:rPr>
      </w:pPr>
      <w:r w:rsidRPr="00381DC2">
        <w:rPr>
          <w:rFonts w:ascii="Times New Roman" w:hAnsi="Times New Roman"/>
          <w:color w:val="000000"/>
          <w:vertAlign w:val="superscript"/>
        </w:rPr>
        <w:t xml:space="preserve">a </w:t>
      </w:r>
      <w:r w:rsidR="00694309" w:rsidRPr="00381DC2">
        <w:rPr>
          <w:rFonts w:ascii="Times New Roman" w:hAnsi="Times New Roman"/>
          <w:color w:val="000000"/>
        </w:rPr>
        <w:tab/>
      </w:r>
      <w:r w:rsidRPr="00F60460">
        <w:rPr>
          <w:rFonts w:ascii="Times New Roman" w:hAnsi="Times New Roman"/>
          <w:color w:val="000000"/>
          <w:sz w:val="20"/>
        </w:rPr>
        <w:t>10 mg/kg každé 2 týdny.</w:t>
      </w:r>
    </w:p>
    <w:p w14:paraId="6AA55948" w14:textId="77777777" w:rsidR="004F312E" w:rsidRPr="00F60460" w:rsidRDefault="004F312E" w:rsidP="00D23770">
      <w:pPr>
        <w:keepNext/>
        <w:ind w:left="284" w:hanging="284"/>
        <w:rPr>
          <w:rFonts w:ascii="Times New Roman" w:eastAsia="Times New Roman" w:hAnsi="Times New Roman"/>
          <w:color w:val="000000"/>
          <w:sz w:val="20"/>
          <w:szCs w:val="20"/>
        </w:rPr>
      </w:pPr>
      <w:r w:rsidRPr="00381DC2">
        <w:rPr>
          <w:rFonts w:ascii="Times New Roman" w:hAnsi="Times New Roman"/>
          <w:color w:val="000000"/>
          <w:vertAlign w:val="superscript"/>
        </w:rPr>
        <w:t>b</w:t>
      </w:r>
      <w:r w:rsidRPr="00F60460">
        <w:rPr>
          <w:rFonts w:ascii="Times New Roman" w:hAnsi="Times New Roman"/>
          <w:color w:val="000000"/>
          <w:sz w:val="13"/>
        </w:rPr>
        <w:t xml:space="preserve"> </w:t>
      </w:r>
      <w:r w:rsidR="00694309" w:rsidRPr="00F60460">
        <w:rPr>
          <w:rFonts w:ascii="Times New Roman" w:hAnsi="Times New Roman"/>
          <w:color w:val="000000"/>
          <w:sz w:val="13"/>
        </w:rPr>
        <w:tab/>
      </w:r>
      <w:r w:rsidRPr="00F60460">
        <w:rPr>
          <w:rFonts w:ascii="Times New Roman" w:hAnsi="Times New Roman"/>
          <w:color w:val="000000"/>
          <w:sz w:val="20"/>
        </w:rPr>
        <w:t>Vztaženo ke kontrolnímu rameni.</w:t>
      </w:r>
    </w:p>
    <w:p w14:paraId="645F0FB2" w14:textId="77777777" w:rsidR="00D15122" w:rsidRPr="00F60460" w:rsidRDefault="00D15122" w:rsidP="004F312E">
      <w:pPr>
        <w:keepNext/>
        <w:ind w:left="720"/>
        <w:rPr>
          <w:rFonts w:ascii="Times New Roman" w:eastAsia="Times New Roman" w:hAnsi="Times New Roman"/>
          <w:color w:val="000000"/>
          <w:sz w:val="20"/>
          <w:szCs w:val="20"/>
        </w:rPr>
      </w:pPr>
    </w:p>
    <w:p w14:paraId="2DEA1920" w14:textId="77777777" w:rsidR="00D15122" w:rsidRPr="00381DC2" w:rsidRDefault="009B0756" w:rsidP="007F6E1B">
      <w:pPr>
        <w:pStyle w:val="BodyText"/>
        <w:ind w:left="0" w:right="438"/>
        <w:rPr>
          <w:color w:val="000000"/>
        </w:rPr>
      </w:pPr>
      <w:r w:rsidRPr="00381DC2">
        <w:rPr>
          <w:color w:val="000000"/>
        </w:rPr>
        <w:t xml:space="preserve">Nebyl nalezen významný rozdíl doby celkového přežití u pacientů léčených bevacizumabem v monoterapii ve srovnání s pacienty léčenými režimem FOLFOX-4. </w:t>
      </w:r>
      <w:r w:rsidR="00875571" w:rsidRPr="00381DC2">
        <w:rPr>
          <w:color w:val="000000"/>
        </w:rPr>
        <w:t>P</w:t>
      </w:r>
      <w:r w:rsidRPr="00381DC2">
        <w:rPr>
          <w:color w:val="000000"/>
        </w:rPr>
        <w:t>řežití bez progrese a četnost objektivních odpovědí byly v</w:t>
      </w:r>
      <w:r w:rsidR="00875571" w:rsidRPr="00381DC2">
        <w:rPr>
          <w:color w:val="000000"/>
        </w:rPr>
        <w:t xml:space="preserve"> rameni </w:t>
      </w:r>
      <w:r w:rsidRPr="00381DC2">
        <w:rPr>
          <w:color w:val="000000"/>
        </w:rPr>
        <w:t xml:space="preserve">s bevacizumabem v monoterapii </w:t>
      </w:r>
      <w:r w:rsidR="00875571" w:rsidRPr="00381DC2">
        <w:rPr>
          <w:color w:val="000000"/>
        </w:rPr>
        <w:t xml:space="preserve">inferiorní </w:t>
      </w:r>
      <w:r w:rsidRPr="00381DC2">
        <w:rPr>
          <w:color w:val="000000"/>
        </w:rPr>
        <w:t>při porovnání s</w:t>
      </w:r>
      <w:r w:rsidR="00875571" w:rsidRPr="00381DC2">
        <w:rPr>
          <w:color w:val="000000"/>
        </w:rPr>
        <w:t> ramenem</w:t>
      </w:r>
      <w:r w:rsidRPr="00381DC2">
        <w:rPr>
          <w:color w:val="000000"/>
        </w:rPr>
        <w:t xml:space="preserve"> FOLFOX-4.</w:t>
      </w:r>
    </w:p>
    <w:p w14:paraId="08D2A4F7" w14:textId="77777777" w:rsidR="00D15122" w:rsidRPr="00381DC2" w:rsidRDefault="00D15122" w:rsidP="007F6E1B">
      <w:pPr>
        <w:rPr>
          <w:rFonts w:ascii="Times New Roman" w:eastAsia="Times New Roman" w:hAnsi="Times New Roman"/>
          <w:color w:val="000000"/>
        </w:rPr>
      </w:pPr>
    </w:p>
    <w:p w14:paraId="140F3E06" w14:textId="77777777" w:rsidR="00D15122" w:rsidRPr="00381DC2" w:rsidRDefault="009B0756" w:rsidP="007F6E1B">
      <w:pPr>
        <w:rPr>
          <w:rFonts w:ascii="Times New Roman" w:eastAsia="Times New Roman" w:hAnsi="Times New Roman"/>
          <w:color w:val="000000"/>
        </w:rPr>
      </w:pPr>
      <w:r w:rsidRPr="00381DC2">
        <w:rPr>
          <w:rFonts w:ascii="Times New Roman" w:hAnsi="Times New Roman"/>
          <w:i/>
          <w:color w:val="000000"/>
        </w:rPr>
        <w:t>ML18147</w:t>
      </w:r>
    </w:p>
    <w:p w14:paraId="27CB18B0" w14:textId="77777777" w:rsidR="00D15122" w:rsidRPr="00381DC2" w:rsidRDefault="009B0756" w:rsidP="007F6E1B">
      <w:pPr>
        <w:pStyle w:val="BodyText"/>
        <w:ind w:left="0" w:right="238"/>
        <w:rPr>
          <w:color w:val="000000"/>
        </w:rPr>
      </w:pPr>
      <w:r w:rsidRPr="00381DC2">
        <w:rPr>
          <w:color w:val="000000"/>
        </w:rPr>
        <w:t>Toto randomizované otevřené klinické hodnocení fáze III s kontrolní skupinou hodnotilo bevacizumab 5,0 mg/kg každé 2 týdny nebo 7,5 mg/kg každé 3 týdny v kombinaci s </w:t>
      </w:r>
      <w:r w:rsidR="00875571" w:rsidRPr="00381DC2">
        <w:rPr>
          <w:color w:val="000000"/>
        </w:rPr>
        <w:t>chemoterapií na bázi fluorpyrimidinu</w:t>
      </w:r>
      <w:r w:rsidRPr="00381DC2">
        <w:rPr>
          <w:color w:val="000000"/>
        </w:rPr>
        <w:t xml:space="preserve"> ve srovnání se samotn</w:t>
      </w:r>
      <w:r w:rsidR="00875571" w:rsidRPr="00381DC2">
        <w:rPr>
          <w:color w:val="000000"/>
        </w:rPr>
        <w:t xml:space="preserve">ou chemoterapií na bázi fluorpyrimidinu </w:t>
      </w:r>
      <w:r w:rsidRPr="00381DC2">
        <w:rPr>
          <w:color w:val="000000"/>
        </w:rPr>
        <w:t>u pacientů s </w:t>
      </w:r>
      <w:r w:rsidR="00875571" w:rsidRPr="00381DC2">
        <w:rPr>
          <w:color w:val="000000"/>
        </w:rPr>
        <w:t>mCRC</w:t>
      </w:r>
      <w:r w:rsidRPr="00381DC2">
        <w:rPr>
          <w:color w:val="000000"/>
        </w:rPr>
        <w:t>, u kterých došlo k progresi při první linii léčby režimem obsahujícím bevacizumab.</w:t>
      </w:r>
    </w:p>
    <w:p w14:paraId="357EEDBB" w14:textId="77777777" w:rsidR="00203535" w:rsidRPr="00381DC2" w:rsidRDefault="00203535" w:rsidP="007F6E1B">
      <w:pPr>
        <w:pStyle w:val="BodyText"/>
        <w:ind w:left="0" w:right="238"/>
        <w:rPr>
          <w:color w:val="000000"/>
        </w:rPr>
      </w:pPr>
    </w:p>
    <w:p w14:paraId="6172F7F2" w14:textId="77777777" w:rsidR="00D15122" w:rsidRPr="00381DC2" w:rsidRDefault="009B0756" w:rsidP="004F6645">
      <w:pPr>
        <w:pStyle w:val="BodyText"/>
        <w:widowControl/>
        <w:ind w:left="0" w:right="173"/>
        <w:rPr>
          <w:color w:val="000000"/>
        </w:rPr>
      </w:pPr>
      <w:r w:rsidRPr="00381DC2">
        <w:rPr>
          <w:color w:val="000000"/>
        </w:rPr>
        <w:t xml:space="preserve">Pacienti s histologicky potvrzeným </w:t>
      </w:r>
      <w:r w:rsidR="00875571" w:rsidRPr="00381DC2">
        <w:rPr>
          <w:color w:val="000000"/>
        </w:rPr>
        <w:t xml:space="preserve">mCRC </w:t>
      </w:r>
      <w:r w:rsidRPr="00381DC2">
        <w:rPr>
          <w:color w:val="000000"/>
        </w:rPr>
        <w:t xml:space="preserve">a s progresí </w:t>
      </w:r>
      <w:r w:rsidR="00875571" w:rsidRPr="00381DC2">
        <w:rPr>
          <w:color w:val="000000"/>
        </w:rPr>
        <w:t xml:space="preserve">onemocnění </w:t>
      </w:r>
      <w:r w:rsidRPr="00381DC2">
        <w:rPr>
          <w:color w:val="000000"/>
        </w:rPr>
        <w:t xml:space="preserve">byli randomizováni v poměru 1 : 1 do 3 měsíců od ukončení léčby bevacizumabem v první linii k léčbě chemoterapií </w:t>
      </w:r>
      <w:r w:rsidR="00875571" w:rsidRPr="00381DC2">
        <w:rPr>
          <w:color w:val="000000"/>
        </w:rPr>
        <w:t xml:space="preserve">na bázi </w:t>
      </w:r>
      <w:r w:rsidRPr="00381DC2">
        <w:rPr>
          <w:color w:val="000000"/>
        </w:rPr>
        <w:t>fluorpyrimidin</w:t>
      </w:r>
      <w:r w:rsidR="00875571" w:rsidRPr="00381DC2">
        <w:rPr>
          <w:color w:val="000000"/>
        </w:rPr>
        <w:t>u</w:t>
      </w:r>
      <w:r w:rsidRPr="00381DC2">
        <w:rPr>
          <w:color w:val="000000"/>
        </w:rPr>
        <w:t>/oxaliplatin</w:t>
      </w:r>
      <w:r w:rsidR="00875571" w:rsidRPr="00381DC2">
        <w:rPr>
          <w:color w:val="000000"/>
        </w:rPr>
        <w:t>y</w:t>
      </w:r>
      <w:r w:rsidRPr="00381DC2">
        <w:rPr>
          <w:color w:val="000000"/>
        </w:rPr>
        <w:t xml:space="preserve"> nebo fluorpyrimidin</w:t>
      </w:r>
      <w:r w:rsidR="00875571" w:rsidRPr="00381DC2">
        <w:rPr>
          <w:color w:val="000000"/>
        </w:rPr>
        <w:t>u</w:t>
      </w:r>
      <w:r w:rsidRPr="00381DC2">
        <w:rPr>
          <w:color w:val="000000"/>
        </w:rPr>
        <w:t>/irinotekan</w:t>
      </w:r>
      <w:r w:rsidR="00875571" w:rsidRPr="00381DC2">
        <w:rPr>
          <w:color w:val="000000"/>
        </w:rPr>
        <w:t>u</w:t>
      </w:r>
      <w:r w:rsidRPr="00381DC2">
        <w:rPr>
          <w:color w:val="000000"/>
        </w:rPr>
        <w:t xml:space="preserve"> (chemoterapie zvolen</w:t>
      </w:r>
      <w:r w:rsidR="00875571" w:rsidRPr="00381DC2">
        <w:rPr>
          <w:color w:val="000000"/>
        </w:rPr>
        <w:t>a</w:t>
      </w:r>
      <w:r w:rsidRPr="00381DC2">
        <w:rPr>
          <w:color w:val="000000"/>
        </w:rPr>
        <w:t xml:space="preserve"> v závislosti na chemoterapii v první linii) s bevacizumabem nebo bez bevacizumabu. Léčba byla podávána do progrese </w:t>
      </w:r>
      <w:r w:rsidR="00875571" w:rsidRPr="00381DC2">
        <w:rPr>
          <w:color w:val="000000"/>
        </w:rPr>
        <w:t xml:space="preserve">onemocnění </w:t>
      </w:r>
      <w:r w:rsidRPr="00381DC2">
        <w:rPr>
          <w:color w:val="000000"/>
        </w:rPr>
        <w:t>nebo nepřijatelné toxicity. Primárním cílovým parametrem bylo celkové přežití, které bylo definováno jako doba od randomizace do úmrtí z jakýchkoli příčin.</w:t>
      </w:r>
    </w:p>
    <w:p w14:paraId="129EF707" w14:textId="77777777" w:rsidR="00203535" w:rsidRPr="00381DC2" w:rsidRDefault="00203535" w:rsidP="007F6E1B">
      <w:pPr>
        <w:pStyle w:val="BodyText"/>
        <w:ind w:left="0" w:right="176"/>
        <w:rPr>
          <w:color w:val="000000"/>
        </w:rPr>
      </w:pPr>
    </w:p>
    <w:p w14:paraId="77778189" w14:textId="77777777" w:rsidR="00221EBE" w:rsidRPr="00381DC2" w:rsidRDefault="009B0756" w:rsidP="007F6E1B">
      <w:pPr>
        <w:pStyle w:val="BodyText"/>
        <w:ind w:left="0" w:right="238"/>
        <w:rPr>
          <w:color w:val="000000"/>
        </w:rPr>
      </w:pPr>
      <w:r w:rsidRPr="00381DC2">
        <w:rPr>
          <w:color w:val="000000"/>
        </w:rPr>
        <w:t>Bylo randomizováno celkem 820 pacientů. Přidání bevacizumabu k </w:t>
      </w:r>
      <w:r w:rsidR="00875571" w:rsidRPr="00381DC2">
        <w:rPr>
          <w:color w:val="000000"/>
        </w:rPr>
        <w:t xml:space="preserve">chemoterapii na bázi fluorpyrimidinu </w:t>
      </w:r>
      <w:r w:rsidRPr="00381DC2">
        <w:rPr>
          <w:color w:val="000000"/>
        </w:rPr>
        <w:t>vedlo ke statisticky významnému prodloužení přežití pacientů s </w:t>
      </w:r>
      <w:r w:rsidR="00875571" w:rsidRPr="00381DC2">
        <w:rPr>
          <w:color w:val="000000"/>
        </w:rPr>
        <w:t>mCRC</w:t>
      </w:r>
      <w:r w:rsidRPr="00381DC2">
        <w:rPr>
          <w:color w:val="000000"/>
        </w:rPr>
        <w:t xml:space="preserve">, u kterých došlo k progresi při první linii léčby režimem obsahujícím bevacizumab (ITT = 819) (viz </w:t>
      </w:r>
      <w:r w:rsidR="005E6C8E" w:rsidRPr="00381DC2">
        <w:rPr>
          <w:color w:val="000000"/>
        </w:rPr>
        <w:t>t</w:t>
      </w:r>
      <w:r w:rsidRPr="00381DC2">
        <w:rPr>
          <w:color w:val="000000"/>
        </w:rPr>
        <w:t>abulka 9).</w:t>
      </w:r>
    </w:p>
    <w:p w14:paraId="3EB1553D" w14:textId="77777777" w:rsidR="00221EBE" w:rsidRPr="00381DC2" w:rsidRDefault="00221EBE" w:rsidP="007F6E1B">
      <w:pPr>
        <w:pStyle w:val="BodyText"/>
        <w:ind w:left="0" w:right="238"/>
        <w:rPr>
          <w:color w:val="000000"/>
        </w:rPr>
      </w:pPr>
    </w:p>
    <w:p w14:paraId="341FD15D" w14:textId="77777777" w:rsidR="00D15122" w:rsidRPr="00381DC2" w:rsidRDefault="002E590F" w:rsidP="00804C7A">
      <w:pPr>
        <w:pStyle w:val="BodyText"/>
        <w:keepNext/>
        <w:ind w:left="0" w:right="238"/>
        <w:rPr>
          <w:b/>
          <w:color w:val="000000"/>
        </w:rPr>
      </w:pPr>
      <w:r w:rsidRPr="00381DC2">
        <w:rPr>
          <w:b/>
          <w:color w:val="000000"/>
        </w:rPr>
        <w:lastRenderedPageBreak/>
        <w:t>Tabulka 9</w:t>
      </w:r>
      <w:r w:rsidRPr="00381DC2">
        <w:rPr>
          <w:color w:val="000000"/>
        </w:rPr>
        <w:tab/>
      </w:r>
      <w:r w:rsidRPr="00381DC2">
        <w:rPr>
          <w:b/>
          <w:color w:val="000000"/>
        </w:rPr>
        <w:t>Výsledky účinnosti ve studii ML18147 (ITT populace)</w:t>
      </w:r>
    </w:p>
    <w:p w14:paraId="43AFAC36" w14:textId="77777777" w:rsidR="00273BB0" w:rsidRPr="00381DC2" w:rsidRDefault="00273BB0" w:rsidP="00804C7A">
      <w:pPr>
        <w:pStyle w:val="BodyText"/>
        <w:keepNext/>
        <w:ind w:left="0" w:right="238"/>
        <w:rPr>
          <w:bCs/>
          <w:color w:val="000000"/>
        </w:rPr>
      </w:pPr>
    </w:p>
    <w:tbl>
      <w:tblPr>
        <w:tblW w:w="0" w:type="auto"/>
        <w:tblInd w:w="98" w:type="dxa"/>
        <w:tblLayout w:type="fixed"/>
        <w:tblCellMar>
          <w:left w:w="0" w:type="dxa"/>
          <w:right w:w="0" w:type="dxa"/>
        </w:tblCellMar>
        <w:tblLook w:val="01E0" w:firstRow="1" w:lastRow="1" w:firstColumn="1" w:lastColumn="1" w:noHBand="0" w:noVBand="0"/>
      </w:tblPr>
      <w:tblGrid>
        <w:gridCol w:w="3778"/>
        <w:gridCol w:w="1621"/>
        <w:gridCol w:w="989"/>
        <w:gridCol w:w="182"/>
        <w:gridCol w:w="2582"/>
        <w:gridCol w:w="8"/>
      </w:tblGrid>
      <w:tr w:rsidR="00273BB0" w:rsidRPr="00F60460" w14:paraId="2AB9408B" w14:textId="77777777" w:rsidTr="006A2145">
        <w:trPr>
          <w:gridAfter w:val="1"/>
          <w:wAfter w:w="8" w:type="dxa"/>
        </w:trPr>
        <w:tc>
          <w:tcPr>
            <w:tcW w:w="3778" w:type="dxa"/>
            <w:tcBorders>
              <w:top w:val="single" w:sz="6" w:space="0" w:color="000000"/>
              <w:left w:val="single" w:sz="6" w:space="0" w:color="000000"/>
              <w:bottom w:val="single" w:sz="5" w:space="0" w:color="000000"/>
              <w:right w:val="single" w:sz="5" w:space="0" w:color="000000"/>
            </w:tcBorders>
          </w:tcPr>
          <w:p w14:paraId="456E5BC6" w14:textId="77777777" w:rsidR="00273BB0" w:rsidRPr="00381DC2" w:rsidRDefault="00273BB0" w:rsidP="00804C7A">
            <w:pPr>
              <w:keepNext/>
              <w:rPr>
                <w:rFonts w:ascii="Times New Roman" w:hAnsi="Times New Roman"/>
                <w:color w:val="000000"/>
              </w:rPr>
            </w:pPr>
          </w:p>
        </w:tc>
        <w:tc>
          <w:tcPr>
            <w:tcW w:w="5374" w:type="dxa"/>
            <w:gridSpan w:val="4"/>
            <w:tcBorders>
              <w:top w:val="single" w:sz="6" w:space="0" w:color="000000"/>
              <w:left w:val="single" w:sz="5" w:space="0" w:color="000000"/>
              <w:bottom w:val="single" w:sz="5" w:space="0" w:color="000000"/>
              <w:right w:val="single" w:sz="6" w:space="0" w:color="000000"/>
            </w:tcBorders>
          </w:tcPr>
          <w:p w14:paraId="35C391B3" w14:textId="77777777" w:rsidR="00273BB0" w:rsidRPr="00381DC2" w:rsidRDefault="00273BB0" w:rsidP="00804C7A">
            <w:pPr>
              <w:pStyle w:val="TableParagraph"/>
              <w:keepNext/>
              <w:spacing w:before="19"/>
              <w:jc w:val="center"/>
              <w:rPr>
                <w:rFonts w:ascii="Times New Roman" w:eastAsia="Times New Roman" w:hAnsi="Times New Roman"/>
                <w:color w:val="000000"/>
              </w:rPr>
            </w:pPr>
            <w:r w:rsidRPr="00381DC2">
              <w:rPr>
                <w:rFonts w:ascii="Times New Roman" w:hAnsi="Times New Roman"/>
                <w:color w:val="000000"/>
                <w:spacing w:val="-1"/>
              </w:rPr>
              <w:t>ML18147</w:t>
            </w:r>
          </w:p>
        </w:tc>
      </w:tr>
      <w:tr w:rsidR="00273BB0" w:rsidRPr="00F60460" w14:paraId="64D2F027" w14:textId="77777777" w:rsidTr="006A2145">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1FEDD709" w14:textId="77777777" w:rsidR="00273BB0" w:rsidRPr="00381DC2" w:rsidRDefault="00273BB0" w:rsidP="00804C7A">
            <w:pPr>
              <w:keepNext/>
              <w:rPr>
                <w:rFonts w:ascii="Times New Roman" w:hAnsi="Times New Roman"/>
                <w:color w:val="000000"/>
              </w:rPr>
            </w:pPr>
          </w:p>
        </w:tc>
        <w:tc>
          <w:tcPr>
            <w:tcW w:w="2792" w:type="dxa"/>
            <w:gridSpan w:val="3"/>
            <w:tcBorders>
              <w:top w:val="single" w:sz="5" w:space="0" w:color="000000"/>
              <w:left w:val="single" w:sz="5" w:space="0" w:color="000000"/>
              <w:bottom w:val="single" w:sz="5" w:space="0" w:color="000000"/>
              <w:right w:val="single" w:sz="5" w:space="0" w:color="000000"/>
            </w:tcBorders>
          </w:tcPr>
          <w:p w14:paraId="025F3323" w14:textId="77777777" w:rsidR="00273BB0" w:rsidRPr="00381DC2" w:rsidRDefault="00776A7C">
            <w:pPr>
              <w:pStyle w:val="TableParagraph"/>
              <w:keepNext/>
              <w:spacing w:before="134" w:line="248" w:lineRule="auto"/>
              <w:ind w:right="118" w:firstLine="2"/>
              <w:jc w:val="center"/>
              <w:rPr>
                <w:rFonts w:ascii="Times New Roman" w:eastAsia="Times New Roman" w:hAnsi="Times New Roman"/>
                <w:color w:val="000000"/>
              </w:rPr>
            </w:pPr>
            <w:r w:rsidRPr="00381DC2">
              <w:rPr>
                <w:rFonts w:ascii="Times New Roman" w:hAnsi="Times New Roman"/>
                <w:color w:val="000000"/>
                <w:spacing w:val="-1"/>
              </w:rPr>
              <w:t>C</w:t>
            </w:r>
            <w:r w:rsidR="00273BB0" w:rsidRPr="00381DC2">
              <w:rPr>
                <w:rFonts w:ascii="Times New Roman" w:hAnsi="Times New Roman"/>
                <w:color w:val="000000"/>
                <w:spacing w:val="-1"/>
              </w:rPr>
              <w:t xml:space="preserve">hemoterapie </w:t>
            </w:r>
            <w:r w:rsidRPr="00381DC2">
              <w:rPr>
                <w:rFonts w:ascii="Times New Roman" w:hAnsi="Times New Roman"/>
                <w:color w:val="000000"/>
                <w:spacing w:val="-1"/>
              </w:rPr>
              <w:t xml:space="preserve">na bázi </w:t>
            </w:r>
            <w:r w:rsidR="00273BB0" w:rsidRPr="00381DC2">
              <w:rPr>
                <w:rFonts w:ascii="Times New Roman" w:hAnsi="Times New Roman"/>
                <w:color w:val="000000"/>
                <w:spacing w:val="-1"/>
              </w:rPr>
              <w:t>fluorpyrimidin</w:t>
            </w:r>
            <w:r w:rsidRPr="00381DC2">
              <w:rPr>
                <w:rFonts w:ascii="Times New Roman" w:hAnsi="Times New Roman"/>
                <w:color w:val="000000"/>
                <w:spacing w:val="-1"/>
              </w:rPr>
              <w:t>u</w:t>
            </w:r>
            <w:r w:rsidR="00273BB0" w:rsidRPr="00381DC2">
              <w:rPr>
                <w:rFonts w:ascii="Times New Roman" w:hAnsi="Times New Roman"/>
                <w:color w:val="000000"/>
                <w:spacing w:val="-1"/>
              </w:rPr>
              <w:t>/irinotekan</w:t>
            </w:r>
            <w:r w:rsidRPr="00381DC2">
              <w:rPr>
                <w:rFonts w:ascii="Times New Roman" w:hAnsi="Times New Roman"/>
                <w:color w:val="000000"/>
                <w:spacing w:val="-1"/>
              </w:rPr>
              <w:t>u</w:t>
            </w:r>
            <w:r w:rsidR="00273BB0" w:rsidRPr="00381DC2">
              <w:rPr>
                <w:rFonts w:ascii="Times New Roman" w:hAnsi="Times New Roman"/>
                <w:color w:val="000000"/>
                <w:spacing w:val="-1"/>
              </w:rPr>
              <w:t xml:space="preserve"> nebo fluorpyrimidin</w:t>
            </w:r>
            <w:r w:rsidRPr="00381DC2">
              <w:rPr>
                <w:rFonts w:ascii="Times New Roman" w:hAnsi="Times New Roman"/>
                <w:color w:val="000000"/>
                <w:spacing w:val="-1"/>
              </w:rPr>
              <w:t>u</w:t>
            </w:r>
            <w:r w:rsidR="00273BB0" w:rsidRPr="00381DC2">
              <w:rPr>
                <w:rFonts w:ascii="Times New Roman" w:hAnsi="Times New Roman"/>
                <w:color w:val="000000"/>
                <w:spacing w:val="-1"/>
              </w:rPr>
              <w:t>/oxaliplatin</w:t>
            </w:r>
            <w:r w:rsidRPr="00381DC2">
              <w:rPr>
                <w:rFonts w:ascii="Times New Roman" w:hAnsi="Times New Roman"/>
                <w:color w:val="000000"/>
                <w:spacing w:val="-1"/>
              </w:rPr>
              <w:t>y</w:t>
            </w:r>
          </w:p>
        </w:tc>
        <w:tc>
          <w:tcPr>
            <w:tcW w:w="2582" w:type="dxa"/>
            <w:tcBorders>
              <w:top w:val="single" w:sz="5" w:space="0" w:color="000000"/>
              <w:left w:val="single" w:sz="5" w:space="0" w:color="000000"/>
              <w:bottom w:val="single" w:sz="5" w:space="0" w:color="000000"/>
              <w:right w:val="single" w:sz="6" w:space="0" w:color="000000"/>
            </w:tcBorders>
          </w:tcPr>
          <w:p w14:paraId="19398867" w14:textId="77777777" w:rsidR="00273BB0" w:rsidRPr="00381DC2" w:rsidRDefault="00776A7C" w:rsidP="00804C7A">
            <w:pPr>
              <w:pStyle w:val="TableParagraph"/>
              <w:keepNext/>
              <w:spacing w:line="248" w:lineRule="auto"/>
              <w:ind w:right="118" w:firstLine="2"/>
              <w:jc w:val="center"/>
              <w:rPr>
                <w:rFonts w:ascii="Times New Roman" w:eastAsia="Times New Roman" w:hAnsi="Times New Roman"/>
                <w:color w:val="000000"/>
              </w:rPr>
            </w:pPr>
            <w:r w:rsidRPr="00381DC2">
              <w:rPr>
                <w:rFonts w:ascii="Times New Roman" w:hAnsi="Times New Roman"/>
                <w:color w:val="000000"/>
                <w:spacing w:val="-1"/>
              </w:rPr>
              <w:t>C</w:t>
            </w:r>
            <w:r w:rsidR="00273BB0" w:rsidRPr="00381DC2">
              <w:rPr>
                <w:rFonts w:ascii="Times New Roman" w:hAnsi="Times New Roman"/>
                <w:color w:val="000000"/>
                <w:spacing w:val="-1"/>
              </w:rPr>
              <w:t xml:space="preserve">hemoterapie </w:t>
            </w:r>
            <w:r w:rsidRPr="00381DC2">
              <w:rPr>
                <w:rFonts w:ascii="Times New Roman" w:hAnsi="Times New Roman"/>
                <w:color w:val="000000"/>
                <w:spacing w:val="-1"/>
              </w:rPr>
              <w:t xml:space="preserve">na bázi </w:t>
            </w:r>
            <w:r w:rsidR="00273BB0" w:rsidRPr="00381DC2">
              <w:rPr>
                <w:rFonts w:ascii="Times New Roman" w:hAnsi="Times New Roman"/>
                <w:color w:val="000000"/>
                <w:spacing w:val="-1"/>
              </w:rPr>
              <w:t>fluorpyrimidin</w:t>
            </w:r>
            <w:r w:rsidRPr="00381DC2">
              <w:rPr>
                <w:rFonts w:ascii="Times New Roman" w:hAnsi="Times New Roman"/>
                <w:color w:val="000000"/>
                <w:spacing w:val="-1"/>
              </w:rPr>
              <w:t>u</w:t>
            </w:r>
            <w:r w:rsidR="00273BB0" w:rsidRPr="00381DC2">
              <w:rPr>
                <w:rFonts w:ascii="Times New Roman" w:hAnsi="Times New Roman"/>
                <w:color w:val="000000"/>
                <w:spacing w:val="-1"/>
              </w:rPr>
              <w:t>/irinotekan</w:t>
            </w:r>
            <w:r w:rsidRPr="00381DC2">
              <w:rPr>
                <w:rFonts w:ascii="Times New Roman" w:hAnsi="Times New Roman"/>
                <w:color w:val="000000"/>
                <w:spacing w:val="-1"/>
              </w:rPr>
              <w:t>u</w:t>
            </w:r>
            <w:r w:rsidR="00273BB0" w:rsidRPr="00381DC2">
              <w:rPr>
                <w:rFonts w:ascii="Times New Roman" w:hAnsi="Times New Roman"/>
                <w:color w:val="000000"/>
                <w:spacing w:val="-1"/>
              </w:rPr>
              <w:t xml:space="preserve"> nebo fluorpyrimidin</w:t>
            </w:r>
            <w:r w:rsidRPr="00381DC2">
              <w:rPr>
                <w:rFonts w:ascii="Times New Roman" w:hAnsi="Times New Roman"/>
                <w:color w:val="000000"/>
                <w:spacing w:val="-1"/>
              </w:rPr>
              <w:t>u</w:t>
            </w:r>
            <w:r w:rsidR="00273BB0" w:rsidRPr="00381DC2">
              <w:rPr>
                <w:rFonts w:ascii="Times New Roman" w:hAnsi="Times New Roman"/>
                <w:color w:val="000000"/>
                <w:spacing w:val="-1"/>
              </w:rPr>
              <w:t>/oxaliplatin</w:t>
            </w:r>
            <w:r w:rsidRPr="00381DC2">
              <w:rPr>
                <w:rFonts w:ascii="Times New Roman" w:hAnsi="Times New Roman"/>
                <w:color w:val="000000"/>
                <w:spacing w:val="-1"/>
              </w:rPr>
              <w:t>y</w:t>
            </w:r>
          </w:p>
          <w:p w14:paraId="4F32A439" w14:textId="77777777" w:rsidR="00273BB0" w:rsidRPr="00F60460" w:rsidRDefault="00273BB0" w:rsidP="00022607">
            <w:pPr>
              <w:pStyle w:val="TableParagraph"/>
              <w:keepNext/>
              <w:spacing w:line="269" w:lineRule="exact"/>
              <w:jc w:val="center"/>
              <w:rPr>
                <w:rFonts w:ascii="Times New Roman" w:eastAsia="Times New Roman" w:hAnsi="Times New Roman"/>
                <w:color w:val="000000"/>
                <w:sz w:val="14"/>
                <w:szCs w:val="14"/>
              </w:rPr>
            </w:pPr>
            <w:r w:rsidRPr="00381DC2">
              <w:rPr>
                <w:rFonts w:ascii="Times New Roman" w:hAnsi="Times New Roman"/>
                <w:color w:val="000000"/>
              </w:rPr>
              <w:t>+ bevacizumab</w:t>
            </w:r>
            <w:r w:rsidR="004F312E" w:rsidRPr="00381DC2">
              <w:rPr>
                <w:rFonts w:ascii="Times New Roman" w:hAnsi="Times New Roman"/>
                <w:color w:val="000000"/>
                <w:vertAlign w:val="superscript"/>
              </w:rPr>
              <w:t>a</w:t>
            </w:r>
          </w:p>
        </w:tc>
      </w:tr>
      <w:tr w:rsidR="00273BB0" w:rsidRPr="00F60460" w14:paraId="63B353AA" w14:textId="77777777" w:rsidTr="006A2145">
        <w:tc>
          <w:tcPr>
            <w:tcW w:w="3778" w:type="dxa"/>
            <w:tcBorders>
              <w:top w:val="single" w:sz="5" w:space="0" w:color="000000"/>
              <w:left w:val="single" w:sz="6" w:space="0" w:color="000000"/>
              <w:bottom w:val="single" w:sz="5" w:space="0" w:color="000000"/>
              <w:right w:val="single" w:sz="5" w:space="0" w:color="000000"/>
            </w:tcBorders>
          </w:tcPr>
          <w:p w14:paraId="0B53F305" w14:textId="77777777" w:rsidR="00273BB0" w:rsidRPr="00381DC2" w:rsidRDefault="00273BB0" w:rsidP="006B6920">
            <w:pPr>
              <w:pStyle w:val="TableParagraph"/>
              <w:keepNext/>
              <w:spacing w:before="19"/>
              <w:ind w:left="49"/>
              <w:rPr>
                <w:rFonts w:ascii="Times New Roman" w:eastAsia="Times New Roman" w:hAnsi="Times New Roman"/>
                <w:color w:val="000000"/>
              </w:rPr>
            </w:pPr>
            <w:r w:rsidRPr="00381DC2">
              <w:rPr>
                <w:rFonts w:ascii="Times New Roman" w:hAnsi="Times New Roman"/>
                <w:color w:val="000000"/>
                <w:spacing w:val="-1"/>
              </w:rPr>
              <w:t>Počet pacientů</w:t>
            </w:r>
          </w:p>
        </w:tc>
        <w:tc>
          <w:tcPr>
            <w:tcW w:w="2792" w:type="dxa"/>
            <w:gridSpan w:val="3"/>
            <w:tcBorders>
              <w:top w:val="single" w:sz="5" w:space="0" w:color="000000"/>
              <w:left w:val="single" w:sz="5" w:space="0" w:color="000000"/>
              <w:bottom w:val="single" w:sz="5" w:space="0" w:color="000000"/>
              <w:right w:val="single" w:sz="5" w:space="0" w:color="000000"/>
            </w:tcBorders>
          </w:tcPr>
          <w:p w14:paraId="2E9EBB0B" w14:textId="77777777" w:rsidR="00273BB0" w:rsidRPr="00381DC2" w:rsidRDefault="00273BB0" w:rsidP="00804C7A">
            <w:pPr>
              <w:pStyle w:val="TableParagraph"/>
              <w:keepNext/>
              <w:spacing w:before="19"/>
              <w:jc w:val="center"/>
              <w:rPr>
                <w:rFonts w:ascii="Times New Roman" w:hAnsi="Times New Roman"/>
                <w:color w:val="000000"/>
              </w:rPr>
            </w:pPr>
            <w:r w:rsidRPr="00381DC2">
              <w:rPr>
                <w:rFonts w:ascii="Times New Roman" w:hAnsi="Times New Roman"/>
                <w:color w:val="000000"/>
              </w:rPr>
              <w:t>410</w:t>
            </w:r>
          </w:p>
        </w:tc>
        <w:tc>
          <w:tcPr>
            <w:tcW w:w="2590" w:type="dxa"/>
            <w:gridSpan w:val="2"/>
            <w:tcBorders>
              <w:top w:val="single" w:sz="5" w:space="0" w:color="000000"/>
              <w:left w:val="single" w:sz="5" w:space="0" w:color="000000"/>
              <w:bottom w:val="single" w:sz="5" w:space="0" w:color="000000"/>
              <w:right w:val="single" w:sz="6" w:space="0" w:color="000000"/>
            </w:tcBorders>
          </w:tcPr>
          <w:p w14:paraId="1A7A5FA1" w14:textId="77777777" w:rsidR="00273BB0" w:rsidRPr="00381DC2" w:rsidRDefault="00273BB0" w:rsidP="00804C7A">
            <w:pPr>
              <w:pStyle w:val="TableParagraph"/>
              <w:keepNext/>
              <w:spacing w:before="19"/>
              <w:jc w:val="center"/>
              <w:rPr>
                <w:rFonts w:ascii="Times New Roman" w:eastAsia="Times New Roman" w:hAnsi="Times New Roman"/>
                <w:color w:val="000000"/>
              </w:rPr>
            </w:pPr>
            <w:r w:rsidRPr="00381DC2">
              <w:rPr>
                <w:rFonts w:ascii="Times New Roman" w:hAnsi="Times New Roman"/>
                <w:color w:val="000000"/>
              </w:rPr>
              <w:t>409</w:t>
            </w:r>
          </w:p>
        </w:tc>
      </w:tr>
      <w:tr w:rsidR="00273BB0" w:rsidRPr="00F60460" w14:paraId="0C798AFD" w14:textId="77777777" w:rsidTr="006A2145">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719D9917" w14:textId="77777777" w:rsidR="00273BB0" w:rsidRPr="00B8634B" w:rsidRDefault="00273BB0" w:rsidP="006B6920">
            <w:pPr>
              <w:pStyle w:val="TableParagraph"/>
              <w:keepNext/>
              <w:spacing w:before="24"/>
              <w:ind w:left="49"/>
              <w:rPr>
                <w:rFonts w:ascii="Times New Roman" w:eastAsia="Times New Roman" w:hAnsi="Times New Roman"/>
                <w:bCs/>
                <w:color w:val="000000"/>
              </w:rPr>
            </w:pPr>
            <w:r w:rsidRPr="00B8634B">
              <w:rPr>
                <w:rFonts w:ascii="Times New Roman" w:hAnsi="Times New Roman"/>
                <w:bCs/>
                <w:color w:val="000000"/>
                <w:spacing w:val="-1"/>
              </w:rPr>
              <w:t>Celkové přežití</w:t>
            </w:r>
          </w:p>
        </w:tc>
        <w:tc>
          <w:tcPr>
            <w:tcW w:w="2792" w:type="dxa"/>
            <w:gridSpan w:val="3"/>
            <w:tcBorders>
              <w:top w:val="single" w:sz="5" w:space="0" w:color="000000"/>
              <w:left w:val="single" w:sz="5" w:space="0" w:color="000000"/>
              <w:bottom w:val="single" w:sz="5" w:space="0" w:color="000000"/>
              <w:right w:val="nil"/>
            </w:tcBorders>
          </w:tcPr>
          <w:p w14:paraId="4606FC9E" w14:textId="77777777" w:rsidR="00273BB0" w:rsidRPr="00381DC2" w:rsidRDefault="00273BB0" w:rsidP="00804C7A">
            <w:pPr>
              <w:pStyle w:val="TableParagraph"/>
              <w:keepNext/>
              <w:tabs>
                <w:tab w:val="left" w:pos="2880"/>
              </w:tabs>
              <w:spacing w:before="19"/>
              <w:ind w:right="-2"/>
              <w:jc w:val="center"/>
              <w:rPr>
                <w:rFonts w:ascii="Times New Roman" w:hAnsi="Times New Roman"/>
                <w:color w:val="000000"/>
              </w:rPr>
            </w:pPr>
          </w:p>
        </w:tc>
        <w:tc>
          <w:tcPr>
            <w:tcW w:w="2582" w:type="dxa"/>
            <w:tcBorders>
              <w:top w:val="single" w:sz="5" w:space="0" w:color="000000"/>
              <w:left w:val="nil"/>
              <w:bottom w:val="single" w:sz="5" w:space="0" w:color="000000"/>
              <w:right w:val="single" w:sz="6" w:space="0" w:color="000000"/>
            </w:tcBorders>
          </w:tcPr>
          <w:p w14:paraId="15161D95" w14:textId="77777777" w:rsidR="00273BB0" w:rsidRPr="00381DC2" w:rsidRDefault="00273BB0" w:rsidP="00804C7A">
            <w:pPr>
              <w:pStyle w:val="TableParagraph"/>
              <w:keepNext/>
              <w:tabs>
                <w:tab w:val="left" w:pos="2880"/>
              </w:tabs>
              <w:spacing w:before="19"/>
              <w:ind w:right="-2"/>
              <w:jc w:val="center"/>
              <w:rPr>
                <w:rFonts w:ascii="Times New Roman" w:hAnsi="Times New Roman"/>
                <w:color w:val="000000"/>
              </w:rPr>
            </w:pPr>
          </w:p>
        </w:tc>
      </w:tr>
      <w:tr w:rsidR="00273BB0" w:rsidRPr="00F60460" w14:paraId="3082A1A4" w14:textId="77777777" w:rsidTr="006A2145">
        <w:tc>
          <w:tcPr>
            <w:tcW w:w="3778" w:type="dxa"/>
            <w:tcBorders>
              <w:top w:val="single" w:sz="5" w:space="0" w:color="000000"/>
              <w:left w:val="single" w:sz="6" w:space="0" w:color="000000"/>
              <w:bottom w:val="single" w:sz="5" w:space="0" w:color="000000"/>
              <w:right w:val="single" w:sz="5" w:space="0" w:color="000000"/>
            </w:tcBorders>
          </w:tcPr>
          <w:p w14:paraId="2DD5C5AE" w14:textId="77777777" w:rsidR="00273BB0" w:rsidRPr="00381DC2" w:rsidRDefault="00273BB0" w:rsidP="00EB1891">
            <w:pPr>
              <w:pStyle w:val="TableParagraph"/>
              <w:keepNext/>
              <w:spacing w:before="19"/>
              <w:ind w:left="49" w:firstLine="130"/>
              <w:rPr>
                <w:rFonts w:ascii="Times New Roman" w:eastAsia="Times New Roman" w:hAnsi="Times New Roman"/>
                <w:color w:val="000000"/>
              </w:rPr>
            </w:pPr>
            <w:r w:rsidRPr="00381DC2">
              <w:rPr>
                <w:rFonts w:ascii="Times New Roman" w:hAnsi="Times New Roman"/>
                <w:color w:val="000000"/>
                <w:spacing w:val="-1"/>
              </w:rPr>
              <w:t>Medián (měsíce)</w:t>
            </w:r>
          </w:p>
        </w:tc>
        <w:tc>
          <w:tcPr>
            <w:tcW w:w="2792" w:type="dxa"/>
            <w:gridSpan w:val="3"/>
            <w:tcBorders>
              <w:top w:val="single" w:sz="5" w:space="0" w:color="000000"/>
              <w:left w:val="single" w:sz="5" w:space="0" w:color="000000"/>
              <w:bottom w:val="single" w:sz="5" w:space="0" w:color="000000"/>
              <w:right w:val="single" w:sz="5" w:space="0" w:color="000000"/>
            </w:tcBorders>
          </w:tcPr>
          <w:p w14:paraId="7D0D7FC5" w14:textId="77777777" w:rsidR="00273BB0" w:rsidRPr="00381DC2" w:rsidRDefault="00273BB0" w:rsidP="00804C7A">
            <w:pPr>
              <w:pStyle w:val="TableParagraph"/>
              <w:keepNext/>
              <w:tabs>
                <w:tab w:val="left" w:pos="2880"/>
              </w:tabs>
              <w:spacing w:before="19"/>
              <w:ind w:right="-2"/>
              <w:jc w:val="center"/>
              <w:rPr>
                <w:rFonts w:ascii="Times New Roman" w:hAnsi="Times New Roman"/>
                <w:color w:val="000000"/>
              </w:rPr>
            </w:pPr>
            <w:r w:rsidRPr="00381DC2">
              <w:rPr>
                <w:rFonts w:ascii="Times New Roman" w:hAnsi="Times New Roman"/>
                <w:color w:val="000000"/>
              </w:rPr>
              <w:t>9,8</w:t>
            </w:r>
          </w:p>
        </w:tc>
        <w:tc>
          <w:tcPr>
            <w:tcW w:w="2590" w:type="dxa"/>
            <w:gridSpan w:val="2"/>
            <w:tcBorders>
              <w:top w:val="single" w:sz="5" w:space="0" w:color="000000"/>
              <w:left w:val="single" w:sz="5" w:space="0" w:color="000000"/>
              <w:bottom w:val="single" w:sz="5" w:space="0" w:color="000000"/>
              <w:right w:val="single" w:sz="6" w:space="0" w:color="000000"/>
            </w:tcBorders>
          </w:tcPr>
          <w:p w14:paraId="09EBA76C" w14:textId="77777777" w:rsidR="00273BB0" w:rsidRPr="00381DC2" w:rsidRDefault="00273BB0" w:rsidP="00804C7A">
            <w:pPr>
              <w:pStyle w:val="TableParagraph"/>
              <w:keepNext/>
              <w:spacing w:before="19"/>
              <w:jc w:val="center"/>
              <w:rPr>
                <w:rFonts w:ascii="Times New Roman" w:eastAsia="Times New Roman" w:hAnsi="Times New Roman"/>
                <w:color w:val="000000"/>
              </w:rPr>
            </w:pPr>
            <w:r w:rsidRPr="00381DC2">
              <w:rPr>
                <w:rFonts w:ascii="Times New Roman" w:hAnsi="Times New Roman"/>
                <w:color w:val="000000"/>
              </w:rPr>
              <w:t>11,2</w:t>
            </w:r>
          </w:p>
        </w:tc>
      </w:tr>
      <w:tr w:rsidR="00273BB0" w:rsidRPr="00F60460" w14:paraId="46CE0270" w14:textId="77777777" w:rsidTr="006A2145">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1E7FEE64" w14:textId="77777777" w:rsidR="00273BB0" w:rsidRPr="00381DC2" w:rsidRDefault="00273BB0" w:rsidP="00EB1891">
            <w:pPr>
              <w:pStyle w:val="TableParagraph"/>
              <w:keepNext/>
              <w:spacing w:before="161"/>
              <w:ind w:left="49" w:firstLine="130"/>
              <w:rPr>
                <w:rFonts w:ascii="Times New Roman" w:eastAsia="Times New Roman" w:hAnsi="Times New Roman"/>
                <w:color w:val="000000"/>
              </w:rPr>
            </w:pPr>
            <w:r w:rsidRPr="00381DC2">
              <w:rPr>
                <w:rFonts w:ascii="Times New Roman" w:hAnsi="Times New Roman"/>
                <w:color w:val="000000"/>
                <w:spacing w:val="-1"/>
              </w:rPr>
              <w:t>Poměr rizik (95% CI)</w:t>
            </w:r>
          </w:p>
        </w:tc>
        <w:tc>
          <w:tcPr>
            <w:tcW w:w="5374" w:type="dxa"/>
            <w:gridSpan w:val="4"/>
            <w:tcBorders>
              <w:top w:val="single" w:sz="5" w:space="0" w:color="000000"/>
              <w:left w:val="single" w:sz="5" w:space="0" w:color="000000"/>
              <w:bottom w:val="single" w:sz="5" w:space="0" w:color="000000"/>
              <w:right w:val="single" w:sz="6" w:space="0" w:color="000000"/>
            </w:tcBorders>
          </w:tcPr>
          <w:p w14:paraId="2CE935B1" w14:textId="77777777" w:rsidR="00273BB0" w:rsidRPr="00381DC2" w:rsidRDefault="00273BB0" w:rsidP="00804C7A">
            <w:pPr>
              <w:pStyle w:val="TableParagraph"/>
              <w:keepNext/>
              <w:spacing w:before="21"/>
              <w:jc w:val="center"/>
              <w:rPr>
                <w:rFonts w:ascii="Times New Roman" w:eastAsia="Times New Roman" w:hAnsi="Times New Roman"/>
                <w:color w:val="000000"/>
              </w:rPr>
            </w:pPr>
            <w:r w:rsidRPr="00381DC2">
              <w:rPr>
                <w:rFonts w:ascii="Times New Roman" w:hAnsi="Times New Roman"/>
                <w:color w:val="000000"/>
              </w:rPr>
              <w:t>0,81 (0,69</w:t>
            </w:r>
            <w:r w:rsidR="000D5D3E" w:rsidRPr="00381DC2">
              <w:rPr>
                <w:rFonts w:ascii="Times New Roman" w:hAnsi="Times New Roman"/>
                <w:color w:val="000000"/>
              </w:rPr>
              <w:t>;</w:t>
            </w:r>
            <w:r w:rsidRPr="00381DC2">
              <w:rPr>
                <w:rFonts w:ascii="Times New Roman" w:hAnsi="Times New Roman"/>
                <w:color w:val="000000"/>
              </w:rPr>
              <w:t xml:space="preserve"> 0,94)</w:t>
            </w:r>
          </w:p>
          <w:p w14:paraId="09BD8618" w14:textId="77777777" w:rsidR="00273BB0" w:rsidRPr="00381DC2" w:rsidRDefault="00273BB0" w:rsidP="00804C7A">
            <w:pPr>
              <w:pStyle w:val="TableParagraph"/>
              <w:keepNext/>
              <w:spacing w:before="25"/>
              <w:jc w:val="center"/>
              <w:rPr>
                <w:rFonts w:ascii="Times New Roman" w:eastAsia="Times New Roman" w:hAnsi="Times New Roman"/>
                <w:color w:val="000000"/>
              </w:rPr>
            </w:pPr>
            <w:r w:rsidRPr="00381DC2">
              <w:rPr>
                <w:rFonts w:ascii="Times New Roman" w:hAnsi="Times New Roman"/>
                <w:color w:val="000000"/>
                <w:spacing w:val="-1"/>
              </w:rPr>
              <w:t>(p-hodnota = 0,0062)</w:t>
            </w:r>
          </w:p>
        </w:tc>
      </w:tr>
      <w:tr w:rsidR="00273BB0" w:rsidRPr="00F60460" w14:paraId="36843A1C" w14:textId="77777777" w:rsidTr="006A2145">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6840539C" w14:textId="77777777" w:rsidR="00273BB0" w:rsidRPr="00B8634B" w:rsidRDefault="00273BB0" w:rsidP="006B6920">
            <w:pPr>
              <w:pStyle w:val="TableParagraph"/>
              <w:keepNext/>
              <w:spacing w:before="24"/>
              <w:ind w:left="49"/>
              <w:rPr>
                <w:rFonts w:ascii="Times New Roman" w:eastAsia="Times New Roman" w:hAnsi="Times New Roman"/>
                <w:bCs/>
                <w:color w:val="000000"/>
              </w:rPr>
            </w:pPr>
            <w:r w:rsidRPr="00B8634B">
              <w:rPr>
                <w:rFonts w:ascii="Times New Roman" w:hAnsi="Times New Roman"/>
                <w:bCs/>
                <w:color w:val="000000"/>
                <w:spacing w:val="-1"/>
              </w:rPr>
              <w:t>Přežití bez progrese</w:t>
            </w:r>
          </w:p>
        </w:tc>
        <w:tc>
          <w:tcPr>
            <w:tcW w:w="2610" w:type="dxa"/>
            <w:gridSpan w:val="2"/>
            <w:tcBorders>
              <w:top w:val="single" w:sz="5" w:space="0" w:color="000000"/>
              <w:left w:val="single" w:sz="5" w:space="0" w:color="000000"/>
              <w:bottom w:val="single" w:sz="5" w:space="0" w:color="000000"/>
              <w:right w:val="nil"/>
            </w:tcBorders>
          </w:tcPr>
          <w:p w14:paraId="06D4681C" w14:textId="77777777" w:rsidR="00273BB0" w:rsidRPr="00381DC2" w:rsidRDefault="00273BB0" w:rsidP="00804C7A">
            <w:pPr>
              <w:keepNext/>
              <w:rPr>
                <w:rFonts w:ascii="Times New Roman" w:hAnsi="Times New Roman"/>
                <w:color w:val="000000"/>
              </w:rPr>
            </w:pPr>
          </w:p>
        </w:tc>
        <w:tc>
          <w:tcPr>
            <w:tcW w:w="2764" w:type="dxa"/>
            <w:gridSpan w:val="2"/>
            <w:tcBorders>
              <w:top w:val="single" w:sz="5" w:space="0" w:color="000000"/>
              <w:left w:val="nil"/>
              <w:bottom w:val="single" w:sz="5" w:space="0" w:color="000000"/>
              <w:right w:val="single" w:sz="6" w:space="0" w:color="000000"/>
            </w:tcBorders>
          </w:tcPr>
          <w:p w14:paraId="1DAAA4E2" w14:textId="77777777" w:rsidR="00273BB0" w:rsidRPr="00381DC2" w:rsidRDefault="00273BB0" w:rsidP="00804C7A">
            <w:pPr>
              <w:keepNext/>
              <w:rPr>
                <w:rFonts w:ascii="Times New Roman" w:hAnsi="Times New Roman"/>
                <w:color w:val="000000"/>
              </w:rPr>
            </w:pPr>
          </w:p>
        </w:tc>
      </w:tr>
      <w:tr w:rsidR="00972D3C" w:rsidRPr="00F60460" w14:paraId="41FC0BA2" w14:textId="77777777" w:rsidTr="006A2145">
        <w:trPr>
          <w:gridAfter w:val="1"/>
          <w:wAfter w:w="8" w:type="dxa"/>
        </w:trPr>
        <w:tc>
          <w:tcPr>
            <w:tcW w:w="3778" w:type="dxa"/>
            <w:tcBorders>
              <w:top w:val="single" w:sz="5" w:space="0" w:color="000000"/>
              <w:left w:val="single" w:sz="6" w:space="0" w:color="000000"/>
              <w:bottom w:val="single" w:sz="5" w:space="0" w:color="000000"/>
              <w:right w:val="single" w:sz="5" w:space="0" w:color="000000"/>
            </w:tcBorders>
          </w:tcPr>
          <w:p w14:paraId="09B60D01" w14:textId="77777777" w:rsidR="00972D3C" w:rsidRPr="00381DC2" w:rsidRDefault="00972D3C" w:rsidP="00EB1891">
            <w:pPr>
              <w:pStyle w:val="TableParagraph"/>
              <w:keepNext/>
              <w:spacing w:before="19"/>
              <w:ind w:left="49" w:firstLine="130"/>
              <w:rPr>
                <w:rFonts w:ascii="Times New Roman" w:eastAsia="Times New Roman" w:hAnsi="Times New Roman"/>
                <w:color w:val="000000"/>
              </w:rPr>
            </w:pPr>
            <w:r w:rsidRPr="00381DC2">
              <w:rPr>
                <w:rFonts w:ascii="Times New Roman" w:hAnsi="Times New Roman"/>
                <w:color w:val="000000"/>
                <w:spacing w:val="-1"/>
              </w:rPr>
              <w:t>Medián (měsíce)</w:t>
            </w:r>
          </w:p>
        </w:tc>
        <w:tc>
          <w:tcPr>
            <w:tcW w:w="2610" w:type="dxa"/>
            <w:gridSpan w:val="2"/>
            <w:tcBorders>
              <w:top w:val="single" w:sz="5" w:space="0" w:color="000000"/>
              <w:left w:val="single" w:sz="5" w:space="0" w:color="000000"/>
              <w:bottom w:val="single" w:sz="5" w:space="0" w:color="000000"/>
              <w:right w:val="single" w:sz="5" w:space="0" w:color="000000"/>
            </w:tcBorders>
          </w:tcPr>
          <w:p w14:paraId="281DA81F" w14:textId="77777777" w:rsidR="00972D3C" w:rsidRPr="00381DC2" w:rsidRDefault="00972D3C" w:rsidP="00804C7A">
            <w:pPr>
              <w:pStyle w:val="TableParagraph"/>
              <w:keepNext/>
              <w:spacing w:before="19"/>
              <w:ind w:right="470"/>
              <w:jc w:val="center"/>
              <w:rPr>
                <w:rFonts w:ascii="Times New Roman" w:hAnsi="Times New Roman"/>
                <w:color w:val="000000"/>
              </w:rPr>
            </w:pPr>
            <w:r w:rsidRPr="00381DC2">
              <w:rPr>
                <w:rFonts w:ascii="Times New Roman" w:hAnsi="Times New Roman"/>
                <w:color w:val="000000"/>
              </w:rPr>
              <w:t>4,1</w:t>
            </w:r>
          </w:p>
        </w:tc>
        <w:tc>
          <w:tcPr>
            <w:tcW w:w="2764" w:type="dxa"/>
            <w:gridSpan w:val="2"/>
            <w:tcBorders>
              <w:top w:val="single" w:sz="5" w:space="0" w:color="000000"/>
              <w:left w:val="single" w:sz="5" w:space="0" w:color="000000"/>
              <w:bottom w:val="single" w:sz="5" w:space="0" w:color="000000"/>
              <w:right w:val="single" w:sz="6" w:space="0" w:color="000000"/>
            </w:tcBorders>
          </w:tcPr>
          <w:p w14:paraId="14C76F0D" w14:textId="77777777" w:rsidR="00972D3C" w:rsidRPr="00381DC2" w:rsidRDefault="00972D3C" w:rsidP="00804C7A">
            <w:pPr>
              <w:pStyle w:val="TableParagraph"/>
              <w:keepNext/>
              <w:spacing w:before="19"/>
              <w:jc w:val="center"/>
              <w:rPr>
                <w:rFonts w:ascii="Times New Roman" w:hAnsi="Times New Roman"/>
                <w:color w:val="000000"/>
              </w:rPr>
            </w:pPr>
            <w:r w:rsidRPr="00381DC2">
              <w:rPr>
                <w:rFonts w:ascii="Times New Roman" w:hAnsi="Times New Roman"/>
                <w:color w:val="000000"/>
              </w:rPr>
              <w:t>5,7</w:t>
            </w:r>
          </w:p>
        </w:tc>
      </w:tr>
      <w:tr w:rsidR="00273BB0" w:rsidRPr="00F60460" w14:paraId="52D7D23E" w14:textId="77777777" w:rsidTr="006A2145">
        <w:trPr>
          <w:gridAfter w:val="1"/>
          <w:wAfter w:w="8" w:type="dxa"/>
        </w:trPr>
        <w:tc>
          <w:tcPr>
            <w:tcW w:w="3778" w:type="dxa"/>
            <w:tcBorders>
              <w:top w:val="single" w:sz="5" w:space="0" w:color="000000"/>
              <w:left w:val="single" w:sz="6" w:space="0" w:color="000000"/>
              <w:bottom w:val="single" w:sz="4" w:space="0" w:color="000000"/>
              <w:right w:val="single" w:sz="5" w:space="0" w:color="000000"/>
            </w:tcBorders>
          </w:tcPr>
          <w:p w14:paraId="7D570B62" w14:textId="77777777" w:rsidR="00273BB0" w:rsidRPr="00381DC2" w:rsidRDefault="00273BB0" w:rsidP="00EB1891">
            <w:pPr>
              <w:pStyle w:val="TableParagraph"/>
              <w:keepNext/>
              <w:spacing w:before="158"/>
              <w:ind w:left="49" w:firstLine="130"/>
              <w:rPr>
                <w:rFonts w:ascii="Times New Roman" w:eastAsia="Times New Roman" w:hAnsi="Times New Roman"/>
                <w:color w:val="000000"/>
              </w:rPr>
            </w:pPr>
            <w:r w:rsidRPr="00381DC2">
              <w:rPr>
                <w:rFonts w:ascii="Times New Roman" w:hAnsi="Times New Roman"/>
                <w:color w:val="000000"/>
                <w:spacing w:val="-1"/>
              </w:rPr>
              <w:t>Poměr rizik (95% CI)</w:t>
            </w:r>
          </w:p>
        </w:tc>
        <w:tc>
          <w:tcPr>
            <w:tcW w:w="1621" w:type="dxa"/>
            <w:tcBorders>
              <w:top w:val="single" w:sz="5" w:space="0" w:color="000000"/>
              <w:left w:val="single" w:sz="5" w:space="0" w:color="000000"/>
              <w:bottom w:val="single" w:sz="5" w:space="0" w:color="000000"/>
              <w:right w:val="nil"/>
            </w:tcBorders>
          </w:tcPr>
          <w:p w14:paraId="0F5C9E06" w14:textId="77777777" w:rsidR="00273BB0" w:rsidRPr="00381DC2" w:rsidRDefault="00273BB0" w:rsidP="00804C7A">
            <w:pPr>
              <w:keepNext/>
              <w:rPr>
                <w:rFonts w:ascii="Times New Roman" w:hAnsi="Times New Roman"/>
                <w:color w:val="000000"/>
              </w:rPr>
            </w:pPr>
          </w:p>
        </w:tc>
        <w:tc>
          <w:tcPr>
            <w:tcW w:w="3753" w:type="dxa"/>
            <w:gridSpan w:val="3"/>
            <w:tcBorders>
              <w:top w:val="single" w:sz="5" w:space="0" w:color="000000"/>
              <w:left w:val="nil"/>
              <w:bottom w:val="single" w:sz="5" w:space="0" w:color="000000"/>
              <w:right w:val="single" w:sz="6" w:space="0" w:color="000000"/>
            </w:tcBorders>
          </w:tcPr>
          <w:p w14:paraId="6F27038D" w14:textId="77777777" w:rsidR="00273BB0" w:rsidRPr="00381DC2" w:rsidRDefault="00273BB0" w:rsidP="00804C7A">
            <w:pPr>
              <w:pStyle w:val="TableParagraph"/>
              <w:keepNext/>
              <w:spacing w:before="19"/>
              <w:rPr>
                <w:rFonts w:ascii="Times New Roman" w:eastAsia="Times New Roman" w:hAnsi="Times New Roman"/>
                <w:color w:val="000000"/>
              </w:rPr>
            </w:pPr>
            <w:r w:rsidRPr="00381DC2">
              <w:rPr>
                <w:rFonts w:ascii="Times New Roman" w:hAnsi="Times New Roman"/>
                <w:color w:val="000000"/>
              </w:rPr>
              <w:t>0,68 (0,59</w:t>
            </w:r>
            <w:r w:rsidR="000D5D3E" w:rsidRPr="00381DC2">
              <w:rPr>
                <w:rFonts w:ascii="Times New Roman" w:hAnsi="Times New Roman"/>
                <w:color w:val="000000"/>
              </w:rPr>
              <w:t>;</w:t>
            </w:r>
            <w:r w:rsidRPr="00381DC2">
              <w:rPr>
                <w:rFonts w:ascii="Times New Roman" w:hAnsi="Times New Roman"/>
                <w:color w:val="000000"/>
              </w:rPr>
              <w:t xml:space="preserve"> 0,78)</w:t>
            </w:r>
          </w:p>
          <w:p w14:paraId="46C01AFA" w14:textId="77777777" w:rsidR="00273BB0" w:rsidRPr="00381DC2" w:rsidRDefault="00273BB0" w:rsidP="00804C7A">
            <w:pPr>
              <w:pStyle w:val="TableParagraph"/>
              <w:keepNext/>
              <w:spacing w:before="25"/>
              <w:rPr>
                <w:rFonts w:ascii="Times New Roman" w:eastAsia="Times New Roman" w:hAnsi="Times New Roman"/>
                <w:color w:val="000000"/>
              </w:rPr>
            </w:pPr>
            <w:r w:rsidRPr="00381DC2">
              <w:rPr>
                <w:rFonts w:ascii="Times New Roman" w:hAnsi="Times New Roman"/>
                <w:color w:val="000000"/>
                <w:spacing w:val="-1"/>
              </w:rPr>
              <w:t>(p-hodnota &lt; 0,0001)</w:t>
            </w:r>
          </w:p>
        </w:tc>
      </w:tr>
      <w:tr w:rsidR="00273BB0" w:rsidRPr="00F60460" w14:paraId="761B366B" w14:textId="77777777" w:rsidTr="006A2145">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3CA9842B" w14:textId="77777777" w:rsidR="00273BB0" w:rsidRPr="00B8634B" w:rsidRDefault="00273BB0" w:rsidP="006B6920">
            <w:pPr>
              <w:pStyle w:val="TableParagraph"/>
              <w:keepNext/>
              <w:spacing w:before="24" w:line="242" w:lineRule="exact"/>
              <w:ind w:left="49"/>
              <w:rPr>
                <w:rFonts w:ascii="Times New Roman" w:eastAsia="Times New Roman" w:hAnsi="Times New Roman"/>
                <w:bCs/>
                <w:color w:val="000000"/>
              </w:rPr>
            </w:pPr>
            <w:r w:rsidRPr="00B8634B">
              <w:rPr>
                <w:rFonts w:ascii="Times New Roman" w:hAnsi="Times New Roman"/>
                <w:bCs/>
                <w:color w:val="000000"/>
                <w:spacing w:val="-1"/>
              </w:rPr>
              <w:t>Četnost objektivních odpovědí (ORR)</w:t>
            </w:r>
          </w:p>
        </w:tc>
        <w:tc>
          <w:tcPr>
            <w:tcW w:w="2610" w:type="dxa"/>
            <w:gridSpan w:val="2"/>
            <w:tcBorders>
              <w:top w:val="single" w:sz="5" w:space="0" w:color="000000"/>
              <w:left w:val="single" w:sz="4" w:space="0" w:color="000000"/>
              <w:bottom w:val="single" w:sz="5" w:space="0" w:color="000000"/>
              <w:right w:val="nil"/>
            </w:tcBorders>
          </w:tcPr>
          <w:p w14:paraId="4E4031D3" w14:textId="77777777" w:rsidR="00273BB0" w:rsidRPr="00381DC2" w:rsidRDefault="00273BB0" w:rsidP="00804C7A">
            <w:pPr>
              <w:keepNext/>
              <w:rPr>
                <w:rFonts w:ascii="Times New Roman" w:hAnsi="Times New Roman"/>
                <w:color w:val="000000"/>
              </w:rPr>
            </w:pPr>
          </w:p>
        </w:tc>
        <w:tc>
          <w:tcPr>
            <w:tcW w:w="2764" w:type="dxa"/>
            <w:gridSpan w:val="2"/>
            <w:tcBorders>
              <w:top w:val="single" w:sz="5" w:space="0" w:color="000000"/>
              <w:left w:val="nil"/>
              <w:bottom w:val="single" w:sz="5" w:space="0" w:color="000000"/>
              <w:right w:val="single" w:sz="6" w:space="0" w:color="000000"/>
            </w:tcBorders>
          </w:tcPr>
          <w:p w14:paraId="0FC43B14" w14:textId="77777777" w:rsidR="00273BB0" w:rsidRPr="00381DC2" w:rsidRDefault="00273BB0" w:rsidP="00804C7A">
            <w:pPr>
              <w:keepNext/>
              <w:rPr>
                <w:rFonts w:ascii="Times New Roman" w:hAnsi="Times New Roman"/>
                <w:color w:val="000000"/>
              </w:rPr>
            </w:pPr>
          </w:p>
        </w:tc>
      </w:tr>
      <w:tr w:rsidR="00972D3C" w:rsidRPr="00F60460" w14:paraId="5FC35270" w14:textId="77777777" w:rsidTr="006A2145">
        <w:trPr>
          <w:gridAfter w:val="1"/>
          <w:wAfter w:w="8" w:type="dxa"/>
        </w:trPr>
        <w:tc>
          <w:tcPr>
            <w:tcW w:w="3778" w:type="dxa"/>
            <w:tcBorders>
              <w:top w:val="single" w:sz="4" w:space="0" w:color="000000"/>
              <w:left w:val="single" w:sz="4" w:space="0" w:color="000000"/>
              <w:bottom w:val="single" w:sz="4" w:space="0" w:color="000000"/>
              <w:right w:val="single" w:sz="4" w:space="0" w:color="000000"/>
            </w:tcBorders>
          </w:tcPr>
          <w:p w14:paraId="0D03A401" w14:textId="77777777" w:rsidR="00972D3C" w:rsidRPr="00381DC2" w:rsidRDefault="00972D3C" w:rsidP="00EB1891">
            <w:pPr>
              <w:pStyle w:val="TableParagraph"/>
              <w:keepNext/>
              <w:spacing w:before="6"/>
              <w:ind w:left="49" w:firstLine="130"/>
              <w:rPr>
                <w:rFonts w:ascii="Times New Roman" w:eastAsia="Times New Roman" w:hAnsi="Times New Roman"/>
                <w:color w:val="000000"/>
              </w:rPr>
            </w:pPr>
            <w:r w:rsidRPr="00381DC2">
              <w:rPr>
                <w:rFonts w:ascii="Times New Roman" w:hAnsi="Times New Roman"/>
                <w:color w:val="000000"/>
                <w:spacing w:val="-1"/>
              </w:rPr>
              <w:t>Pacienti zahrnutí do analýzy</w:t>
            </w:r>
          </w:p>
        </w:tc>
        <w:tc>
          <w:tcPr>
            <w:tcW w:w="2610" w:type="dxa"/>
            <w:gridSpan w:val="2"/>
            <w:tcBorders>
              <w:top w:val="single" w:sz="5" w:space="0" w:color="000000"/>
              <w:left w:val="single" w:sz="4" w:space="0" w:color="000000"/>
              <w:bottom w:val="single" w:sz="5" w:space="0" w:color="000000"/>
              <w:right w:val="single" w:sz="5" w:space="0" w:color="000000"/>
            </w:tcBorders>
          </w:tcPr>
          <w:p w14:paraId="5FB77B06" w14:textId="77777777" w:rsidR="00972D3C" w:rsidRPr="00381DC2" w:rsidRDefault="00972D3C" w:rsidP="00804C7A">
            <w:pPr>
              <w:pStyle w:val="TableParagraph"/>
              <w:keepNext/>
              <w:jc w:val="center"/>
              <w:rPr>
                <w:rFonts w:ascii="Times New Roman" w:hAnsi="Times New Roman"/>
                <w:color w:val="000000"/>
              </w:rPr>
            </w:pPr>
            <w:r w:rsidRPr="00381DC2">
              <w:rPr>
                <w:rFonts w:ascii="Times New Roman" w:hAnsi="Times New Roman"/>
                <w:color w:val="000000"/>
              </w:rPr>
              <w:t>406</w:t>
            </w:r>
          </w:p>
        </w:tc>
        <w:tc>
          <w:tcPr>
            <w:tcW w:w="2764" w:type="dxa"/>
            <w:gridSpan w:val="2"/>
            <w:tcBorders>
              <w:top w:val="single" w:sz="5" w:space="0" w:color="000000"/>
              <w:left w:val="single" w:sz="5" w:space="0" w:color="000000"/>
              <w:bottom w:val="single" w:sz="5" w:space="0" w:color="000000"/>
              <w:right w:val="single" w:sz="6" w:space="0" w:color="000000"/>
            </w:tcBorders>
          </w:tcPr>
          <w:p w14:paraId="1CF78C05" w14:textId="77777777" w:rsidR="00972D3C" w:rsidRPr="00381DC2" w:rsidRDefault="00972D3C" w:rsidP="00804C7A">
            <w:pPr>
              <w:pStyle w:val="TableParagraph"/>
              <w:keepNext/>
              <w:spacing w:before="19"/>
              <w:jc w:val="center"/>
              <w:rPr>
                <w:rFonts w:ascii="Times New Roman" w:eastAsia="Times New Roman" w:hAnsi="Times New Roman"/>
                <w:color w:val="000000"/>
              </w:rPr>
            </w:pPr>
            <w:r w:rsidRPr="00381DC2">
              <w:rPr>
                <w:rFonts w:ascii="Times New Roman" w:hAnsi="Times New Roman"/>
                <w:color w:val="000000"/>
              </w:rPr>
              <w:t>404</w:t>
            </w:r>
          </w:p>
        </w:tc>
      </w:tr>
      <w:tr w:rsidR="00972D3C" w:rsidRPr="00F60460" w14:paraId="10F28D94" w14:textId="77777777" w:rsidTr="006A2145">
        <w:trPr>
          <w:gridAfter w:val="1"/>
          <w:wAfter w:w="8" w:type="dxa"/>
        </w:trPr>
        <w:tc>
          <w:tcPr>
            <w:tcW w:w="3778" w:type="dxa"/>
            <w:tcBorders>
              <w:top w:val="single" w:sz="4" w:space="0" w:color="000000"/>
              <w:left w:val="single" w:sz="6" w:space="0" w:color="000000"/>
              <w:bottom w:val="single" w:sz="5" w:space="0" w:color="000000"/>
              <w:right w:val="single" w:sz="5" w:space="0" w:color="000000"/>
            </w:tcBorders>
          </w:tcPr>
          <w:p w14:paraId="633E7C7C" w14:textId="77777777" w:rsidR="00972D3C" w:rsidRPr="00381DC2" w:rsidRDefault="00972D3C" w:rsidP="00B8634B">
            <w:pPr>
              <w:pStyle w:val="TableParagraph"/>
              <w:keepNext/>
              <w:spacing w:before="19"/>
              <w:ind w:left="49" w:firstLine="130"/>
              <w:rPr>
                <w:rFonts w:ascii="Times New Roman" w:eastAsia="Times New Roman" w:hAnsi="Times New Roman"/>
                <w:color w:val="000000"/>
              </w:rPr>
            </w:pPr>
            <w:r w:rsidRPr="00381DC2">
              <w:rPr>
                <w:rFonts w:ascii="Times New Roman" w:hAnsi="Times New Roman"/>
                <w:color w:val="000000"/>
              </w:rPr>
              <w:t>Četnost</w:t>
            </w:r>
          </w:p>
        </w:tc>
        <w:tc>
          <w:tcPr>
            <w:tcW w:w="2610" w:type="dxa"/>
            <w:gridSpan w:val="2"/>
            <w:tcBorders>
              <w:top w:val="single" w:sz="5" w:space="0" w:color="000000"/>
              <w:left w:val="single" w:sz="5" w:space="0" w:color="000000"/>
              <w:bottom w:val="single" w:sz="5" w:space="0" w:color="000000"/>
              <w:right w:val="single" w:sz="5" w:space="0" w:color="000000"/>
            </w:tcBorders>
          </w:tcPr>
          <w:p w14:paraId="6F3A8D2A" w14:textId="77777777" w:rsidR="00972D3C" w:rsidRPr="00381DC2" w:rsidRDefault="00972D3C" w:rsidP="00804C7A">
            <w:pPr>
              <w:keepNext/>
              <w:jc w:val="center"/>
              <w:rPr>
                <w:rFonts w:ascii="Times New Roman" w:hAnsi="Times New Roman"/>
                <w:color w:val="000000"/>
              </w:rPr>
            </w:pPr>
            <w:r w:rsidRPr="00381DC2">
              <w:rPr>
                <w:rFonts w:ascii="Times New Roman" w:hAnsi="Times New Roman"/>
                <w:color w:val="000000"/>
              </w:rPr>
              <w:t>3,9 %</w:t>
            </w:r>
          </w:p>
        </w:tc>
        <w:tc>
          <w:tcPr>
            <w:tcW w:w="2764" w:type="dxa"/>
            <w:gridSpan w:val="2"/>
            <w:tcBorders>
              <w:top w:val="single" w:sz="5" w:space="0" w:color="000000"/>
              <w:left w:val="single" w:sz="5" w:space="0" w:color="000000"/>
              <w:bottom w:val="single" w:sz="5" w:space="0" w:color="000000"/>
              <w:right w:val="single" w:sz="6" w:space="0" w:color="000000"/>
            </w:tcBorders>
          </w:tcPr>
          <w:p w14:paraId="34468895" w14:textId="77777777" w:rsidR="00972D3C" w:rsidRPr="00381DC2" w:rsidRDefault="00972D3C" w:rsidP="00804C7A">
            <w:pPr>
              <w:pStyle w:val="TableParagraph"/>
              <w:keepNext/>
              <w:spacing w:before="19"/>
              <w:ind w:hanging="1"/>
              <w:jc w:val="center"/>
              <w:rPr>
                <w:rFonts w:ascii="Times New Roman" w:eastAsia="Times New Roman" w:hAnsi="Times New Roman"/>
                <w:color w:val="000000"/>
              </w:rPr>
            </w:pPr>
            <w:r w:rsidRPr="00381DC2">
              <w:rPr>
                <w:rFonts w:ascii="Times New Roman" w:hAnsi="Times New Roman"/>
                <w:color w:val="000000"/>
              </w:rPr>
              <w:t>5,4 %</w:t>
            </w:r>
          </w:p>
        </w:tc>
      </w:tr>
      <w:tr w:rsidR="00972D3C" w:rsidRPr="00F60460" w14:paraId="7A18D2BB" w14:textId="77777777" w:rsidTr="006A2145">
        <w:trPr>
          <w:gridAfter w:val="1"/>
          <w:wAfter w:w="8" w:type="dxa"/>
        </w:trPr>
        <w:tc>
          <w:tcPr>
            <w:tcW w:w="3778" w:type="dxa"/>
            <w:tcBorders>
              <w:top w:val="single" w:sz="5" w:space="0" w:color="000000"/>
              <w:left w:val="single" w:sz="6" w:space="0" w:color="000000"/>
              <w:bottom w:val="single" w:sz="6" w:space="0" w:color="000000"/>
              <w:right w:val="single" w:sz="5" w:space="0" w:color="000000"/>
            </w:tcBorders>
          </w:tcPr>
          <w:p w14:paraId="442E2B40" w14:textId="77777777" w:rsidR="00972D3C" w:rsidRPr="00381DC2" w:rsidRDefault="00972D3C" w:rsidP="00804C7A">
            <w:pPr>
              <w:keepNext/>
              <w:rPr>
                <w:rFonts w:ascii="Times New Roman" w:hAnsi="Times New Roman"/>
                <w:color w:val="000000"/>
              </w:rPr>
            </w:pPr>
          </w:p>
        </w:tc>
        <w:tc>
          <w:tcPr>
            <w:tcW w:w="5374" w:type="dxa"/>
            <w:gridSpan w:val="4"/>
            <w:tcBorders>
              <w:top w:val="single" w:sz="5" w:space="0" w:color="000000"/>
              <w:left w:val="single" w:sz="5" w:space="0" w:color="000000"/>
              <w:bottom w:val="single" w:sz="6" w:space="0" w:color="000000"/>
              <w:right w:val="single" w:sz="6" w:space="0" w:color="000000"/>
            </w:tcBorders>
          </w:tcPr>
          <w:p w14:paraId="3A3E10D7" w14:textId="77777777" w:rsidR="00972D3C" w:rsidRPr="00381DC2" w:rsidRDefault="00972D3C" w:rsidP="00804C7A">
            <w:pPr>
              <w:pStyle w:val="TableParagraph"/>
              <w:keepNext/>
              <w:spacing w:before="19"/>
              <w:jc w:val="center"/>
              <w:rPr>
                <w:rFonts w:ascii="Times New Roman" w:eastAsia="Times New Roman" w:hAnsi="Times New Roman"/>
                <w:color w:val="000000"/>
              </w:rPr>
            </w:pPr>
            <w:r w:rsidRPr="00381DC2">
              <w:rPr>
                <w:rFonts w:ascii="Times New Roman" w:hAnsi="Times New Roman"/>
                <w:color w:val="000000"/>
                <w:spacing w:val="-1"/>
              </w:rPr>
              <w:t>(p-hodnota = 0,3113)</w:t>
            </w:r>
          </w:p>
        </w:tc>
      </w:tr>
    </w:tbl>
    <w:p w14:paraId="25594CD7" w14:textId="77777777" w:rsidR="004F312E" w:rsidRPr="00F60460" w:rsidRDefault="004F312E" w:rsidP="00D23770">
      <w:pPr>
        <w:keepNext/>
        <w:ind w:left="284" w:hanging="284"/>
        <w:rPr>
          <w:rFonts w:ascii="Times New Roman" w:eastAsia="Times New Roman" w:hAnsi="Times New Roman"/>
          <w:color w:val="000000"/>
          <w:sz w:val="20"/>
          <w:szCs w:val="20"/>
        </w:rPr>
      </w:pPr>
      <w:r w:rsidRPr="00381DC2">
        <w:rPr>
          <w:rFonts w:ascii="Times New Roman" w:hAnsi="Times New Roman"/>
          <w:color w:val="000000"/>
          <w:vertAlign w:val="superscript"/>
        </w:rPr>
        <w:t>a</w:t>
      </w:r>
      <w:r w:rsidRPr="00F60460">
        <w:rPr>
          <w:rFonts w:ascii="Times New Roman" w:hAnsi="Times New Roman"/>
          <w:color w:val="000000"/>
          <w:sz w:val="13"/>
        </w:rPr>
        <w:t xml:space="preserve"> </w:t>
      </w:r>
      <w:r w:rsidR="00694309" w:rsidRPr="00F60460">
        <w:rPr>
          <w:rFonts w:ascii="Times New Roman" w:hAnsi="Times New Roman"/>
          <w:color w:val="000000"/>
          <w:sz w:val="13"/>
        </w:rPr>
        <w:tab/>
      </w:r>
      <w:r w:rsidRPr="00F60460">
        <w:rPr>
          <w:rFonts w:ascii="Times New Roman" w:hAnsi="Times New Roman"/>
          <w:color w:val="000000"/>
          <w:sz w:val="20"/>
        </w:rPr>
        <w:t>5,0 mg/kg každé 2 týdny nebo 7,5 mg/kg každé 3 týdny.</w:t>
      </w:r>
    </w:p>
    <w:p w14:paraId="6DE5A626" w14:textId="77777777" w:rsidR="004F312E" w:rsidRPr="00381DC2" w:rsidRDefault="004F312E" w:rsidP="007F6E1B">
      <w:pPr>
        <w:rPr>
          <w:rFonts w:ascii="Times New Roman" w:eastAsia="Times New Roman" w:hAnsi="Times New Roman"/>
          <w:color w:val="000000"/>
        </w:rPr>
      </w:pPr>
    </w:p>
    <w:p w14:paraId="1E23FC0A" w14:textId="77777777" w:rsidR="00D15122" w:rsidRPr="00381DC2" w:rsidRDefault="009B0756" w:rsidP="007F6E1B">
      <w:pPr>
        <w:pStyle w:val="BodyText"/>
        <w:ind w:left="0" w:right="716"/>
        <w:rPr>
          <w:color w:val="000000"/>
        </w:rPr>
      </w:pPr>
      <w:r w:rsidRPr="00381DC2">
        <w:rPr>
          <w:color w:val="000000"/>
        </w:rPr>
        <w:t xml:space="preserve">Bylo zaznamenáno rovněž statisticky významné zlepšení přežití bez progrese. Četnost objektivních odpovědí byla v obou léčebných </w:t>
      </w:r>
      <w:r w:rsidR="00EB04AB" w:rsidRPr="00381DC2">
        <w:rPr>
          <w:color w:val="000000"/>
        </w:rPr>
        <w:t xml:space="preserve">ramenech </w:t>
      </w:r>
      <w:r w:rsidRPr="00381DC2">
        <w:rPr>
          <w:color w:val="000000"/>
        </w:rPr>
        <w:t>nízká a rozdíl nebyl významný.</w:t>
      </w:r>
    </w:p>
    <w:p w14:paraId="6588C567" w14:textId="77777777" w:rsidR="00D15122" w:rsidRPr="00381DC2" w:rsidRDefault="00D15122" w:rsidP="007F6E1B">
      <w:pPr>
        <w:rPr>
          <w:rFonts w:ascii="Times New Roman" w:eastAsia="Times New Roman" w:hAnsi="Times New Roman"/>
          <w:color w:val="000000"/>
        </w:rPr>
      </w:pPr>
    </w:p>
    <w:p w14:paraId="4B09DBFB" w14:textId="77777777" w:rsidR="00D15122" w:rsidRPr="00381DC2" w:rsidRDefault="009B0756" w:rsidP="007F6E1B">
      <w:pPr>
        <w:pStyle w:val="BodyText"/>
        <w:ind w:left="0" w:right="220"/>
        <w:rPr>
          <w:color w:val="000000"/>
        </w:rPr>
      </w:pPr>
      <w:r w:rsidRPr="00381DC2">
        <w:rPr>
          <w:color w:val="000000"/>
        </w:rPr>
        <w:t xml:space="preserve">Ve studii E3200 byl u pacientů bevacizumabem dosud neléčených použit bevacizumab v dávce odpovídající 5 mg/kg/týden, zatímco ve studii ML18147 u pacientů bevacizumabem již dříve léčených byl použit bevacizumab v dávce odpovídající 2,5 mg/kg/týden. Možnost vzájemného srovnání údajů o účinnosti a bezpečnosti mezi studiemi je omezena rozdíly </w:t>
      </w:r>
      <w:r w:rsidR="004A086F" w:rsidRPr="00381DC2">
        <w:rPr>
          <w:color w:val="000000"/>
        </w:rPr>
        <w:t xml:space="preserve">mezi těmito </w:t>
      </w:r>
      <w:r w:rsidRPr="00381DC2">
        <w:rPr>
          <w:color w:val="000000"/>
        </w:rPr>
        <w:t>studií, zejména rozdílnými populacemi pacientů, předchozí expozicí bevacizumabu a režimy chemoterapie. Ob</w:t>
      </w:r>
      <w:r w:rsidR="004A086F" w:rsidRPr="00381DC2">
        <w:rPr>
          <w:color w:val="000000"/>
        </w:rPr>
        <w:t xml:space="preserve">ě dávky </w:t>
      </w:r>
      <w:r w:rsidRPr="00381DC2">
        <w:rPr>
          <w:color w:val="000000"/>
        </w:rPr>
        <w:t xml:space="preserve">bevacizumabu odpovídající 5 mg/kg/týden a 2,5 mg/kg/týden </w:t>
      </w:r>
      <w:r w:rsidR="004A086F" w:rsidRPr="00381DC2">
        <w:rPr>
          <w:color w:val="000000"/>
        </w:rPr>
        <w:t xml:space="preserve">vedly </w:t>
      </w:r>
      <w:r w:rsidRPr="00381DC2">
        <w:rPr>
          <w:color w:val="000000"/>
        </w:rPr>
        <w:t>ke statisticky významnému přínosu v celkovém přežití (</w:t>
      </w:r>
      <w:r w:rsidR="004A086F" w:rsidRPr="00381DC2">
        <w:rPr>
          <w:color w:val="000000"/>
        </w:rPr>
        <w:t xml:space="preserve">HR </w:t>
      </w:r>
      <w:r w:rsidRPr="00381DC2">
        <w:rPr>
          <w:color w:val="000000"/>
        </w:rPr>
        <w:t>0,751 ve studii E3200 a </w:t>
      </w:r>
      <w:r w:rsidR="004A086F" w:rsidRPr="00381DC2">
        <w:rPr>
          <w:color w:val="000000"/>
        </w:rPr>
        <w:t xml:space="preserve">HR </w:t>
      </w:r>
      <w:r w:rsidRPr="00381DC2">
        <w:rPr>
          <w:color w:val="000000"/>
        </w:rPr>
        <w:t>0,81 ve studii ML18147) a přežití bez progrese (</w:t>
      </w:r>
      <w:r w:rsidR="004A086F" w:rsidRPr="00381DC2">
        <w:rPr>
          <w:color w:val="000000"/>
        </w:rPr>
        <w:t xml:space="preserve">HR </w:t>
      </w:r>
      <w:r w:rsidRPr="00381DC2">
        <w:rPr>
          <w:color w:val="000000"/>
        </w:rPr>
        <w:t>0,518 ve studii E3200 a </w:t>
      </w:r>
      <w:r w:rsidR="004A086F" w:rsidRPr="00381DC2">
        <w:rPr>
          <w:color w:val="000000"/>
        </w:rPr>
        <w:t xml:space="preserve">HR </w:t>
      </w:r>
      <w:r w:rsidRPr="00381DC2">
        <w:rPr>
          <w:color w:val="000000"/>
        </w:rPr>
        <w:t xml:space="preserve">0,68 ve studii ML18147). Co se týká bezpečnosti, ve srovnání se studií ML18147 byla ve studii E3200 vyšší </w:t>
      </w:r>
      <w:r w:rsidR="00085B08" w:rsidRPr="00381DC2">
        <w:rPr>
          <w:color w:val="000000"/>
        </w:rPr>
        <w:t xml:space="preserve">celková </w:t>
      </w:r>
      <w:r w:rsidRPr="00381DC2">
        <w:rPr>
          <w:color w:val="000000"/>
        </w:rPr>
        <w:t>incidence nežádoucích účinků stupně 3–5.</w:t>
      </w:r>
    </w:p>
    <w:p w14:paraId="544904AC" w14:textId="77777777" w:rsidR="00D15122" w:rsidRPr="00381DC2" w:rsidRDefault="00D15122" w:rsidP="007F6E1B">
      <w:pPr>
        <w:rPr>
          <w:rFonts w:ascii="Times New Roman" w:eastAsia="Times New Roman" w:hAnsi="Times New Roman"/>
          <w:color w:val="000000"/>
        </w:rPr>
      </w:pPr>
    </w:p>
    <w:p w14:paraId="1045282F" w14:textId="77777777" w:rsidR="00D15122" w:rsidRPr="00381DC2" w:rsidRDefault="000834FE" w:rsidP="007F6E1B">
      <w:pPr>
        <w:rPr>
          <w:rFonts w:ascii="Times New Roman" w:eastAsia="Times New Roman" w:hAnsi="Times New Roman"/>
          <w:i/>
          <w:color w:val="000000"/>
        </w:rPr>
      </w:pPr>
      <w:r w:rsidRPr="00381DC2">
        <w:rPr>
          <w:rFonts w:ascii="Times New Roman" w:hAnsi="Times New Roman"/>
          <w:i/>
          <w:color w:val="000000"/>
          <w:u w:val="single" w:color="000000"/>
        </w:rPr>
        <w:t>Metasta</w:t>
      </w:r>
      <w:r w:rsidR="000D5D3E" w:rsidRPr="00381DC2">
        <w:rPr>
          <w:rFonts w:ascii="Times New Roman" w:hAnsi="Times New Roman"/>
          <w:i/>
          <w:color w:val="000000"/>
          <w:u w:val="single" w:color="000000"/>
        </w:rPr>
        <w:t>zující karcinom</w:t>
      </w:r>
      <w:r w:rsidR="009B0756" w:rsidRPr="00381DC2">
        <w:rPr>
          <w:rFonts w:ascii="Times New Roman" w:hAnsi="Times New Roman"/>
          <w:i/>
          <w:color w:val="000000"/>
          <w:u w:val="single" w:color="000000"/>
        </w:rPr>
        <w:t xml:space="preserve"> prsu (mBC)</w:t>
      </w:r>
    </w:p>
    <w:p w14:paraId="4823438D" w14:textId="77777777" w:rsidR="00D15122" w:rsidRPr="00381DC2" w:rsidRDefault="00D15122" w:rsidP="007F6E1B">
      <w:pPr>
        <w:rPr>
          <w:rFonts w:ascii="Times New Roman" w:eastAsia="Times New Roman" w:hAnsi="Times New Roman"/>
          <w:color w:val="000000"/>
        </w:rPr>
      </w:pPr>
    </w:p>
    <w:p w14:paraId="0BE36612" w14:textId="77777777" w:rsidR="00070FC2" w:rsidRPr="00381DC2" w:rsidRDefault="00070FC2" w:rsidP="00070FC2">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Byly provedeny dvě velké studie fáze III, ve kterých byla hodnocena účinnost bevacizumabu v kombinaci se dvěma individuálními chemoterapeutiky měřená dobou přežití bez progrese, což byl primární cílový parametr účinnosti těchto studií. V obou studiích bylo pozorováno klinicky a statisticky významné zlepšení přežití bez progrese.</w:t>
      </w:r>
    </w:p>
    <w:p w14:paraId="2DCF7EF5" w14:textId="77777777" w:rsidR="00070FC2" w:rsidRPr="00381DC2" w:rsidRDefault="00070FC2" w:rsidP="00070FC2">
      <w:pPr>
        <w:widowControl/>
        <w:rPr>
          <w:rFonts w:ascii="Times New Roman" w:eastAsia="Times New Roman" w:hAnsi="Times New Roman"/>
          <w:color w:val="000000"/>
          <w:lang w:bidi="ar-SA"/>
        </w:rPr>
      </w:pPr>
    </w:p>
    <w:p w14:paraId="0C463C3F" w14:textId="77777777" w:rsidR="00070FC2" w:rsidRPr="00381DC2" w:rsidRDefault="00070FC2" w:rsidP="00070FC2">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Níže jsou shrnuty výsledky přežití bez progrese pro individuální chemoterapeutika zahrnutá v indikaci:</w:t>
      </w:r>
    </w:p>
    <w:p w14:paraId="7D81FC0C" w14:textId="77777777" w:rsidR="00070FC2" w:rsidRPr="00381DC2" w:rsidRDefault="00070FC2" w:rsidP="00BE7168">
      <w:pPr>
        <w:widowControl/>
        <w:numPr>
          <w:ilvl w:val="0"/>
          <w:numId w:val="35"/>
        </w:numPr>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Studie E2100 (paklitaxel) </w:t>
      </w:r>
    </w:p>
    <w:p w14:paraId="7EAF5D47" w14:textId="77777777" w:rsidR="00070FC2" w:rsidRPr="00381DC2" w:rsidRDefault="00070FC2" w:rsidP="00BE7168">
      <w:pPr>
        <w:widowControl/>
        <w:numPr>
          <w:ilvl w:val="1"/>
          <w:numId w:val="35"/>
        </w:numPr>
        <w:tabs>
          <w:tab w:val="clear" w:pos="1440"/>
          <w:tab w:val="num" w:pos="1276"/>
        </w:tabs>
        <w:ind w:left="1320"/>
        <w:rPr>
          <w:rFonts w:ascii="Times New Roman" w:eastAsia="Times New Roman" w:hAnsi="Times New Roman"/>
          <w:color w:val="000000"/>
          <w:lang w:bidi="ar-SA"/>
        </w:rPr>
      </w:pPr>
      <w:r w:rsidRPr="00381DC2">
        <w:rPr>
          <w:rFonts w:ascii="Times New Roman" w:eastAsia="Times New Roman" w:hAnsi="Times New Roman"/>
          <w:color w:val="000000"/>
          <w:lang w:bidi="ar-SA"/>
        </w:rPr>
        <w:t>Prodloužení střední doby přežití bez progrese o 5,6 měsíce, poměr rizik 0,421 (p &lt; 0,0001, 95% interval spolehlivosti 0,343; 0,516)</w:t>
      </w:r>
    </w:p>
    <w:p w14:paraId="289A75FD" w14:textId="77777777" w:rsidR="00070FC2" w:rsidRPr="00381DC2" w:rsidRDefault="00070FC2" w:rsidP="00BE7168">
      <w:pPr>
        <w:widowControl/>
        <w:numPr>
          <w:ilvl w:val="0"/>
          <w:numId w:val="35"/>
        </w:numPr>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Studie AVF3694g (kapecitabin) </w:t>
      </w:r>
    </w:p>
    <w:p w14:paraId="48AD34DD" w14:textId="77777777" w:rsidR="00070FC2" w:rsidRPr="00381DC2" w:rsidRDefault="00070FC2" w:rsidP="00BE7168">
      <w:pPr>
        <w:widowControl/>
        <w:numPr>
          <w:ilvl w:val="1"/>
          <w:numId w:val="35"/>
        </w:numPr>
        <w:tabs>
          <w:tab w:val="clear" w:pos="1440"/>
          <w:tab w:val="num" w:pos="1276"/>
        </w:tabs>
        <w:ind w:left="1320"/>
        <w:rPr>
          <w:rFonts w:ascii="Times New Roman" w:eastAsia="Times New Roman" w:hAnsi="Times New Roman"/>
          <w:color w:val="000000"/>
          <w:lang w:bidi="ar-SA"/>
        </w:rPr>
      </w:pPr>
      <w:r w:rsidRPr="00381DC2">
        <w:rPr>
          <w:rFonts w:ascii="Times New Roman" w:eastAsia="Times New Roman" w:hAnsi="Times New Roman"/>
          <w:color w:val="000000"/>
          <w:lang w:bidi="ar-SA"/>
        </w:rPr>
        <w:t>Prodloužení střední doby přežití bez progrese o 2,9 měsíce, poměr rizik 0,69 (p = 0,0002, 95% interval spolehlivosti 0,56; 0,84)</w:t>
      </w:r>
    </w:p>
    <w:p w14:paraId="37D1E6D7" w14:textId="77777777" w:rsidR="00070FC2" w:rsidRPr="00381DC2" w:rsidRDefault="00070FC2" w:rsidP="00070FC2">
      <w:pPr>
        <w:widowControl/>
        <w:rPr>
          <w:rFonts w:ascii="Times New Roman" w:eastAsia="Times New Roman" w:hAnsi="Times New Roman"/>
          <w:color w:val="000000"/>
          <w:lang w:bidi="ar-SA"/>
        </w:rPr>
      </w:pPr>
    </w:p>
    <w:p w14:paraId="0A9196CF" w14:textId="77777777" w:rsidR="00070FC2" w:rsidRPr="00381DC2" w:rsidRDefault="00070FC2" w:rsidP="00070FC2">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Další podrobnosti o jednotlivých studiích a jejich výsledcích jsou uvedeny níže.</w:t>
      </w:r>
    </w:p>
    <w:p w14:paraId="0E53285E" w14:textId="77777777" w:rsidR="00070FC2" w:rsidRPr="00381DC2" w:rsidRDefault="00070FC2" w:rsidP="007F6E1B">
      <w:pPr>
        <w:rPr>
          <w:rFonts w:ascii="Times New Roman" w:eastAsia="Times New Roman" w:hAnsi="Times New Roman"/>
          <w:color w:val="000000"/>
        </w:rPr>
      </w:pPr>
    </w:p>
    <w:p w14:paraId="27405539" w14:textId="77777777" w:rsidR="00D15122" w:rsidRPr="00381DC2" w:rsidRDefault="009B0756" w:rsidP="007F6E1B">
      <w:pPr>
        <w:spacing w:line="252" w:lineRule="exact"/>
        <w:rPr>
          <w:rFonts w:ascii="Times New Roman" w:eastAsia="Times New Roman" w:hAnsi="Times New Roman"/>
          <w:color w:val="000000"/>
        </w:rPr>
      </w:pPr>
      <w:r w:rsidRPr="00381DC2">
        <w:rPr>
          <w:rFonts w:ascii="Times New Roman" w:hAnsi="Times New Roman"/>
          <w:i/>
          <w:color w:val="000000"/>
        </w:rPr>
        <w:t>ECOG E2100</w:t>
      </w:r>
    </w:p>
    <w:p w14:paraId="6A123296" w14:textId="77777777" w:rsidR="00D15122" w:rsidRPr="00381DC2" w:rsidRDefault="009B0756" w:rsidP="007F6E1B">
      <w:pPr>
        <w:pStyle w:val="BodyText"/>
        <w:ind w:left="0" w:right="63"/>
        <w:rPr>
          <w:color w:val="000000"/>
        </w:rPr>
      </w:pPr>
      <w:r w:rsidRPr="00381DC2">
        <w:rPr>
          <w:color w:val="000000"/>
        </w:rPr>
        <w:t xml:space="preserve">Randomizované otevřené multicentrické </w:t>
      </w:r>
      <w:r w:rsidR="00773959" w:rsidRPr="00381DC2">
        <w:rPr>
          <w:color w:val="000000"/>
        </w:rPr>
        <w:t xml:space="preserve">klinické </w:t>
      </w:r>
      <w:r w:rsidRPr="00381DC2">
        <w:rPr>
          <w:color w:val="000000"/>
        </w:rPr>
        <w:t xml:space="preserve">hodnocení E2100 s aktivně léčenou kontrolní skupinou hodnotilo bevacizumab v kombinaci s paklitaxelem u pacientů s lokálně rekurentním nebo </w:t>
      </w:r>
      <w:r w:rsidR="002274C3" w:rsidRPr="00381DC2">
        <w:rPr>
          <w:color w:val="000000"/>
        </w:rPr>
        <w:t>metasta</w:t>
      </w:r>
      <w:r w:rsidR="000D5D3E" w:rsidRPr="00381DC2">
        <w:rPr>
          <w:color w:val="000000"/>
        </w:rPr>
        <w:t>zujícím karcinomem</w:t>
      </w:r>
      <w:r w:rsidR="002274C3" w:rsidRPr="00381DC2">
        <w:rPr>
          <w:color w:val="000000"/>
        </w:rPr>
        <w:t xml:space="preserve"> prsu</w:t>
      </w:r>
      <w:r w:rsidRPr="00381DC2">
        <w:rPr>
          <w:color w:val="000000"/>
        </w:rPr>
        <w:t>, kteří dosud nebyli léčeni chemoterapií pro lokálně rekurentní a </w:t>
      </w:r>
      <w:r w:rsidR="00773959" w:rsidRPr="00381DC2">
        <w:rPr>
          <w:color w:val="000000"/>
        </w:rPr>
        <w:t>metasta</w:t>
      </w:r>
      <w:r w:rsidR="00424D9A" w:rsidRPr="00381DC2">
        <w:rPr>
          <w:color w:val="000000"/>
        </w:rPr>
        <w:t>zující</w:t>
      </w:r>
      <w:r w:rsidR="00773959" w:rsidRPr="00381DC2">
        <w:rPr>
          <w:color w:val="000000"/>
        </w:rPr>
        <w:t xml:space="preserve"> </w:t>
      </w:r>
      <w:r w:rsidRPr="00381DC2">
        <w:rPr>
          <w:color w:val="000000"/>
        </w:rPr>
        <w:t xml:space="preserve">onemocnění. Pacienti byli randomizováni do skupiny léčené </w:t>
      </w:r>
      <w:r w:rsidR="00773959" w:rsidRPr="00381DC2">
        <w:rPr>
          <w:color w:val="000000"/>
        </w:rPr>
        <w:t xml:space="preserve">samotným </w:t>
      </w:r>
      <w:r w:rsidRPr="00381DC2">
        <w:rPr>
          <w:color w:val="000000"/>
        </w:rPr>
        <w:t>paklitaxelem (90 mg/m</w:t>
      </w:r>
      <w:r w:rsidRPr="00381DC2">
        <w:rPr>
          <w:color w:val="000000"/>
          <w:vertAlign w:val="superscript"/>
        </w:rPr>
        <w:t>2</w:t>
      </w:r>
      <w:r w:rsidR="000D5D3E" w:rsidRPr="00381DC2">
        <w:rPr>
          <w:color w:val="000000"/>
        </w:rPr>
        <w:t xml:space="preserve"> </w:t>
      </w:r>
      <w:r w:rsidR="00D5294C" w:rsidRPr="00381DC2">
        <w:rPr>
          <w:color w:val="000000"/>
        </w:rPr>
        <w:t xml:space="preserve">intravenózně </w:t>
      </w:r>
      <w:r w:rsidR="00773959" w:rsidRPr="00381DC2">
        <w:rPr>
          <w:color w:val="000000"/>
        </w:rPr>
        <w:t xml:space="preserve">po dobu </w:t>
      </w:r>
      <w:r w:rsidRPr="00381DC2">
        <w:rPr>
          <w:color w:val="000000"/>
        </w:rPr>
        <w:t>1 hodin</w:t>
      </w:r>
      <w:r w:rsidR="00773959" w:rsidRPr="00381DC2">
        <w:rPr>
          <w:color w:val="000000"/>
        </w:rPr>
        <w:t>y</w:t>
      </w:r>
      <w:r w:rsidRPr="00381DC2">
        <w:rPr>
          <w:color w:val="000000"/>
        </w:rPr>
        <w:t xml:space="preserve">, </w:t>
      </w:r>
      <w:r w:rsidR="00F01658" w:rsidRPr="00381DC2">
        <w:rPr>
          <w:color w:val="000000"/>
        </w:rPr>
        <w:t xml:space="preserve">jednou </w:t>
      </w:r>
      <w:r w:rsidRPr="00381DC2">
        <w:rPr>
          <w:color w:val="000000"/>
        </w:rPr>
        <w:t xml:space="preserve">týdně </w:t>
      </w:r>
      <w:r w:rsidR="00773959" w:rsidRPr="00381DC2">
        <w:rPr>
          <w:color w:val="000000"/>
        </w:rPr>
        <w:t xml:space="preserve">po </w:t>
      </w:r>
      <w:r w:rsidR="004F0C84" w:rsidRPr="00381DC2">
        <w:rPr>
          <w:color w:val="000000"/>
        </w:rPr>
        <w:t xml:space="preserve">tři ze čtyř </w:t>
      </w:r>
      <w:r w:rsidRPr="00381DC2">
        <w:rPr>
          <w:color w:val="000000"/>
        </w:rPr>
        <w:t>týdn</w:t>
      </w:r>
      <w:r w:rsidR="00773959" w:rsidRPr="00381DC2">
        <w:rPr>
          <w:color w:val="000000"/>
        </w:rPr>
        <w:t>ů</w:t>
      </w:r>
      <w:r w:rsidRPr="00381DC2">
        <w:rPr>
          <w:color w:val="000000"/>
        </w:rPr>
        <w:t xml:space="preserve">) nebo do skupiny léčené paklitaxelem v kombinaci s bevacizumabem (10 mg/kg </w:t>
      </w:r>
      <w:r w:rsidR="00D5294C" w:rsidRPr="00381DC2">
        <w:rPr>
          <w:color w:val="000000"/>
        </w:rPr>
        <w:t xml:space="preserve">intravenózní </w:t>
      </w:r>
      <w:r w:rsidRPr="00381DC2">
        <w:rPr>
          <w:color w:val="000000"/>
        </w:rPr>
        <w:t xml:space="preserve">infuze každé dva týdny). Předchozí hormonální terapie </w:t>
      </w:r>
      <w:r w:rsidR="000834FE" w:rsidRPr="00381DC2">
        <w:rPr>
          <w:color w:val="000000"/>
        </w:rPr>
        <w:t>metasta</w:t>
      </w:r>
      <w:r w:rsidR="00F33CDD" w:rsidRPr="00381DC2">
        <w:rPr>
          <w:color w:val="000000"/>
        </w:rPr>
        <w:t>zujícího</w:t>
      </w:r>
      <w:r w:rsidRPr="00381DC2">
        <w:rPr>
          <w:color w:val="000000"/>
        </w:rPr>
        <w:t xml:space="preserve"> onemocnění byla povolena. Adjuvantní léčba taxany byla přípustná, pouze pokud byla dokončena alespoň 12 měsíců před vstupem pacienta do </w:t>
      </w:r>
      <w:r w:rsidR="00424D9A" w:rsidRPr="00381DC2">
        <w:rPr>
          <w:color w:val="000000"/>
        </w:rPr>
        <w:t>studie</w:t>
      </w:r>
      <w:r w:rsidRPr="00381DC2">
        <w:rPr>
          <w:color w:val="000000"/>
        </w:rPr>
        <w:t>. Z</w:t>
      </w:r>
      <w:r w:rsidR="005A76C2" w:rsidRPr="00381DC2">
        <w:rPr>
          <w:color w:val="000000"/>
        </w:rPr>
        <w:t xml:space="preserve">e </w:t>
      </w:r>
      <w:r w:rsidRPr="00381DC2">
        <w:rPr>
          <w:color w:val="000000"/>
        </w:rPr>
        <w:t>722 pacientů</w:t>
      </w:r>
      <w:r w:rsidR="005A76C2" w:rsidRPr="00381DC2">
        <w:rPr>
          <w:color w:val="000000"/>
        </w:rPr>
        <w:t xml:space="preserve"> v hodnocení</w:t>
      </w:r>
      <w:r w:rsidRPr="00381DC2">
        <w:rPr>
          <w:color w:val="000000"/>
        </w:rPr>
        <w:t xml:space="preserve">, kteří již prodělali předchozí léčbu trastuzumabem nebo u nichž nebyla léčba trastuzumabem vhodná, měla většina pacientů (90 %) HER-2 negativní onemocnění, u menšího počtu pacientů nebyla pozitivita HER-2 známa (8 %) nebo byla potvrzena (2 %). </w:t>
      </w:r>
      <w:r w:rsidR="005A76C2" w:rsidRPr="00381DC2">
        <w:rPr>
          <w:color w:val="000000"/>
        </w:rPr>
        <w:t xml:space="preserve">Mimo to </w:t>
      </w:r>
      <w:r w:rsidRPr="00381DC2">
        <w:rPr>
          <w:color w:val="000000"/>
        </w:rPr>
        <w:t xml:space="preserve">65 % pacientů absolvovalo také adjuvantní chemoterapii, včetně 19 % pacientů </w:t>
      </w:r>
      <w:r w:rsidR="005A76C2" w:rsidRPr="00381DC2">
        <w:rPr>
          <w:color w:val="000000"/>
        </w:rPr>
        <w:t xml:space="preserve">s předchozí léčbou </w:t>
      </w:r>
      <w:r w:rsidRPr="00381DC2">
        <w:rPr>
          <w:color w:val="000000"/>
        </w:rPr>
        <w:t>taxany a 49 % pacientů s předchozí léčbou antracykliny. Pacienti s metastázami do centrálního nervového systému včetně pacientů s </w:t>
      </w:r>
      <w:r w:rsidR="005A76C2" w:rsidRPr="00381DC2">
        <w:rPr>
          <w:color w:val="000000"/>
        </w:rPr>
        <w:t xml:space="preserve">dříve </w:t>
      </w:r>
      <w:r w:rsidRPr="00381DC2">
        <w:rPr>
          <w:color w:val="000000"/>
        </w:rPr>
        <w:t xml:space="preserve">léčenými </w:t>
      </w:r>
      <w:r w:rsidR="005A76C2" w:rsidRPr="00381DC2">
        <w:rPr>
          <w:color w:val="000000"/>
        </w:rPr>
        <w:t xml:space="preserve">nebo resekovanými </w:t>
      </w:r>
      <w:r w:rsidRPr="00381DC2">
        <w:rPr>
          <w:color w:val="000000"/>
        </w:rPr>
        <w:t>lézemi mozku byli z</w:t>
      </w:r>
      <w:r w:rsidR="00424D9A" w:rsidRPr="00381DC2">
        <w:rPr>
          <w:color w:val="000000"/>
        </w:rPr>
        <w:t>e studie</w:t>
      </w:r>
      <w:r w:rsidRPr="00381DC2">
        <w:rPr>
          <w:color w:val="000000"/>
        </w:rPr>
        <w:t xml:space="preserve"> vyloučeni.</w:t>
      </w:r>
    </w:p>
    <w:p w14:paraId="572B9E40" w14:textId="77777777" w:rsidR="00D15122" w:rsidRPr="00381DC2" w:rsidRDefault="00D15122" w:rsidP="007F6E1B">
      <w:pPr>
        <w:rPr>
          <w:rFonts w:ascii="Times New Roman" w:eastAsia="Times New Roman" w:hAnsi="Times New Roman"/>
          <w:color w:val="000000"/>
        </w:rPr>
      </w:pPr>
    </w:p>
    <w:p w14:paraId="3F62DD75" w14:textId="77777777" w:rsidR="00D15122" w:rsidRPr="00381DC2" w:rsidRDefault="009B0756" w:rsidP="007F6E1B">
      <w:pPr>
        <w:pStyle w:val="BodyText"/>
        <w:ind w:left="0" w:right="265"/>
        <w:rPr>
          <w:color w:val="000000"/>
        </w:rPr>
      </w:pPr>
      <w:r w:rsidRPr="00381DC2">
        <w:rPr>
          <w:color w:val="000000"/>
        </w:rPr>
        <w:t xml:space="preserve">V hodnocení E2100 byli pacienti léčeni až do progrese onemocnění. Pokud bylo nutné </w:t>
      </w:r>
      <w:r w:rsidR="005A76C2" w:rsidRPr="00381DC2">
        <w:rPr>
          <w:color w:val="000000"/>
        </w:rPr>
        <w:t xml:space="preserve">předčasně ukončit </w:t>
      </w:r>
      <w:r w:rsidRPr="00381DC2">
        <w:rPr>
          <w:color w:val="000000"/>
        </w:rPr>
        <w:t xml:space="preserve">chemoterapii, léčba samotným bevacizumabem pokračovala až do progrese onemocnění. Charakteristiky pacientů byly obdobné v obou ramenech </w:t>
      </w:r>
      <w:r w:rsidR="00424D9A" w:rsidRPr="00381DC2">
        <w:rPr>
          <w:color w:val="000000"/>
        </w:rPr>
        <w:t>studie</w:t>
      </w:r>
      <w:r w:rsidRPr="00381DC2">
        <w:rPr>
          <w:color w:val="000000"/>
        </w:rPr>
        <w:t>. Primárním cílovým parametrem tohoto hodnocení byl</w:t>
      </w:r>
      <w:r w:rsidR="000824A5" w:rsidRPr="00381DC2">
        <w:rPr>
          <w:color w:val="000000"/>
        </w:rPr>
        <w:t xml:space="preserve">o </w:t>
      </w:r>
      <w:r w:rsidRPr="00381DC2">
        <w:rPr>
          <w:color w:val="000000"/>
        </w:rPr>
        <w:t>přežití bez progrese (PFS), definovan</w:t>
      </w:r>
      <w:r w:rsidR="000824A5" w:rsidRPr="00381DC2">
        <w:rPr>
          <w:color w:val="000000"/>
        </w:rPr>
        <w:t>é</w:t>
      </w:r>
      <w:r w:rsidRPr="00381DC2">
        <w:rPr>
          <w:color w:val="000000"/>
        </w:rPr>
        <w:t xml:space="preserve"> na základě vyhodnocení progrese onemocnění zkoušejícími. Kromě toho bylo provedeno rovněž nezávislé zhodnocení primárního cíl</w:t>
      </w:r>
      <w:r w:rsidR="00424D9A" w:rsidRPr="00381DC2">
        <w:rPr>
          <w:color w:val="000000"/>
        </w:rPr>
        <w:t>ového parametru</w:t>
      </w:r>
      <w:r w:rsidRPr="00381DC2">
        <w:rPr>
          <w:color w:val="000000"/>
        </w:rPr>
        <w:t xml:space="preserve">. Výsledky </w:t>
      </w:r>
      <w:r w:rsidR="000824A5" w:rsidRPr="00381DC2">
        <w:rPr>
          <w:color w:val="000000"/>
        </w:rPr>
        <w:t xml:space="preserve">tohoto </w:t>
      </w:r>
      <w:r w:rsidRPr="00381DC2">
        <w:rPr>
          <w:color w:val="000000"/>
        </w:rPr>
        <w:t>hodnocení jsou uvedeny v </w:t>
      </w:r>
      <w:r w:rsidR="005E6C8E" w:rsidRPr="00381DC2">
        <w:rPr>
          <w:color w:val="000000"/>
        </w:rPr>
        <w:t>t</w:t>
      </w:r>
      <w:r w:rsidRPr="00381DC2">
        <w:rPr>
          <w:color w:val="000000"/>
        </w:rPr>
        <w:t>abulce 10.</w:t>
      </w:r>
    </w:p>
    <w:p w14:paraId="4ED6B409" w14:textId="77777777" w:rsidR="00D15122" w:rsidRPr="00381DC2" w:rsidRDefault="00D15122" w:rsidP="007F6E1B">
      <w:pPr>
        <w:rPr>
          <w:rFonts w:ascii="Times New Roman" w:eastAsia="Times New Roman" w:hAnsi="Times New Roman"/>
          <w:color w:val="000000"/>
        </w:rPr>
      </w:pPr>
    </w:p>
    <w:p w14:paraId="1DC591A4" w14:textId="77777777" w:rsidR="00D15122" w:rsidRPr="00381DC2" w:rsidRDefault="009B0756" w:rsidP="005D48D1">
      <w:pPr>
        <w:rPr>
          <w:rFonts w:ascii="Times New Roman" w:eastAsia="Times New Roman" w:hAnsi="Times New Roman"/>
          <w:b/>
          <w:color w:val="000000"/>
        </w:rPr>
      </w:pPr>
      <w:r w:rsidRPr="00381DC2">
        <w:rPr>
          <w:rFonts w:ascii="Times New Roman" w:eastAsia="Times New Roman" w:hAnsi="Times New Roman"/>
          <w:b/>
          <w:color w:val="000000"/>
        </w:rPr>
        <w:t>Tabulka 10</w:t>
      </w:r>
      <w:r w:rsidRPr="00381DC2">
        <w:rPr>
          <w:rFonts w:ascii="Times New Roman" w:eastAsia="Times New Roman" w:hAnsi="Times New Roman"/>
          <w:b/>
          <w:color w:val="000000"/>
        </w:rPr>
        <w:tab/>
        <w:t>Výsledky účinnosti v</w:t>
      </w:r>
      <w:r w:rsidR="00424D9A" w:rsidRPr="00381DC2">
        <w:rPr>
          <w:rFonts w:ascii="Times New Roman" w:eastAsia="Times New Roman" w:hAnsi="Times New Roman"/>
          <w:b/>
          <w:color w:val="000000"/>
        </w:rPr>
        <w:t>e</w:t>
      </w:r>
      <w:r w:rsidRPr="00381DC2">
        <w:rPr>
          <w:rFonts w:ascii="Times New Roman" w:eastAsia="Times New Roman" w:hAnsi="Times New Roman"/>
          <w:b/>
          <w:color w:val="000000"/>
        </w:rPr>
        <w:t> </w:t>
      </w:r>
      <w:r w:rsidR="00424D9A" w:rsidRPr="00381DC2">
        <w:rPr>
          <w:rFonts w:ascii="Times New Roman" w:eastAsia="Times New Roman" w:hAnsi="Times New Roman"/>
          <w:b/>
          <w:color w:val="000000"/>
        </w:rPr>
        <w:t>studii</w:t>
      </w:r>
      <w:r w:rsidRPr="00381DC2">
        <w:rPr>
          <w:rFonts w:ascii="Times New Roman" w:eastAsia="Times New Roman" w:hAnsi="Times New Roman"/>
          <w:b/>
          <w:color w:val="000000"/>
        </w:rPr>
        <w:t xml:space="preserve"> E2100</w:t>
      </w:r>
    </w:p>
    <w:p w14:paraId="3F710849" w14:textId="77777777" w:rsidR="00D15122" w:rsidRPr="00381DC2" w:rsidRDefault="00D15122" w:rsidP="007F6E1B">
      <w:pPr>
        <w:keepNext/>
        <w:rPr>
          <w:rFonts w:ascii="Times New Roman" w:eastAsia="Times New Roman" w:hAnsi="Times New Roman"/>
          <w:bCs/>
          <w:color w:val="000000"/>
        </w:rPr>
      </w:pPr>
    </w:p>
    <w:tbl>
      <w:tblPr>
        <w:tblW w:w="0" w:type="auto"/>
        <w:tblInd w:w="6" w:type="dxa"/>
        <w:tblLayout w:type="fixed"/>
        <w:tblCellMar>
          <w:left w:w="0" w:type="dxa"/>
          <w:right w:w="0" w:type="dxa"/>
        </w:tblCellMar>
        <w:tblLook w:val="01E0" w:firstRow="1" w:lastRow="1" w:firstColumn="1" w:lastColumn="1" w:noHBand="0" w:noVBand="0"/>
      </w:tblPr>
      <w:tblGrid>
        <w:gridCol w:w="2276"/>
        <w:gridCol w:w="1440"/>
        <w:gridCol w:w="1800"/>
        <w:gridCol w:w="1440"/>
        <w:gridCol w:w="1800"/>
      </w:tblGrid>
      <w:tr w:rsidR="00D15122" w:rsidRPr="00F60460" w14:paraId="34683059" w14:textId="77777777" w:rsidTr="006A2145">
        <w:tc>
          <w:tcPr>
            <w:tcW w:w="8756" w:type="dxa"/>
            <w:gridSpan w:val="5"/>
            <w:tcBorders>
              <w:top w:val="single" w:sz="5" w:space="0" w:color="000000"/>
              <w:left w:val="single" w:sz="5" w:space="0" w:color="000000"/>
              <w:bottom w:val="single" w:sz="5" w:space="0" w:color="000000"/>
              <w:right w:val="single" w:sz="5" w:space="0" w:color="000000"/>
            </w:tcBorders>
          </w:tcPr>
          <w:p w14:paraId="6E57ABD6" w14:textId="77777777" w:rsidR="00D15122" w:rsidRPr="00381DC2" w:rsidRDefault="009B0756" w:rsidP="007F6E1B">
            <w:pPr>
              <w:pStyle w:val="TableParagraph"/>
              <w:keepNext/>
              <w:spacing w:line="246" w:lineRule="exact"/>
              <w:rPr>
                <w:rFonts w:ascii="Times New Roman" w:eastAsia="Times New Roman" w:hAnsi="Times New Roman"/>
                <w:color w:val="000000"/>
              </w:rPr>
            </w:pPr>
            <w:r w:rsidRPr="00381DC2">
              <w:rPr>
                <w:rFonts w:ascii="Times New Roman" w:hAnsi="Times New Roman"/>
                <w:color w:val="000000"/>
              </w:rPr>
              <w:t>Přežití bez progrese</w:t>
            </w:r>
          </w:p>
        </w:tc>
      </w:tr>
      <w:tr w:rsidR="00D15122" w:rsidRPr="00F60460" w14:paraId="6A9B3784" w14:textId="77777777" w:rsidTr="006A2145">
        <w:tc>
          <w:tcPr>
            <w:tcW w:w="2276" w:type="dxa"/>
            <w:tcBorders>
              <w:top w:val="single" w:sz="5" w:space="0" w:color="000000"/>
              <w:left w:val="single" w:sz="5" w:space="0" w:color="000000"/>
              <w:bottom w:val="single" w:sz="5" w:space="0" w:color="000000"/>
              <w:right w:val="single" w:sz="5" w:space="0" w:color="000000"/>
            </w:tcBorders>
          </w:tcPr>
          <w:p w14:paraId="1C1386B3" w14:textId="77777777" w:rsidR="00D15122" w:rsidRPr="00381DC2" w:rsidRDefault="00D15122" w:rsidP="007F6E1B">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342335A1" w14:textId="77777777" w:rsidR="00D15122" w:rsidRPr="00381DC2" w:rsidRDefault="009B0756" w:rsidP="00CA03A1">
            <w:pPr>
              <w:pStyle w:val="TableParagraph"/>
              <w:spacing w:line="246" w:lineRule="exact"/>
              <w:jc w:val="center"/>
              <w:rPr>
                <w:rFonts w:ascii="Times New Roman" w:eastAsia="Times New Roman" w:hAnsi="Times New Roman"/>
                <w:color w:val="000000"/>
              </w:rPr>
            </w:pPr>
            <w:r w:rsidRPr="00381DC2">
              <w:rPr>
                <w:rFonts w:ascii="Times New Roman" w:hAnsi="Times New Roman"/>
                <w:color w:val="000000"/>
              </w:rPr>
              <w:t>Hodnocení zkoušejícím*</w:t>
            </w:r>
          </w:p>
        </w:tc>
        <w:tc>
          <w:tcPr>
            <w:tcW w:w="3240" w:type="dxa"/>
            <w:gridSpan w:val="2"/>
            <w:tcBorders>
              <w:top w:val="single" w:sz="5" w:space="0" w:color="000000"/>
              <w:left w:val="single" w:sz="5" w:space="0" w:color="000000"/>
              <w:bottom w:val="single" w:sz="5" w:space="0" w:color="000000"/>
              <w:right w:val="single" w:sz="5" w:space="0" w:color="000000"/>
            </w:tcBorders>
          </w:tcPr>
          <w:p w14:paraId="45CD2898" w14:textId="77777777" w:rsidR="00D15122" w:rsidRPr="00381DC2" w:rsidRDefault="009B0756" w:rsidP="00CA03A1">
            <w:pPr>
              <w:pStyle w:val="TableParagraph"/>
              <w:spacing w:line="246" w:lineRule="exact"/>
              <w:jc w:val="center"/>
              <w:rPr>
                <w:rFonts w:ascii="Times New Roman" w:eastAsia="Times New Roman" w:hAnsi="Times New Roman"/>
                <w:color w:val="000000"/>
              </w:rPr>
            </w:pPr>
            <w:r w:rsidRPr="00381DC2">
              <w:rPr>
                <w:rFonts w:ascii="Times New Roman" w:hAnsi="Times New Roman"/>
                <w:color w:val="000000"/>
              </w:rPr>
              <w:t>Hodnocení nezávislým orgánem</w:t>
            </w:r>
          </w:p>
        </w:tc>
      </w:tr>
      <w:tr w:rsidR="00D15122" w:rsidRPr="00F60460" w14:paraId="05DE792E" w14:textId="77777777" w:rsidTr="006A2145">
        <w:tc>
          <w:tcPr>
            <w:tcW w:w="2276" w:type="dxa"/>
            <w:tcBorders>
              <w:top w:val="single" w:sz="5" w:space="0" w:color="000000"/>
              <w:left w:val="single" w:sz="5" w:space="0" w:color="000000"/>
              <w:bottom w:val="single" w:sz="5" w:space="0" w:color="000000"/>
              <w:right w:val="single" w:sz="5" w:space="0" w:color="000000"/>
            </w:tcBorders>
          </w:tcPr>
          <w:p w14:paraId="5FADBD29" w14:textId="77777777" w:rsidR="00D15122" w:rsidRPr="00381DC2" w:rsidRDefault="00D15122" w:rsidP="007F6E1B">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273EB18D" w14:textId="77777777" w:rsidR="00D15122" w:rsidRPr="00381DC2" w:rsidRDefault="009B0756" w:rsidP="007F6E1B">
            <w:pPr>
              <w:pStyle w:val="TableParagraph"/>
              <w:spacing w:line="246" w:lineRule="exact"/>
              <w:jc w:val="center"/>
              <w:rPr>
                <w:rFonts w:ascii="Times New Roman" w:eastAsia="Times New Roman" w:hAnsi="Times New Roman"/>
                <w:color w:val="000000"/>
              </w:rPr>
            </w:pPr>
            <w:r w:rsidRPr="00381DC2">
              <w:rPr>
                <w:rFonts w:ascii="Times New Roman" w:hAnsi="Times New Roman"/>
                <w:color w:val="000000"/>
              </w:rPr>
              <w:t>Paklitaxel</w:t>
            </w:r>
          </w:p>
          <w:p w14:paraId="2B2E3807" w14:textId="77777777" w:rsidR="00FE1157" w:rsidRPr="00381DC2" w:rsidRDefault="00FE1157" w:rsidP="007F6E1B">
            <w:pPr>
              <w:pStyle w:val="TableParagraph"/>
              <w:jc w:val="center"/>
              <w:rPr>
                <w:rFonts w:ascii="Times New Roman" w:hAnsi="Times New Roman"/>
                <w:color w:val="000000"/>
              </w:rPr>
            </w:pPr>
          </w:p>
          <w:p w14:paraId="27283B29" w14:textId="77777777" w:rsidR="00D15122" w:rsidRPr="00381DC2" w:rsidRDefault="009B0756" w:rsidP="007F6E1B">
            <w:pPr>
              <w:pStyle w:val="TableParagraph"/>
              <w:jc w:val="center"/>
              <w:rPr>
                <w:rFonts w:ascii="Times New Roman" w:eastAsia="Times New Roman" w:hAnsi="Times New Roman"/>
                <w:color w:val="000000"/>
              </w:rPr>
            </w:pPr>
            <w:r w:rsidRPr="00381DC2">
              <w:rPr>
                <w:rFonts w:ascii="Times New Roman" w:hAnsi="Times New Roman"/>
                <w:color w:val="000000"/>
              </w:rPr>
              <w:t>(n = 354)</w:t>
            </w:r>
          </w:p>
        </w:tc>
        <w:tc>
          <w:tcPr>
            <w:tcW w:w="1800" w:type="dxa"/>
            <w:tcBorders>
              <w:top w:val="single" w:sz="5" w:space="0" w:color="000000"/>
              <w:left w:val="single" w:sz="5" w:space="0" w:color="000000"/>
              <w:bottom w:val="single" w:sz="5" w:space="0" w:color="000000"/>
              <w:right w:val="single" w:sz="5" w:space="0" w:color="000000"/>
            </w:tcBorders>
          </w:tcPr>
          <w:p w14:paraId="4D726CD5" w14:textId="77777777" w:rsidR="00D15122" w:rsidRPr="00381DC2" w:rsidRDefault="009B0756" w:rsidP="00022607">
            <w:pPr>
              <w:pStyle w:val="TableParagraph"/>
              <w:spacing w:line="246" w:lineRule="exact"/>
              <w:jc w:val="center"/>
              <w:rPr>
                <w:rFonts w:ascii="Times New Roman" w:eastAsia="Times New Roman" w:hAnsi="Times New Roman"/>
                <w:color w:val="000000"/>
              </w:rPr>
            </w:pPr>
            <w:r w:rsidRPr="00381DC2">
              <w:rPr>
                <w:rFonts w:ascii="Times New Roman" w:hAnsi="Times New Roman"/>
                <w:color w:val="000000"/>
              </w:rPr>
              <w:t>Paklitaxel/bevacizumab (n = 368)</w:t>
            </w:r>
          </w:p>
        </w:tc>
        <w:tc>
          <w:tcPr>
            <w:tcW w:w="1440" w:type="dxa"/>
            <w:tcBorders>
              <w:top w:val="single" w:sz="5" w:space="0" w:color="000000"/>
              <w:left w:val="single" w:sz="5" w:space="0" w:color="000000"/>
              <w:bottom w:val="single" w:sz="5" w:space="0" w:color="000000"/>
              <w:right w:val="single" w:sz="5" w:space="0" w:color="000000"/>
            </w:tcBorders>
          </w:tcPr>
          <w:p w14:paraId="39C61885"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Paklitaxel</w:t>
            </w:r>
          </w:p>
          <w:p w14:paraId="7FA78ACB" w14:textId="77777777" w:rsidR="00D15122" w:rsidRPr="00381DC2" w:rsidRDefault="00D15122" w:rsidP="00FE1157">
            <w:pPr>
              <w:pStyle w:val="TableParagraph"/>
              <w:spacing w:line="246" w:lineRule="exact"/>
              <w:jc w:val="center"/>
              <w:rPr>
                <w:rFonts w:ascii="Times New Roman" w:hAnsi="Times New Roman"/>
                <w:color w:val="000000"/>
              </w:rPr>
            </w:pPr>
          </w:p>
          <w:p w14:paraId="59847DD6" w14:textId="77777777" w:rsidR="00D15122" w:rsidRPr="00381DC2" w:rsidRDefault="009B0756" w:rsidP="00FE1157">
            <w:pPr>
              <w:pStyle w:val="TableParagraph"/>
              <w:spacing w:line="246" w:lineRule="exact"/>
              <w:jc w:val="center"/>
              <w:rPr>
                <w:rFonts w:ascii="Times New Roman" w:hAnsi="Times New Roman"/>
                <w:color w:val="000000"/>
              </w:rPr>
            </w:pPr>
            <w:r w:rsidRPr="00381DC2">
              <w:rPr>
                <w:rFonts w:ascii="Times New Roman" w:hAnsi="Times New Roman"/>
                <w:color w:val="000000"/>
              </w:rPr>
              <w:t>(n = 354)</w:t>
            </w:r>
          </w:p>
        </w:tc>
        <w:tc>
          <w:tcPr>
            <w:tcW w:w="1800" w:type="dxa"/>
            <w:tcBorders>
              <w:top w:val="single" w:sz="5" w:space="0" w:color="000000"/>
              <w:left w:val="single" w:sz="5" w:space="0" w:color="000000"/>
              <w:bottom w:val="single" w:sz="5" w:space="0" w:color="000000"/>
              <w:right w:val="single" w:sz="5" w:space="0" w:color="000000"/>
            </w:tcBorders>
          </w:tcPr>
          <w:p w14:paraId="4ADC70C1" w14:textId="77777777" w:rsidR="00D15122" w:rsidRPr="00381DC2" w:rsidRDefault="009B0756" w:rsidP="00022607">
            <w:pPr>
              <w:pStyle w:val="TableParagraph"/>
              <w:spacing w:line="246" w:lineRule="exact"/>
              <w:jc w:val="center"/>
              <w:rPr>
                <w:rFonts w:ascii="Times New Roman" w:eastAsia="Times New Roman" w:hAnsi="Times New Roman"/>
                <w:color w:val="000000"/>
              </w:rPr>
            </w:pPr>
            <w:r w:rsidRPr="00381DC2">
              <w:rPr>
                <w:rFonts w:ascii="Times New Roman" w:hAnsi="Times New Roman"/>
                <w:color w:val="000000"/>
              </w:rPr>
              <w:t>Paklitaxel/bevacizumab (n = 368)</w:t>
            </w:r>
          </w:p>
        </w:tc>
      </w:tr>
      <w:tr w:rsidR="00D15122" w:rsidRPr="00F60460" w14:paraId="50EC5D7A" w14:textId="77777777" w:rsidTr="006A2145">
        <w:tc>
          <w:tcPr>
            <w:tcW w:w="2276" w:type="dxa"/>
            <w:tcBorders>
              <w:top w:val="single" w:sz="5" w:space="0" w:color="000000"/>
              <w:left w:val="single" w:sz="5" w:space="0" w:color="000000"/>
              <w:bottom w:val="single" w:sz="5" w:space="0" w:color="000000"/>
              <w:right w:val="single" w:sz="5" w:space="0" w:color="000000"/>
            </w:tcBorders>
          </w:tcPr>
          <w:p w14:paraId="42DB7DC0" w14:textId="77777777" w:rsidR="00D15122" w:rsidRPr="00381DC2" w:rsidRDefault="009B0756" w:rsidP="000824A5">
            <w:pPr>
              <w:pStyle w:val="TableParagraph"/>
              <w:keepNext/>
              <w:spacing w:line="246" w:lineRule="exact"/>
              <w:rPr>
                <w:rFonts w:ascii="Times New Roman" w:eastAsia="Times New Roman" w:hAnsi="Times New Roman"/>
                <w:color w:val="000000"/>
              </w:rPr>
            </w:pPr>
            <w:r w:rsidRPr="00381DC2">
              <w:rPr>
                <w:rFonts w:ascii="Times New Roman" w:hAnsi="Times New Roman"/>
                <w:color w:val="000000"/>
              </w:rPr>
              <w:t xml:space="preserve">Medián </w:t>
            </w:r>
            <w:r w:rsidR="000824A5" w:rsidRPr="00381DC2">
              <w:rPr>
                <w:rFonts w:ascii="Times New Roman" w:hAnsi="Times New Roman"/>
                <w:color w:val="000000"/>
              </w:rPr>
              <w:t xml:space="preserve">PFS </w:t>
            </w:r>
            <w:r w:rsidRPr="00381DC2">
              <w:rPr>
                <w:rFonts w:ascii="Times New Roman" w:hAnsi="Times New Roman"/>
                <w:color w:val="000000"/>
              </w:rPr>
              <w:t>(měsíce)</w:t>
            </w:r>
          </w:p>
        </w:tc>
        <w:tc>
          <w:tcPr>
            <w:tcW w:w="1440" w:type="dxa"/>
            <w:tcBorders>
              <w:top w:val="single" w:sz="5" w:space="0" w:color="000000"/>
              <w:left w:val="single" w:sz="5" w:space="0" w:color="000000"/>
              <w:bottom w:val="single" w:sz="5" w:space="0" w:color="000000"/>
              <w:right w:val="single" w:sz="5" w:space="0" w:color="000000"/>
            </w:tcBorders>
          </w:tcPr>
          <w:p w14:paraId="797416BF"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7599A215"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11,4</w:t>
            </w:r>
          </w:p>
        </w:tc>
        <w:tc>
          <w:tcPr>
            <w:tcW w:w="1440" w:type="dxa"/>
            <w:tcBorders>
              <w:top w:val="single" w:sz="5" w:space="0" w:color="000000"/>
              <w:left w:val="single" w:sz="5" w:space="0" w:color="000000"/>
              <w:bottom w:val="single" w:sz="5" w:space="0" w:color="000000"/>
              <w:right w:val="single" w:sz="5" w:space="0" w:color="000000"/>
            </w:tcBorders>
          </w:tcPr>
          <w:p w14:paraId="21EBF3D8"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5,8</w:t>
            </w:r>
          </w:p>
        </w:tc>
        <w:tc>
          <w:tcPr>
            <w:tcW w:w="1800" w:type="dxa"/>
            <w:tcBorders>
              <w:top w:val="single" w:sz="5" w:space="0" w:color="000000"/>
              <w:left w:val="single" w:sz="5" w:space="0" w:color="000000"/>
              <w:bottom w:val="single" w:sz="5" w:space="0" w:color="000000"/>
              <w:right w:val="single" w:sz="5" w:space="0" w:color="000000"/>
            </w:tcBorders>
          </w:tcPr>
          <w:p w14:paraId="73F674D1"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11,3</w:t>
            </w:r>
          </w:p>
        </w:tc>
      </w:tr>
      <w:tr w:rsidR="00D15122" w:rsidRPr="00F60460" w14:paraId="0CBF4E28" w14:textId="77777777" w:rsidTr="006A2145">
        <w:tc>
          <w:tcPr>
            <w:tcW w:w="2276" w:type="dxa"/>
            <w:tcBorders>
              <w:top w:val="single" w:sz="5" w:space="0" w:color="000000"/>
              <w:left w:val="single" w:sz="5" w:space="0" w:color="000000"/>
              <w:bottom w:val="single" w:sz="5" w:space="0" w:color="000000"/>
              <w:right w:val="single" w:sz="5" w:space="0" w:color="000000"/>
            </w:tcBorders>
          </w:tcPr>
          <w:p w14:paraId="16CAEC5C" w14:textId="77777777" w:rsidR="00FE1157" w:rsidRPr="00381DC2" w:rsidRDefault="00860935" w:rsidP="00FE1157">
            <w:pPr>
              <w:pStyle w:val="TableParagraph"/>
              <w:keepNext/>
              <w:spacing w:line="239" w:lineRule="auto"/>
              <w:ind w:right="717" w:firstLine="261"/>
              <w:jc w:val="center"/>
              <w:rPr>
                <w:rFonts w:ascii="Times New Roman" w:hAnsi="Times New Roman"/>
                <w:color w:val="000000"/>
              </w:rPr>
            </w:pPr>
            <w:r w:rsidRPr="00381DC2">
              <w:rPr>
                <w:rFonts w:ascii="Times New Roman" w:hAnsi="Times New Roman"/>
                <w:color w:val="000000"/>
              </w:rPr>
              <w:t>Poměr rizik</w:t>
            </w:r>
          </w:p>
          <w:p w14:paraId="01DA5380" w14:textId="77777777" w:rsidR="00D15122" w:rsidRPr="00381DC2" w:rsidRDefault="009B0756" w:rsidP="00FE1157">
            <w:pPr>
              <w:pStyle w:val="TableParagraph"/>
              <w:keepNext/>
              <w:spacing w:line="239" w:lineRule="auto"/>
              <w:ind w:right="717" w:firstLine="261"/>
              <w:jc w:val="center"/>
              <w:rPr>
                <w:rFonts w:ascii="Times New Roman" w:eastAsia="Times New Roman" w:hAnsi="Times New Roman"/>
                <w:color w:val="000000"/>
              </w:rPr>
            </w:pPr>
            <w:r w:rsidRPr="00381DC2">
              <w:rPr>
                <w:rFonts w:ascii="Times New Roman" w:hAnsi="Times New Roman"/>
                <w:color w:val="000000"/>
              </w:rPr>
              <w:t>(95% CI)</w:t>
            </w:r>
          </w:p>
        </w:tc>
        <w:tc>
          <w:tcPr>
            <w:tcW w:w="3240" w:type="dxa"/>
            <w:gridSpan w:val="2"/>
            <w:tcBorders>
              <w:top w:val="single" w:sz="5" w:space="0" w:color="000000"/>
              <w:left w:val="single" w:sz="5" w:space="0" w:color="000000"/>
              <w:bottom w:val="single" w:sz="5" w:space="0" w:color="000000"/>
              <w:right w:val="single" w:sz="5" w:space="0" w:color="000000"/>
            </w:tcBorders>
          </w:tcPr>
          <w:p w14:paraId="2FC21351"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0,421</w:t>
            </w:r>
          </w:p>
          <w:p w14:paraId="436BDEA6"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(0,343; 0,516)</w:t>
            </w:r>
          </w:p>
        </w:tc>
        <w:tc>
          <w:tcPr>
            <w:tcW w:w="3240" w:type="dxa"/>
            <w:gridSpan w:val="2"/>
            <w:tcBorders>
              <w:top w:val="single" w:sz="5" w:space="0" w:color="000000"/>
              <w:left w:val="single" w:sz="5" w:space="0" w:color="000000"/>
              <w:bottom w:val="single" w:sz="5" w:space="0" w:color="000000"/>
              <w:right w:val="single" w:sz="5" w:space="0" w:color="000000"/>
            </w:tcBorders>
          </w:tcPr>
          <w:p w14:paraId="1C495714" w14:textId="77777777" w:rsidR="00D15122" w:rsidRPr="00381DC2" w:rsidRDefault="009B0756" w:rsidP="007F6E1B">
            <w:pPr>
              <w:pStyle w:val="TableParagraph"/>
              <w:spacing w:line="246" w:lineRule="exact"/>
              <w:jc w:val="center"/>
              <w:rPr>
                <w:rFonts w:ascii="Times New Roman" w:eastAsia="Times New Roman" w:hAnsi="Times New Roman"/>
                <w:color w:val="000000"/>
              </w:rPr>
            </w:pPr>
            <w:r w:rsidRPr="00381DC2">
              <w:rPr>
                <w:rFonts w:ascii="Times New Roman" w:hAnsi="Times New Roman"/>
                <w:color w:val="000000"/>
              </w:rPr>
              <w:t>0,483</w:t>
            </w:r>
          </w:p>
          <w:p w14:paraId="449E6CC3" w14:textId="77777777" w:rsidR="00D15122" w:rsidRPr="00381DC2" w:rsidRDefault="009B0756" w:rsidP="007F6E1B">
            <w:pPr>
              <w:pStyle w:val="TableParagraph"/>
              <w:spacing w:line="252" w:lineRule="exact"/>
              <w:jc w:val="center"/>
              <w:rPr>
                <w:rFonts w:ascii="Times New Roman" w:eastAsia="Times New Roman" w:hAnsi="Times New Roman"/>
                <w:color w:val="000000"/>
              </w:rPr>
            </w:pPr>
            <w:r w:rsidRPr="00381DC2">
              <w:rPr>
                <w:rFonts w:ascii="Times New Roman" w:hAnsi="Times New Roman"/>
                <w:color w:val="000000"/>
              </w:rPr>
              <w:t>(0,385; 0,607)</w:t>
            </w:r>
          </w:p>
        </w:tc>
      </w:tr>
      <w:tr w:rsidR="00D15122" w:rsidRPr="00F60460" w14:paraId="4F85A92B" w14:textId="77777777" w:rsidTr="006A2145">
        <w:tc>
          <w:tcPr>
            <w:tcW w:w="2276" w:type="dxa"/>
            <w:tcBorders>
              <w:top w:val="single" w:sz="5" w:space="0" w:color="000000"/>
              <w:left w:val="single" w:sz="5" w:space="0" w:color="000000"/>
              <w:bottom w:val="single" w:sz="5" w:space="0" w:color="000000"/>
              <w:right w:val="single" w:sz="5" w:space="0" w:color="000000"/>
            </w:tcBorders>
          </w:tcPr>
          <w:p w14:paraId="22261BCA" w14:textId="77777777" w:rsidR="00D15122" w:rsidRPr="00381DC2" w:rsidRDefault="009B0756" w:rsidP="00FE1157">
            <w:pPr>
              <w:pStyle w:val="TableParagraph"/>
              <w:keepNext/>
              <w:spacing w:line="239" w:lineRule="auto"/>
              <w:ind w:right="717" w:firstLine="261"/>
              <w:jc w:val="center"/>
              <w:rPr>
                <w:rFonts w:ascii="Times New Roman" w:eastAsia="Times New Roman" w:hAnsi="Times New Roman"/>
                <w:color w:val="000000"/>
              </w:rPr>
            </w:pPr>
            <w:r w:rsidRPr="00381DC2">
              <w:rPr>
                <w:rFonts w:ascii="Times New Roman" w:hAnsi="Times New Roman"/>
                <w:color w:val="000000"/>
              </w:rPr>
              <w:t>p-hodnota</w:t>
            </w:r>
          </w:p>
        </w:tc>
        <w:tc>
          <w:tcPr>
            <w:tcW w:w="3240" w:type="dxa"/>
            <w:gridSpan w:val="2"/>
            <w:tcBorders>
              <w:top w:val="single" w:sz="5" w:space="0" w:color="000000"/>
              <w:left w:val="single" w:sz="5" w:space="0" w:color="000000"/>
              <w:bottom w:val="single" w:sz="5" w:space="0" w:color="000000"/>
              <w:right w:val="single" w:sz="5" w:space="0" w:color="000000"/>
            </w:tcBorders>
          </w:tcPr>
          <w:p w14:paraId="2B04E442" w14:textId="77777777" w:rsidR="00D15122" w:rsidRPr="00381DC2" w:rsidRDefault="009B0756" w:rsidP="007F6E1B">
            <w:pPr>
              <w:pStyle w:val="TableParagraph"/>
              <w:spacing w:line="246" w:lineRule="exact"/>
              <w:jc w:val="center"/>
              <w:rPr>
                <w:rFonts w:ascii="Times New Roman" w:eastAsia="Times New Roman" w:hAnsi="Times New Roman"/>
                <w:color w:val="000000"/>
              </w:rPr>
            </w:pPr>
            <w:r w:rsidRPr="00381DC2">
              <w:rPr>
                <w:rFonts w:ascii="Times New Roman" w:hAnsi="Times New Roman"/>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75B58394" w14:textId="77777777" w:rsidR="00D15122" w:rsidRPr="00381DC2" w:rsidRDefault="009B0756" w:rsidP="007F6E1B">
            <w:pPr>
              <w:pStyle w:val="TableParagraph"/>
              <w:spacing w:line="246" w:lineRule="exact"/>
              <w:jc w:val="center"/>
              <w:rPr>
                <w:rFonts w:ascii="Times New Roman" w:eastAsia="Times New Roman" w:hAnsi="Times New Roman"/>
                <w:color w:val="000000"/>
              </w:rPr>
            </w:pPr>
            <w:r w:rsidRPr="00381DC2">
              <w:rPr>
                <w:rFonts w:ascii="Times New Roman" w:hAnsi="Times New Roman"/>
                <w:color w:val="000000"/>
              </w:rPr>
              <w:t>&lt; 0,0001</w:t>
            </w:r>
          </w:p>
        </w:tc>
      </w:tr>
      <w:tr w:rsidR="00D15122" w:rsidRPr="00F60460" w14:paraId="0543D629" w14:textId="77777777" w:rsidTr="006A2145">
        <w:tc>
          <w:tcPr>
            <w:tcW w:w="8756" w:type="dxa"/>
            <w:gridSpan w:val="5"/>
            <w:tcBorders>
              <w:top w:val="single" w:sz="5" w:space="0" w:color="000000"/>
              <w:left w:val="single" w:sz="5" w:space="0" w:color="000000"/>
              <w:bottom w:val="single" w:sz="5" w:space="0" w:color="000000"/>
              <w:right w:val="single" w:sz="5" w:space="0" w:color="000000"/>
            </w:tcBorders>
          </w:tcPr>
          <w:p w14:paraId="55B7BFBF" w14:textId="77777777" w:rsidR="00D15122" w:rsidRPr="00381DC2" w:rsidRDefault="009B0756" w:rsidP="00FE1157">
            <w:pPr>
              <w:pStyle w:val="TableParagraph"/>
              <w:spacing w:before="120"/>
              <w:rPr>
                <w:rFonts w:ascii="Times New Roman" w:eastAsia="Times New Roman" w:hAnsi="Times New Roman"/>
                <w:color w:val="000000"/>
              </w:rPr>
            </w:pPr>
            <w:r w:rsidRPr="00381DC2">
              <w:rPr>
                <w:rFonts w:ascii="Times New Roman" w:hAnsi="Times New Roman"/>
                <w:color w:val="000000"/>
              </w:rPr>
              <w:t>Četnost odpovědí (pacienti s měřitelným onemocněním)</w:t>
            </w:r>
          </w:p>
        </w:tc>
      </w:tr>
      <w:tr w:rsidR="00D15122" w:rsidRPr="00F60460" w14:paraId="35B24B29" w14:textId="77777777" w:rsidTr="006A2145">
        <w:tc>
          <w:tcPr>
            <w:tcW w:w="2276" w:type="dxa"/>
            <w:tcBorders>
              <w:top w:val="single" w:sz="5" w:space="0" w:color="000000"/>
              <w:left w:val="single" w:sz="5" w:space="0" w:color="000000"/>
              <w:bottom w:val="single" w:sz="5" w:space="0" w:color="000000"/>
              <w:right w:val="single" w:sz="5" w:space="0" w:color="000000"/>
            </w:tcBorders>
          </w:tcPr>
          <w:p w14:paraId="167B9938" w14:textId="77777777" w:rsidR="00D15122" w:rsidRPr="00381DC2" w:rsidRDefault="00D15122" w:rsidP="00054CB9">
            <w:pPr>
              <w:keepNext/>
              <w:rPr>
                <w:rFonts w:ascii="Times New Roman" w:hAnsi="Times New Roman"/>
                <w:color w:val="000000"/>
              </w:rPr>
            </w:pPr>
          </w:p>
        </w:tc>
        <w:tc>
          <w:tcPr>
            <w:tcW w:w="3240" w:type="dxa"/>
            <w:gridSpan w:val="2"/>
            <w:tcBorders>
              <w:top w:val="single" w:sz="5" w:space="0" w:color="000000"/>
              <w:left w:val="single" w:sz="5" w:space="0" w:color="000000"/>
              <w:bottom w:val="single" w:sz="5" w:space="0" w:color="000000"/>
              <w:right w:val="single" w:sz="5" w:space="0" w:color="000000"/>
            </w:tcBorders>
          </w:tcPr>
          <w:p w14:paraId="1EB1C746" w14:textId="77777777" w:rsidR="00D15122" w:rsidRPr="00381DC2" w:rsidRDefault="009B0756"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Hodnocení zkoušejícím</w:t>
            </w:r>
          </w:p>
        </w:tc>
        <w:tc>
          <w:tcPr>
            <w:tcW w:w="3240" w:type="dxa"/>
            <w:gridSpan w:val="2"/>
            <w:tcBorders>
              <w:top w:val="single" w:sz="5" w:space="0" w:color="000000"/>
              <w:left w:val="single" w:sz="5" w:space="0" w:color="000000"/>
              <w:bottom w:val="single" w:sz="5" w:space="0" w:color="000000"/>
              <w:right w:val="single" w:sz="5" w:space="0" w:color="000000"/>
            </w:tcBorders>
          </w:tcPr>
          <w:p w14:paraId="25367850" w14:textId="77777777" w:rsidR="00D15122" w:rsidRPr="00381DC2" w:rsidRDefault="009B0756"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Hodnocení nezávislým orgánem</w:t>
            </w:r>
          </w:p>
        </w:tc>
      </w:tr>
      <w:tr w:rsidR="00D15122" w:rsidRPr="00F60460" w14:paraId="043570EF" w14:textId="77777777" w:rsidTr="006A2145">
        <w:tc>
          <w:tcPr>
            <w:tcW w:w="2276" w:type="dxa"/>
            <w:tcBorders>
              <w:top w:val="single" w:sz="5" w:space="0" w:color="000000"/>
              <w:left w:val="single" w:sz="5" w:space="0" w:color="000000"/>
              <w:bottom w:val="single" w:sz="5" w:space="0" w:color="000000"/>
              <w:right w:val="single" w:sz="5" w:space="0" w:color="000000"/>
            </w:tcBorders>
          </w:tcPr>
          <w:p w14:paraId="13FA4348" w14:textId="77777777" w:rsidR="00D15122" w:rsidRPr="00381DC2" w:rsidRDefault="00D15122" w:rsidP="00054CB9">
            <w:pPr>
              <w:keepNext/>
              <w:rPr>
                <w:rFonts w:ascii="Times New Roman" w:hAnsi="Times New Roman"/>
                <w:color w:val="000000"/>
              </w:rPr>
            </w:pPr>
          </w:p>
        </w:tc>
        <w:tc>
          <w:tcPr>
            <w:tcW w:w="1440" w:type="dxa"/>
            <w:tcBorders>
              <w:top w:val="single" w:sz="5" w:space="0" w:color="000000"/>
              <w:left w:val="single" w:sz="5" w:space="0" w:color="000000"/>
              <w:bottom w:val="single" w:sz="5" w:space="0" w:color="000000"/>
              <w:right w:val="single" w:sz="5" w:space="0" w:color="000000"/>
            </w:tcBorders>
          </w:tcPr>
          <w:p w14:paraId="02F3DD67" w14:textId="77777777" w:rsidR="00D15122" w:rsidRPr="00381DC2" w:rsidRDefault="009B0756" w:rsidP="00054CB9">
            <w:pPr>
              <w:pStyle w:val="TableParagraph"/>
              <w:keepNext/>
              <w:spacing w:line="246" w:lineRule="exact"/>
              <w:jc w:val="center"/>
              <w:rPr>
                <w:rFonts w:ascii="Times New Roman" w:hAnsi="Times New Roman"/>
                <w:color w:val="000000"/>
              </w:rPr>
            </w:pPr>
            <w:r w:rsidRPr="00381DC2">
              <w:rPr>
                <w:rFonts w:ascii="Times New Roman" w:hAnsi="Times New Roman"/>
                <w:color w:val="000000"/>
              </w:rPr>
              <w:t>Paklitaxel</w:t>
            </w:r>
          </w:p>
          <w:p w14:paraId="60816D64" w14:textId="77777777" w:rsidR="00D15122" w:rsidRPr="00381DC2" w:rsidRDefault="00D15122" w:rsidP="00054CB9">
            <w:pPr>
              <w:pStyle w:val="TableParagraph"/>
              <w:keepNext/>
              <w:spacing w:line="246" w:lineRule="exact"/>
              <w:jc w:val="center"/>
              <w:rPr>
                <w:rFonts w:ascii="Times New Roman" w:hAnsi="Times New Roman"/>
                <w:color w:val="000000"/>
              </w:rPr>
            </w:pPr>
          </w:p>
          <w:p w14:paraId="604E7F47" w14:textId="77777777" w:rsidR="00D15122" w:rsidRPr="00381DC2" w:rsidRDefault="009B0756"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(n = 273)</w:t>
            </w:r>
          </w:p>
        </w:tc>
        <w:tc>
          <w:tcPr>
            <w:tcW w:w="1800" w:type="dxa"/>
            <w:tcBorders>
              <w:top w:val="single" w:sz="5" w:space="0" w:color="000000"/>
              <w:left w:val="single" w:sz="5" w:space="0" w:color="000000"/>
              <w:bottom w:val="single" w:sz="5" w:space="0" w:color="000000"/>
              <w:right w:val="single" w:sz="5" w:space="0" w:color="000000"/>
            </w:tcBorders>
          </w:tcPr>
          <w:p w14:paraId="3E75B17E" w14:textId="77777777" w:rsidR="00D15122" w:rsidRPr="00381DC2" w:rsidRDefault="009B0756" w:rsidP="00022607">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Paklitaxel/bevacizumab (n = 252)</w:t>
            </w:r>
          </w:p>
        </w:tc>
        <w:tc>
          <w:tcPr>
            <w:tcW w:w="1440" w:type="dxa"/>
            <w:tcBorders>
              <w:top w:val="single" w:sz="5" w:space="0" w:color="000000"/>
              <w:left w:val="single" w:sz="5" w:space="0" w:color="000000"/>
              <w:bottom w:val="single" w:sz="5" w:space="0" w:color="000000"/>
              <w:right w:val="single" w:sz="5" w:space="0" w:color="000000"/>
            </w:tcBorders>
          </w:tcPr>
          <w:p w14:paraId="4426FB6D" w14:textId="77777777" w:rsidR="00D15122" w:rsidRPr="00381DC2" w:rsidRDefault="009B0756" w:rsidP="00054CB9">
            <w:pPr>
              <w:pStyle w:val="TableParagraph"/>
              <w:keepNext/>
              <w:spacing w:line="246" w:lineRule="exact"/>
              <w:jc w:val="center"/>
              <w:rPr>
                <w:rFonts w:ascii="Times New Roman" w:hAnsi="Times New Roman"/>
                <w:color w:val="000000"/>
              </w:rPr>
            </w:pPr>
            <w:r w:rsidRPr="00381DC2">
              <w:rPr>
                <w:rFonts w:ascii="Times New Roman" w:hAnsi="Times New Roman"/>
                <w:color w:val="000000"/>
              </w:rPr>
              <w:t>Paklitaxel</w:t>
            </w:r>
          </w:p>
          <w:p w14:paraId="26885778" w14:textId="77777777" w:rsidR="00D15122" w:rsidRPr="00381DC2" w:rsidRDefault="00D15122" w:rsidP="00054CB9">
            <w:pPr>
              <w:pStyle w:val="TableParagraph"/>
              <w:keepNext/>
              <w:spacing w:line="246" w:lineRule="exact"/>
              <w:jc w:val="center"/>
              <w:rPr>
                <w:rFonts w:ascii="Times New Roman" w:hAnsi="Times New Roman"/>
                <w:color w:val="000000"/>
              </w:rPr>
            </w:pPr>
          </w:p>
          <w:p w14:paraId="57906C63" w14:textId="77777777" w:rsidR="00D15122" w:rsidRPr="00381DC2" w:rsidRDefault="009B0756" w:rsidP="00054CB9">
            <w:pPr>
              <w:pStyle w:val="TableParagraph"/>
              <w:keepNext/>
              <w:spacing w:line="246" w:lineRule="exact"/>
              <w:jc w:val="center"/>
              <w:rPr>
                <w:rFonts w:ascii="Times New Roman" w:hAnsi="Times New Roman"/>
                <w:color w:val="000000"/>
              </w:rPr>
            </w:pPr>
            <w:r w:rsidRPr="00381DC2">
              <w:rPr>
                <w:rFonts w:ascii="Times New Roman" w:hAnsi="Times New Roman"/>
                <w:color w:val="000000"/>
              </w:rPr>
              <w:t>(n = 243)</w:t>
            </w:r>
          </w:p>
        </w:tc>
        <w:tc>
          <w:tcPr>
            <w:tcW w:w="1800" w:type="dxa"/>
            <w:tcBorders>
              <w:top w:val="single" w:sz="5" w:space="0" w:color="000000"/>
              <w:left w:val="single" w:sz="5" w:space="0" w:color="000000"/>
              <w:bottom w:val="single" w:sz="5" w:space="0" w:color="000000"/>
              <w:right w:val="single" w:sz="5" w:space="0" w:color="000000"/>
            </w:tcBorders>
          </w:tcPr>
          <w:p w14:paraId="5A9AEAFA" w14:textId="77777777" w:rsidR="00D15122" w:rsidRPr="00381DC2" w:rsidRDefault="009B0756" w:rsidP="00022607">
            <w:pPr>
              <w:pStyle w:val="TableParagraph"/>
              <w:keepNext/>
              <w:spacing w:line="246" w:lineRule="exact"/>
              <w:ind w:right="427"/>
              <w:jc w:val="center"/>
              <w:rPr>
                <w:rFonts w:ascii="Times New Roman" w:hAnsi="Times New Roman"/>
                <w:color w:val="000000"/>
              </w:rPr>
            </w:pPr>
            <w:r w:rsidRPr="00381DC2">
              <w:rPr>
                <w:rFonts w:ascii="Times New Roman" w:hAnsi="Times New Roman"/>
                <w:color w:val="000000"/>
              </w:rPr>
              <w:t>Paklitaxel/bevacizumab (n = 229)</w:t>
            </w:r>
          </w:p>
        </w:tc>
      </w:tr>
      <w:tr w:rsidR="00D15122" w:rsidRPr="00F60460" w14:paraId="46302186" w14:textId="77777777" w:rsidTr="006A2145">
        <w:tc>
          <w:tcPr>
            <w:tcW w:w="2276" w:type="dxa"/>
            <w:tcBorders>
              <w:top w:val="single" w:sz="5" w:space="0" w:color="000000"/>
              <w:left w:val="single" w:sz="5" w:space="0" w:color="000000"/>
              <w:bottom w:val="single" w:sz="5" w:space="0" w:color="000000"/>
              <w:right w:val="single" w:sz="5" w:space="0" w:color="000000"/>
            </w:tcBorders>
          </w:tcPr>
          <w:p w14:paraId="113A3AD2" w14:textId="77777777" w:rsidR="00D15122" w:rsidRPr="00381DC2" w:rsidRDefault="00FE1157" w:rsidP="00FE1157">
            <w:pPr>
              <w:pStyle w:val="TableParagraph"/>
              <w:spacing w:line="239" w:lineRule="auto"/>
              <w:ind w:right="225" w:firstLine="90"/>
              <w:jc w:val="center"/>
              <w:rPr>
                <w:rFonts w:ascii="Times New Roman" w:eastAsia="Times New Roman" w:hAnsi="Times New Roman"/>
                <w:color w:val="000000"/>
              </w:rPr>
            </w:pPr>
            <w:r w:rsidRPr="00381DC2">
              <w:rPr>
                <w:rFonts w:ascii="Times New Roman" w:hAnsi="Times New Roman"/>
                <w:color w:val="000000"/>
              </w:rPr>
              <w:t>% pacientů s objektivní odpovědí</w:t>
            </w:r>
          </w:p>
        </w:tc>
        <w:tc>
          <w:tcPr>
            <w:tcW w:w="1440" w:type="dxa"/>
            <w:tcBorders>
              <w:top w:val="single" w:sz="5" w:space="0" w:color="000000"/>
              <w:left w:val="single" w:sz="5" w:space="0" w:color="000000"/>
              <w:bottom w:val="single" w:sz="5" w:space="0" w:color="000000"/>
              <w:right w:val="single" w:sz="5" w:space="0" w:color="000000"/>
            </w:tcBorders>
          </w:tcPr>
          <w:p w14:paraId="01EF5466"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23,4</w:t>
            </w:r>
          </w:p>
        </w:tc>
        <w:tc>
          <w:tcPr>
            <w:tcW w:w="1800" w:type="dxa"/>
            <w:tcBorders>
              <w:top w:val="single" w:sz="5" w:space="0" w:color="000000"/>
              <w:left w:val="single" w:sz="5" w:space="0" w:color="000000"/>
              <w:bottom w:val="single" w:sz="5" w:space="0" w:color="000000"/>
              <w:right w:val="single" w:sz="5" w:space="0" w:color="000000"/>
            </w:tcBorders>
          </w:tcPr>
          <w:p w14:paraId="558572D1"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48,0</w:t>
            </w:r>
          </w:p>
        </w:tc>
        <w:tc>
          <w:tcPr>
            <w:tcW w:w="1440" w:type="dxa"/>
            <w:tcBorders>
              <w:top w:val="single" w:sz="5" w:space="0" w:color="000000"/>
              <w:left w:val="single" w:sz="5" w:space="0" w:color="000000"/>
              <w:bottom w:val="single" w:sz="5" w:space="0" w:color="000000"/>
              <w:right w:val="single" w:sz="5" w:space="0" w:color="000000"/>
            </w:tcBorders>
          </w:tcPr>
          <w:p w14:paraId="7B92AABE"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22,2</w:t>
            </w:r>
          </w:p>
        </w:tc>
        <w:tc>
          <w:tcPr>
            <w:tcW w:w="1800" w:type="dxa"/>
            <w:tcBorders>
              <w:top w:val="single" w:sz="5" w:space="0" w:color="000000"/>
              <w:left w:val="single" w:sz="5" w:space="0" w:color="000000"/>
              <w:bottom w:val="single" w:sz="5" w:space="0" w:color="000000"/>
              <w:right w:val="single" w:sz="5" w:space="0" w:color="000000"/>
            </w:tcBorders>
          </w:tcPr>
          <w:p w14:paraId="44AD44AB"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49,8</w:t>
            </w:r>
          </w:p>
        </w:tc>
      </w:tr>
      <w:tr w:rsidR="00D15122" w:rsidRPr="00F60460" w14:paraId="4D9C2748" w14:textId="77777777" w:rsidTr="006A2145">
        <w:tc>
          <w:tcPr>
            <w:tcW w:w="2276" w:type="dxa"/>
            <w:tcBorders>
              <w:top w:val="single" w:sz="5" w:space="0" w:color="000000"/>
              <w:left w:val="single" w:sz="5" w:space="0" w:color="000000"/>
              <w:bottom w:val="single" w:sz="5" w:space="0" w:color="000000"/>
              <w:right w:val="single" w:sz="5" w:space="0" w:color="000000"/>
            </w:tcBorders>
          </w:tcPr>
          <w:p w14:paraId="3F82DD82" w14:textId="77777777" w:rsidR="00D15122" w:rsidRPr="00381DC2" w:rsidRDefault="009B0756" w:rsidP="007F6E1B">
            <w:pPr>
              <w:pStyle w:val="TableParagraph"/>
              <w:spacing w:line="246" w:lineRule="exact"/>
              <w:jc w:val="center"/>
              <w:rPr>
                <w:rFonts w:ascii="Times New Roman" w:eastAsia="Times New Roman" w:hAnsi="Times New Roman"/>
                <w:color w:val="000000"/>
              </w:rPr>
            </w:pPr>
            <w:r w:rsidRPr="00381DC2">
              <w:rPr>
                <w:rFonts w:ascii="Times New Roman" w:hAnsi="Times New Roman"/>
                <w:color w:val="000000"/>
              </w:rPr>
              <w:t>p-hodnota</w:t>
            </w:r>
          </w:p>
        </w:tc>
        <w:tc>
          <w:tcPr>
            <w:tcW w:w="3240" w:type="dxa"/>
            <w:gridSpan w:val="2"/>
            <w:tcBorders>
              <w:top w:val="single" w:sz="5" w:space="0" w:color="000000"/>
              <w:left w:val="single" w:sz="5" w:space="0" w:color="000000"/>
              <w:bottom w:val="single" w:sz="5" w:space="0" w:color="000000"/>
              <w:right w:val="single" w:sz="5" w:space="0" w:color="000000"/>
            </w:tcBorders>
          </w:tcPr>
          <w:p w14:paraId="1A78972D"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&lt; 0,0001</w:t>
            </w:r>
          </w:p>
        </w:tc>
        <w:tc>
          <w:tcPr>
            <w:tcW w:w="3240" w:type="dxa"/>
            <w:gridSpan w:val="2"/>
            <w:tcBorders>
              <w:top w:val="single" w:sz="5" w:space="0" w:color="000000"/>
              <w:left w:val="single" w:sz="5" w:space="0" w:color="000000"/>
              <w:bottom w:val="single" w:sz="5" w:space="0" w:color="000000"/>
              <w:right w:val="single" w:sz="5" w:space="0" w:color="000000"/>
            </w:tcBorders>
          </w:tcPr>
          <w:p w14:paraId="1F4C4FBF"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&lt; 0,0001</w:t>
            </w:r>
          </w:p>
        </w:tc>
      </w:tr>
    </w:tbl>
    <w:p w14:paraId="7A9BC746" w14:textId="77777777" w:rsidR="004F312E" w:rsidRPr="00F60460" w:rsidRDefault="004F312E" w:rsidP="004F312E">
      <w:pPr>
        <w:spacing w:line="222" w:lineRule="exact"/>
        <w:rPr>
          <w:rFonts w:ascii="Times New Roman" w:eastAsia="Times New Roman" w:hAnsi="Times New Roman"/>
          <w:color w:val="000000"/>
          <w:sz w:val="20"/>
          <w:szCs w:val="20"/>
        </w:rPr>
      </w:pPr>
      <w:r w:rsidRPr="00F60460">
        <w:rPr>
          <w:rFonts w:ascii="Times New Roman" w:hAnsi="Times New Roman"/>
          <w:color w:val="000000"/>
          <w:sz w:val="20"/>
        </w:rPr>
        <w:t>* primární analýza</w:t>
      </w:r>
    </w:p>
    <w:p w14:paraId="4538CBA1" w14:textId="77777777" w:rsidR="00D15122" w:rsidRPr="00F60460" w:rsidRDefault="00D15122" w:rsidP="007F6E1B">
      <w:pPr>
        <w:rPr>
          <w:rFonts w:ascii="Times New Roman" w:eastAsia="Times New Roman" w:hAnsi="Times New Roman"/>
          <w:color w:val="000000"/>
          <w:sz w:val="20"/>
          <w:szCs w:val="20"/>
        </w:rPr>
      </w:pPr>
    </w:p>
    <w:tbl>
      <w:tblPr>
        <w:tblW w:w="0" w:type="auto"/>
        <w:tblInd w:w="6" w:type="dxa"/>
        <w:tblLayout w:type="fixed"/>
        <w:tblCellMar>
          <w:left w:w="0" w:type="dxa"/>
          <w:right w:w="0" w:type="dxa"/>
        </w:tblCellMar>
        <w:tblLook w:val="01E0" w:firstRow="1" w:lastRow="1" w:firstColumn="1" w:lastColumn="1" w:noHBand="0" w:noVBand="0"/>
      </w:tblPr>
      <w:tblGrid>
        <w:gridCol w:w="2268"/>
        <w:gridCol w:w="3394"/>
        <w:gridCol w:w="3029"/>
      </w:tblGrid>
      <w:tr w:rsidR="00D15122" w:rsidRPr="00F60460" w14:paraId="316B1991" w14:textId="77777777" w:rsidTr="006A2145">
        <w:tc>
          <w:tcPr>
            <w:tcW w:w="8691" w:type="dxa"/>
            <w:gridSpan w:val="3"/>
            <w:tcBorders>
              <w:top w:val="single" w:sz="5" w:space="0" w:color="000000"/>
              <w:left w:val="single" w:sz="5" w:space="0" w:color="000000"/>
              <w:bottom w:val="single" w:sz="5" w:space="0" w:color="000000"/>
              <w:right w:val="single" w:sz="5" w:space="0" w:color="000000"/>
            </w:tcBorders>
          </w:tcPr>
          <w:p w14:paraId="2EE8BB6D" w14:textId="77777777" w:rsidR="00D15122" w:rsidRPr="00381DC2" w:rsidRDefault="009B0756" w:rsidP="007F6E1B">
            <w:pPr>
              <w:pStyle w:val="TableParagraph"/>
              <w:spacing w:line="246" w:lineRule="exact"/>
              <w:rPr>
                <w:rFonts w:ascii="Times New Roman" w:eastAsia="Times New Roman" w:hAnsi="Times New Roman"/>
                <w:color w:val="000000"/>
              </w:rPr>
            </w:pPr>
            <w:r w:rsidRPr="00381DC2">
              <w:rPr>
                <w:rFonts w:ascii="Times New Roman" w:hAnsi="Times New Roman"/>
                <w:color w:val="000000"/>
              </w:rPr>
              <w:t>Celkové přežití</w:t>
            </w:r>
          </w:p>
        </w:tc>
      </w:tr>
      <w:tr w:rsidR="00D15122" w:rsidRPr="00F60460" w14:paraId="57F4F6E2" w14:textId="77777777" w:rsidTr="006A2145">
        <w:tc>
          <w:tcPr>
            <w:tcW w:w="2268" w:type="dxa"/>
            <w:tcBorders>
              <w:top w:val="single" w:sz="5" w:space="0" w:color="000000"/>
              <w:left w:val="single" w:sz="5" w:space="0" w:color="000000"/>
              <w:bottom w:val="single" w:sz="5" w:space="0" w:color="000000"/>
              <w:right w:val="single" w:sz="5" w:space="0" w:color="000000"/>
            </w:tcBorders>
          </w:tcPr>
          <w:p w14:paraId="74C0A8C3" w14:textId="77777777" w:rsidR="00D15122" w:rsidRPr="00381DC2" w:rsidRDefault="00D15122" w:rsidP="007F6E1B">
            <w:pPr>
              <w:rPr>
                <w:rFonts w:ascii="Times New Roman" w:hAnsi="Times New Roman"/>
                <w:color w:val="000000"/>
              </w:rPr>
            </w:pPr>
          </w:p>
        </w:tc>
        <w:tc>
          <w:tcPr>
            <w:tcW w:w="3394" w:type="dxa"/>
            <w:tcBorders>
              <w:top w:val="single" w:sz="5" w:space="0" w:color="000000"/>
              <w:left w:val="single" w:sz="5" w:space="0" w:color="000000"/>
              <w:bottom w:val="single" w:sz="5" w:space="0" w:color="000000"/>
              <w:right w:val="single" w:sz="5" w:space="0" w:color="000000"/>
            </w:tcBorders>
          </w:tcPr>
          <w:p w14:paraId="1E173FEC"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Paklitaxel</w:t>
            </w:r>
          </w:p>
          <w:p w14:paraId="7CFBF69B"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(n = 354)</w:t>
            </w:r>
          </w:p>
        </w:tc>
        <w:tc>
          <w:tcPr>
            <w:tcW w:w="3029" w:type="dxa"/>
            <w:tcBorders>
              <w:top w:val="single" w:sz="5" w:space="0" w:color="000000"/>
              <w:left w:val="single" w:sz="5" w:space="0" w:color="000000"/>
              <w:bottom w:val="single" w:sz="5" w:space="0" w:color="000000"/>
              <w:right w:val="single" w:sz="5" w:space="0" w:color="000000"/>
            </w:tcBorders>
          </w:tcPr>
          <w:p w14:paraId="69308926" w14:textId="77777777" w:rsidR="00FE1157" w:rsidRPr="00381DC2" w:rsidRDefault="009B0756" w:rsidP="00FE1157">
            <w:pPr>
              <w:pStyle w:val="TableParagraph"/>
              <w:spacing w:line="246" w:lineRule="exact"/>
              <w:jc w:val="center"/>
              <w:rPr>
                <w:rFonts w:ascii="Times New Roman" w:hAnsi="Times New Roman"/>
                <w:color w:val="000000"/>
              </w:rPr>
            </w:pPr>
            <w:r w:rsidRPr="00381DC2">
              <w:rPr>
                <w:rFonts w:ascii="Times New Roman" w:hAnsi="Times New Roman"/>
                <w:color w:val="000000"/>
              </w:rPr>
              <w:t>Paklitaxel/bevacizumab</w:t>
            </w:r>
          </w:p>
          <w:p w14:paraId="060A65ED" w14:textId="77777777" w:rsidR="00D15122" w:rsidRPr="00381DC2" w:rsidRDefault="009B0756" w:rsidP="00FE1157">
            <w:pPr>
              <w:pStyle w:val="TableParagraph"/>
              <w:spacing w:line="246" w:lineRule="exact"/>
              <w:jc w:val="center"/>
              <w:rPr>
                <w:rFonts w:ascii="Times New Roman" w:hAnsi="Times New Roman"/>
                <w:color w:val="000000"/>
              </w:rPr>
            </w:pPr>
            <w:r w:rsidRPr="00381DC2">
              <w:rPr>
                <w:rFonts w:ascii="Times New Roman" w:hAnsi="Times New Roman"/>
                <w:color w:val="000000"/>
              </w:rPr>
              <w:t>(n = 368)</w:t>
            </w:r>
          </w:p>
        </w:tc>
      </w:tr>
      <w:tr w:rsidR="00D15122" w:rsidRPr="00F60460" w14:paraId="0EBA0331" w14:textId="77777777" w:rsidTr="006A2145">
        <w:tc>
          <w:tcPr>
            <w:tcW w:w="2268" w:type="dxa"/>
            <w:tcBorders>
              <w:top w:val="single" w:sz="5" w:space="0" w:color="000000"/>
              <w:left w:val="single" w:sz="5" w:space="0" w:color="000000"/>
              <w:bottom w:val="single" w:sz="5" w:space="0" w:color="000000"/>
              <w:right w:val="single" w:sz="5" w:space="0" w:color="000000"/>
            </w:tcBorders>
          </w:tcPr>
          <w:p w14:paraId="6BB0285F" w14:textId="77777777" w:rsidR="00D15122" w:rsidRPr="00381DC2" w:rsidRDefault="009B0756" w:rsidP="000824A5">
            <w:pPr>
              <w:pStyle w:val="TableParagraph"/>
              <w:spacing w:line="246" w:lineRule="exact"/>
              <w:rPr>
                <w:rFonts w:ascii="Times New Roman" w:eastAsia="Times New Roman" w:hAnsi="Times New Roman"/>
                <w:color w:val="000000"/>
              </w:rPr>
            </w:pPr>
            <w:r w:rsidRPr="00381DC2">
              <w:rPr>
                <w:rFonts w:ascii="Times New Roman" w:hAnsi="Times New Roman"/>
                <w:color w:val="000000"/>
              </w:rPr>
              <w:t>Medián celkového přežití (měsíce)</w:t>
            </w:r>
          </w:p>
        </w:tc>
        <w:tc>
          <w:tcPr>
            <w:tcW w:w="3394" w:type="dxa"/>
            <w:tcBorders>
              <w:top w:val="single" w:sz="5" w:space="0" w:color="000000"/>
              <w:left w:val="single" w:sz="5" w:space="0" w:color="000000"/>
              <w:bottom w:val="single" w:sz="5" w:space="0" w:color="000000"/>
              <w:right w:val="single" w:sz="5" w:space="0" w:color="000000"/>
            </w:tcBorders>
          </w:tcPr>
          <w:p w14:paraId="6009B068"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24,8</w:t>
            </w:r>
          </w:p>
        </w:tc>
        <w:tc>
          <w:tcPr>
            <w:tcW w:w="3029" w:type="dxa"/>
            <w:tcBorders>
              <w:top w:val="single" w:sz="5" w:space="0" w:color="000000"/>
              <w:left w:val="single" w:sz="5" w:space="0" w:color="000000"/>
              <w:bottom w:val="single" w:sz="5" w:space="0" w:color="000000"/>
              <w:right w:val="single" w:sz="5" w:space="0" w:color="000000"/>
            </w:tcBorders>
          </w:tcPr>
          <w:p w14:paraId="6EC17532"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26,5</w:t>
            </w:r>
          </w:p>
        </w:tc>
      </w:tr>
      <w:tr w:rsidR="00D15122" w:rsidRPr="00F60460" w14:paraId="009B6A00" w14:textId="77777777" w:rsidTr="006A2145">
        <w:tc>
          <w:tcPr>
            <w:tcW w:w="2268" w:type="dxa"/>
            <w:tcBorders>
              <w:top w:val="single" w:sz="5" w:space="0" w:color="000000"/>
              <w:left w:val="single" w:sz="5" w:space="0" w:color="000000"/>
              <w:bottom w:val="single" w:sz="5" w:space="0" w:color="000000"/>
              <w:right w:val="single" w:sz="5" w:space="0" w:color="000000"/>
            </w:tcBorders>
          </w:tcPr>
          <w:p w14:paraId="11192461" w14:textId="77777777" w:rsidR="00FE1157" w:rsidRPr="00381DC2" w:rsidRDefault="00860935" w:rsidP="00FE1157">
            <w:pPr>
              <w:pStyle w:val="TableParagraph"/>
              <w:spacing w:line="239" w:lineRule="auto"/>
              <w:ind w:right="717" w:firstLine="261"/>
              <w:jc w:val="center"/>
              <w:rPr>
                <w:rFonts w:ascii="Times New Roman" w:hAnsi="Times New Roman"/>
                <w:color w:val="000000"/>
              </w:rPr>
            </w:pPr>
            <w:r w:rsidRPr="00381DC2">
              <w:rPr>
                <w:rFonts w:ascii="Times New Roman" w:hAnsi="Times New Roman"/>
                <w:color w:val="000000"/>
              </w:rPr>
              <w:t>Poměr rizik</w:t>
            </w:r>
          </w:p>
          <w:p w14:paraId="0C954BD9" w14:textId="77777777" w:rsidR="00D15122" w:rsidRPr="00381DC2" w:rsidRDefault="009B0756" w:rsidP="00FE1157">
            <w:pPr>
              <w:pStyle w:val="TableParagraph"/>
              <w:spacing w:line="239" w:lineRule="auto"/>
              <w:ind w:right="717" w:firstLine="261"/>
              <w:jc w:val="center"/>
              <w:rPr>
                <w:rFonts w:ascii="Times New Roman" w:eastAsia="Times New Roman" w:hAnsi="Times New Roman"/>
                <w:color w:val="000000"/>
              </w:rPr>
            </w:pPr>
            <w:r w:rsidRPr="00381DC2">
              <w:rPr>
                <w:rFonts w:ascii="Times New Roman" w:hAnsi="Times New Roman"/>
                <w:color w:val="000000"/>
              </w:rPr>
              <w:t>(95% CI)</w:t>
            </w:r>
          </w:p>
        </w:tc>
        <w:tc>
          <w:tcPr>
            <w:tcW w:w="6423" w:type="dxa"/>
            <w:gridSpan w:val="2"/>
            <w:tcBorders>
              <w:top w:val="single" w:sz="5" w:space="0" w:color="000000"/>
              <w:left w:val="single" w:sz="5" w:space="0" w:color="000000"/>
              <w:bottom w:val="single" w:sz="5" w:space="0" w:color="000000"/>
              <w:right w:val="single" w:sz="5" w:space="0" w:color="000000"/>
            </w:tcBorders>
          </w:tcPr>
          <w:p w14:paraId="568B768F"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0,869</w:t>
            </w:r>
          </w:p>
          <w:p w14:paraId="3F5024AA"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(0,722; 1,046)</w:t>
            </w:r>
          </w:p>
        </w:tc>
      </w:tr>
      <w:tr w:rsidR="00D15122" w:rsidRPr="00F60460" w14:paraId="3ACADB8B" w14:textId="77777777" w:rsidTr="006A2145">
        <w:tc>
          <w:tcPr>
            <w:tcW w:w="2268" w:type="dxa"/>
            <w:tcBorders>
              <w:top w:val="single" w:sz="5" w:space="0" w:color="000000"/>
              <w:left w:val="single" w:sz="5" w:space="0" w:color="000000"/>
              <w:bottom w:val="single" w:sz="5" w:space="0" w:color="000000"/>
              <w:right w:val="single" w:sz="5" w:space="0" w:color="000000"/>
            </w:tcBorders>
          </w:tcPr>
          <w:p w14:paraId="653E261D" w14:textId="77777777" w:rsidR="00D15122" w:rsidRPr="00381DC2" w:rsidRDefault="009B0756" w:rsidP="00FE1157">
            <w:pPr>
              <w:pStyle w:val="TableParagraph"/>
              <w:spacing w:line="239" w:lineRule="auto"/>
              <w:ind w:right="717" w:firstLine="261"/>
              <w:jc w:val="center"/>
              <w:rPr>
                <w:rFonts w:ascii="Times New Roman" w:eastAsia="Times New Roman" w:hAnsi="Times New Roman"/>
                <w:color w:val="000000"/>
              </w:rPr>
            </w:pPr>
            <w:r w:rsidRPr="00381DC2">
              <w:rPr>
                <w:rFonts w:ascii="Times New Roman" w:hAnsi="Times New Roman"/>
                <w:color w:val="000000"/>
              </w:rPr>
              <w:t>p-hodnota</w:t>
            </w:r>
          </w:p>
        </w:tc>
        <w:tc>
          <w:tcPr>
            <w:tcW w:w="6423" w:type="dxa"/>
            <w:gridSpan w:val="2"/>
            <w:tcBorders>
              <w:top w:val="single" w:sz="5" w:space="0" w:color="000000"/>
              <w:left w:val="single" w:sz="5" w:space="0" w:color="000000"/>
              <w:bottom w:val="single" w:sz="5" w:space="0" w:color="000000"/>
              <w:right w:val="single" w:sz="5" w:space="0" w:color="000000"/>
            </w:tcBorders>
          </w:tcPr>
          <w:p w14:paraId="1C491582" w14:textId="77777777" w:rsidR="00D15122" w:rsidRPr="00381DC2" w:rsidRDefault="009B0756" w:rsidP="007F6E1B">
            <w:pPr>
              <w:pStyle w:val="TableParagraph"/>
              <w:spacing w:line="246" w:lineRule="exact"/>
              <w:jc w:val="center"/>
              <w:rPr>
                <w:rFonts w:ascii="Times New Roman" w:hAnsi="Times New Roman"/>
                <w:color w:val="000000"/>
              </w:rPr>
            </w:pPr>
            <w:r w:rsidRPr="00381DC2">
              <w:rPr>
                <w:rFonts w:ascii="Times New Roman" w:hAnsi="Times New Roman"/>
                <w:color w:val="000000"/>
              </w:rPr>
              <w:t>0,1374</w:t>
            </w:r>
          </w:p>
        </w:tc>
      </w:tr>
    </w:tbl>
    <w:p w14:paraId="135529A2" w14:textId="77777777" w:rsidR="00D15122" w:rsidRPr="00381DC2" w:rsidRDefault="00D15122" w:rsidP="007F6E1B">
      <w:pPr>
        <w:rPr>
          <w:rFonts w:ascii="Times New Roman" w:eastAsia="Times New Roman" w:hAnsi="Times New Roman"/>
          <w:color w:val="000000"/>
        </w:rPr>
      </w:pPr>
    </w:p>
    <w:p w14:paraId="452ADFED" w14:textId="77777777" w:rsidR="00D15122" w:rsidRPr="00381DC2" w:rsidRDefault="009B0756" w:rsidP="007F6E1B">
      <w:pPr>
        <w:pStyle w:val="BodyText"/>
        <w:ind w:left="0" w:right="265"/>
        <w:rPr>
          <w:color w:val="000000"/>
        </w:rPr>
      </w:pPr>
      <w:r w:rsidRPr="00381DC2">
        <w:rPr>
          <w:color w:val="000000"/>
        </w:rPr>
        <w:t xml:space="preserve">Klinický přínos léčby bevacizumabem </w:t>
      </w:r>
      <w:r w:rsidR="000824A5" w:rsidRPr="00381DC2">
        <w:rPr>
          <w:color w:val="000000"/>
        </w:rPr>
        <w:t>měřený podle PFS</w:t>
      </w:r>
      <w:r w:rsidRPr="00381DC2">
        <w:rPr>
          <w:color w:val="000000"/>
        </w:rPr>
        <w:t xml:space="preserve"> byl pozorován ve všech předem specifikovaných testovaných podskupinách (včetně intervalu bez známek onemocnění, počtu </w:t>
      </w:r>
      <w:r w:rsidRPr="00381DC2">
        <w:rPr>
          <w:color w:val="000000"/>
        </w:rPr>
        <w:lastRenderedPageBreak/>
        <w:t>metastazujících ložisek, adjuvantní chemoterapie v předchozí době a stanovení receptorů pro estrogen (ER)).</w:t>
      </w:r>
    </w:p>
    <w:p w14:paraId="18DD6A28" w14:textId="77777777" w:rsidR="00070FC2" w:rsidRPr="00381DC2" w:rsidRDefault="00070FC2" w:rsidP="007F6E1B">
      <w:pPr>
        <w:pStyle w:val="BodyText"/>
        <w:ind w:left="0" w:right="265"/>
        <w:rPr>
          <w:color w:val="000000"/>
        </w:rPr>
      </w:pPr>
    </w:p>
    <w:p w14:paraId="013E38F5" w14:textId="77777777" w:rsidR="00070FC2" w:rsidRPr="00381DC2" w:rsidRDefault="00070FC2" w:rsidP="00070FC2">
      <w:pPr>
        <w:widowControl/>
        <w:rPr>
          <w:rFonts w:ascii="Times New Roman" w:eastAsia="Times New Roman" w:hAnsi="Times New Roman"/>
          <w:color w:val="000000"/>
          <w:lang w:bidi="ar-SA"/>
        </w:rPr>
      </w:pPr>
      <w:r w:rsidRPr="00381DC2">
        <w:rPr>
          <w:rFonts w:ascii="Times New Roman" w:eastAsia="Times New Roman" w:hAnsi="Times New Roman"/>
          <w:i/>
          <w:iCs/>
          <w:color w:val="000000"/>
          <w:lang w:bidi="ar-SA"/>
        </w:rPr>
        <w:t>AVF3694g</w:t>
      </w:r>
    </w:p>
    <w:p w14:paraId="4B1BB9DD" w14:textId="77777777" w:rsidR="00070FC2" w:rsidRPr="00381DC2" w:rsidRDefault="00070FC2" w:rsidP="00070FC2">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Studie AVF3694g byla multicentrická, randomizovaná, placebem kontrolovaná studie fáze III, jejímž cílem bylo zhodnocení účinnosti a bezpečnosti bevacizumabu v kombinaci s chemoterapií ve srovnání s chemoterapií plus placebem v první linii léčby pacientů s HER2-negativním metastazujícím nebo lokálně rekurentním karcinomem prsu.</w:t>
      </w:r>
    </w:p>
    <w:p w14:paraId="01B6293C" w14:textId="77777777" w:rsidR="00070FC2" w:rsidRPr="00381DC2" w:rsidRDefault="00070FC2" w:rsidP="00070FC2">
      <w:pPr>
        <w:widowControl/>
        <w:rPr>
          <w:rFonts w:ascii="Times New Roman" w:eastAsia="Times New Roman" w:hAnsi="Times New Roman"/>
          <w:color w:val="000000"/>
          <w:lang w:bidi="ar-SA"/>
        </w:rPr>
      </w:pPr>
    </w:p>
    <w:p w14:paraId="4458887C" w14:textId="77777777" w:rsidR="00070FC2" w:rsidRPr="00381DC2" w:rsidRDefault="00070FC2" w:rsidP="00070FC2">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Chemoterapie byla zvolena řešitelem před randomizací v poměru 2:1 k léčbě chemoterapie plus bevacizumab nebo chemoterapie plus placebo. Možnosti chemoterapie zahrnovaly kapecitabin, taxan (paklitaxel vázaný na bílkovinu, docetaxel), režim s antracyklinem (doxorubicin/cyklofosfamid, epirubicin/cyklofosfamid, 5-fluorouracil/doxorubicin/cyklofosfamid, 5-fluorouracil/epirubicin/cyklofosfamid) podané každé 3 týdny. Bevacizumab nebo placebo byly podávány v dávce 15 mg/kg každé 3 týdny.</w:t>
      </w:r>
    </w:p>
    <w:p w14:paraId="1378E4E7" w14:textId="77777777" w:rsidR="00070FC2" w:rsidRPr="00381DC2" w:rsidRDefault="00070FC2" w:rsidP="00070FC2">
      <w:pPr>
        <w:widowControl/>
        <w:rPr>
          <w:rFonts w:ascii="Times New Roman" w:eastAsia="Times New Roman" w:hAnsi="Times New Roman"/>
          <w:color w:val="000000"/>
          <w:lang w:bidi="ar-SA"/>
        </w:rPr>
      </w:pPr>
    </w:p>
    <w:p w14:paraId="1FF232F5" w14:textId="77777777" w:rsidR="00070FC2" w:rsidRPr="00381DC2" w:rsidRDefault="00070FC2" w:rsidP="00070FC2">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Tato studie sestávala ze zaslepené léčebné fáze, volitelné nezaslepené fáze po progresi a fáze sledování přežití. V zaslepené léčebné fázi pacienti dostali chemoterapii a léčivý přípravek (bevacizumab nebo placebo) každé 3 týdny do progrese nemoci, toxicity omezující léčbu nebo úmrtí. Po zdokumentované progresi nemoci, mohli pacienti, kteří vstoupili do volitelné nezaslepené fáze studie, být léčeni nezaslepeným bevacizumabem společně se širokým spektrem léčby druhé linie. </w:t>
      </w:r>
    </w:p>
    <w:p w14:paraId="2999ADF5" w14:textId="77777777" w:rsidR="00070FC2" w:rsidRPr="00381DC2" w:rsidRDefault="00070FC2" w:rsidP="00070FC2">
      <w:pPr>
        <w:widowControl/>
        <w:rPr>
          <w:rFonts w:ascii="Times New Roman" w:eastAsia="Times New Roman" w:hAnsi="Times New Roman"/>
          <w:color w:val="000000"/>
          <w:lang w:bidi="ar-SA"/>
        </w:rPr>
      </w:pPr>
    </w:p>
    <w:p w14:paraId="07B35863" w14:textId="77777777" w:rsidR="00070FC2" w:rsidRPr="00381DC2" w:rsidRDefault="00070FC2" w:rsidP="00070FC2">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Statistické analýzy byly provedeny nezávisle pro 1) pacienty, kteří dostali kapecitabin v kombinaci s bevacizumabem nebo placebem; 2) pacienty, kteří dostali chemoterapeutický režim s taxanem nebo antracyklinem v kombinaci s bevacizumabem nebo placebem. Primárním cílovým parametrem účinnosti této studie bylo stanovení doby přežití bez progrese dle hodnocení řešiteli. Navíc byl primární cílový parametr hodnocen rovněž nezávislou komisí (IRC).</w:t>
      </w:r>
    </w:p>
    <w:p w14:paraId="06529347" w14:textId="77777777" w:rsidR="00070FC2" w:rsidRPr="00381DC2" w:rsidRDefault="00070FC2" w:rsidP="00070FC2">
      <w:pPr>
        <w:widowControl/>
        <w:rPr>
          <w:rFonts w:ascii="Times New Roman" w:eastAsia="Times New Roman" w:hAnsi="Times New Roman"/>
          <w:color w:val="000000"/>
          <w:lang w:bidi="ar-SA"/>
        </w:rPr>
      </w:pPr>
    </w:p>
    <w:p w14:paraId="28E8BEF2" w14:textId="77777777" w:rsidR="00070FC2" w:rsidRPr="00381DC2" w:rsidRDefault="00070FC2" w:rsidP="00070FC2">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Výsledky z konečné, protokolem definované analýzy této studie pro dobu přežití bez progrese a četnosti odpovědí pro kohortu studie AVF3694g s kapecitabinem, které měly nezávislou statistickou sílu, jsou uvedeny v Tabulce 11. Jsou uvedeny rovněž výsledky explorativního hodnocení celkového přežití po dalších 7 měsících sledování (zemřelo přibližně 46% pacientů). V otevřené fázi studie dostalo bevacizumab 62,1% pacientů v rameni kapecitabin + placebo a 49,9% pacientů v rameni kapecitabin + bevacizumab.</w:t>
      </w:r>
    </w:p>
    <w:p w14:paraId="03F20D94" w14:textId="77777777" w:rsidR="00070FC2" w:rsidRPr="00381DC2" w:rsidRDefault="00070FC2" w:rsidP="007F6E1B">
      <w:pPr>
        <w:pStyle w:val="BodyText"/>
        <w:ind w:left="0" w:right="265"/>
        <w:rPr>
          <w:color w:val="000000"/>
        </w:rPr>
      </w:pPr>
    </w:p>
    <w:p w14:paraId="77FF9B10" w14:textId="77777777" w:rsidR="00070FC2" w:rsidRPr="00381DC2" w:rsidRDefault="00070FC2" w:rsidP="006A2145">
      <w:pPr>
        <w:keepNext/>
        <w:keepLines/>
        <w:widowControl/>
        <w:rPr>
          <w:rFonts w:ascii="Times New Roman" w:eastAsia="Times New Roman" w:hAnsi="Times New Roman"/>
          <w:color w:val="000000"/>
          <w:lang w:bidi="ar-SA"/>
        </w:rPr>
      </w:pPr>
      <w:r w:rsidRPr="00381DC2">
        <w:rPr>
          <w:rFonts w:ascii="Times New Roman" w:eastAsia="Times New Roman" w:hAnsi="Times New Roman"/>
          <w:b/>
          <w:bCs/>
          <w:color w:val="000000"/>
          <w:lang w:bidi="ar-SA"/>
        </w:rPr>
        <w:lastRenderedPageBreak/>
        <w:t>Tabulka 11</w:t>
      </w:r>
      <w:r w:rsidR="005D48D1" w:rsidRPr="00381DC2">
        <w:rPr>
          <w:rFonts w:ascii="Times New Roman" w:eastAsia="Times New Roman" w:hAnsi="Times New Roman"/>
          <w:b/>
          <w:bCs/>
          <w:color w:val="000000"/>
          <w:lang w:bidi="ar-SA"/>
        </w:rPr>
        <w:tab/>
      </w:r>
      <w:r w:rsidRPr="00381DC2">
        <w:rPr>
          <w:rFonts w:ascii="Times New Roman" w:eastAsia="Times New Roman" w:hAnsi="Times New Roman"/>
          <w:b/>
          <w:color w:val="000000"/>
          <w:lang w:bidi="ar-SA"/>
        </w:rPr>
        <w:t>Data o účinnosti ve studii AVF3694g: - Kapecitabin a Bevacizumab/Placebo</w:t>
      </w:r>
      <w:r w:rsidRPr="00381DC2">
        <w:rPr>
          <w:rFonts w:ascii="Times New Roman" w:eastAsia="Times New Roman" w:hAnsi="Times New Roman"/>
          <w:color w:val="000000"/>
          <w:lang w:bidi="ar-SA"/>
        </w:rPr>
        <w:t xml:space="preserve"> </w:t>
      </w:r>
    </w:p>
    <w:p w14:paraId="23ECACC6" w14:textId="77777777" w:rsidR="00070FC2" w:rsidRPr="00381DC2" w:rsidRDefault="00070FC2" w:rsidP="006A2145">
      <w:pPr>
        <w:keepNext/>
        <w:keepLines/>
        <w:spacing w:before="1"/>
        <w:rPr>
          <w:rFonts w:ascii="Times New Roman" w:eastAsia="Times New Roman" w:hAnsi="Times New Roman"/>
          <w:b/>
          <w:bCs/>
          <w:color w:val="000000"/>
        </w:rPr>
      </w:pPr>
    </w:p>
    <w:tbl>
      <w:tblPr>
        <w:tblW w:w="0" w:type="auto"/>
        <w:tblInd w:w="5" w:type="dxa"/>
        <w:tblLayout w:type="fixed"/>
        <w:tblCellMar>
          <w:left w:w="0" w:type="dxa"/>
          <w:right w:w="0" w:type="dxa"/>
        </w:tblCellMar>
        <w:tblLook w:val="01E0" w:firstRow="1" w:lastRow="1" w:firstColumn="1" w:lastColumn="1" w:noHBand="0" w:noVBand="0"/>
      </w:tblPr>
      <w:tblGrid>
        <w:gridCol w:w="2214"/>
        <w:gridCol w:w="1505"/>
        <w:gridCol w:w="1756"/>
        <w:gridCol w:w="1620"/>
        <w:gridCol w:w="1890"/>
      </w:tblGrid>
      <w:tr w:rsidR="00070FC2" w:rsidRPr="00F60460" w14:paraId="0C1000EA" w14:textId="77777777" w:rsidTr="006A2145">
        <w:tc>
          <w:tcPr>
            <w:tcW w:w="8985" w:type="dxa"/>
            <w:gridSpan w:val="5"/>
            <w:tcBorders>
              <w:top w:val="single" w:sz="8" w:space="0" w:color="000000"/>
              <w:left w:val="single" w:sz="4" w:space="0" w:color="auto"/>
              <w:bottom w:val="single" w:sz="8" w:space="0" w:color="000000"/>
              <w:right w:val="single" w:sz="8" w:space="0" w:color="000000"/>
            </w:tcBorders>
          </w:tcPr>
          <w:p w14:paraId="49ACFA6D" w14:textId="77777777" w:rsidR="00070FC2" w:rsidRPr="00F60460" w:rsidRDefault="00070FC2" w:rsidP="006A2145">
            <w:pPr>
              <w:pStyle w:val="TableParagraph"/>
              <w:keepNext/>
              <w:keepLines/>
              <w:spacing w:before="27"/>
              <w:ind w:left="90"/>
              <w:rPr>
                <w:rFonts w:ascii="Times New Roman" w:eastAsia="Times New Roman" w:hAnsi="Times New Roman"/>
                <w:color w:val="000000"/>
                <w:sz w:val="14"/>
                <w:szCs w:val="14"/>
              </w:rPr>
            </w:pPr>
            <w:r w:rsidRPr="00381DC2">
              <w:rPr>
                <w:rFonts w:ascii="Times New Roman"/>
                <w:color w:val="000000"/>
                <w:spacing w:val="-1"/>
              </w:rPr>
              <w:t xml:space="preserve">Doba </w:t>
            </w:r>
            <w:r w:rsidRPr="00381DC2">
              <w:rPr>
                <w:rFonts w:ascii="Times New Roman" w:hAnsi="Times New Roman"/>
                <w:color w:val="000000"/>
                <w:spacing w:val="-1"/>
              </w:rPr>
              <w:t>přežití bez</w:t>
            </w:r>
            <w:r w:rsidRPr="00381DC2">
              <w:rPr>
                <w:rFonts w:ascii="Times New Roman"/>
                <w:color w:val="000000"/>
                <w:spacing w:val="-1"/>
              </w:rPr>
              <w:t xml:space="preserve"> progrese</w:t>
            </w:r>
            <w:r w:rsidRPr="00381DC2">
              <w:rPr>
                <w:rFonts w:ascii="Times New Roman"/>
                <w:color w:val="000000"/>
                <w:spacing w:val="-1"/>
                <w:position w:val="10"/>
                <w:vertAlign w:val="superscript"/>
              </w:rPr>
              <w:t>b</w:t>
            </w:r>
          </w:p>
        </w:tc>
      </w:tr>
      <w:tr w:rsidR="00070FC2" w:rsidRPr="00F60460" w14:paraId="2193A78E" w14:textId="77777777" w:rsidTr="006A2145">
        <w:tc>
          <w:tcPr>
            <w:tcW w:w="2214" w:type="dxa"/>
            <w:tcBorders>
              <w:top w:val="single" w:sz="8" w:space="0" w:color="000000"/>
              <w:left w:val="single" w:sz="4" w:space="0" w:color="auto"/>
              <w:bottom w:val="single" w:sz="8" w:space="0" w:color="000000"/>
              <w:right w:val="single" w:sz="8" w:space="0" w:color="000000"/>
            </w:tcBorders>
          </w:tcPr>
          <w:p w14:paraId="5CFFD843" w14:textId="77777777" w:rsidR="00070FC2" w:rsidRPr="00F60460" w:rsidRDefault="00070FC2" w:rsidP="006A2145">
            <w:pPr>
              <w:keepNext/>
              <w:keepLines/>
              <w:rPr>
                <w:color w:val="000000"/>
              </w:rPr>
            </w:pPr>
          </w:p>
        </w:tc>
        <w:tc>
          <w:tcPr>
            <w:tcW w:w="3261" w:type="dxa"/>
            <w:gridSpan w:val="2"/>
            <w:tcBorders>
              <w:top w:val="single" w:sz="8" w:space="0" w:color="000000"/>
              <w:left w:val="single" w:sz="8" w:space="0" w:color="000000"/>
              <w:bottom w:val="single" w:sz="8" w:space="0" w:color="000000"/>
              <w:right w:val="single" w:sz="8" w:space="0" w:color="000000"/>
            </w:tcBorders>
          </w:tcPr>
          <w:p w14:paraId="5E187893" w14:textId="77777777" w:rsidR="00070FC2" w:rsidRPr="00381DC2" w:rsidRDefault="00070FC2" w:rsidP="006A2145">
            <w:pPr>
              <w:pStyle w:val="TableParagraph"/>
              <w:keepNext/>
              <w:keepLines/>
              <w:spacing w:before="55"/>
              <w:ind w:left="97"/>
              <w:rPr>
                <w:rFonts w:ascii="Times New Roman" w:eastAsia="Times New Roman" w:hAnsi="Times New Roman"/>
                <w:color w:val="000000"/>
              </w:rPr>
            </w:pPr>
            <w:r w:rsidRPr="00381DC2">
              <w:rPr>
                <w:rFonts w:ascii="Times New Roman" w:hAnsi="Times New Roman"/>
                <w:color w:val="000000"/>
                <w:spacing w:val="-1"/>
              </w:rPr>
              <w:t>Hodnocení řešiteli</w:t>
            </w:r>
          </w:p>
        </w:tc>
        <w:tc>
          <w:tcPr>
            <w:tcW w:w="3510" w:type="dxa"/>
            <w:gridSpan w:val="2"/>
            <w:tcBorders>
              <w:top w:val="single" w:sz="8" w:space="0" w:color="000000"/>
              <w:left w:val="single" w:sz="8" w:space="0" w:color="000000"/>
              <w:bottom w:val="single" w:sz="8" w:space="0" w:color="000000"/>
              <w:right w:val="single" w:sz="8" w:space="0" w:color="000000"/>
            </w:tcBorders>
          </w:tcPr>
          <w:p w14:paraId="6BD6915E" w14:textId="77777777" w:rsidR="00070FC2" w:rsidRPr="00381DC2" w:rsidRDefault="00070FC2" w:rsidP="006A2145">
            <w:pPr>
              <w:pStyle w:val="TableParagraph"/>
              <w:keepNext/>
              <w:keepLines/>
              <w:spacing w:before="55"/>
              <w:ind w:left="97"/>
              <w:rPr>
                <w:rFonts w:ascii="Times New Roman" w:eastAsia="Times New Roman" w:hAnsi="Times New Roman"/>
                <w:color w:val="000000"/>
              </w:rPr>
            </w:pPr>
            <w:r w:rsidRPr="00381DC2">
              <w:rPr>
                <w:rFonts w:ascii="Times New Roman" w:hAnsi="Times New Roman"/>
                <w:color w:val="000000"/>
                <w:spacing w:val="-1"/>
              </w:rPr>
              <w:t>Nezávislé (IRC)</w:t>
            </w:r>
          </w:p>
        </w:tc>
      </w:tr>
      <w:tr w:rsidR="00070FC2" w:rsidRPr="00F60460" w14:paraId="06ECAF86" w14:textId="77777777" w:rsidTr="006A2145">
        <w:tc>
          <w:tcPr>
            <w:tcW w:w="2214" w:type="dxa"/>
            <w:tcBorders>
              <w:top w:val="single" w:sz="8" w:space="0" w:color="000000"/>
              <w:left w:val="single" w:sz="4" w:space="0" w:color="auto"/>
              <w:bottom w:val="single" w:sz="8" w:space="0" w:color="000000"/>
              <w:right w:val="single" w:sz="8" w:space="0" w:color="000000"/>
            </w:tcBorders>
          </w:tcPr>
          <w:p w14:paraId="388FB559" w14:textId="77777777" w:rsidR="00070FC2" w:rsidRPr="00F60460" w:rsidRDefault="00070FC2" w:rsidP="006A2145">
            <w:pPr>
              <w:keepNext/>
              <w:keepLines/>
              <w:rPr>
                <w:color w:val="000000"/>
              </w:rPr>
            </w:pPr>
          </w:p>
        </w:tc>
        <w:tc>
          <w:tcPr>
            <w:tcW w:w="1505" w:type="dxa"/>
            <w:tcBorders>
              <w:top w:val="single" w:sz="8" w:space="0" w:color="000000"/>
              <w:left w:val="single" w:sz="8" w:space="0" w:color="000000"/>
              <w:bottom w:val="single" w:sz="8" w:space="0" w:color="000000"/>
              <w:right w:val="single" w:sz="8" w:space="0" w:color="000000"/>
            </w:tcBorders>
          </w:tcPr>
          <w:p w14:paraId="7C2CEB19" w14:textId="3CAC569C" w:rsidR="00070FC2" w:rsidRPr="00381DC2" w:rsidRDefault="00070FC2" w:rsidP="006A2145">
            <w:pPr>
              <w:pStyle w:val="TableParagraph"/>
              <w:keepNext/>
              <w:keepLines/>
              <w:spacing w:before="53"/>
              <w:ind w:left="241" w:right="132" w:hanging="34"/>
              <w:rPr>
                <w:rFonts w:ascii="Times New Roman" w:eastAsia="Times New Roman" w:hAnsi="Times New Roman"/>
                <w:color w:val="000000"/>
              </w:rPr>
            </w:pPr>
            <w:r w:rsidRPr="00381DC2">
              <w:rPr>
                <w:rFonts w:ascii="Times New Roman"/>
                <w:color w:val="000000"/>
                <w:spacing w:val="-1"/>
              </w:rPr>
              <w:t>Kapecitabin</w:t>
            </w:r>
            <w:r w:rsidRPr="00381DC2">
              <w:rPr>
                <w:rFonts w:ascii="Times New Roman"/>
                <w:color w:val="000000"/>
              </w:rPr>
              <w:t xml:space="preserve"> + </w:t>
            </w:r>
            <w:r w:rsidRPr="00381DC2">
              <w:rPr>
                <w:rFonts w:ascii="Times New Roman"/>
                <w:color w:val="000000"/>
                <w:spacing w:val="-1"/>
              </w:rPr>
              <w:t>Placebo</w:t>
            </w:r>
            <w:r w:rsidRPr="00381DC2">
              <w:rPr>
                <w:rFonts w:ascii="Times New Roman"/>
                <w:color w:val="000000"/>
                <w:spacing w:val="23"/>
              </w:rPr>
              <w:t xml:space="preserve"> </w:t>
            </w:r>
            <w:r w:rsidRPr="00381DC2">
              <w:rPr>
                <w:rFonts w:ascii="Times New Roman"/>
                <w:color w:val="000000"/>
                <w:spacing w:val="-1"/>
              </w:rPr>
              <w:t>(n</w:t>
            </w:r>
            <w:r w:rsidR="00C34ACD">
              <w:rPr>
                <w:rFonts w:ascii="Times New Roman"/>
                <w:color w:val="000000"/>
                <w:spacing w:val="-1"/>
              </w:rPr>
              <w:t xml:space="preserve"> </w:t>
            </w:r>
            <w:r w:rsidRPr="00381DC2">
              <w:rPr>
                <w:rFonts w:ascii="Times New Roman"/>
                <w:color w:val="000000"/>
                <w:spacing w:val="-1"/>
              </w:rPr>
              <w:t>=</w:t>
            </w:r>
            <w:r w:rsidR="00C34ACD">
              <w:rPr>
                <w:rFonts w:ascii="Times New Roman"/>
                <w:color w:val="000000"/>
                <w:spacing w:val="-1"/>
              </w:rPr>
              <w:t xml:space="preserve"> </w:t>
            </w:r>
            <w:r w:rsidRPr="00381DC2">
              <w:rPr>
                <w:rFonts w:ascii="Times New Roman"/>
                <w:color w:val="000000"/>
                <w:spacing w:val="-1"/>
              </w:rPr>
              <w:t>206)</w:t>
            </w:r>
          </w:p>
        </w:tc>
        <w:tc>
          <w:tcPr>
            <w:tcW w:w="1756" w:type="dxa"/>
            <w:tcBorders>
              <w:top w:val="single" w:sz="8" w:space="0" w:color="000000"/>
              <w:left w:val="single" w:sz="8" w:space="0" w:color="000000"/>
              <w:bottom w:val="single" w:sz="8" w:space="0" w:color="000000"/>
              <w:right w:val="single" w:sz="8" w:space="0" w:color="000000"/>
            </w:tcBorders>
          </w:tcPr>
          <w:p w14:paraId="62442121" w14:textId="77777777" w:rsidR="00070FC2" w:rsidRPr="00381DC2" w:rsidRDefault="00070FC2" w:rsidP="006A2145">
            <w:pPr>
              <w:pStyle w:val="TableParagraph"/>
              <w:keepNext/>
              <w:keepLines/>
              <w:spacing w:before="53"/>
              <w:ind w:left="241" w:right="132"/>
              <w:rPr>
                <w:rFonts w:ascii="Times New Roman"/>
                <w:color w:val="000000"/>
              </w:rPr>
            </w:pPr>
            <w:r w:rsidRPr="00381DC2">
              <w:rPr>
                <w:rFonts w:ascii="Times New Roman"/>
                <w:color w:val="000000"/>
                <w:spacing w:val="-1"/>
              </w:rPr>
              <w:t>Kapecitabin</w:t>
            </w:r>
            <w:r w:rsidRPr="00381DC2">
              <w:rPr>
                <w:rFonts w:ascii="Times New Roman"/>
                <w:color w:val="000000"/>
              </w:rPr>
              <w:t xml:space="preserve"> + Bevacizumab</w:t>
            </w:r>
          </w:p>
          <w:p w14:paraId="6AB7E35A" w14:textId="33B79023" w:rsidR="00070FC2" w:rsidRPr="00381DC2" w:rsidRDefault="00070FC2" w:rsidP="006A2145">
            <w:pPr>
              <w:pStyle w:val="TableParagraph"/>
              <w:keepNext/>
              <w:keepLines/>
              <w:spacing w:before="53"/>
              <w:ind w:left="241" w:right="132"/>
              <w:rPr>
                <w:rFonts w:ascii="Times New Roman" w:eastAsia="Times New Roman" w:hAnsi="Times New Roman"/>
                <w:color w:val="000000"/>
              </w:rPr>
            </w:pPr>
            <w:r w:rsidRPr="00381DC2">
              <w:rPr>
                <w:rFonts w:ascii="Times New Roman"/>
                <w:color w:val="000000"/>
                <w:spacing w:val="-1"/>
              </w:rPr>
              <w:t>(n</w:t>
            </w:r>
            <w:r w:rsidR="00C34ACD">
              <w:rPr>
                <w:rFonts w:ascii="Times New Roman"/>
                <w:color w:val="000000"/>
                <w:spacing w:val="-1"/>
              </w:rPr>
              <w:t xml:space="preserve"> </w:t>
            </w:r>
            <w:r w:rsidRPr="00381DC2">
              <w:rPr>
                <w:rFonts w:ascii="Times New Roman"/>
                <w:color w:val="000000"/>
                <w:spacing w:val="-1"/>
              </w:rPr>
              <w:t>=</w:t>
            </w:r>
            <w:r w:rsidR="00C34ACD">
              <w:rPr>
                <w:rFonts w:ascii="Times New Roman"/>
                <w:color w:val="000000"/>
                <w:spacing w:val="-1"/>
              </w:rPr>
              <w:t xml:space="preserve"> </w:t>
            </w:r>
            <w:r w:rsidRPr="00381DC2">
              <w:rPr>
                <w:rFonts w:ascii="Times New Roman"/>
                <w:color w:val="000000"/>
                <w:spacing w:val="-1"/>
              </w:rPr>
              <w:t>409)</w:t>
            </w:r>
          </w:p>
        </w:tc>
        <w:tc>
          <w:tcPr>
            <w:tcW w:w="1620" w:type="dxa"/>
            <w:tcBorders>
              <w:top w:val="single" w:sz="8" w:space="0" w:color="000000"/>
              <w:left w:val="single" w:sz="8" w:space="0" w:color="000000"/>
              <w:bottom w:val="single" w:sz="8" w:space="0" w:color="000000"/>
              <w:right w:val="single" w:sz="8" w:space="0" w:color="000000"/>
            </w:tcBorders>
          </w:tcPr>
          <w:p w14:paraId="2B99D0E8" w14:textId="7E873E4E" w:rsidR="00070FC2" w:rsidRPr="00381DC2" w:rsidRDefault="00070FC2" w:rsidP="006A2145">
            <w:pPr>
              <w:pStyle w:val="TableParagraph"/>
              <w:keepNext/>
              <w:keepLines/>
              <w:spacing w:before="53"/>
              <w:ind w:left="241" w:right="132" w:hanging="34"/>
              <w:rPr>
                <w:rFonts w:ascii="Times New Roman" w:eastAsia="Times New Roman" w:hAnsi="Times New Roman"/>
                <w:color w:val="000000"/>
              </w:rPr>
            </w:pPr>
            <w:r w:rsidRPr="00381DC2">
              <w:rPr>
                <w:rFonts w:ascii="Times New Roman"/>
                <w:color w:val="000000"/>
                <w:spacing w:val="-1"/>
              </w:rPr>
              <w:t>Kapecitabin</w:t>
            </w:r>
            <w:r w:rsidRPr="00381DC2">
              <w:rPr>
                <w:rFonts w:ascii="Times New Roman"/>
                <w:color w:val="000000"/>
              </w:rPr>
              <w:t xml:space="preserve"> + </w:t>
            </w:r>
            <w:r w:rsidRPr="00381DC2">
              <w:rPr>
                <w:rFonts w:ascii="Times New Roman"/>
                <w:color w:val="000000"/>
                <w:spacing w:val="-1"/>
              </w:rPr>
              <w:t>Placebo</w:t>
            </w:r>
            <w:r w:rsidRPr="00381DC2">
              <w:rPr>
                <w:rFonts w:ascii="Times New Roman"/>
                <w:color w:val="000000"/>
                <w:spacing w:val="23"/>
              </w:rPr>
              <w:t xml:space="preserve"> </w:t>
            </w:r>
            <w:r w:rsidRPr="00381DC2">
              <w:rPr>
                <w:rFonts w:ascii="Times New Roman"/>
                <w:color w:val="000000"/>
                <w:spacing w:val="-1"/>
              </w:rPr>
              <w:t>(n</w:t>
            </w:r>
            <w:r w:rsidR="00C34ACD">
              <w:rPr>
                <w:rFonts w:ascii="Times New Roman"/>
                <w:color w:val="000000"/>
                <w:spacing w:val="-1"/>
              </w:rPr>
              <w:t xml:space="preserve"> </w:t>
            </w:r>
            <w:r w:rsidRPr="00381DC2">
              <w:rPr>
                <w:rFonts w:ascii="Times New Roman"/>
                <w:color w:val="000000"/>
                <w:spacing w:val="-1"/>
              </w:rPr>
              <w:t>=2</w:t>
            </w:r>
            <w:r w:rsidR="00C34ACD">
              <w:rPr>
                <w:rFonts w:ascii="Times New Roman"/>
                <w:color w:val="000000"/>
                <w:spacing w:val="-1"/>
              </w:rPr>
              <w:t xml:space="preserve"> </w:t>
            </w:r>
            <w:r w:rsidRPr="00381DC2">
              <w:rPr>
                <w:rFonts w:ascii="Times New Roman"/>
                <w:color w:val="000000"/>
                <w:spacing w:val="-1"/>
              </w:rPr>
              <w:t>06)</w:t>
            </w:r>
          </w:p>
        </w:tc>
        <w:tc>
          <w:tcPr>
            <w:tcW w:w="1890" w:type="dxa"/>
            <w:tcBorders>
              <w:top w:val="single" w:sz="8" w:space="0" w:color="000000"/>
              <w:left w:val="single" w:sz="8" w:space="0" w:color="000000"/>
              <w:bottom w:val="single" w:sz="8" w:space="0" w:color="000000"/>
              <w:right w:val="single" w:sz="8" w:space="0" w:color="000000"/>
            </w:tcBorders>
          </w:tcPr>
          <w:p w14:paraId="46F02C9F" w14:textId="6ECE15E2" w:rsidR="00070FC2" w:rsidRPr="00381DC2" w:rsidRDefault="00070FC2" w:rsidP="006A2145">
            <w:pPr>
              <w:pStyle w:val="TableParagraph"/>
              <w:keepNext/>
              <w:keepLines/>
              <w:spacing w:before="53"/>
              <w:ind w:left="241" w:right="132"/>
              <w:rPr>
                <w:rFonts w:ascii="Times New Roman" w:eastAsia="Times New Roman" w:hAnsi="Times New Roman"/>
                <w:color w:val="000000"/>
              </w:rPr>
            </w:pPr>
            <w:r w:rsidRPr="00381DC2">
              <w:rPr>
                <w:rFonts w:ascii="Times New Roman"/>
                <w:color w:val="000000"/>
                <w:spacing w:val="-1"/>
              </w:rPr>
              <w:t>Kapecitabin</w:t>
            </w:r>
            <w:r w:rsidRPr="00381DC2">
              <w:rPr>
                <w:rFonts w:ascii="Times New Roman"/>
                <w:color w:val="000000"/>
              </w:rPr>
              <w:t xml:space="preserve"> + Bevacizumab</w:t>
            </w:r>
            <w:r w:rsidRPr="00381DC2">
              <w:rPr>
                <w:rFonts w:ascii="Times New Roman"/>
                <w:color w:val="000000"/>
                <w:spacing w:val="24"/>
              </w:rPr>
              <w:t xml:space="preserve"> </w:t>
            </w:r>
            <w:r w:rsidRPr="00381DC2">
              <w:rPr>
                <w:rFonts w:ascii="Times New Roman"/>
                <w:color w:val="000000"/>
                <w:spacing w:val="-1"/>
              </w:rPr>
              <w:t>(n</w:t>
            </w:r>
            <w:r w:rsidR="00C34ACD">
              <w:rPr>
                <w:rFonts w:ascii="Times New Roman"/>
                <w:color w:val="000000"/>
                <w:spacing w:val="-1"/>
              </w:rPr>
              <w:t xml:space="preserve"> </w:t>
            </w:r>
            <w:r w:rsidRPr="00381DC2">
              <w:rPr>
                <w:rFonts w:ascii="Times New Roman"/>
                <w:color w:val="000000"/>
                <w:spacing w:val="-1"/>
              </w:rPr>
              <w:t>=</w:t>
            </w:r>
            <w:r w:rsidR="00C34ACD">
              <w:rPr>
                <w:rFonts w:ascii="Times New Roman"/>
                <w:color w:val="000000"/>
                <w:spacing w:val="-1"/>
              </w:rPr>
              <w:t xml:space="preserve"> </w:t>
            </w:r>
            <w:r w:rsidRPr="00381DC2">
              <w:rPr>
                <w:rFonts w:ascii="Times New Roman"/>
                <w:color w:val="000000"/>
                <w:spacing w:val="-1"/>
              </w:rPr>
              <w:t>409)</w:t>
            </w:r>
          </w:p>
        </w:tc>
      </w:tr>
      <w:tr w:rsidR="00070FC2" w:rsidRPr="00F60460" w14:paraId="7326048F" w14:textId="77777777" w:rsidTr="006A2145">
        <w:tc>
          <w:tcPr>
            <w:tcW w:w="2214" w:type="dxa"/>
            <w:tcBorders>
              <w:top w:val="single" w:sz="8" w:space="0" w:color="000000"/>
              <w:left w:val="single" w:sz="4" w:space="0" w:color="auto"/>
              <w:bottom w:val="single" w:sz="8" w:space="0" w:color="000000"/>
              <w:right w:val="single" w:sz="8" w:space="0" w:color="000000"/>
            </w:tcBorders>
          </w:tcPr>
          <w:p w14:paraId="41166067" w14:textId="77777777" w:rsidR="00070FC2" w:rsidRPr="00381DC2" w:rsidRDefault="00070FC2" w:rsidP="006A2145">
            <w:pPr>
              <w:pStyle w:val="TableParagraph"/>
              <w:keepNext/>
              <w:keepLines/>
              <w:spacing w:before="53"/>
              <w:ind w:left="90"/>
              <w:rPr>
                <w:rFonts w:ascii="Times New Roman" w:eastAsia="Times New Roman" w:hAnsi="Times New Roman"/>
                <w:color w:val="000000"/>
              </w:rPr>
            </w:pPr>
            <w:r w:rsidRPr="00381DC2">
              <w:rPr>
                <w:rFonts w:ascii="Times New Roman" w:hAnsi="Times New Roman"/>
                <w:color w:val="000000"/>
                <w:spacing w:val="-1"/>
              </w:rPr>
              <w:t>Střední doba přežití bez progrese</w:t>
            </w:r>
            <w:r w:rsidRPr="00381DC2">
              <w:rPr>
                <w:rFonts w:ascii="Times New Roman" w:hAnsi="Times New Roman"/>
                <w:color w:val="000000"/>
              </w:rPr>
              <w:t xml:space="preserve"> </w:t>
            </w:r>
            <w:r w:rsidRPr="00381DC2">
              <w:rPr>
                <w:rFonts w:ascii="Times New Roman" w:hAnsi="Times New Roman"/>
                <w:color w:val="000000"/>
                <w:spacing w:val="-1"/>
              </w:rPr>
              <w:t>PFS</w:t>
            </w:r>
            <w:r w:rsidRPr="00381DC2">
              <w:rPr>
                <w:rFonts w:ascii="Times New Roman" w:hAnsi="Times New Roman"/>
                <w:color w:val="000000"/>
                <w:spacing w:val="-3"/>
              </w:rPr>
              <w:t xml:space="preserve"> </w:t>
            </w:r>
            <w:r w:rsidRPr="00381DC2">
              <w:rPr>
                <w:rFonts w:ascii="Times New Roman" w:hAnsi="Times New Roman"/>
                <w:color w:val="000000"/>
                <w:spacing w:val="-1"/>
              </w:rPr>
              <w:t>(měsíce)</w:t>
            </w:r>
          </w:p>
        </w:tc>
        <w:tc>
          <w:tcPr>
            <w:tcW w:w="1505" w:type="dxa"/>
            <w:tcBorders>
              <w:top w:val="single" w:sz="8" w:space="0" w:color="000000"/>
              <w:left w:val="single" w:sz="8" w:space="0" w:color="000000"/>
              <w:bottom w:val="single" w:sz="8" w:space="0" w:color="000000"/>
              <w:right w:val="single" w:sz="8" w:space="0" w:color="000000"/>
            </w:tcBorders>
          </w:tcPr>
          <w:p w14:paraId="127D1627" w14:textId="77777777" w:rsidR="00070FC2" w:rsidRPr="00381DC2" w:rsidRDefault="00070FC2" w:rsidP="006A2145">
            <w:pPr>
              <w:pStyle w:val="TableParagraph"/>
              <w:keepNext/>
              <w:keepLines/>
              <w:spacing w:before="53"/>
              <w:jc w:val="center"/>
              <w:rPr>
                <w:rFonts w:ascii="Times New Roman" w:eastAsia="Times New Roman" w:hAnsi="Times New Roman"/>
                <w:color w:val="000000"/>
              </w:rPr>
            </w:pPr>
            <w:r w:rsidRPr="00381DC2">
              <w:rPr>
                <w:rFonts w:ascii="Times New Roman"/>
                <w:color w:val="000000"/>
              </w:rPr>
              <w:t>5,7</w:t>
            </w:r>
          </w:p>
        </w:tc>
        <w:tc>
          <w:tcPr>
            <w:tcW w:w="1756" w:type="dxa"/>
            <w:tcBorders>
              <w:top w:val="single" w:sz="8" w:space="0" w:color="000000"/>
              <w:left w:val="single" w:sz="8" w:space="0" w:color="000000"/>
              <w:bottom w:val="single" w:sz="8" w:space="0" w:color="000000"/>
              <w:right w:val="single" w:sz="8" w:space="0" w:color="000000"/>
            </w:tcBorders>
          </w:tcPr>
          <w:p w14:paraId="63C79BA0" w14:textId="77777777" w:rsidR="00070FC2" w:rsidRPr="00381DC2" w:rsidRDefault="00070FC2" w:rsidP="006A2145">
            <w:pPr>
              <w:pStyle w:val="TableParagraph"/>
              <w:keepNext/>
              <w:keepLines/>
              <w:spacing w:before="53"/>
              <w:jc w:val="center"/>
              <w:rPr>
                <w:rFonts w:ascii="Times New Roman" w:eastAsia="Times New Roman" w:hAnsi="Times New Roman"/>
                <w:color w:val="000000"/>
              </w:rPr>
            </w:pPr>
            <w:r w:rsidRPr="00381DC2">
              <w:rPr>
                <w:rFonts w:ascii="Times New Roman"/>
                <w:color w:val="000000"/>
              </w:rPr>
              <w:t>8,6</w:t>
            </w:r>
          </w:p>
        </w:tc>
        <w:tc>
          <w:tcPr>
            <w:tcW w:w="1620" w:type="dxa"/>
            <w:tcBorders>
              <w:top w:val="single" w:sz="8" w:space="0" w:color="000000"/>
              <w:left w:val="single" w:sz="8" w:space="0" w:color="000000"/>
              <w:bottom w:val="single" w:sz="8" w:space="0" w:color="000000"/>
              <w:right w:val="single" w:sz="8" w:space="0" w:color="000000"/>
            </w:tcBorders>
          </w:tcPr>
          <w:p w14:paraId="7BAA3192" w14:textId="77777777" w:rsidR="00070FC2" w:rsidRPr="00381DC2" w:rsidRDefault="00070FC2" w:rsidP="006A2145">
            <w:pPr>
              <w:pStyle w:val="TableParagraph"/>
              <w:keepNext/>
              <w:keepLines/>
              <w:spacing w:before="53"/>
              <w:jc w:val="center"/>
              <w:rPr>
                <w:rFonts w:ascii="Times New Roman" w:eastAsia="Times New Roman" w:hAnsi="Times New Roman"/>
                <w:color w:val="000000"/>
              </w:rPr>
            </w:pPr>
            <w:r w:rsidRPr="00381DC2">
              <w:rPr>
                <w:rFonts w:ascii="Times New Roman"/>
                <w:color w:val="000000"/>
              </w:rPr>
              <w:t>6,2</w:t>
            </w:r>
          </w:p>
        </w:tc>
        <w:tc>
          <w:tcPr>
            <w:tcW w:w="1890" w:type="dxa"/>
            <w:tcBorders>
              <w:top w:val="single" w:sz="8" w:space="0" w:color="000000"/>
              <w:left w:val="single" w:sz="8" w:space="0" w:color="000000"/>
              <w:bottom w:val="single" w:sz="8" w:space="0" w:color="000000"/>
              <w:right w:val="single" w:sz="8" w:space="0" w:color="000000"/>
            </w:tcBorders>
          </w:tcPr>
          <w:p w14:paraId="4B3CB62F" w14:textId="77777777" w:rsidR="00070FC2" w:rsidRPr="00381DC2" w:rsidRDefault="00070FC2" w:rsidP="006A2145">
            <w:pPr>
              <w:pStyle w:val="TableParagraph"/>
              <w:keepNext/>
              <w:keepLines/>
              <w:spacing w:before="53"/>
              <w:jc w:val="center"/>
              <w:rPr>
                <w:rFonts w:ascii="Times New Roman" w:eastAsia="Times New Roman" w:hAnsi="Times New Roman"/>
                <w:color w:val="000000"/>
              </w:rPr>
            </w:pPr>
            <w:r w:rsidRPr="00381DC2">
              <w:rPr>
                <w:rFonts w:ascii="Times New Roman"/>
                <w:color w:val="000000"/>
              </w:rPr>
              <w:t>9,8</w:t>
            </w:r>
          </w:p>
        </w:tc>
      </w:tr>
      <w:tr w:rsidR="00070FC2" w:rsidRPr="00F60460" w14:paraId="419B57DB" w14:textId="77777777" w:rsidTr="006A2145">
        <w:tc>
          <w:tcPr>
            <w:tcW w:w="2214" w:type="dxa"/>
            <w:tcBorders>
              <w:top w:val="single" w:sz="8" w:space="0" w:color="000000"/>
              <w:left w:val="single" w:sz="4" w:space="0" w:color="auto"/>
              <w:bottom w:val="single" w:sz="8" w:space="0" w:color="000000"/>
              <w:right w:val="single" w:sz="8" w:space="0" w:color="000000"/>
            </w:tcBorders>
          </w:tcPr>
          <w:p w14:paraId="1489D9D6" w14:textId="77777777" w:rsidR="00070FC2" w:rsidRPr="00381DC2" w:rsidRDefault="00070FC2" w:rsidP="006A2145">
            <w:pPr>
              <w:pStyle w:val="TableParagraph"/>
              <w:keepNext/>
              <w:keepLines/>
              <w:spacing w:before="55"/>
              <w:ind w:left="90" w:right="136"/>
              <w:rPr>
                <w:rFonts w:ascii="Times New Roman" w:eastAsia="Times New Roman" w:hAnsi="Times New Roman"/>
                <w:color w:val="000000"/>
              </w:rPr>
            </w:pPr>
            <w:r w:rsidRPr="00381DC2">
              <w:rPr>
                <w:rFonts w:ascii="Times New Roman" w:hAnsi="Times New Roman"/>
                <w:color w:val="000000"/>
                <w:spacing w:val="-1"/>
              </w:rPr>
              <w:t>Poměr rizik</w:t>
            </w:r>
            <w:r w:rsidRPr="00381DC2">
              <w:rPr>
                <w:rFonts w:ascii="Times New Roman"/>
                <w:color w:val="000000"/>
                <w:spacing w:val="-1"/>
              </w:rPr>
              <w:t xml:space="preserve"> proti rameni s placebem</w:t>
            </w:r>
            <w:r w:rsidRPr="00381DC2">
              <w:rPr>
                <w:rFonts w:ascii="Times New Roman"/>
                <w:color w:val="000000"/>
                <w:spacing w:val="-4"/>
              </w:rPr>
              <w:t xml:space="preserve"> </w:t>
            </w:r>
            <w:r w:rsidRPr="00381DC2">
              <w:rPr>
                <w:rFonts w:ascii="Times New Roman"/>
                <w:color w:val="000000"/>
              </w:rPr>
              <w:t>(95%</w:t>
            </w:r>
            <w:r w:rsidRPr="00381DC2">
              <w:rPr>
                <w:rFonts w:ascii="Times New Roman"/>
                <w:color w:val="000000"/>
                <w:spacing w:val="1"/>
              </w:rPr>
              <w:t xml:space="preserve"> </w:t>
            </w:r>
            <w:r w:rsidRPr="00381DC2">
              <w:rPr>
                <w:rFonts w:ascii="Times New Roman"/>
                <w:color w:val="000000"/>
                <w:spacing w:val="-2"/>
              </w:rPr>
              <w:t>CI)</w:t>
            </w:r>
          </w:p>
        </w:tc>
        <w:tc>
          <w:tcPr>
            <w:tcW w:w="3261" w:type="dxa"/>
            <w:gridSpan w:val="2"/>
            <w:tcBorders>
              <w:top w:val="single" w:sz="8" w:space="0" w:color="000000"/>
              <w:left w:val="single" w:sz="8" w:space="0" w:color="000000"/>
              <w:bottom w:val="single" w:sz="8" w:space="0" w:color="000000"/>
              <w:right w:val="single" w:sz="8" w:space="0" w:color="000000"/>
            </w:tcBorders>
          </w:tcPr>
          <w:p w14:paraId="0776B233" w14:textId="77777777" w:rsidR="00070FC2" w:rsidRPr="00381DC2" w:rsidRDefault="00070FC2" w:rsidP="006A2145">
            <w:pPr>
              <w:pStyle w:val="TableParagraph"/>
              <w:keepNext/>
              <w:keepLines/>
              <w:spacing w:before="55"/>
              <w:ind w:left="764"/>
              <w:rPr>
                <w:rFonts w:ascii="Times New Roman" w:eastAsia="Times New Roman" w:hAnsi="Times New Roman"/>
                <w:color w:val="000000"/>
              </w:rPr>
            </w:pPr>
            <w:r w:rsidRPr="00381DC2">
              <w:rPr>
                <w:rFonts w:ascii="Times New Roman"/>
                <w:color w:val="000000"/>
              </w:rPr>
              <w:t xml:space="preserve">0,69 </w:t>
            </w:r>
            <w:r w:rsidRPr="00381DC2">
              <w:rPr>
                <w:rFonts w:ascii="Times New Roman"/>
                <w:color w:val="000000"/>
                <w:spacing w:val="-1"/>
              </w:rPr>
              <w:t>(0,56;</w:t>
            </w:r>
            <w:r w:rsidRPr="00381DC2">
              <w:rPr>
                <w:rFonts w:ascii="Times New Roman"/>
                <w:color w:val="000000"/>
                <w:spacing w:val="1"/>
              </w:rPr>
              <w:t xml:space="preserve"> </w:t>
            </w:r>
            <w:r w:rsidRPr="00381DC2">
              <w:rPr>
                <w:rFonts w:ascii="Times New Roman"/>
                <w:color w:val="000000"/>
                <w:spacing w:val="-1"/>
              </w:rPr>
              <w:t>0,84)</w:t>
            </w:r>
          </w:p>
        </w:tc>
        <w:tc>
          <w:tcPr>
            <w:tcW w:w="3510" w:type="dxa"/>
            <w:gridSpan w:val="2"/>
            <w:tcBorders>
              <w:top w:val="single" w:sz="8" w:space="0" w:color="000000"/>
              <w:left w:val="single" w:sz="8" w:space="0" w:color="000000"/>
              <w:bottom w:val="single" w:sz="8" w:space="0" w:color="000000"/>
              <w:right w:val="single" w:sz="8" w:space="0" w:color="000000"/>
            </w:tcBorders>
          </w:tcPr>
          <w:p w14:paraId="6F9EFEA1" w14:textId="77777777" w:rsidR="00070FC2" w:rsidRPr="00381DC2" w:rsidRDefault="00070FC2" w:rsidP="006A2145">
            <w:pPr>
              <w:pStyle w:val="TableParagraph"/>
              <w:keepNext/>
              <w:keepLines/>
              <w:spacing w:before="55"/>
              <w:ind w:left="836"/>
              <w:rPr>
                <w:rFonts w:ascii="Times New Roman" w:eastAsia="Times New Roman" w:hAnsi="Times New Roman"/>
                <w:color w:val="000000"/>
              </w:rPr>
            </w:pPr>
            <w:r w:rsidRPr="00381DC2">
              <w:rPr>
                <w:rFonts w:ascii="Times New Roman"/>
                <w:color w:val="000000"/>
              </w:rPr>
              <w:t xml:space="preserve">0,68 </w:t>
            </w:r>
            <w:r w:rsidRPr="00381DC2">
              <w:rPr>
                <w:rFonts w:ascii="Times New Roman"/>
                <w:color w:val="000000"/>
                <w:spacing w:val="-1"/>
              </w:rPr>
              <w:t>(0,54;</w:t>
            </w:r>
            <w:r w:rsidRPr="00381DC2">
              <w:rPr>
                <w:rFonts w:ascii="Times New Roman"/>
                <w:color w:val="000000"/>
                <w:spacing w:val="1"/>
              </w:rPr>
              <w:t xml:space="preserve"> </w:t>
            </w:r>
            <w:r w:rsidRPr="00381DC2">
              <w:rPr>
                <w:rFonts w:ascii="Times New Roman"/>
                <w:color w:val="000000"/>
                <w:spacing w:val="-1"/>
              </w:rPr>
              <w:t>0,86)</w:t>
            </w:r>
          </w:p>
        </w:tc>
      </w:tr>
      <w:tr w:rsidR="00070FC2" w:rsidRPr="00F60460" w14:paraId="600A1957" w14:textId="77777777" w:rsidTr="006A2145">
        <w:tc>
          <w:tcPr>
            <w:tcW w:w="2214" w:type="dxa"/>
            <w:tcBorders>
              <w:top w:val="single" w:sz="8" w:space="0" w:color="000000"/>
              <w:left w:val="single" w:sz="4" w:space="0" w:color="auto"/>
              <w:bottom w:val="single" w:sz="8" w:space="0" w:color="000000"/>
              <w:right w:val="single" w:sz="8" w:space="0" w:color="000000"/>
            </w:tcBorders>
          </w:tcPr>
          <w:p w14:paraId="7F863FA7" w14:textId="77777777" w:rsidR="00070FC2" w:rsidRPr="00381DC2" w:rsidRDefault="00070FC2" w:rsidP="006A2145">
            <w:pPr>
              <w:pStyle w:val="TableParagraph"/>
              <w:keepNext/>
              <w:keepLines/>
              <w:spacing w:before="53"/>
              <w:ind w:left="90"/>
              <w:rPr>
                <w:rFonts w:ascii="Times New Roman" w:eastAsia="Times New Roman" w:hAnsi="Times New Roman"/>
                <w:color w:val="000000"/>
              </w:rPr>
            </w:pPr>
            <w:r w:rsidRPr="00381DC2">
              <w:rPr>
                <w:rFonts w:ascii="Times New Roman"/>
                <w:color w:val="000000"/>
                <w:spacing w:val="-1"/>
              </w:rPr>
              <w:t>p-hodnota</w:t>
            </w:r>
          </w:p>
        </w:tc>
        <w:tc>
          <w:tcPr>
            <w:tcW w:w="3261" w:type="dxa"/>
            <w:gridSpan w:val="2"/>
            <w:tcBorders>
              <w:top w:val="single" w:sz="8" w:space="0" w:color="000000"/>
              <w:left w:val="single" w:sz="8" w:space="0" w:color="000000"/>
              <w:bottom w:val="single" w:sz="8" w:space="0" w:color="000000"/>
              <w:right w:val="single" w:sz="8" w:space="0" w:color="000000"/>
            </w:tcBorders>
          </w:tcPr>
          <w:p w14:paraId="5C44D45D" w14:textId="77777777" w:rsidR="00070FC2" w:rsidRPr="00381DC2" w:rsidRDefault="00070FC2" w:rsidP="006A2145">
            <w:pPr>
              <w:pStyle w:val="TableParagraph"/>
              <w:keepNext/>
              <w:keepLines/>
              <w:spacing w:before="53"/>
              <w:jc w:val="center"/>
              <w:rPr>
                <w:rFonts w:ascii="Times New Roman" w:eastAsia="Times New Roman" w:hAnsi="Times New Roman"/>
                <w:color w:val="000000"/>
              </w:rPr>
            </w:pPr>
            <w:r w:rsidRPr="00381DC2">
              <w:rPr>
                <w:rFonts w:ascii="Times New Roman"/>
                <w:color w:val="000000"/>
              </w:rPr>
              <w:t>0,0002</w:t>
            </w:r>
          </w:p>
        </w:tc>
        <w:tc>
          <w:tcPr>
            <w:tcW w:w="3510" w:type="dxa"/>
            <w:gridSpan w:val="2"/>
            <w:tcBorders>
              <w:top w:val="single" w:sz="8" w:space="0" w:color="000000"/>
              <w:left w:val="single" w:sz="8" w:space="0" w:color="000000"/>
              <w:bottom w:val="single" w:sz="8" w:space="0" w:color="000000"/>
              <w:right w:val="single" w:sz="8" w:space="0" w:color="000000"/>
            </w:tcBorders>
          </w:tcPr>
          <w:p w14:paraId="5793E6CD" w14:textId="77777777" w:rsidR="00070FC2" w:rsidRPr="00381DC2" w:rsidRDefault="00070FC2" w:rsidP="006A2145">
            <w:pPr>
              <w:pStyle w:val="TableParagraph"/>
              <w:keepNext/>
              <w:keepLines/>
              <w:spacing w:before="53"/>
              <w:ind w:left="1"/>
              <w:jc w:val="center"/>
              <w:rPr>
                <w:rFonts w:ascii="Times New Roman" w:eastAsia="Times New Roman" w:hAnsi="Times New Roman"/>
                <w:color w:val="000000"/>
              </w:rPr>
            </w:pPr>
            <w:r w:rsidRPr="00381DC2">
              <w:rPr>
                <w:rFonts w:ascii="Times New Roman"/>
                <w:color w:val="000000"/>
              </w:rPr>
              <w:t>0,0011</w:t>
            </w:r>
          </w:p>
        </w:tc>
      </w:tr>
      <w:tr w:rsidR="00070FC2" w:rsidRPr="00F60460" w14:paraId="53BE83DB" w14:textId="77777777" w:rsidTr="006A2145">
        <w:tc>
          <w:tcPr>
            <w:tcW w:w="8985" w:type="dxa"/>
            <w:gridSpan w:val="5"/>
            <w:tcBorders>
              <w:top w:val="single" w:sz="8" w:space="0" w:color="000000"/>
              <w:left w:val="single" w:sz="4" w:space="0" w:color="auto"/>
              <w:bottom w:val="single" w:sz="8" w:space="0" w:color="000000"/>
              <w:right w:val="single" w:sz="8" w:space="0" w:color="000000"/>
            </w:tcBorders>
          </w:tcPr>
          <w:p w14:paraId="7E7B1AC2" w14:textId="77777777" w:rsidR="00070FC2" w:rsidRPr="00F60460" w:rsidRDefault="00070FC2" w:rsidP="006A2145">
            <w:pPr>
              <w:pStyle w:val="TableParagraph"/>
              <w:keepNext/>
              <w:keepLines/>
              <w:spacing w:before="27"/>
              <w:ind w:left="90"/>
              <w:rPr>
                <w:rFonts w:ascii="Times New Roman" w:eastAsia="Times New Roman" w:hAnsi="Times New Roman"/>
                <w:color w:val="000000"/>
                <w:sz w:val="14"/>
                <w:szCs w:val="14"/>
              </w:rPr>
            </w:pPr>
            <w:r w:rsidRPr="00381DC2">
              <w:rPr>
                <w:rFonts w:ascii="Times New Roman" w:hAnsi="Times New Roman"/>
                <w:color w:val="000000"/>
                <w:spacing w:val="-1"/>
              </w:rPr>
              <w:t>Četnost odpovědí</w:t>
            </w:r>
            <w:r w:rsidRPr="00381DC2">
              <w:rPr>
                <w:rFonts w:ascii="Times New Roman" w:hAnsi="Times New Roman"/>
                <w:color w:val="000000"/>
                <w:spacing w:val="-2"/>
              </w:rPr>
              <w:t xml:space="preserve"> </w:t>
            </w:r>
            <w:r w:rsidRPr="00381DC2">
              <w:rPr>
                <w:rFonts w:ascii="Times New Roman" w:hAnsi="Times New Roman"/>
                <w:color w:val="000000"/>
                <w:spacing w:val="-1"/>
              </w:rPr>
              <w:t>(pacienti s měřitelným onemocněním)</w:t>
            </w:r>
            <w:r w:rsidRPr="00381DC2">
              <w:rPr>
                <w:rFonts w:ascii="Times New Roman" w:hAnsi="Times New Roman"/>
                <w:color w:val="000000"/>
                <w:spacing w:val="-1"/>
                <w:position w:val="10"/>
                <w:vertAlign w:val="superscript"/>
              </w:rPr>
              <w:t>b</w:t>
            </w:r>
          </w:p>
        </w:tc>
      </w:tr>
      <w:tr w:rsidR="00070FC2" w:rsidRPr="00F60460" w14:paraId="1A1761B2" w14:textId="77777777" w:rsidTr="006A2145">
        <w:tc>
          <w:tcPr>
            <w:tcW w:w="2214" w:type="dxa"/>
            <w:tcBorders>
              <w:top w:val="single" w:sz="8" w:space="0" w:color="000000"/>
              <w:left w:val="single" w:sz="4" w:space="0" w:color="auto"/>
              <w:bottom w:val="single" w:sz="8" w:space="0" w:color="000000"/>
              <w:right w:val="single" w:sz="8" w:space="0" w:color="000000"/>
            </w:tcBorders>
          </w:tcPr>
          <w:p w14:paraId="4ED53A4E" w14:textId="77777777" w:rsidR="00070FC2" w:rsidRPr="00381DC2" w:rsidRDefault="00070FC2" w:rsidP="006A2145">
            <w:pPr>
              <w:keepNext/>
              <w:keepLines/>
              <w:rPr>
                <w:rFonts w:ascii="Times New Roman" w:hAnsi="Times New Roman"/>
                <w:color w:val="000000"/>
              </w:rPr>
            </w:pPr>
          </w:p>
        </w:tc>
        <w:tc>
          <w:tcPr>
            <w:tcW w:w="3261" w:type="dxa"/>
            <w:gridSpan w:val="2"/>
            <w:tcBorders>
              <w:top w:val="single" w:sz="8" w:space="0" w:color="000000"/>
              <w:left w:val="single" w:sz="8" w:space="0" w:color="000000"/>
              <w:bottom w:val="single" w:sz="8" w:space="0" w:color="000000"/>
              <w:right w:val="single" w:sz="8" w:space="0" w:color="000000"/>
            </w:tcBorders>
          </w:tcPr>
          <w:p w14:paraId="652AA2B1" w14:textId="20016E68" w:rsidR="00070FC2" w:rsidRPr="00381DC2" w:rsidRDefault="00070FC2" w:rsidP="006A2145">
            <w:pPr>
              <w:pStyle w:val="TableParagraph"/>
              <w:keepNext/>
              <w:keepLines/>
              <w:spacing w:before="53"/>
              <w:ind w:left="733"/>
              <w:rPr>
                <w:rFonts w:ascii="Times New Roman" w:eastAsia="Times New Roman" w:hAnsi="Times New Roman"/>
                <w:color w:val="000000"/>
              </w:rPr>
            </w:pPr>
            <w:r w:rsidRPr="00381DC2">
              <w:rPr>
                <w:rFonts w:ascii="Times New Roman" w:hAnsi="Times New Roman"/>
                <w:color w:val="000000"/>
                <w:spacing w:val="-1"/>
              </w:rPr>
              <w:t>Kapecitabin</w:t>
            </w:r>
            <w:r w:rsidRPr="00381DC2">
              <w:rPr>
                <w:rFonts w:ascii="Times New Roman" w:hAnsi="Times New Roman"/>
                <w:color w:val="000000"/>
              </w:rPr>
              <w:t xml:space="preserve"> + </w:t>
            </w:r>
            <w:r w:rsidRPr="00381DC2">
              <w:rPr>
                <w:rFonts w:ascii="Times New Roman" w:hAnsi="Times New Roman"/>
                <w:color w:val="000000"/>
                <w:spacing w:val="-1"/>
              </w:rPr>
              <w:t>Placebo</w:t>
            </w:r>
            <w:r w:rsidRPr="00381DC2">
              <w:rPr>
                <w:rFonts w:ascii="Times New Roman" w:hAnsi="Times New Roman"/>
                <w:color w:val="000000"/>
                <w:spacing w:val="-2"/>
              </w:rPr>
              <w:t xml:space="preserve"> </w:t>
            </w:r>
            <w:r w:rsidRPr="00381DC2">
              <w:rPr>
                <w:rFonts w:ascii="Times New Roman" w:hAnsi="Times New Roman"/>
                <w:color w:val="000000"/>
                <w:spacing w:val="-1"/>
              </w:rPr>
              <w:t>(n</w:t>
            </w:r>
            <w:r w:rsidR="00C34ACD">
              <w:rPr>
                <w:rFonts w:ascii="Times New Roman" w:hAnsi="Times New Roman"/>
                <w:color w:val="000000"/>
                <w:spacing w:val="-1"/>
              </w:rPr>
              <w:t xml:space="preserve"> </w:t>
            </w:r>
            <w:r w:rsidRPr="00381DC2">
              <w:rPr>
                <w:rFonts w:ascii="Times New Roman" w:hAnsi="Times New Roman"/>
                <w:color w:val="000000"/>
                <w:spacing w:val="-1"/>
              </w:rPr>
              <w:t>=</w:t>
            </w:r>
            <w:r w:rsidR="00C34ACD">
              <w:rPr>
                <w:rFonts w:ascii="Times New Roman" w:hAnsi="Times New Roman"/>
                <w:color w:val="000000"/>
                <w:spacing w:val="-1"/>
              </w:rPr>
              <w:t xml:space="preserve"> </w:t>
            </w:r>
            <w:r w:rsidRPr="00381DC2">
              <w:rPr>
                <w:rFonts w:ascii="Times New Roman" w:hAnsi="Times New Roman"/>
                <w:color w:val="000000"/>
                <w:spacing w:val="-1"/>
              </w:rPr>
              <w:t>161)</w:t>
            </w:r>
          </w:p>
        </w:tc>
        <w:tc>
          <w:tcPr>
            <w:tcW w:w="3510" w:type="dxa"/>
            <w:gridSpan w:val="2"/>
            <w:tcBorders>
              <w:top w:val="single" w:sz="8" w:space="0" w:color="000000"/>
              <w:left w:val="single" w:sz="8" w:space="0" w:color="000000"/>
              <w:bottom w:val="single" w:sz="8" w:space="0" w:color="000000"/>
              <w:right w:val="single" w:sz="8" w:space="0" w:color="000000"/>
            </w:tcBorders>
          </w:tcPr>
          <w:p w14:paraId="2FB050C5" w14:textId="48F32967" w:rsidR="00070FC2" w:rsidRPr="00381DC2" w:rsidRDefault="00070FC2" w:rsidP="006A2145">
            <w:pPr>
              <w:pStyle w:val="TableParagraph"/>
              <w:keepNext/>
              <w:keepLines/>
              <w:spacing w:before="53"/>
              <w:ind w:left="553"/>
              <w:rPr>
                <w:rFonts w:ascii="Times New Roman" w:eastAsia="Times New Roman" w:hAnsi="Times New Roman"/>
                <w:color w:val="000000"/>
              </w:rPr>
            </w:pPr>
            <w:r w:rsidRPr="00381DC2">
              <w:rPr>
                <w:rFonts w:ascii="Times New Roman" w:hAnsi="Times New Roman"/>
                <w:color w:val="000000"/>
                <w:spacing w:val="-1"/>
              </w:rPr>
              <w:t>Kapecitabin</w:t>
            </w:r>
            <w:r w:rsidRPr="00381DC2">
              <w:rPr>
                <w:rFonts w:ascii="Times New Roman" w:hAnsi="Times New Roman"/>
                <w:color w:val="000000"/>
              </w:rPr>
              <w:t xml:space="preserve"> + </w:t>
            </w:r>
            <w:r w:rsidRPr="00381DC2">
              <w:rPr>
                <w:rFonts w:ascii="Times New Roman" w:hAnsi="Times New Roman"/>
                <w:color w:val="000000"/>
                <w:spacing w:val="-1"/>
              </w:rPr>
              <w:t>Bevacizumab</w:t>
            </w:r>
            <w:r w:rsidRPr="00381DC2">
              <w:rPr>
                <w:rFonts w:ascii="Times New Roman" w:hAnsi="Times New Roman"/>
                <w:color w:val="000000"/>
              </w:rPr>
              <w:t xml:space="preserve"> </w:t>
            </w:r>
            <w:r w:rsidRPr="00381DC2">
              <w:rPr>
                <w:rFonts w:ascii="Times New Roman" w:hAnsi="Times New Roman"/>
                <w:color w:val="000000"/>
                <w:spacing w:val="-1"/>
              </w:rPr>
              <w:t>(n</w:t>
            </w:r>
            <w:r w:rsidR="00C34ACD">
              <w:rPr>
                <w:rFonts w:ascii="Times New Roman" w:hAnsi="Times New Roman"/>
                <w:color w:val="000000"/>
                <w:spacing w:val="-1"/>
              </w:rPr>
              <w:t xml:space="preserve"> </w:t>
            </w:r>
            <w:r w:rsidRPr="00381DC2">
              <w:rPr>
                <w:rFonts w:ascii="Times New Roman" w:hAnsi="Times New Roman"/>
                <w:color w:val="000000"/>
                <w:spacing w:val="-1"/>
              </w:rPr>
              <w:t>=</w:t>
            </w:r>
            <w:r w:rsidR="00C34ACD">
              <w:rPr>
                <w:rFonts w:ascii="Times New Roman" w:hAnsi="Times New Roman"/>
                <w:color w:val="000000"/>
                <w:spacing w:val="-1"/>
              </w:rPr>
              <w:t xml:space="preserve"> </w:t>
            </w:r>
            <w:r w:rsidRPr="00381DC2">
              <w:rPr>
                <w:rFonts w:ascii="Times New Roman" w:hAnsi="Times New Roman"/>
                <w:color w:val="000000"/>
                <w:spacing w:val="-1"/>
              </w:rPr>
              <w:t>325)</w:t>
            </w:r>
          </w:p>
        </w:tc>
      </w:tr>
      <w:tr w:rsidR="00070FC2" w:rsidRPr="00F60460" w14:paraId="7F4F2626" w14:textId="77777777" w:rsidTr="006A2145">
        <w:tc>
          <w:tcPr>
            <w:tcW w:w="2214" w:type="dxa"/>
            <w:tcBorders>
              <w:top w:val="single" w:sz="8" w:space="0" w:color="000000"/>
              <w:left w:val="single" w:sz="4" w:space="0" w:color="auto"/>
              <w:bottom w:val="single" w:sz="8" w:space="0" w:color="000000"/>
              <w:right w:val="single" w:sz="8" w:space="0" w:color="000000"/>
            </w:tcBorders>
          </w:tcPr>
          <w:p w14:paraId="0E0BB220" w14:textId="77777777" w:rsidR="00070FC2" w:rsidRPr="00381DC2" w:rsidRDefault="00070FC2" w:rsidP="006A2145">
            <w:pPr>
              <w:pStyle w:val="TableParagraph"/>
              <w:keepNext/>
              <w:keepLines/>
              <w:spacing w:before="53"/>
              <w:ind w:left="90" w:right="292"/>
              <w:rPr>
                <w:rFonts w:ascii="Times New Roman" w:eastAsia="Times New Roman" w:hAnsi="Times New Roman"/>
                <w:color w:val="000000"/>
              </w:rPr>
            </w:pPr>
            <w:r w:rsidRPr="00381DC2">
              <w:rPr>
                <w:rFonts w:ascii="Times New Roman" w:hAnsi="Times New Roman"/>
                <w:color w:val="000000"/>
              </w:rPr>
              <w:t>%</w:t>
            </w:r>
            <w:r w:rsidRPr="00381DC2">
              <w:rPr>
                <w:rFonts w:ascii="Times New Roman" w:hAnsi="Times New Roman"/>
                <w:color w:val="000000"/>
                <w:spacing w:val="1"/>
              </w:rPr>
              <w:t xml:space="preserve"> </w:t>
            </w:r>
            <w:r w:rsidRPr="00381DC2">
              <w:rPr>
                <w:rFonts w:ascii="Times New Roman" w:hAnsi="Times New Roman"/>
                <w:color w:val="000000"/>
                <w:spacing w:val="-1"/>
              </w:rPr>
              <w:t>pacientů s objektivní odpovědí</w:t>
            </w:r>
          </w:p>
        </w:tc>
        <w:tc>
          <w:tcPr>
            <w:tcW w:w="3261" w:type="dxa"/>
            <w:gridSpan w:val="2"/>
            <w:tcBorders>
              <w:top w:val="single" w:sz="8" w:space="0" w:color="000000"/>
              <w:left w:val="single" w:sz="8" w:space="0" w:color="000000"/>
              <w:bottom w:val="single" w:sz="8" w:space="0" w:color="000000"/>
              <w:right w:val="single" w:sz="8" w:space="0" w:color="000000"/>
            </w:tcBorders>
          </w:tcPr>
          <w:p w14:paraId="71BD1B89" w14:textId="77777777" w:rsidR="00070FC2" w:rsidRPr="00381DC2" w:rsidRDefault="00070FC2" w:rsidP="006A2145">
            <w:pPr>
              <w:pStyle w:val="TableParagraph"/>
              <w:keepNext/>
              <w:keepLines/>
              <w:spacing w:before="53"/>
              <w:jc w:val="center"/>
              <w:rPr>
                <w:rFonts w:ascii="Times New Roman" w:eastAsia="Times New Roman" w:hAnsi="Times New Roman"/>
                <w:color w:val="000000"/>
              </w:rPr>
            </w:pPr>
            <w:r w:rsidRPr="00381DC2">
              <w:rPr>
                <w:rFonts w:ascii="Times New Roman" w:hAnsi="Times New Roman"/>
                <w:color w:val="000000"/>
              </w:rPr>
              <w:t>23,6</w:t>
            </w:r>
          </w:p>
        </w:tc>
        <w:tc>
          <w:tcPr>
            <w:tcW w:w="3510" w:type="dxa"/>
            <w:gridSpan w:val="2"/>
            <w:tcBorders>
              <w:top w:val="single" w:sz="8" w:space="0" w:color="000000"/>
              <w:left w:val="single" w:sz="8" w:space="0" w:color="000000"/>
              <w:bottom w:val="single" w:sz="8" w:space="0" w:color="000000"/>
              <w:right w:val="single" w:sz="8" w:space="0" w:color="000000"/>
            </w:tcBorders>
          </w:tcPr>
          <w:p w14:paraId="7ED65386" w14:textId="77777777" w:rsidR="00070FC2" w:rsidRPr="00381DC2" w:rsidRDefault="00070FC2" w:rsidP="006A2145">
            <w:pPr>
              <w:pStyle w:val="TableParagraph"/>
              <w:keepNext/>
              <w:keepLines/>
              <w:spacing w:before="53"/>
              <w:ind w:left="1"/>
              <w:jc w:val="center"/>
              <w:rPr>
                <w:rFonts w:ascii="Times New Roman" w:eastAsia="Times New Roman" w:hAnsi="Times New Roman"/>
                <w:color w:val="000000"/>
              </w:rPr>
            </w:pPr>
            <w:r w:rsidRPr="00381DC2">
              <w:rPr>
                <w:rFonts w:ascii="Times New Roman" w:hAnsi="Times New Roman"/>
                <w:color w:val="000000"/>
              </w:rPr>
              <w:t>35,4</w:t>
            </w:r>
          </w:p>
        </w:tc>
      </w:tr>
      <w:tr w:rsidR="00070FC2" w:rsidRPr="00F60460" w14:paraId="5E9E65F9" w14:textId="77777777" w:rsidTr="006A2145">
        <w:tc>
          <w:tcPr>
            <w:tcW w:w="2214" w:type="dxa"/>
            <w:tcBorders>
              <w:top w:val="single" w:sz="8" w:space="0" w:color="000000"/>
              <w:left w:val="single" w:sz="4" w:space="0" w:color="auto"/>
              <w:bottom w:val="single" w:sz="8" w:space="0" w:color="000000"/>
              <w:right w:val="single" w:sz="8" w:space="0" w:color="000000"/>
            </w:tcBorders>
          </w:tcPr>
          <w:p w14:paraId="1A77845B" w14:textId="77777777" w:rsidR="00070FC2" w:rsidRPr="00381DC2" w:rsidRDefault="00070FC2" w:rsidP="006A2145">
            <w:pPr>
              <w:pStyle w:val="TableParagraph"/>
              <w:keepNext/>
              <w:keepLines/>
              <w:spacing w:before="53"/>
              <w:ind w:left="90"/>
              <w:rPr>
                <w:rFonts w:ascii="Times New Roman" w:eastAsia="Times New Roman" w:hAnsi="Times New Roman"/>
                <w:color w:val="000000"/>
              </w:rPr>
            </w:pPr>
            <w:r w:rsidRPr="00381DC2">
              <w:rPr>
                <w:rFonts w:ascii="Times New Roman" w:hAnsi="Times New Roman"/>
                <w:color w:val="000000"/>
                <w:spacing w:val="-1"/>
              </w:rPr>
              <w:t>p-hodnota</w:t>
            </w:r>
          </w:p>
        </w:tc>
        <w:tc>
          <w:tcPr>
            <w:tcW w:w="6771" w:type="dxa"/>
            <w:gridSpan w:val="4"/>
            <w:tcBorders>
              <w:top w:val="single" w:sz="8" w:space="0" w:color="000000"/>
              <w:left w:val="single" w:sz="8" w:space="0" w:color="000000"/>
              <w:bottom w:val="single" w:sz="8" w:space="0" w:color="000000"/>
              <w:right w:val="single" w:sz="8" w:space="0" w:color="000000"/>
            </w:tcBorders>
          </w:tcPr>
          <w:p w14:paraId="761D56F8" w14:textId="77777777" w:rsidR="00070FC2" w:rsidRPr="00381DC2" w:rsidRDefault="00ED4C2D" w:rsidP="006A2145">
            <w:pPr>
              <w:pStyle w:val="TableParagraph"/>
              <w:keepNext/>
              <w:keepLines/>
              <w:spacing w:before="53"/>
              <w:jc w:val="center"/>
              <w:rPr>
                <w:rFonts w:ascii="Times New Roman" w:eastAsia="Times New Roman" w:hAnsi="Times New Roman"/>
                <w:color w:val="000000"/>
              </w:rPr>
            </w:pPr>
            <w:r w:rsidRPr="00381DC2">
              <w:rPr>
                <w:rFonts w:ascii="Times New Roman" w:hAnsi="Times New Roman"/>
                <w:color w:val="000000"/>
              </w:rPr>
              <w:t>0</w:t>
            </w:r>
            <w:r w:rsidR="00070FC2" w:rsidRPr="00381DC2">
              <w:rPr>
                <w:rFonts w:ascii="Times New Roman" w:hAnsi="Times New Roman"/>
                <w:color w:val="000000"/>
              </w:rPr>
              <w:t>,0097</w:t>
            </w:r>
          </w:p>
        </w:tc>
      </w:tr>
      <w:tr w:rsidR="00070FC2" w:rsidRPr="00F60460" w14:paraId="0561B9F0" w14:textId="77777777" w:rsidTr="006A2145">
        <w:tc>
          <w:tcPr>
            <w:tcW w:w="8985" w:type="dxa"/>
            <w:gridSpan w:val="5"/>
            <w:tcBorders>
              <w:top w:val="single" w:sz="8" w:space="0" w:color="000000"/>
              <w:left w:val="single" w:sz="4" w:space="0" w:color="auto"/>
              <w:bottom w:val="single" w:sz="8" w:space="0" w:color="000000"/>
              <w:right w:val="single" w:sz="8" w:space="0" w:color="000000"/>
            </w:tcBorders>
          </w:tcPr>
          <w:p w14:paraId="7DBAE149" w14:textId="77777777" w:rsidR="00070FC2" w:rsidRPr="00F60460" w:rsidRDefault="00070FC2" w:rsidP="006A2145">
            <w:pPr>
              <w:pStyle w:val="TableParagraph"/>
              <w:keepNext/>
              <w:keepLines/>
              <w:spacing w:before="30"/>
              <w:ind w:left="97"/>
              <w:rPr>
                <w:rFonts w:ascii="Times New Roman" w:eastAsia="Times New Roman" w:hAnsi="Times New Roman"/>
                <w:color w:val="000000"/>
                <w:sz w:val="14"/>
                <w:szCs w:val="14"/>
              </w:rPr>
            </w:pPr>
            <w:r w:rsidRPr="00381DC2">
              <w:rPr>
                <w:rFonts w:ascii="Times New Roman" w:hAnsi="Times New Roman"/>
                <w:color w:val="000000"/>
                <w:spacing w:val="-1"/>
              </w:rPr>
              <w:t>Celkové přežití</w:t>
            </w:r>
            <w:r w:rsidRPr="00381DC2">
              <w:rPr>
                <w:rFonts w:ascii="Times New Roman" w:hAnsi="Times New Roman"/>
                <w:color w:val="000000"/>
                <w:spacing w:val="-1"/>
                <w:position w:val="10"/>
                <w:vertAlign w:val="superscript"/>
              </w:rPr>
              <w:t>b</w:t>
            </w:r>
          </w:p>
        </w:tc>
      </w:tr>
      <w:tr w:rsidR="00070FC2" w:rsidRPr="00F60460" w14:paraId="126D0D0C" w14:textId="77777777" w:rsidTr="006A2145">
        <w:tc>
          <w:tcPr>
            <w:tcW w:w="2214" w:type="dxa"/>
            <w:tcBorders>
              <w:top w:val="single" w:sz="8" w:space="0" w:color="000000"/>
              <w:left w:val="single" w:sz="11" w:space="0" w:color="000000"/>
              <w:bottom w:val="single" w:sz="8" w:space="0" w:color="000000"/>
              <w:right w:val="single" w:sz="8" w:space="0" w:color="000000"/>
            </w:tcBorders>
          </w:tcPr>
          <w:p w14:paraId="1126EEF4" w14:textId="77777777" w:rsidR="00070FC2" w:rsidRPr="00381DC2" w:rsidRDefault="00070FC2" w:rsidP="006A2145">
            <w:pPr>
              <w:pStyle w:val="TableParagraph"/>
              <w:keepNext/>
              <w:keepLines/>
              <w:spacing w:before="19" w:line="298" w:lineRule="auto"/>
              <w:ind w:left="97" w:right="1267"/>
              <w:rPr>
                <w:rFonts w:ascii="Times New Roman" w:eastAsia="Times New Roman" w:hAnsi="Times New Roman"/>
                <w:color w:val="000000"/>
              </w:rPr>
            </w:pPr>
            <w:r w:rsidRPr="00381DC2">
              <w:rPr>
                <w:rFonts w:ascii="Times New Roman" w:hAnsi="Times New Roman"/>
                <w:color w:val="000000"/>
                <w:spacing w:val="-2"/>
              </w:rPr>
              <w:t xml:space="preserve">Poměr rizik </w:t>
            </w:r>
            <w:r w:rsidRPr="00381DC2">
              <w:rPr>
                <w:rFonts w:ascii="Times New Roman" w:hAnsi="Times New Roman"/>
                <w:color w:val="000000"/>
              </w:rPr>
              <w:t>(95%</w:t>
            </w:r>
            <w:r w:rsidRPr="00381DC2">
              <w:rPr>
                <w:rFonts w:ascii="Times New Roman" w:hAnsi="Times New Roman"/>
                <w:color w:val="000000"/>
                <w:spacing w:val="-2"/>
              </w:rPr>
              <w:t xml:space="preserve"> CI)</w:t>
            </w:r>
          </w:p>
        </w:tc>
        <w:tc>
          <w:tcPr>
            <w:tcW w:w="6771" w:type="dxa"/>
            <w:gridSpan w:val="4"/>
            <w:tcBorders>
              <w:top w:val="single" w:sz="8" w:space="0" w:color="000000"/>
              <w:left w:val="single" w:sz="8" w:space="0" w:color="000000"/>
              <w:bottom w:val="single" w:sz="8" w:space="0" w:color="000000"/>
              <w:right w:val="single" w:sz="8" w:space="0" w:color="000000"/>
            </w:tcBorders>
          </w:tcPr>
          <w:p w14:paraId="1DA9B40D" w14:textId="77777777" w:rsidR="00070FC2" w:rsidRPr="00381DC2" w:rsidRDefault="00070FC2" w:rsidP="006A2145">
            <w:pPr>
              <w:pStyle w:val="TableParagraph"/>
              <w:keepNext/>
              <w:keepLines/>
              <w:spacing w:before="194"/>
              <w:ind w:left="37"/>
              <w:jc w:val="center"/>
              <w:rPr>
                <w:rFonts w:ascii="Times New Roman" w:eastAsia="Times New Roman" w:hAnsi="Times New Roman"/>
                <w:color w:val="000000"/>
              </w:rPr>
            </w:pPr>
            <w:r w:rsidRPr="00381DC2">
              <w:rPr>
                <w:rFonts w:ascii="Times New Roman" w:hAnsi="Times New Roman"/>
                <w:color w:val="000000"/>
              </w:rPr>
              <w:t xml:space="preserve">0,88 </w:t>
            </w:r>
            <w:r w:rsidRPr="00381DC2">
              <w:rPr>
                <w:rFonts w:ascii="Times New Roman" w:hAnsi="Times New Roman"/>
                <w:color w:val="000000"/>
                <w:spacing w:val="-1"/>
              </w:rPr>
              <w:t>(0,69;</w:t>
            </w:r>
            <w:r w:rsidRPr="00381DC2">
              <w:rPr>
                <w:rFonts w:ascii="Times New Roman" w:hAnsi="Times New Roman"/>
                <w:color w:val="000000"/>
                <w:spacing w:val="1"/>
              </w:rPr>
              <w:t xml:space="preserve"> </w:t>
            </w:r>
            <w:r w:rsidRPr="00381DC2">
              <w:rPr>
                <w:rFonts w:ascii="Times New Roman" w:hAnsi="Times New Roman"/>
                <w:color w:val="000000"/>
                <w:spacing w:val="-1"/>
              </w:rPr>
              <w:t>1,13)</w:t>
            </w:r>
          </w:p>
        </w:tc>
      </w:tr>
      <w:tr w:rsidR="00070FC2" w:rsidRPr="00F60460" w14:paraId="2BA32E61" w14:textId="77777777" w:rsidTr="006A2145">
        <w:tc>
          <w:tcPr>
            <w:tcW w:w="2214" w:type="dxa"/>
            <w:tcBorders>
              <w:top w:val="single" w:sz="8" w:space="0" w:color="000000"/>
              <w:left w:val="single" w:sz="11" w:space="0" w:color="000000"/>
              <w:bottom w:val="single" w:sz="8" w:space="0" w:color="000000"/>
              <w:right w:val="single" w:sz="8" w:space="0" w:color="000000"/>
            </w:tcBorders>
          </w:tcPr>
          <w:p w14:paraId="7C9A5348" w14:textId="77777777" w:rsidR="00070FC2" w:rsidRPr="00381DC2" w:rsidRDefault="00070FC2" w:rsidP="003C1003">
            <w:pPr>
              <w:pStyle w:val="TableParagraph"/>
              <w:spacing w:before="53"/>
              <w:ind w:left="97"/>
              <w:rPr>
                <w:rFonts w:ascii="Times New Roman" w:eastAsia="Times New Roman" w:hAnsi="Times New Roman"/>
                <w:color w:val="000000"/>
              </w:rPr>
            </w:pPr>
            <w:r w:rsidRPr="00381DC2">
              <w:rPr>
                <w:rFonts w:ascii="Times New Roman" w:hAnsi="Times New Roman"/>
                <w:color w:val="000000"/>
                <w:spacing w:val="-1"/>
              </w:rPr>
              <w:t>p-hodnota (exploratorní)</w:t>
            </w:r>
          </w:p>
        </w:tc>
        <w:tc>
          <w:tcPr>
            <w:tcW w:w="6771" w:type="dxa"/>
            <w:gridSpan w:val="4"/>
            <w:tcBorders>
              <w:top w:val="single" w:sz="8" w:space="0" w:color="000000"/>
              <w:left w:val="single" w:sz="8" w:space="0" w:color="000000"/>
              <w:bottom w:val="single" w:sz="8" w:space="0" w:color="000000"/>
              <w:right w:val="single" w:sz="8" w:space="0" w:color="000000"/>
            </w:tcBorders>
          </w:tcPr>
          <w:p w14:paraId="4779EDC3" w14:textId="77777777" w:rsidR="00070FC2" w:rsidRPr="00381DC2" w:rsidRDefault="00070FC2" w:rsidP="003C1003">
            <w:pPr>
              <w:pStyle w:val="TableParagraph"/>
              <w:spacing w:before="53"/>
              <w:ind w:left="38"/>
              <w:jc w:val="center"/>
              <w:rPr>
                <w:rFonts w:ascii="Times New Roman" w:eastAsia="Times New Roman" w:hAnsi="Times New Roman"/>
                <w:color w:val="000000"/>
              </w:rPr>
            </w:pPr>
            <w:r w:rsidRPr="00381DC2">
              <w:rPr>
                <w:rFonts w:ascii="Times New Roman" w:hAnsi="Times New Roman"/>
                <w:color w:val="000000"/>
              </w:rPr>
              <w:t>0,33</w:t>
            </w:r>
          </w:p>
        </w:tc>
      </w:tr>
    </w:tbl>
    <w:p w14:paraId="2E36FF3A" w14:textId="6D6EA097" w:rsidR="00086F70" w:rsidRPr="00F60460" w:rsidRDefault="00070FC2" w:rsidP="001473C5">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(a)</w:t>
      </w:r>
      <w:r w:rsidRPr="00F60460">
        <w:rPr>
          <w:rFonts w:ascii="Times New Roman" w:eastAsia="Times New Roman" w:hAnsi="Times New Roman"/>
          <w:color w:val="000000"/>
          <w:sz w:val="20"/>
          <w:szCs w:val="20"/>
          <w:lang w:bidi="ar-SA"/>
        </w:rPr>
        <w:t xml:space="preserve"> </w:t>
      </w:r>
      <w:r w:rsidR="001473C5"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1</w:t>
      </w:r>
      <w:r w:rsidR="00C34ACD" w:rsidRPr="00F60460">
        <w:rPr>
          <w:rFonts w:ascii="Times New Roman" w:eastAsia="Times New Roman" w:hAnsi="Times New Roman"/>
          <w:color w:val="000000"/>
          <w:sz w:val="20"/>
          <w:szCs w:val="20"/>
          <w:lang w:bidi="ar-SA"/>
        </w:rPr>
        <w:t xml:space="preserve"> </w:t>
      </w:r>
      <w:r w:rsidRPr="00F60460">
        <w:rPr>
          <w:rFonts w:ascii="Times New Roman" w:eastAsia="Times New Roman" w:hAnsi="Times New Roman"/>
          <w:color w:val="000000"/>
          <w:sz w:val="20"/>
          <w:szCs w:val="20"/>
          <w:lang w:bidi="ar-SA"/>
        </w:rPr>
        <w:t>000 mg/m</w:t>
      </w:r>
      <w:r w:rsidRPr="00F60460">
        <w:rPr>
          <w:rFonts w:ascii="Times New Roman" w:eastAsia="Times New Roman" w:hAnsi="Times New Roman"/>
          <w:color w:val="000000"/>
          <w:sz w:val="20"/>
          <w:szCs w:val="20"/>
          <w:vertAlign w:val="superscript"/>
          <w:lang w:bidi="ar-SA"/>
        </w:rPr>
        <w:t>2</w:t>
      </w:r>
      <w:r w:rsidRPr="00F60460">
        <w:rPr>
          <w:rFonts w:ascii="Times New Roman" w:eastAsia="Times New Roman" w:hAnsi="Times New Roman"/>
          <w:color w:val="000000"/>
          <w:sz w:val="20"/>
          <w:szCs w:val="20"/>
          <w:lang w:bidi="ar-SA"/>
        </w:rPr>
        <w:t xml:space="preserve"> perorálně 2 x denně po dobu 14 dní každé 3 týdny.</w:t>
      </w:r>
    </w:p>
    <w:p w14:paraId="0EEA328F" w14:textId="77777777" w:rsidR="00070FC2" w:rsidRPr="00F60460" w:rsidRDefault="00070FC2" w:rsidP="001473C5">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(b)</w:t>
      </w:r>
      <w:r w:rsidRPr="00F60460">
        <w:rPr>
          <w:rFonts w:ascii="Times New Roman" w:eastAsia="Times New Roman" w:hAnsi="Times New Roman"/>
          <w:color w:val="000000"/>
          <w:sz w:val="20"/>
          <w:szCs w:val="20"/>
          <w:lang w:bidi="ar-SA"/>
        </w:rPr>
        <w:t xml:space="preserve"> </w:t>
      </w:r>
      <w:r w:rsidR="00086F70"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Stratifikovaná analýza zahrnovala všechny progrese a úmrtí s výjimkou pacientů, u kterých byla protokolem nespecifikovaná léčba zahájena před prokázáním progrese; data těchto pacientů byla cenzurována k datu posledního zhodnocení nádoru před zahájením protokolem nespecifikované léčby.</w:t>
      </w:r>
      <w:r w:rsidRPr="00F60460">
        <w:rPr>
          <w:rFonts w:ascii="Times New Roman" w:eastAsia="Times New Roman" w:hAnsi="Times New Roman"/>
          <w:color w:val="000000"/>
          <w:sz w:val="20"/>
          <w:szCs w:val="20"/>
          <w:lang w:bidi="ar-SA"/>
        </w:rPr>
        <w:br/>
        <w:t>CI = interval spolehlivosti.</w:t>
      </w:r>
    </w:p>
    <w:p w14:paraId="49A24D4C" w14:textId="77777777" w:rsidR="00070FC2" w:rsidRPr="00381DC2" w:rsidRDefault="00070FC2" w:rsidP="00070FC2">
      <w:pPr>
        <w:widowControl/>
        <w:rPr>
          <w:rFonts w:ascii="Times New Roman" w:eastAsia="Times New Roman" w:hAnsi="Times New Roman"/>
          <w:color w:val="000000"/>
          <w:lang w:bidi="ar-SA"/>
        </w:rPr>
      </w:pPr>
    </w:p>
    <w:p w14:paraId="727C4309" w14:textId="77777777" w:rsidR="00070FC2" w:rsidRPr="00381DC2" w:rsidRDefault="00070FC2" w:rsidP="00070FC2">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Byla provedena nestratifikovaná analýza doby přežití bez progrese (hodnocená řešitelem), kdy nebyla cenzurována pro protokolem nespecifikovanou léčbu před progresí nemoci. Výsledky těchto analýz byly velmi podobné primárním výsledkům doby přežití bez progrese.</w:t>
      </w:r>
    </w:p>
    <w:p w14:paraId="242495B9" w14:textId="77777777" w:rsidR="00F13762" w:rsidRPr="00381DC2" w:rsidRDefault="00F13762" w:rsidP="007F6E1B">
      <w:pPr>
        <w:pStyle w:val="BodyText"/>
        <w:ind w:left="0" w:right="265"/>
        <w:rPr>
          <w:color w:val="000000"/>
        </w:rPr>
      </w:pPr>
    </w:p>
    <w:p w14:paraId="2A90B1F3" w14:textId="77777777" w:rsidR="00D15122" w:rsidRPr="00381DC2" w:rsidRDefault="009B0756" w:rsidP="007F6E1B">
      <w:pPr>
        <w:keepNext/>
        <w:rPr>
          <w:rFonts w:ascii="Times New Roman" w:eastAsia="Times New Roman" w:hAnsi="Times New Roman"/>
          <w:i/>
          <w:color w:val="000000"/>
        </w:rPr>
      </w:pPr>
      <w:r w:rsidRPr="00381DC2">
        <w:rPr>
          <w:rFonts w:ascii="Times New Roman" w:hAnsi="Times New Roman"/>
          <w:i/>
          <w:color w:val="000000"/>
          <w:u w:val="single" w:color="000000"/>
        </w:rPr>
        <w:t>Nemalobuněčn</w:t>
      </w:r>
      <w:r w:rsidR="00424D9A" w:rsidRPr="00381DC2">
        <w:rPr>
          <w:rFonts w:ascii="Times New Roman" w:hAnsi="Times New Roman"/>
          <w:i/>
          <w:color w:val="000000"/>
          <w:u w:val="single" w:color="000000"/>
        </w:rPr>
        <w:t>ý karcinom</w:t>
      </w:r>
      <w:r w:rsidR="001F02D5" w:rsidRPr="00381DC2">
        <w:rPr>
          <w:rFonts w:ascii="Times New Roman" w:hAnsi="Times New Roman"/>
          <w:i/>
          <w:color w:val="000000"/>
          <w:u w:val="single" w:color="000000"/>
        </w:rPr>
        <w:t xml:space="preserve"> plic</w:t>
      </w:r>
      <w:r w:rsidRPr="00381DC2">
        <w:rPr>
          <w:rFonts w:ascii="Times New Roman" w:hAnsi="Times New Roman"/>
          <w:i/>
          <w:color w:val="000000"/>
          <w:u w:val="single" w:color="000000"/>
        </w:rPr>
        <w:t xml:space="preserve"> (NSCLC)</w:t>
      </w:r>
    </w:p>
    <w:p w14:paraId="0C0785A8" w14:textId="77777777" w:rsidR="00D15122" w:rsidRPr="00381DC2" w:rsidRDefault="00D15122" w:rsidP="007F6E1B">
      <w:pPr>
        <w:keepNext/>
        <w:rPr>
          <w:rFonts w:ascii="Times New Roman" w:eastAsia="Times New Roman" w:hAnsi="Times New Roman"/>
          <w:color w:val="000000"/>
        </w:rPr>
      </w:pPr>
    </w:p>
    <w:p w14:paraId="179F315C" w14:textId="77777777" w:rsidR="00D15122" w:rsidRPr="00381DC2" w:rsidRDefault="009B0756" w:rsidP="007F6E1B">
      <w:pPr>
        <w:keepNext/>
        <w:ind w:hanging="1"/>
        <w:rPr>
          <w:rFonts w:ascii="Times New Roman" w:eastAsia="Times New Roman" w:hAnsi="Times New Roman"/>
          <w:color w:val="000000"/>
        </w:rPr>
      </w:pPr>
      <w:r w:rsidRPr="00381DC2">
        <w:rPr>
          <w:rFonts w:ascii="Times New Roman" w:hAnsi="Times New Roman"/>
          <w:color w:val="000000"/>
        </w:rPr>
        <w:t>První linie léčby nedlaždicového NSCLC v kombinaci s </w:t>
      </w:r>
      <w:r w:rsidR="001F02D5" w:rsidRPr="00381DC2">
        <w:rPr>
          <w:rFonts w:ascii="Times New Roman" w:hAnsi="Times New Roman"/>
          <w:color w:val="000000"/>
        </w:rPr>
        <w:t>chemoterapií na bázi platiny</w:t>
      </w:r>
    </w:p>
    <w:p w14:paraId="51355A28" w14:textId="77777777" w:rsidR="00D15122" w:rsidRPr="00381DC2" w:rsidRDefault="00D15122" w:rsidP="007F6E1B">
      <w:pPr>
        <w:rPr>
          <w:rFonts w:ascii="Times New Roman" w:eastAsia="Times New Roman" w:hAnsi="Times New Roman"/>
          <w:color w:val="000000"/>
        </w:rPr>
      </w:pPr>
    </w:p>
    <w:p w14:paraId="06D0922B" w14:textId="77777777" w:rsidR="00D15122" w:rsidRPr="00381DC2" w:rsidRDefault="009B0756" w:rsidP="004F6645">
      <w:pPr>
        <w:pStyle w:val="BodyText"/>
        <w:widowControl/>
        <w:ind w:left="0" w:right="216"/>
        <w:rPr>
          <w:color w:val="000000"/>
        </w:rPr>
      </w:pPr>
      <w:r w:rsidRPr="00381DC2">
        <w:rPr>
          <w:color w:val="000000"/>
        </w:rPr>
        <w:t xml:space="preserve">Bezpečnost a účinnost bevacizumabu </w:t>
      </w:r>
      <w:r w:rsidR="000824A5" w:rsidRPr="00381DC2">
        <w:rPr>
          <w:color w:val="000000"/>
        </w:rPr>
        <w:t>přidaného k</w:t>
      </w:r>
      <w:r w:rsidRPr="00381DC2">
        <w:rPr>
          <w:color w:val="000000"/>
        </w:rPr>
        <w:t> </w:t>
      </w:r>
      <w:r w:rsidR="000824A5" w:rsidRPr="00381DC2">
        <w:rPr>
          <w:color w:val="000000"/>
        </w:rPr>
        <w:t>chemoterapii</w:t>
      </w:r>
      <w:r w:rsidR="001F02D5" w:rsidRPr="00381DC2">
        <w:rPr>
          <w:color w:val="000000"/>
        </w:rPr>
        <w:t xml:space="preserve"> na bázi platiny</w:t>
      </w:r>
      <w:r w:rsidRPr="00381DC2">
        <w:rPr>
          <w:color w:val="000000"/>
        </w:rPr>
        <w:t xml:space="preserve"> v první linii léčby pacientů s nedlaždicovým nemalobuněčným </w:t>
      </w:r>
      <w:r w:rsidR="00424D9A" w:rsidRPr="00381DC2">
        <w:rPr>
          <w:color w:val="000000"/>
        </w:rPr>
        <w:t>karcinomem</w:t>
      </w:r>
      <w:r w:rsidR="00F0199F" w:rsidRPr="00381DC2">
        <w:rPr>
          <w:color w:val="000000"/>
        </w:rPr>
        <w:t xml:space="preserve"> plic</w:t>
      </w:r>
      <w:r w:rsidRPr="00381DC2">
        <w:rPr>
          <w:color w:val="000000"/>
        </w:rPr>
        <w:t xml:space="preserve"> (NSCLC) byla sledována v hodnoceních E4599 a BO17704. V hodnocení E4599, kdy byl podáván bevacizumab v dávce 15 mg/kg každé 3 týdny, bylo prokázáno delší celkové přežití. Hodnocení BO17704 prokázalo, že jak dávka 7,5 mg/kg každé tři týdny, tak dávka 15 mg/kg každé tři týdny prodlužují přežití bez progrese a zvyšují četnost odpovědí.</w:t>
      </w:r>
    </w:p>
    <w:p w14:paraId="0A8422BD" w14:textId="77777777" w:rsidR="00D15122" w:rsidRPr="00381DC2" w:rsidRDefault="00D15122" w:rsidP="007F6E1B">
      <w:pPr>
        <w:rPr>
          <w:rFonts w:ascii="Times New Roman" w:eastAsia="Times New Roman" w:hAnsi="Times New Roman"/>
          <w:color w:val="000000"/>
        </w:rPr>
      </w:pPr>
    </w:p>
    <w:p w14:paraId="0A355919" w14:textId="77777777" w:rsidR="00D15122" w:rsidRPr="00381DC2" w:rsidRDefault="009B0756" w:rsidP="007F6E1B">
      <w:pPr>
        <w:rPr>
          <w:rFonts w:ascii="Times New Roman" w:eastAsia="Times New Roman" w:hAnsi="Times New Roman"/>
          <w:color w:val="000000"/>
        </w:rPr>
      </w:pPr>
      <w:r w:rsidRPr="00381DC2">
        <w:rPr>
          <w:rFonts w:ascii="Times New Roman" w:hAnsi="Times New Roman"/>
          <w:i/>
          <w:color w:val="000000"/>
        </w:rPr>
        <w:t>E4599</w:t>
      </w:r>
    </w:p>
    <w:p w14:paraId="3BA7BC8B" w14:textId="77777777" w:rsidR="00D15122" w:rsidRPr="00381DC2" w:rsidRDefault="009B0756" w:rsidP="007F6E1B">
      <w:pPr>
        <w:pStyle w:val="BodyText"/>
        <w:widowControl/>
        <w:ind w:left="0" w:right="216"/>
        <w:rPr>
          <w:color w:val="000000"/>
        </w:rPr>
      </w:pPr>
      <w:r w:rsidRPr="00381DC2">
        <w:rPr>
          <w:color w:val="000000"/>
        </w:rPr>
        <w:t>E4599 bylo otevřené randomizované multicentrické klinické hodnocení s aktivně léčenou kontrolní skupinou hodnotící bevacizumab v první linii léčby pacientů s lokálně pokročilým (</w:t>
      </w:r>
      <w:r w:rsidR="00AC4645" w:rsidRPr="00381DC2">
        <w:rPr>
          <w:color w:val="000000"/>
        </w:rPr>
        <w:t xml:space="preserve">stadium </w:t>
      </w:r>
      <w:r w:rsidRPr="00381DC2">
        <w:rPr>
          <w:color w:val="000000"/>
        </w:rPr>
        <w:t xml:space="preserve">IIIb s maligním pleurálním výpotkem), </w:t>
      </w:r>
      <w:r w:rsidR="000834FE" w:rsidRPr="00381DC2">
        <w:rPr>
          <w:color w:val="000000"/>
        </w:rPr>
        <w:t>metasta</w:t>
      </w:r>
      <w:r w:rsidR="00424D9A" w:rsidRPr="00381DC2">
        <w:rPr>
          <w:color w:val="000000"/>
        </w:rPr>
        <w:t>zujícím</w:t>
      </w:r>
      <w:r w:rsidR="000834FE" w:rsidRPr="00381DC2">
        <w:rPr>
          <w:color w:val="000000"/>
        </w:rPr>
        <w:t xml:space="preserve"> </w:t>
      </w:r>
      <w:r w:rsidRPr="00381DC2">
        <w:rPr>
          <w:color w:val="000000"/>
        </w:rPr>
        <w:t>nebo rekurentním NSCLC jiného histologického typu než s převahou dlaždicových buněk.</w:t>
      </w:r>
    </w:p>
    <w:p w14:paraId="2CF8FDA2" w14:textId="77777777" w:rsidR="00772EFE" w:rsidRPr="00381DC2" w:rsidRDefault="00772EFE" w:rsidP="007F6E1B">
      <w:pPr>
        <w:pStyle w:val="BodyText"/>
        <w:ind w:left="0" w:right="209"/>
        <w:rPr>
          <w:color w:val="000000"/>
        </w:rPr>
      </w:pPr>
    </w:p>
    <w:p w14:paraId="67270139" w14:textId="77777777" w:rsidR="00D15122" w:rsidRPr="00381DC2" w:rsidRDefault="009B0756" w:rsidP="007F6E1B">
      <w:pPr>
        <w:pStyle w:val="BodyText"/>
        <w:ind w:left="0" w:right="194" w:hanging="1"/>
        <w:rPr>
          <w:color w:val="000000"/>
        </w:rPr>
      </w:pPr>
      <w:r w:rsidRPr="00381DC2">
        <w:rPr>
          <w:color w:val="000000"/>
        </w:rPr>
        <w:t>Pacienti byli randomizováni k </w:t>
      </w:r>
      <w:r w:rsidR="001F02D5" w:rsidRPr="00381DC2">
        <w:rPr>
          <w:color w:val="000000"/>
        </w:rPr>
        <w:t>chemoterapi</w:t>
      </w:r>
      <w:r w:rsidR="00AC4645" w:rsidRPr="00381DC2">
        <w:rPr>
          <w:color w:val="000000"/>
        </w:rPr>
        <w:t>i</w:t>
      </w:r>
      <w:r w:rsidR="001F02D5" w:rsidRPr="00381DC2">
        <w:rPr>
          <w:color w:val="000000"/>
        </w:rPr>
        <w:t xml:space="preserve"> na bázi platiny</w:t>
      </w:r>
      <w:r w:rsidRPr="00381DC2">
        <w:rPr>
          <w:color w:val="000000"/>
        </w:rPr>
        <w:t xml:space="preserve"> (paklitaxel 200 mg/m</w:t>
      </w:r>
      <w:r w:rsidRPr="00381DC2">
        <w:rPr>
          <w:color w:val="000000"/>
          <w:vertAlign w:val="superscript"/>
        </w:rPr>
        <w:t>2</w:t>
      </w:r>
      <w:r w:rsidRPr="00381DC2">
        <w:rPr>
          <w:color w:val="000000"/>
        </w:rPr>
        <w:t>) a karboplatin</w:t>
      </w:r>
      <w:r w:rsidR="00AC4645" w:rsidRPr="00381DC2">
        <w:rPr>
          <w:color w:val="000000"/>
        </w:rPr>
        <w:t>ě</w:t>
      </w:r>
      <w:r w:rsidRPr="00381DC2">
        <w:rPr>
          <w:color w:val="000000"/>
        </w:rPr>
        <w:t xml:space="preserve"> AUC = 6,0, oba léky v </w:t>
      </w:r>
      <w:r w:rsidR="00D5294C" w:rsidRPr="00381DC2">
        <w:rPr>
          <w:color w:val="000000"/>
        </w:rPr>
        <w:t xml:space="preserve">intravenózní </w:t>
      </w:r>
      <w:r w:rsidRPr="00381DC2">
        <w:rPr>
          <w:color w:val="000000"/>
        </w:rPr>
        <w:t xml:space="preserve">infuzi (PC) podané </w:t>
      </w:r>
      <w:r w:rsidR="00AC4645" w:rsidRPr="00381DC2">
        <w:rPr>
          <w:color w:val="000000"/>
        </w:rPr>
        <w:t xml:space="preserve">v den </w:t>
      </w:r>
      <w:r w:rsidRPr="00381DC2">
        <w:rPr>
          <w:color w:val="000000"/>
        </w:rPr>
        <w:t>1</w:t>
      </w:r>
      <w:r w:rsidR="00AC4645" w:rsidRPr="00381DC2">
        <w:rPr>
          <w:color w:val="000000"/>
        </w:rPr>
        <w:t xml:space="preserve"> </w:t>
      </w:r>
      <w:r w:rsidRPr="00381DC2">
        <w:rPr>
          <w:color w:val="000000"/>
        </w:rPr>
        <w:t xml:space="preserve">každého 3týdenního cyklu, po maximálně 6 cyklů nebo </w:t>
      </w:r>
      <w:r w:rsidR="00AC4645" w:rsidRPr="00381DC2">
        <w:rPr>
          <w:color w:val="000000"/>
        </w:rPr>
        <w:t>k </w:t>
      </w:r>
      <w:r w:rsidRPr="00381DC2">
        <w:rPr>
          <w:color w:val="000000"/>
        </w:rPr>
        <w:t>PC v kombinaci s bevacizumabem v dávce 15 mg/kg v </w:t>
      </w:r>
      <w:r w:rsidR="00D5294C" w:rsidRPr="00381DC2">
        <w:rPr>
          <w:color w:val="000000"/>
        </w:rPr>
        <w:t xml:space="preserve">intravenózní </w:t>
      </w:r>
      <w:r w:rsidRPr="00381DC2">
        <w:rPr>
          <w:color w:val="000000"/>
        </w:rPr>
        <w:t xml:space="preserve">infuzi podané </w:t>
      </w:r>
      <w:r w:rsidR="00AC4645" w:rsidRPr="00381DC2">
        <w:rPr>
          <w:color w:val="000000"/>
        </w:rPr>
        <w:t xml:space="preserve">v den </w:t>
      </w:r>
      <w:r w:rsidRPr="00381DC2">
        <w:rPr>
          <w:color w:val="000000"/>
        </w:rPr>
        <w:t>1</w:t>
      </w:r>
      <w:r w:rsidR="00AC4645" w:rsidRPr="00381DC2">
        <w:rPr>
          <w:color w:val="000000"/>
        </w:rPr>
        <w:t xml:space="preserve"> </w:t>
      </w:r>
      <w:r w:rsidRPr="00381DC2">
        <w:rPr>
          <w:color w:val="000000"/>
        </w:rPr>
        <w:t xml:space="preserve">každého 3týdenního cyklu. Po dokončení </w:t>
      </w:r>
      <w:r w:rsidR="00AC4645" w:rsidRPr="00381DC2">
        <w:rPr>
          <w:color w:val="000000"/>
        </w:rPr>
        <w:t xml:space="preserve">šesti </w:t>
      </w:r>
      <w:r w:rsidRPr="00381DC2">
        <w:rPr>
          <w:color w:val="000000"/>
        </w:rPr>
        <w:t>cyklů chemoterapie karboplatina + paklitaxel nebo v případě předčasného ukončení chemoterapie pokračovali pacienti v rameni bevacizumab plus karboplatina + paklitaxel v léčbě bevacizumabem v monoterapii podávaným každé 3 týdny až do progrese onemocnění. Do dvou ramen bylo randomizováno 878 pacientů.</w:t>
      </w:r>
    </w:p>
    <w:p w14:paraId="5E66CB96" w14:textId="77777777" w:rsidR="00D15122" w:rsidRPr="00381DC2" w:rsidRDefault="00D15122" w:rsidP="007F6E1B">
      <w:pPr>
        <w:rPr>
          <w:rFonts w:ascii="Times New Roman" w:eastAsia="Times New Roman" w:hAnsi="Times New Roman"/>
          <w:color w:val="000000"/>
        </w:rPr>
      </w:pPr>
    </w:p>
    <w:p w14:paraId="289D1834" w14:textId="77777777" w:rsidR="00D15122" w:rsidRPr="00381DC2" w:rsidRDefault="009B0756" w:rsidP="007F6E1B">
      <w:pPr>
        <w:pStyle w:val="BodyText"/>
        <w:spacing w:line="252" w:lineRule="exact"/>
        <w:ind w:left="0"/>
        <w:rPr>
          <w:color w:val="000000"/>
        </w:rPr>
      </w:pPr>
      <w:r w:rsidRPr="00381DC2">
        <w:rPr>
          <w:color w:val="000000"/>
        </w:rPr>
        <w:t xml:space="preserve">V průběhu hodnocení 32,2 % (136/422) pacientů léčených hodnocenou léčbou dostalo 7–12 dávek bevacizumabu a 21,1 % (89/422) pacientů dostalo 13 </w:t>
      </w:r>
      <w:r w:rsidR="00AC4645" w:rsidRPr="00381DC2">
        <w:rPr>
          <w:color w:val="000000"/>
        </w:rPr>
        <w:t xml:space="preserve">nebo </w:t>
      </w:r>
      <w:r w:rsidRPr="00381DC2">
        <w:rPr>
          <w:color w:val="000000"/>
        </w:rPr>
        <w:t>více dávek bevacizumabu.</w:t>
      </w:r>
    </w:p>
    <w:p w14:paraId="2DB64D25" w14:textId="77777777" w:rsidR="00D15122" w:rsidRPr="00381DC2" w:rsidRDefault="00D15122" w:rsidP="007F6E1B">
      <w:pPr>
        <w:rPr>
          <w:rFonts w:ascii="Times New Roman" w:eastAsia="Times New Roman" w:hAnsi="Times New Roman"/>
          <w:color w:val="000000"/>
        </w:rPr>
      </w:pPr>
    </w:p>
    <w:p w14:paraId="45BA5E81" w14:textId="77777777" w:rsidR="00D15122" w:rsidRPr="00381DC2" w:rsidRDefault="009B0756" w:rsidP="007F6E1B">
      <w:pPr>
        <w:pStyle w:val="BodyText"/>
        <w:ind w:left="0"/>
        <w:rPr>
          <w:color w:val="000000"/>
        </w:rPr>
      </w:pPr>
      <w:r w:rsidRPr="00381DC2">
        <w:rPr>
          <w:color w:val="000000"/>
        </w:rPr>
        <w:t xml:space="preserve">Primárním </w:t>
      </w:r>
      <w:r w:rsidR="00AC4645" w:rsidRPr="00381DC2">
        <w:rPr>
          <w:color w:val="000000"/>
        </w:rPr>
        <w:t xml:space="preserve">cílovým parametrem </w:t>
      </w:r>
      <w:r w:rsidRPr="00381DC2">
        <w:rPr>
          <w:color w:val="000000"/>
        </w:rPr>
        <w:t>byl</w:t>
      </w:r>
      <w:r w:rsidR="001E088B" w:rsidRPr="00381DC2">
        <w:rPr>
          <w:color w:val="000000"/>
        </w:rPr>
        <w:t>a</w:t>
      </w:r>
      <w:r w:rsidRPr="00381DC2">
        <w:rPr>
          <w:color w:val="000000"/>
        </w:rPr>
        <w:t xml:space="preserve"> dob</w:t>
      </w:r>
      <w:r w:rsidR="001E088B" w:rsidRPr="00381DC2">
        <w:rPr>
          <w:color w:val="000000"/>
        </w:rPr>
        <w:t>a</w:t>
      </w:r>
      <w:r w:rsidRPr="00381DC2">
        <w:rPr>
          <w:color w:val="000000"/>
        </w:rPr>
        <w:t xml:space="preserve"> přežití. Výsledky jsou uvedeny v </w:t>
      </w:r>
      <w:r w:rsidR="005E6C8E" w:rsidRPr="00381DC2">
        <w:rPr>
          <w:color w:val="000000"/>
        </w:rPr>
        <w:t>t</w:t>
      </w:r>
      <w:r w:rsidRPr="00381DC2">
        <w:rPr>
          <w:color w:val="000000"/>
        </w:rPr>
        <w:t>abulce 1</w:t>
      </w:r>
      <w:r w:rsidR="00ED4C2D" w:rsidRPr="00381DC2">
        <w:rPr>
          <w:color w:val="000000"/>
        </w:rPr>
        <w:t>2</w:t>
      </w:r>
      <w:r w:rsidRPr="00381DC2">
        <w:rPr>
          <w:color w:val="000000"/>
        </w:rPr>
        <w:t>.</w:t>
      </w:r>
    </w:p>
    <w:p w14:paraId="19C86171" w14:textId="77777777" w:rsidR="00D15122" w:rsidRPr="00381DC2" w:rsidRDefault="00D15122" w:rsidP="007F6E1B">
      <w:pPr>
        <w:rPr>
          <w:rFonts w:ascii="Times New Roman" w:eastAsia="Times New Roman" w:hAnsi="Times New Roman"/>
          <w:color w:val="000000"/>
        </w:rPr>
      </w:pPr>
    </w:p>
    <w:p w14:paraId="374EF914" w14:textId="77777777" w:rsidR="00D15122" w:rsidRPr="00381DC2" w:rsidRDefault="009B0756" w:rsidP="005D48D1">
      <w:pPr>
        <w:rPr>
          <w:rFonts w:ascii="Times New Roman" w:eastAsia="Times New Roman" w:hAnsi="Times New Roman"/>
          <w:b/>
          <w:color w:val="000000"/>
        </w:rPr>
      </w:pPr>
      <w:r w:rsidRPr="00381DC2">
        <w:rPr>
          <w:rFonts w:ascii="Times New Roman" w:eastAsia="Times New Roman" w:hAnsi="Times New Roman"/>
          <w:b/>
          <w:color w:val="000000"/>
        </w:rPr>
        <w:t>Tabulka 1</w:t>
      </w:r>
      <w:r w:rsidR="00ED4C2D" w:rsidRPr="00381DC2">
        <w:rPr>
          <w:rFonts w:ascii="Times New Roman" w:eastAsia="Times New Roman" w:hAnsi="Times New Roman"/>
          <w:b/>
          <w:color w:val="000000"/>
        </w:rPr>
        <w:t>2</w:t>
      </w:r>
      <w:r w:rsidRPr="00381DC2">
        <w:rPr>
          <w:rFonts w:ascii="Times New Roman" w:eastAsia="Times New Roman" w:hAnsi="Times New Roman"/>
          <w:b/>
          <w:color w:val="000000"/>
        </w:rPr>
        <w:tab/>
        <w:t>Výsledky účinnosti v</w:t>
      </w:r>
      <w:r w:rsidR="00424D9A" w:rsidRPr="00381DC2">
        <w:rPr>
          <w:rFonts w:ascii="Times New Roman" w:eastAsia="Times New Roman" w:hAnsi="Times New Roman"/>
          <w:b/>
          <w:color w:val="000000"/>
        </w:rPr>
        <w:t>e studii</w:t>
      </w:r>
      <w:r w:rsidRPr="00381DC2">
        <w:rPr>
          <w:rFonts w:ascii="Times New Roman" w:eastAsia="Times New Roman" w:hAnsi="Times New Roman"/>
          <w:b/>
          <w:color w:val="000000"/>
        </w:rPr>
        <w:t xml:space="preserve"> E4599</w:t>
      </w:r>
    </w:p>
    <w:p w14:paraId="6BB6439D" w14:textId="77777777" w:rsidR="00D15122" w:rsidRPr="00381DC2" w:rsidRDefault="00D15122" w:rsidP="00054CB9">
      <w:pPr>
        <w:keepNext/>
        <w:rPr>
          <w:rFonts w:ascii="Times New Roman" w:eastAsia="Times New Roman" w:hAnsi="Times New Roman"/>
          <w:bCs/>
          <w:color w:val="00000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3"/>
        <w:gridCol w:w="2325"/>
        <w:gridCol w:w="2552"/>
      </w:tblGrid>
      <w:tr w:rsidR="00D15122" w:rsidRPr="00F60460" w14:paraId="083C4460" w14:textId="77777777" w:rsidTr="00363CA4">
        <w:tc>
          <w:tcPr>
            <w:tcW w:w="2693" w:type="dxa"/>
          </w:tcPr>
          <w:p w14:paraId="4A4CC596" w14:textId="77777777" w:rsidR="00D15122" w:rsidRPr="00381DC2" w:rsidRDefault="00D15122" w:rsidP="00054CB9">
            <w:pPr>
              <w:keepNext/>
              <w:rPr>
                <w:rFonts w:ascii="Times New Roman" w:hAnsi="Times New Roman"/>
                <w:color w:val="000000"/>
              </w:rPr>
            </w:pPr>
          </w:p>
        </w:tc>
        <w:tc>
          <w:tcPr>
            <w:tcW w:w="2325" w:type="dxa"/>
          </w:tcPr>
          <w:p w14:paraId="7E44E687" w14:textId="77777777" w:rsidR="00D15122" w:rsidRPr="00381DC2" w:rsidRDefault="009B0756" w:rsidP="00054CB9">
            <w:pPr>
              <w:pStyle w:val="TableParagraph"/>
              <w:keepNext/>
              <w:tabs>
                <w:tab w:val="left" w:pos="1632"/>
              </w:tabs>
              <w:spacing w:line="246" w:lineRule="exact"/>
              <w:ind w:right="53"/>
              <w:jc w:val="center"/>
              <w:rPr>
                <w:rFonts w:ascii="Times New Roman" w:eastAsia="Times New Roman" w:hAnsi="Times New Roman"/>
                <w:color w:val="000000"/>
              </w:rPr>
            </w:pPr>
            <w:r w:rsidRPr="00381DC2">
              <w:rPr>
                <w:rFonts w:ascii="Times New Roman" w:hAnsi="Times New Roman"/>
                <w:color w:val="000000"/>
              </w:rPr>
              <w:t>Rameno 1</w:t>
            </w:r>
          </w:p>
          <w:p w14:paraId="344CBD7C" w14:textId="77777777" w:rsidR="00D15122" w:rsidRPr="00381DC2" w:rsidRDefault="00D15122" w:rsidP="00054CB9">
            <w:pPr>
              <w:pStyle w:val="TableParagraph"/>
              <w:keepNext/>
              <w:rPr>
                <w:rFonts w:ascii="Times New Roman" w:eastAsia="Times New Roman" w:hAnsi="Times New Roman"/>
                <w:bCs/>
                <w:color w:val="000000"/>
              </w:rPr>
            </w:pPr>
          </w:p>
          <w:p w14:paraId="7F0DFC02" w14:textId="77777777" w:rsidR="00D15122" w:rsidRPr="00381DC2" w:rsidRDefault="009B0756" w:rsidP="00054CB9">
            <w:pPr>
              <w:pStyle w:val="TableParagraph"/>
              <w:keepNext/>
              <w:jc w:val="center"/>
              <w:rPr>
                <w:rFonts w:ascii="Times New Roman" w:eastAsia="Times New Roman" w:hAnsi="Times New Roman"/>
                <w:color w:val="000000"/>
              </w:rPr>
            </w:pPr>
            <w:r w:rsidRPr="00381DC2">
              <w:rPr>
                <w:rFonts w:ascii="Times New Roman" w:hAnsi="Times New Roman"/>
                <w:color w:val="000000"/>
              </w:rPr>
              <w:t>Karboplatina/paklitaxel</w:t>
            </w:r>
          </w:p>
        </w:tc>
        <w:tc>
          <w:tcPr>
            <w:tcW w:w="2552" w:type="dxa"/>
          </w:tcPr>
          <w:p w14:paraId="5689E13F" w14:textId="77777777" w:rsidR="00D15122" w:rsidRPr="00381DC2" w:rsidRDefault="009B0756"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Rameno 2</w:t>
            </w:r>
          </w:p>
          <w:p w14:paraId="029305EE" w14:textId="77777777" w:rsidR="00D15122" w:rsidRPr="00381DC2" w:rsidRDefault="00D15122" w:rsidP="00054CB9">
            <w:pPr>
              <w:pStyle w:val="TableParagraph"/>
              <w:keepNext/>
              <w:rPr>
                <w:rFonts w:ascii="Times New Roman" w:eastAsia="Times New Roman" w:hAnsi="Times New Roman"/>
                <w:bCs/>
                <w:color w:val="000000"/>
              </w:rPr>
            </w:pPr>
          </w:p>
          <w:p w14:paraId="5D573F58" w14:textId="77777777" w:rsidR="00D15122" w:rsidRPr="00381DC2" w:rsidRDefault="009B0756" w:rsidP="00054CB9">
            <w:pPr>
              <w:pStyle w:val="TableParagraph"/>
              <w:keepNext/>
              <w:ind w:right="5"/>
              <w:jc w:val="center"/>
              <w:rPr>
                <w:rFonts w:ascii="Times New Roman" w:eastAsia="Times New Roman" w:hAnsi="Times New Roman"/>
                <w:color w:val="000000"/>
              </w:rPr>
            </w:pPr>
            <w:r w:rsidRPr="00381DC2">
              <w:rPr>
                <w:rFonts w:ascii="Times New Roman" w:hAnsi="Times New Roman"/>
                <w:color w:val="000000"/>
              </w:rPr>
              <w:t>Karboplatina/paklitaxel + bevacizumab</w:t>
            </w:r>
          </w:p>
          <w:p w14:paraId="77260289" w14:textId="77777777" w:rsidR="00D15122" w:rsidRPr="00381DC2" w:rsidRDefault="009B0756" w:rsidP="00054CB9">
            <w:pPr>
              <w:pStyle w:val="TableParagraph"/>
              <w:keepNext/>
              <w:spacing w:line="252" w:lineRule="exact"/>
              <w:jc w:val="center"/>
              <w:rPr>
                <w:rFonts w:ascii="Times New Roman" w:eastAsia="Times New Roman" w:hAnsi="Times New Roman"/>
                <w:color w:val="000000"/>
              </w:rPr>
            </w:pPr>
            <w:r w:rsidRPr="00381DC2">
              <w:rPr>
                <w:rFonts w:ascii="Times New Roman" w:hAnsi="Times New Roman"/>
                <w:color w:val="000000"/>
              </w:rPr>
              <w:t>15 mg/kg každé 3 týdny</w:t>
            </w:r>
          </w:p>
        </w:tc>
      </w:tr>
      <w:tr w:rsidR="00D15122" w:rsidRPr="00F60460" w14:paraId="031895FF" w14:textId="77777777" w:rsidTr="00363CA4">
        <w:tc>
          <w:tcPr>
            <w:tcW w:w="2693" w:type="dxa"/>
          </w:tcPr>
          <w:p w14:paraId="0B17BB12" w14:textId="77777777" w:rsidR="00D15122" w:rsidRPr="00381DC2" w:rsidRDefault="009B0756" w:rsidP="00054CB9">
            <w:pPr>
              <w:pStyle w:val="TableParagraph"/>
              <w:keepNext/>
              <w:rPr>
                <w:rFonts w:ascii="Times New Roman" w:eastAsia="Times New Roman" w:hAnsi="Times New Roman"/>
                <w:color w:val="000000"/>
              </w:rPr>
            </w:pPr>
            <w:r w:rsidRPr="00381DC2">
              <w:rPr>
                <w:rFonts w:ascii="Times New Roman" w:hAnsi="Times New Roman"/>
                <w:color w:val="000000"/>
              </w:rPr>
              <w:t>Počet pacientů</w:t>
            </w:r>
          </w:p>
        </w:tc>
        <w:tc>
          <w:tcPr>
            <w:tcW w:w="2325" w:type="dxa"/>
          </w:tcPr>
          <w:p w14:paraId="28704AC0" w14:textId="77777777" w:rsidR="00D15122" w:rsidRPr="00381DC2" w:rsidRDefault="009B0756"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444</w:t>
            </w:r>
          </w:p>
        </w:tc>
        <w:tc>
          <w:tcPr>
            <w:tcW w:w="2552" w:type="dxa"/>
          </w:tcPr>
          <w:p w14:paraId="76F07DD7" w14:textId="77777777" w:rsidR="00D15122" w:rsidRPr="00381DC2" w:rsidRDefault="009B0756"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434</w:t>
            </w:r>
          </w:p>
        </w:tc>
      </w:tr>
      <w:tr w:rsidR="00D15122" w:rsidRPr="00F60460" w14:paraId="4CAB116A" w14:textId="77777777" w:rsidTr="00363CA4">
        <w:tc>
          <w:tcPr>
            <w:tcW w:w="7570" w:type="dxa"/>
            <w:gridSpan w:val="3"/>
          </w:tcPr>
          <w:p w14:paraId="613F18E6" w14:textId="77777777" w:rsidR="00D15122" w:rsidRPr="00381DC2" w:rsidRDefault="009B0756" w:rsidP="00054CB9">
            <w:pPr>
              <w:pStyle w:val="TableParagraph"/>
              <w:keepNext/>
              <w:spacing w:line="246" w:lineRule="exact"/>
              <w:ind w:left="275"/>
              <w:rPr>
                <w:rFonts w:ascii="Times New Roman" w:eastAsia="Times New Roman" w:hAnsi="Times New Roman"/>
                <w:color w:val="000000"/>
              </w:rPr>
            </w:pPr>
            <w:r w:rsidRPr="00381DC2">
              <w:rPr>
                <w:rFonts w:ascii="Times New Roman" w:hAnsi="Times New Roman"/>
                <w:color w:val="000000"/>
              </w:rPr>
              <w:t>Celkové přežití</w:t>
            </w:r>
          </w:p>
        </w:tc>
      </w:tr>
      <w:tr w:rsidR="00D15122" w:rsidRPr="00F60460" w14:paraId="199CCFE4" w14:textId="77777777" w:rsidTr="00363CA4">
        <w:tc>
          <w:tcPr>
            <w:tcW w:w="2693" w:type="dxa"/>
          </w:tcPr>
          <w:p w14:paraId="59C7E287" w14:textId="77777777" w:rsidR="00D15122" w:rsidRPr="00381DC2" w:rsidRDefault="009B0756" w:rsidP="00054CB9">
            <w:pPr>
              <w:pStyle w:val="TableParagraph"/>
              <w:keepNext/>
              <w:spacing w:line="248" w:lineRule="exact"/>
              <w:ind w:left="275"/>
              <w:rPr>
                <w:rFonts w:ascii="Times New Roman" w:eastAsia="Times New Roman" w:hAnsi="Times New Roman"/>
                <w:color w:val="000000"/>
              </w:rPr>
            </w:pPr>
            <w:r w:rsidRPr="00381DC2">
              <w:rPr>
                <w:rFonts w:ascii="Times New Roman" w:hAnsi="Times New Roman"/>
                <w:color w:val="000000"/>
              </w:rPr>
              <w:t>Medián (měsíce)</w:t>
            </w:r>
          </w:p>
        </w:tc>
        <w:tc>
          <w:tcPr>
            <w:tcW w:w="2325" w:type="dxa"/>
          </w:tcPr>
          <w:p w14:paraId="644A38C5" w14:textId="77777777" w:rsidR="00D15122" w:rsidRPr="00381DC2" w:rsidRDefault="009B0756" w:rsidP="00054CB9">
            <w:pPr>
              <w:pStyle w:val="TableParagraph"/>
              <w:keepNext/>
              <w:spacing w:line="248" w:lineRule="exact"/>
              <w:jc w:val="center"/>
              <w:rPr>
                <w:rFonts w:ascii="Times New Roman" w:eastAsia="Times New Roman" w:hAnsi="Times New Roman"/>
                <w:color w:val="000000"/>
              </w:rPr>
            </w:pPr>
            <w:r w:rsidRPr="00381DC2">
              <w:rPr>
                <w:rFonts w:ascii="Times New Roman" w:hAnsi="Times New Roman"/>
                <w:color w:val="000000"/>
              </w:rPr>
              <w:t>10,3</w:t>
            </w:r>
          </w:p>
        </w:tc>
        <w:tc>
          <w:tcPr>
            <w:tcW w:w="2552" w:type="dxa"/>
          </w:tcPr>
          <w:p w14:paraId="0E70D4B5" w14:textId="77777777" w:rsidR="00D15122" w:rsidRPr="00381DC2" w:rsidRDefault="009B0756" w:rsidP="00054CB9">
            <w:pPr>
              <w:pStyle w:val="TableParagraph"/>
              <w:keepNext/>
              <w:spacing w:line="248" w:lineRule="exact"/>
              <w:jc w:val="center"/>
              <w:rPr>
                <w:rFonts w:ascii="Times New Roman" w:eastAsia="Times New Roman" w:hAnsi="Times New Roman"/>
                <w:color w:val="000000"/>
              </w:rPr>
            </w:pPr>
            <w:r w:rsidRPr="00381DC2">
              <w:rPr>
                <w:rFonts w:ascii="Times New Roman" w:hAnsi="Times New Roman"/>
                <w:color w:val="000000"/>
              </w:rPr>
              <w:t>12,3</w:t>
            </w:r>
          </w:p>
        </w:tc>
      </w:tr>
      <w:tr w:rsidR="00D15122" w:rsidRPr="00F60460" w14:paraId="274650B5" w14:textId="77777777" w:rsidTr="00363CA4">
        <w:tc>
          <w:tcPr>
            <w:tcW w:w="2693" w:type="dxa"/>
          </w:tcPr>
          <w:p w14:paraId="2FE010C8" w14:textId="77777777" w:rsidR="00D15122" w:rsidRPr="00381DC2" w:rsidRDefault="009B0756" w:rsidP="00054CB9">
            <w:pPr>
              <w:pStyle w:val="TableParagraph"/>
              <w:keepNext/>
              <w:spacing w:line="246" w:lineRule="exact"/>
              <w:ind w:left="275"/>
              <w:rPr>
                <w:rFonts w:ascii="Times New Roman" w:eastAsia="Times New Roman" w:hAnsi="Times New Roman"/>
                <w:color w:val="000000"/>
              </w:rPr>
            </w:pPr>
            <w:r w:rsidRPr="00381DC2">
              <w:rPr>
                <w:rFonts w:ascii="Times New Roman" w:hAnsi="Times New Roman"/>
                <w:color w:val="000000"/>
              </w:rPr>
              <w:t>Poměr rizik</w:t>
            </w:r>
          </w:p>
        </w:tc>
        <w:tc>
          <w:tcPr>
            <w:tcW w:w="4877" w:type="dxa"/>
            <w:gridSpan w:val="2"/>
          </w:tcPr>
          <w:p w14:paraId="41F08FEA" w14:textId="77777777" w:rsidR="00D15122" w:rsidRPr="00381DC2" w:rsidRDefault="009B0756"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0,80 (p = 0,003)</w:t>
            </w:r>
          </w:p>
          <w:p w14:paraId="44CDD3E2" w14:textId="77777777" w:rsidR="00D15122" w:rsidRPr="00381DC2" w:rsidRDefault="009B0756" w:rsidP="00054CB9">
            <w:pPr>
              <w:pStyle w:val="TableParagraph"/>
              <w:keepNext/>
              <w:jc w:val="center"/>
              <w:rPr>
                <w:rFonts w:ascii="Times New Roman" w:eastAsia="Times New Roman" w:hAnsi="Times New Roman"/>
                <w:color w:val="000000"/>
              </w:rPr>
            </w:pPr>
            <w:r w:rsidRPr="00381DC2">
              <w:rPr>
                <w:rFonts w:ascii="Times New Roman" w:hAnsi="Times New Roman"/>
                <w:color w:val="000000"/>
              </w:rPr>
              <w:t>95% CI (0,69; 0,93)</w:t>
            </w:r>
          </w:p>
        </w:tc>
      </w:tr>
      <w:tr w:rsidR="00D15122" w:rsidRPr="00F60460" w14:paraId="52B96DDF" w14:textId="77777777" w:rsidTr="00363CA4">
        <w:tc>
          <w:tcPr>
            <w:tcW w:w="7570" w:type="dxa"/>
            <w:gridSpan w:val="3"/>
          </w:tcPr>
          <w:p w14:paraId="4F92EDCB" w14:textId="77777777" w:rsidR="00D15122" w:rsidRPr="00381DC2" w:rsidRDefault="009B0756" w:rsidP="00054CB9">
            <w:pPr>
              <w:pStyle w:val="TableParagraph"/>
              <w:keepNext/>
              <w:spacing w:line="246" w:lineRule="exact"/>
              <w:ind w:left="275"/>
              <w:rPr>
                <w:rFonts w:ascii="Times New Roman" w:eastAsia="Times New Roman" w:hAnsi="Times New Roman"/>
                <w:color w:val="000000"/>
              </w:rPr>
            </w:pPr>
            <w:r w:rsidRPr="00381DC2">
              <w:rPr>
                <w:rFonts w:ascii="Times New Roman" w:hAnsi="Times New Roman"/>
                <w:color w:val="000000"/>
              </w:rPr>
              <w:t>Přežití bez progrese</w:t>
            </w:r>
          </w:p>
        </w:tc>
      </w:tr>
      <w:tr w:rsidR="00D15122" w:rsidRPr="00F60460" w14:paraId="34A4806F" w14:textId="77777777" w:rsidTr="00363CA4">
        <w:tc>
          <w:tcPr>
            <w:tcW w:w="2693" w:type="dxa"/>
          </w:tcPr>
          <w:p w14:paraId="2EB8D7C8" w14:textId="77777777" w:rsidR="00D15122" w:rsidRPr="00381DC2" w:rsidRDefault="009B0756" w:rsidP="00054CB9">
            <w:pPr>
              <w:pStyle w:val="TableParagraph"/>
              <w:keepNext/>
              <w:spacing w:line="246" w:lineRule="exact"/>
              <w:ind w:left="275"/>
              <w:rPr>
                <w:rFonts w:ascii="Times New Roman" w:eastAsia="Times New Roman" w:hAnsi="Times New Roman"/>
                <w:color w:val="000000"/>
              </w:rPr>
            </w:pPr>
            <w:r w:rsidRPr="00381DC2">
              <w:rPr>
                <w:rFonts w:ascii="Times New Roman" w:hAnsi="Times New Roman"/>
                <w:color w:val="000000"/>
              </w:rPr>
              <w:t>Medián (měsíce)</w:t>
            </w:r>
          </w:p>
        </w:tc>
        <w:tc>
          <w:tcPr>
            <w:tcW w:w="2325" w:type="dxa"/>
          </w:tcPr>
          <w:p w14:paraId="043AF059" w14:textId="77777777" w:rsidR="00D15122" w:rsidRPr="00381DC2" w:rsidRDefault="009B0756"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4,8</w:t>
            </w:r>
          </w:p>
        </w:tc>
        <w:tc>
          <w:tcPr>
            <w:tcW w:w="2552" w:type="dxa"/>
          </w:tcPr>
          <w:p w14:paraId="64232DE4" w14:textId="77777777" w:rsidR="00D15122" w:rsidRPr="00381DC2" w:rsidRDefault="009B0756"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6,4</w:t>
            </w:r>
          </w:p>
        </w:tc>
      </w:tr>
      <w:tr w:rsidR="00D15122" w:rsidRPr="00F60460" w14:paraId="529AEF84" w14:textId="77777777" w:rsidTr="00363CA4">
        <w:tc>
          <w:tcPr>
            <w:tcW w:w="2693" w:type="dxa"/>
          </w:tcPr>
          <w:p w14:paraId="25DFFECA" w14:textId="77777777" w:rsidR="00D15122" w:rsidRPr="00381DC2" w:rsidRDefault="009B0756" w:rsidP="00054CB9">
            <w:pPr>
              <w:pStyle w:val="TableParagraph"/>
              <w:keepNext/>
              <w:spacing w:line="246" w:lineRule="exact"/>
              <w:ind w:left="275"/>
              <w:rPr>
                <w:rFonts w:ascii="Times New Roman" w:eastAsia="Times New Roman" w:hAnsi="Times New Roman"/>
                <w:color w:val="000000"/>
              </w:rPr>
            </w:pPr>
            <w:r w:rsidRPr="00381DC2">
              <w:rPr>
                <w:rFonts w:ascii="Times New Roman" w:hAnsi="Times New Roman"/>
                <w:color w:val="000000"/>
              </w:rPr>
              <w:t>Poměr rizik</w:t>
            </w:r>
          </w:p>
        </w:tc>
        <w:tc>
          <w:tcPr>
            <w:tcW w:w="4877" w:type="dxa"/>
            <w:gridSpan w:val="2"/>
          </w:tcPr>
          <w:p w14:paraId="1D3E4468" w14:textId="77777777" w:rsidR="00D15122" w:rsidRPr="00381DC2" w:rsidRDefault="009B0756"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0,65 (p &lt; 0,0001)</w:t>
            </w:r>
          </w:p>
          <w:p w14:paraId="78D30605" w14:textId="77777777" w:rsidR="00D15122" w:rsidRPr="00381DC2" w:rsidRDefault="009B0756" w:rsidP="00054CB9">
            <w:pPr>
              <w:pStyle w:val="TableParagraph"/>
              <w:keepNext/>
              <w:jc w:val="center"/>
              <w:rPr>
                <w:rFonts w:ascii="Times New Roman" w:eastAsia="Times New Roman" w:hAnsi="Times New Roman"/>
                <w:color w:val="000000"/>
              </w:rPr>
            </w:pPr>
            <w:r w:rsidRPr="00381DC2">
              <w:rPr>
                <w:rFonts w:ascii="Times New Roman" w:hAnsi="Times New Roman"/>
                <w:color w:val="000000"/>
              </w:rPr>
              <w:t>95% CI (0,56; 0,76)</w:t>
            </w:r>
          </w:p>
        </w:tc>
      </w:tr>
      <w:tr w:rsidR="00D15122" w:rsidRPr="00F60460" w14:paraId="5F71457B" w14:textId="77777777" w:rsidTr="00363CA4">
        <w:tc>
          <w:tcPr>
            <w:tcW w:w="7570" w:type="dxa"/>
            <w:gridSpan w:val="3"/>
          </w:tcPr>
          <w:p w14:paraId="1CE384FB" w14:textId="77777777" w:rsidR="00D15122" w:rsidRPr="00381DC2" w:rsidRDefault="009B0756" w:rsidP="00054CB9">
            <w:pPr>
              <w:pStyle w:val="TableParagraph"/>
              <w:keepNext/>
              <w:spacing w:line="246" w:lineRule="exact"/>
              <w:ind w:left="275"/>
              <w:rPr>
                <w:rFonts w:ascii="Times New Roman" w:eastAsia="Times New Roman" w:hAnsi="Times New Roman"/>
                <w:color w:val="000000"/>
              </w:rPr>
            </w:pPr>
            <w:r w:rsidRPr="00381DC2">
              <w:rPr>
                <w:rFonts w:ascii="Times New Roman" w:hAnsi="Times New Roman"/>
                <w:color w:val="000000"/>
              </w:rPr>
              <w:t>Celková četnost odpovědi</w:t>
            </w:r>
          </w:p>
        </w:tc>
      </w:tr>
      <w:tr w:rsidR="00D15122" w:rsidRPr="00F60460" w14:paraId="28F69CBB" w14:textId="77777777" w:rsidTr="00363CA4">
        <w:tc>
          <w:tcPr>
            <w:tcW w:w="2693" w:type="dxa"/>
          </w:tcPr>
          <w:p w14:paraId="178377A6" w14:textId="77777777" w:rsidR="00D15122" w:rsidRPr="00381DC2" w:rsidRDefault="009B0756" w:rsidP="00054CB9">
            <w:pPr>
              <w:pStyle w:val="TableParagraph"/>
              <w:keepNext/>
              <w:spacing w:line="246" w:lineRule="exact"/>
              <w:ind w:left="275"/>
              <w:rPr>
                <w:rFonts w:ascii="Times New Roman" w:eastAsia="Times New Roman" w:hAnsi="Times New Roman"/>
                <w:color w:val="000000"/>
              </w:rPr>
            </w:pPr>
            <w:r w:rsidRPr="00381DC2">
              <w:rPr>
                <w:rFonts w:ascii="Times New Roman" w:hAnsi="Times New Roman"/>
                <w:color w:val="000000"/>
              </w:rPr>
              <w:t>Četnost (procenta)</w:t>
            </w:r>
          </w:p>
        </w:tc>
        <w:tc>
          <w:tcPr>
            <w:tcW w:w="2325" w:type="dxa"/>
          </w:tcPr>
          <w:p w14:paraId="2991C75D" w14:textId="77777777" w:rsidR="00D15122" w:rsidRPr="00381DC2" w:rsidRDefault="009B0756"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12,9</w:t>
            </w:r>
          </w:p>
        </w:tc>
        <w:tc>
          <w:tcPr>
            <w:tcW w:w="2552" w:type="dxa"/>
          </w:tcPr>
          <w:p w14:paraId="589A0D21" w14:textId="77777777" w:rsidR="00D15122" w:rsidRPr="00381DC2" w:rsidRDefault="009B0756"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29,0 (p &lt; 0,0001)</w:t>
            </w:r>
          </w:p>
        </w:tc>
      </w:tr>
    </w:tbl>
    <w:p w14:paraId="17E7816F" w14:textId="77777777" w:rsidR="00D15122" w:rsidRPr="00381DC2" w:rsidRDefault="00D15122" w:rsidP="007F6E1B">
      <w:pPr>
        <w:rPr>
          <w:rFonts w:ascii="Times New Roman" w:eastAsia="Times New Roman" w:hAnsi="Times New Roman"/>
          <w:bCs/>
          <w:color w:val="000000"/>
        </w:rPr>
      </w:pPr>
    </w:p>
    <w:p w14:paraId="275D4E73" w14:textId="77777777" w:rsidR="00D15122" w:rsidRPr="00381DC2" w:rsidRDefault="009B0756" w:rsidP="007F6E1B">
      <w:pPr>
        <w:pStyle w:val="BodyText"/>
        <w:ind w:left="0" w:right="167"/>
        <w:rPr>
          <w:color w:val="000000"/>
        </w:rPr>
      </w:pPr>
      <w:r w:rsidRPr="00381DC2">
        <w:rPr>
          <w:color w:val="000000"/>
        </w:rPr>
        <w:t>V explorativní analýze byl</w:t>
      </w:r>
      <w:r w:rsidR="00424D9A" w:rsidRPr="00381DC2">
        <w:rPr>
          <w:color w:val="000000"/>
        </w:rPr>
        <w:t>a</w:t>
      </w:r>
      <w:r w:rsidRPr="00381DC2">
        <w:rPr>
          <w:color w:val="000000"/>
        </w:rPr>
        <w:t xml:space="preserve"> </w:t>
      </w:r>
      <w:r w:rsidR="001E088B" w:rsidRPr="00381DC2">
        <w:rPr>
          <w:color w:val="000000"/>
        </w:rPr>
        <w:t xml:space="preserve">míra přínosu </w:t>
      </w:r>
      <w:r w:rsidRPr="00381DC2">
        <w:rPr>
          <w:color w:val="000000"/>
        </w:rPr>
        <w:t>bevacizumabu na celkové přežití méně zřeteln</w:t>
      </w:r>
      <w:r w:rsidR="00424D9A" w:rsidRPr="00381DC2">
        <w:rPr>
          <w:color w:val="000000"/>
        </w:rPr>
        <w:t>á</w:t>
      </w:r>
      <w:r w:rsidRPr="00381DC2">
        <w:rPr>
          <w:color w:val="000000"/>
        </w:rPr>
        <w:t xml:space="preserve"> v podskupině pacientů, kteří neměli histologický nález adenokarcinomu.</w:t>
      </w:r>
    </w:p>
    <w:p w14:paraId="4197646C" w14:textId="77777777" w:rsidR="00D15122" w:rsidRPr="00381DC2" w:rsidRDefault="00D15122" w:rsidP="007F6E1B">
      <w:pPr>
        <w:rPr>
          <w:rFonts w:ascii="Times New Roman" w:eastAsia="Times New Roman" w:hAnsi="Times New Roman"/>
          <w:color w:val="000000"/>
        </w:rPr>
      </w:pPr>
    </w:p>
    <w:p w14:paraId="67F46A7C" w14:textId="77777777" w:rsidR="00D15122" w:rsidRPr="00381DC2" w:rsidRDefault="009B0756" w:rsidP="007F6E1B">
      <w:pPr>
        <w:rPr>
          <w:rFonts w:ascii="Times New Roman" w:eastAsia="Times New Roman" w:hAnsi="Times New Roman"/>
          <w:color w:val="000000"/>
        </w:rPr>
      </w:pPr>
      <w:r w:rsidRPr="00381DC2">
        <w:rPr>
          <w:rFonts w:ascii="Times New Roman" w:hAnsi="Times New Roman"/>
          <w:i/>
          <w:color w:val="000000"/>
        </w:rPr>
        <w:t>BO17704</w:t>
      </w:r>
    </w:p>
    <w:p w14:paraId="26A5FC6D" w14:textId="77777777" w:rsidR="00D15122" w:rsidRPr="00381DC2" w:rsidRDefault="009B0756" w:rsidP="007F6E1B">
      <w:pPr>
        <w:pStyle w:val="BodyText"/>
        <w:ind w:left="0" w:right="182"/>
        <w:rPr>
          <w:color w:val="000000"/>
        </w:rPr>
      </w:pPr>
      <w:r w:rsidRPr="00381DC2">
        <w:rPr>
          <w:color w:val="000000"/>
        </w:rPr>
        <w:t>BO17704 je randomizované dvojitě zaslepené hodnocení fáze III s bevacizumabem přidaným k cisplatině a gemcitabinu versus placebo, cisplatina a gemcitabin u pacientů s lokálně pokročilým (</w:t>
      </w:r>
      <w:r w:rsidR="00AC4645" w:rsidRPr="00381DC2">
        <w:rPr>
          <w:color w:val="000000"/>
        </w:rPr>
        <w:t>stadium </w:t>
      </w:r>
      <w:r w:rsidRPr="00381DC2">
        <w:rPr>
          <w:color w:val="000000"/>
        </w:rPr>
        <w:t xml:space="preserve">IIIb s metastázami do </w:t>
      </w:r>
      <w:r w:rsidR="00424D9A" w:rsidRPr="00381DC2">
        <w:rPr>
          <w:color w:val="000000"/>
        </w:rPr>
        <w:t>supraklavikulárních</w:t>
      </w:r>
      <w:r w:rsidRPr="00381DC2">
        <w:rPr>
          <w:color w:val="000000"/>
        </w:rPr>
        <w:t xml:space="preserve"> </w:t>
      </w:r>
      <w:r w:rsidR="002A3FEA" w:rsidRPr="00381DC2">
        <w:rPr>
          <w:color w:val="000000"/>
        </w:rPr>
        <w:t xml:space="preserve">lymfatických </w:t>
      </w:r>
      <w:r w:rsidRPr="00381DC2">
        <w:rPr>
          <w:color w:val="000000"/>
        </w:rPr>
        <w:t xml:space="preserve">uzlin nebo maligním pleurálním či perikardiálním výpotkem), </w:t>
      </w:r>
      <w:r w:rsidR="000834FE" w:rsidRPr="00381DC2">
        <w:rPr>
          <w:color w:val="000000"/>
        </w:rPr>
        <w:t>metasta</w:t>
      </w:r>
      <w:r w:rsidR="00F33CDD" w:rsidRPr="00381DC2">
        <w:rPr>
          <w:color w:val="000000"/>
        </w:rPr>
        <w:t>zujícím</w:t>
      </w:r>
      <w:r w:rsidR="000834FE" w:rsidRPr="00381DC2">
        <w:rPr>
          <w:color w:val="000000"/>
        </w:rPr>
        <w:t xml:space="preserve"> </w:t>
      </w:r>
      <w:r w:rsidRPr="00381DC2">
        <w:rPr>
          <w:color w:val="000000"/>
        </w:rPr>
        <w:t xml:space="preserve">nebo rekurentním </w:t>
      </w:r>
      <w:r w:rsidR="00CC1FF6" w:rsidRPr="00381DC2">
        <w:rPr>
          <w:color w:val="000000"/>
        </w:rPr>
        <w:t xml:space="preserve">nedlaždicovým </w:t>
      </w:r>
      <w:r w:rsidRPr="00381DC2">
        <w:rPr>
          <w:color w:val="000000"/>
        </w:rPr>
        <w:t xml:space="preserve">NSCLC, kteří dosud nebyli léčeni chemoterapií. Primárním </w:t>
      </w:r>
      <w:r w:rsidR="00CC1FF6" w:rsidRPr="00381DC2">
        <w:rPr>
          <w:color w:val="000000"/>
        </w:rPr>
        <w:t xml:space="preserve">cílovým parametrem </w:t>
      </w:r>
      <w:r w:rsidRPr="00381DC2">
        <w:rPr>
          <w:color w:val="000000"/>
        </w:rPr>
        <w:t xml:space="preserve">bylo přežití bez progrese, sekundární </w:t>
      </w:r>
      <w:r w:rsidR="00CC1FF6" w:rsidRPr="00381DC2">
        <w:rPr>
          <w:color w:val="000000"/>
        </w:rPr>
        <w:t xml:space="preserve">cílové parametry </w:t>
      </w:r>
      <w:r w:rsidRPr="00381DC2">
        <w:rPr>
          <w:color w:val="000000"/>
        </w:rPr>
        <w:t>zahrnovaly délku celkového přežití.</w:t>
      </w:r>
    </w:p>
    <w:p w14:paraId="48D1B238" w14:textId="77777777" w:rsidR="00D15122" w:rsidRPr="00381DC2" w:rsidRDefault="00D15122" w:rsidP="007F6E1B">
      <w:pPr>
        <w:rPr>
          <w:rFonts w:ascii="Times New Roman" w:eastAsia="Times New Roman" w:hAnsi="Times New Roman"/>
          <w:color w:val="000000"/>
        </w:rPr>
      </w:pPr>
    </w:p>
    <w:p w14:paraId="2FAEF945" w14:textId="77777777" w:rsidR="00D15122" w:rsidRPr="00381DC2" w:rsidRDefault="009B0756" w:rsidP="007F6E1B">
      <w:pPr>
        <w:pStyle w:val="BodyText"/>
        <w:spacing w:line="234" w:lineRule="auto"/>
        <w:ind w:left="0" w:right="128"/>
        <w:rPr>
          <w:color w:val="000000"/>
        </w:rPr>
      </w:pPr>
      <w:r w:rsidRPr="00381DC2">
        <w:rPr>
          <w:color w:val="000000"/>
        </w:rPr>
        <w:t>Pacienti byli randomizováni k </w:t>
      </w:r>
      <w:r w:rsidR="00CC1FF6" w:rsidRPr="00381DC2">
        <w:rPr>
          <w:color w:val="000000"/>
        </w:rPr>
        <w:t>chemoterapii</w:t>
      </w:r>
      <w:r w:rsidR="001F02D5" w:rsidRPr="00381DC2">
        <w:rPr>
          <w:color w:val="000000"/>
        </w:rPr>
        <w:t xml:space="preserve"> na bázi platiny</w:t>
      </w:r>
      <w:r w:rsidRPr="00381DC2">
        <w:rPr>
          <w:color w:val="000000"/>
        </w:rPr>
        <w:t>, cisplatin</w:t>
      </w:r>
      <w:r w:rsidR="00424D9A" w:rsidRPr="00381DC2">
        <w:rPr>
          <w:color w:val="000000"/>
        </w:rPr>
        <w:t>a</w:t>
      </w:r>
      <w:r w:rsidRPr="00381DC2">
        <w:rPr>
          <w:color w:val="000000"/>
        </w:rPr>
        <w:t xml:space="preserve"> 80 mg/m</w:t>
      </w:r>
      <w:r w:rsidRPr="00381DC2">
        <w:rPr>
          <w:color w:val="000000"/>
          <w:vertAlign w:val="superscript"/>
        </w:rPr>
        <w:t>2</w:t>
      </w:r>
      <w:r w:rsidR="00424D9A" w:rsidRPr="00381DC2">
        <w:rPr>
          <w:color w:val="000000"/>
        </w:rPr>
        <w:t xml:space="preserve"> </w:t>
      </w:r>
      <w:r w:rsidRPr="00381DC2">
        <w:rPr>
          <w:color w:val="000000"/>
        </w:rPr>
        <w:t xml:space="preserve">v intravenózní infuzi </w:t>
      </w:r>
      <w:r w:rsidR="00CC1FF6" w:rsidRPr="00381DC2">
        <w:rPr>
          <w:color w:val="000000"/>
        </w:rPr>
        <w:t>v den </w:t>
      </w:r>
      <w:r w:rsidRPr="00381DC2">
        <w:rPr>
          <w:color w:val="000000"/>
        </w:rPr>
        <w:t>1 a gemcitabin 1250 mg/m</w:t>
      </w:r>
      <w:r w:rsidRPr="00381DC2">
        <w:rPr>
          <w:color w:val="000000"/>
          <w:vertAlign w:val="superscript"/>
        </w:rPr>
        <w:t>2</w:t>
      </w:r>
      <w:r w:rsidR="00424D9A" w:rsidRPr="00381DC2">
        <w:rPr>
          <w:color w:val="000000"/>
        </w:rPr>
        <w:t xml:space="preserve"> </w:t>
      </w:r>
      <w:r w:rsidRPr="00381DC2">
        <w:rPr>
          <w:color w:val="000000"/>
        </w:rPr>
        <w:t xml:space="preserve">v intravenózní infuzi </w:t>
      </w:r>
      <w:r w:rsidR="00CC1FF6" w:rsidRPr="00381DC2">
        <w:rPr>
          <w:color w:val="000000"/>
        </w:rPr>
        <w:t>v den </w:t>
      </w:r>
      <w:r w:rsidRPr="00381DC2">
        <w:rPr>
          <w:color w:val="000000"/>
        </w:rPr>
        <w:t>1 a </w:t>
      </w:r>
      <w:r w:rsidR="00CD2851" w:rsidRPr="00381DC2">
        <w:rPr>
          <w:color w:val="000000"/>
        </w:rPr>
        <w:t>den </w:t>
      </w:r>
      <w:r w:rsidRPr="00381DC2">
        <w:rPr>
          <w:color w:val="000000"/>
        </w:rPr>
        <w:t>8</w:t>
      </w:r>
      <w:r w:rsidR="00CD2851" w:rsidRPr="00381DC2">
        <w:rPr>
          <w:color w:val="000000"/>
        </w:rPr>
        <w:t xml:space="preserve"> </w:t>
      </w:r>
      <w:r w:rsidRPr="00381DC2">
        <w:rPr>
          <w:color w:val="000000"/>
        </w:rPr>
        <w:t xml:space="preserve">každého 3týdenního cyklu po dobu maximálně 6 cyklů (CG) s placebem nebo </w:t>
      </w:r>
      <w:r w:rsidR="00CD2851" w:rsidRPr="00381DC2">
        <w:rPr>
          <w:color w:val="000000"/>
        </w:rPr>
        <w:t>k </w:t>
      </w:r>
      <w:r w:rsidRPr="00381DC2">
        <w:rPr>
          <w:color w:val="000000"/>
        </w:rPr>
        <w:t>CG s bevacizumabem v dávce 7,5 nebo 15 mg/kg v </w:t>
      </w:r>
      <w:r w:rsidR="00D5294C" w:rsidRPr="00381DC2">
        <w:rPr>
          <w:color w:val="000000"/>
        </w:rPr>
        <w:t xml:space="preserve">intravenózní </w:t>
      </w:r>
      <w:r w:rsidRPr="00381DC2">
        <w:rPr>
          <w:color w:val="000000"/>
        </w:rPr>
        <w:t xml:space="preserve">infuzi </w:t>
      </w:r>
      <w:r w:rsidR="00CC1FF6" w:rsidRPr="00381DC2">
        <w:rPr>
          <w:color w:val="000000"/>
        </w:rPr>
        <w:t>v den </w:t>
      </w:r>
      <w:r w:rsidRPr="00381DC2">
        <w:rPr>
          <w:color w:val="000000"/>
        </w:rPr>
        <w:t xml:space="preserve">1 každého 3týdenního cyklu. </w:t>
      </w:r>
      <w:r w:rsidR="00CD2851" w:rsidRPr="00381DC2">
        <w:rPr>
          <w:color w:val="000000"/>
        </w:rPr>
        <w:t>P</w:t>
      </w:r>
      <w:r w:rsidRPr="00381DC2">
        <w:rPr>
          <w:color w:val="000000"/>
        </w:rPr>
        <w:t>acienti v</w:t>
      </w:r>
      <w:r w:rsidR="00CD2851" w:rsidRPr="00381DC2">
        <w:rPr>
          <w:color w:val="000000"/>
        </w:rPr>
        <w:t xml:space="preserve"> ramenech </w:t>
      </w:r>
      <w:r w:rsidRPr="00381DC2">
        <w:rPr>
          <w:color w:val="000000"/>
        </w:rPr>
        <w:t xml:space="preserve">obsahujících bevacizumab </w:t>
      </w:r>
      <w:r w:rsidR="00CD2851" w:rsidRPr="00381DC2">
        <w:rPr>
          <w:color w:val="000000"/>
        </w:rPr>
        <w:t xml:space="preserve">mohli </w:t>
      </w:r>
      <w:r w:rsidRPr="00381DC2">
        <w:rPr>
          <w:color w:val="000000"/>
        </w:rPr>
        <w:t xml:space="preserve">dostávat bevacizumab v monoterapii </w:t>
      </w:r>
      <w:r w:rsidR="00D63038" w:rsidRPr="00381DC2">
        <w:rPr>
          <w:color w:val="000000"/>
        </w:rPr>
        <w:t xml:space="preserve">každé </w:t>
      </w:r>
      <w:r w:rsidRPr="00381DC2">
        <w:rPr>
          <w:color w:val="000000"/>
        </w:rPr>
        <w:t>3 týdny až do progrese onemocnění nebo nepřijatelné toxicity. Výsledky hodnocení ukazují, že 94 % (277/296) kvalifikovaných pacientů pokračovalo v léčbě bevacizumabem v monoterapii v 7. cyklu. Vysoký podíl pacientů (přibližně 62 %) nadále dostával různou, protokolem nespecifikovanou protinádorovou léčbu, což mohlo ovlivnit analýzu celkového přežití.</w:t>
      </w:r>
    </w:p>
    <w:p w14:paraId="669D8742" w14:textId="77777777" w:rsidR="00897DAB" w:rsidRPr="00381DC2" w:rsidRDefault="00897DAB" w:rsidP="007F6E1B">
      <w:pPr>
        <w:pStyle w:val="BodyText"/>
        <w:spacing w:line="234" w:lineRule="auto"/>
        <w:ind w:left="0" w:right="128"/>
        <w:rPr>
          <w:color w:val="000000"/>
        </w:rPr>
      </w:pPr>
    </w:p>
    <w:p w14:paraId="445ADBD9" w14:textId="77777777" w:rsidR="00D15122" w:rsidRPr="00381DC2" w:rsidRDefault="009B0756" w:rsidP="007F6E1B">
      <w:pPr>
        <w:pStyle w:val="BodyText"/>
        <w:ind w:left="0"/>
        <w:rPr>
          <w:color w:val="000000"/>
        </w:rPr>
      </w:pPr>
      <w:r w:rsidRPr="00381DC2">
        <w:rPr>
          <w:color w:val="000000"/>
        </w:rPr>
        <w:t xml:space="preserve">Výsledky účinnosti jsou </w:t>
      </w:r>
      <w:r w:rsidR="00CD2851" w:rsidRPr="00381DC2">
        <w:rPr>
          <w:color w:val="000000"/>
        </w:rPr>
        <w:t xml:space="preserve">uvedeny </w:t>
      </w:r>
      <w:r w:rsidRPr="00381DC2">
        <w:rPr>
          <w:color w:val="000000"/>
        </w:rPr>
        <w:t>v </w:t>
      </w:r>
      <w:r w:rsidR="005E6C8E" w:rsidRPr="00381DC2">
        <w:rPr>
          <w:color w:val="000000"/>
        </w:rPr>
        <w:t>t</w:t>
      </w:r>
      <w:r w:rsidRPr="00381DC2">
        <w:rPr>
          <w:color w:val="000000"/>
        </w:rPr>
        <w:t>abulce 1</w:t>
      </w:r>
      <w:r w:rsidR="00ED4C2D" w:rsidRPr="00381DC2">
        <w:rPr>
          <w:color w:val="000000"/>
        </w:rPr>
        <w:t>3</w:t>
      </w:r>
      <w:r w:rsidRPr="00381DC2">
        <w:rPr>
          <w:color w:val="000000"/>
        </w:rPr>
        <w:t>.</w:t>
      </w:r>
    </w:p>
    <w:p w14:paraId="6CB0EABF" w14:textId="77777777" w:rsidR="00D15122" w:rsidRPr="00381DC2" w:rsidRDefault="00D15122" w:rsidP="007F6E1B">
      <w:pPr>
        <w:rPr>
          <w:rFonts w:ascii="Times New Roman" w:eastAsia="Times New Roman" w:hAnsi="Times New Roman"/>
          <w:color w:val="000000"/>
        </w:rPr>
      </w:pPr>
    </w:p>
    <w:p w14:paraId="5A2A9633" w14:textId="77777777" w:rsidR="00D15122" w:rsidRPr="00381DC2" w:rsidRDefault="009B0756" w:rsidP="005D48D1">
      <w:pPr>
        <w:rPr>
          <w:rFonts w:ascii="Times New Roman" w:eastAsia="Times New Roman" w:hAnsi="Times New Roman"/>
          <w:b/>
          <w:color w:val="000000"/>
        </w:rPr>
      </w:pPr>
      <w:r w:rsidRPr="00381DC2">
        <w:rPr>
          <w:rFonts w:ascii="Times New Roman" w:eastAsia="Times New Roman" w:hAnsi="Times New Roman"/>
          <w:b/>
          <w:color w:val="000000"/>
        </w:rPr>
        <w:lastRenderedPageBreak/>
        <w:t>Tabulka 1</w:t>
      </w:r>
      <w:r w:rsidR="00ED4C2D" w:rsidRPr="00381DC2">
        <w:rPr>
          <w:rFonts w:ascii="Times New Roman" w:eastAsia="Times New Roman" w:hAnsi="Times New Roman"/>
          <w:b/>
          <w:color w:val="000000"/>
        </w:rPr>
        <w:t>3</w:t>
      </w:r>
      <w:r w:rsidRPr="00381DC2">
        <w:rPr>
          <w:rFonts w:ascii="Times New Roman" w:eastAsia="Times New Roman" w:hAnsi="Times New Roman"/>
          <w:b/>
          <w:color w:val="000000"/>
        </w:rPr>
        <w:tab/>
        <w:t>Výsledky účinnosti v</w:t>
      </w:r>
      <w:r w:rsidR="00424D9A" w:rsidRPr="00381DC2">
        <w:rPr>
          <w:rFonts w:ascii="Times New Roman" w:eastAsia="Times New Roman" w:hAnsi="Times New Roman"/>
          <w:b/>
          <w:color w:val="000000"/>
        </w:rPr>
        <w:t>e studii</w:t>
      </w:r>
      <w:r w:rsidRPr="00381DC2">
        <w:rPr>
          <w:rFonts w:ascii="Times New Roman" w:eastAsia="Times New Roman" w:hAnsi="Times New Roman"/>
          <w:b/>
          <w:color w:val="000000"/>
        </w:rPr>
        <w:t xml:space="preserve"> BO17704</w:t>
      </w:r>
    </w:p>
    <w:p w14:paraId="2ED10343" w14:textId="77777777" w:rsidR="00D15122" w:rsidRPr="00F60460" w:rsidRDefault="00D15122" w:rsidP="00054CB9">
      <w:pPr>
        <w:keepNext/>
        <w:rPr>
          <w:rFonts w:ascii="Times New Roman" w:eastAsia="Times New Roman" w:hAnsi="Times New Roman"/>
          <w:bCs/>
          <w:color w:val="000000"/>
          <w:sz w:val="20"/>
          <w:szCs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2155"/>
        <w:gridCol w:w="2227"/>
        <w:gridCol w:w="2182"/>
      </w:tblGrid>
      <w:tr w:rsidR="004C384A" w:rsidRPr="00F60460" w14:paraId="03A0A021" w14:textId="77777777" w:rsidTr="006A2145">
        <w:tc>
          <w:tcPr>
            <w:tcW w:w="1884" w:type="dxa"/>
          </w:tcPr>
          <w:p w14:paraId="2376E7ED" w14:textId="77777777" w:rsidR="004C384A" w:rsidRPr="00381DC2" w:rsidRDefault="004C384A" w:rsidP="00054CB9">
            <w:pPr>
              <w:keepNext/>
              <w:rPr>
                <w:rFonts w:ascii="Times New Roman" w:hAnsi="Times New Roman"/>
                <w:color w:val="000000"/>
              </w:rPr>
            </w:pPr>
          </w:p>
        </w:tc>
        <w:tc>
          <w:tcPr>
            <w:tcW w:w="2155" w:type="dxa"/>
          </w:tcPr>
          <w:p w14:paraId="23AC269F" w14:textId="77777777" w:rsidR="004C384A" w:rsidRPr="00F60460" w:rsidRDefault="004C384A" w:rsidP="00054CB9">
            <w:pPr>
              <w:pStyle w:val="TableParagraph"/>
              <w:keepNext/>
              <w:spacing w:before="9"/>
              <w:rPr>
                <w:rFonts w:ascii="Times New Roman" w:eastAsia="Times New Roman" w:hAnsi="Times New Roman"/>
                <w:color w:val="000000"/>
                <w:sz w:val="23"/>
                <w:szCs w:val="23"/>
              </w:rPr>
            </w:pPr>
          </w:p>
          <w:p w14:paraId="1E526C18" w14:textId="77777777" w:rsidR="004C384A" w:rsidRPr="00381DC2" w:rsidRDefault="004C384A"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spacing w:val="-1"/>
              </w:rPr>
              <w:t>Cisplatina/gemcitabin</w:t>
            </w:r>
          </w:p>
          <w:p w14:paraId="5B098F63" w14:textId="77777777" w:rsidR="004C384A" w:rsidRPr="00381DC2" w:rsidRDefault="004C384A"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 placebo</w:t>
            </w:r>
          </w:p>
        </w:tc>
        <w:tc>
          <w:tcPr>
            <w:tcW w:w="2227" w:type="dxa"/>
          </w:tcPr>
          <w:p w14:paraId="18CEAB6C" w14:textId="77777777" w:rsidR="004C384A" w:rsidRPr="00381DC2" w:rsidRDefault="004C384A" w:rsidP="00054CB9">
            <w:pPr>
              <w:pStyle w:val="TableParagraph"/>
              <w:keepNext/>
              <w:spacing w:before="33" w:line="248" w:lineRule="exact"/>
              <w:jc w:val="center"/>
              <w:rPr>
                <w:rFonts w:ascii="Times New Roman" w:eastAsia="Times New Roman" w:hAnsi="Times New Roman"/>
                <w:color w:val="000000"/>
              </w:rPr>
            </w:pPr>
            <w:r w:rsidRPr="00381DC2">
              <w:rPr>
                <w:rFonts w:ascii="Times New Roman" w:hAnsi="Times New Roman"/>
                <w:color w:val="000000"/>
                <w:spacing w:val="-1"/>
              </w:rPr>
              <w:t>Cisplatina/gemcitabin</w:t>
            </w:r>
          </w:p>
          <w:p w14:paraId="4B931BA3" w14:textId="77777777" w:rsidR="004C384A" w:rsidRPr="00381DC2" w:rsidRDefault="004C384A" w:rsidP="00054CB9">
            <w:pPr>
              <w:pStyle w:val="TableParagraph"/>
              <w:keepNext/>
              <w:spacing w:line="240" w:lineRule="exact"/>
              <w:jc w:val="center"/>
              <w:rPr>
                <w:rFonts w:ascii="Times New Roman" w:eastAsia="Times New Roman" w:hAnsi="Times New Roman"/>
                <w:color w:val="000000"/>
              </w:rPr>
            </w:pPr>
            <w:r w:rsidRPr="00381DC2">
              <w:rPr>
                <w:rFonts w:ascii="Times New Roman" w:hAnsi="Times New Roman"/>
                <w:color w:val="000000"/>
              </w:rPr>
              <w:t>+ bevacizumab</w:t>
            </w:r>
          </w:p>
          <w:p w14:paraId="6598080A" w14:textId="77777777" w:rsidR="004C384A" w:rsidRPr="00381DC2" w:rsidRDefault="004C384A" w:rsidP="00054CB9">
            <w:pPr>
              <w:pStyle w:val="TableParagraph"/>
              <w:keepNext/>
              <w:spacing w:line="245" w:lineRule="exact"/>
              <w:jc w:val="center"/>
              <w:rPr>
                <w:rFonts w:ascii="Times New Roman" w:eastAsia="Times New Roman" w:hAnsi="Times New Roman"/>
                <w:color w:val="000000"/>
              </w:rPr>
            </w:pPr>
            <w:r w:rsidRPr="00381DC2">
              <w:rPr>
                <w:rFonts w:ascii="Times New Roman" w:hAnsi="Times New Roman"/>
                <w:color w:val="000000"/>
              </w:rPr>
              <w:t>7,5 mg/kg každé 3 týdny</w:t>
            </w:r>
          </w:p>
        </w:tc>
        <w:tc>
          <w:tcPr>
            <w:tcW w:w="2182" w:type="dxa"/>
          </w:tcPr>
          <w:p w14:paraId="147960F2" w14:textId="77777777" w:rsidR="004C384A" w:rsidRPr="00381DC2" w:rsidRDefault="004C384A" w:rsidP="00054CB9">
            <w:pPr>
              <w:pStyle w:val="TableParagraph"/>
              <w:keepNext/>
              <w:spacing w:before="33" w:line="248" w:lineRule="exact"/>
              <w:jc w:val="center"/>
              <w:rPr>
                <w:rFonts w:ascii="Times New Roman" w:eastAsia="Times New Roman" w:hAnsi="Times New Roman"/>
                <w:color w:val="000000"/>
              </w:rPr>
            </w:pPr>
            <w:r w:rsidRPr="00381DC2">
              <w:rPr>
                <w:rFonts w:ascii="Times New Roman" w:hAnsi="Times New Roman"/>
                <w:color w:val="000000"/>
                <w:spacing w:val="-1"/>
              </w:rPr>
              <w:t>Cisplatina/gemcitabin</w:t>
            </w:r>
          </w:p>
          <w:p w14:paraId="0F88DA51" w14:textId="77777777" w:rsidR="004C384A" w:rsidRPr="00381DC2" w:rsidRDefault="004C384A" w:rsidP="00054CB9">
            <w:pPr>
              <w:pStyle w:val="TableParagraph"/>
              <w:keepNext/>
              <w:spacing w:line="240" w:lineRule="exact"/>
              <w:jc w:val="center"/>
              <w:rPr>
                <w:rFonts w:ascii="Times New Roman" w:eastAsia="Times New Roman" w:hAnsi="Times New Roman"/>
                <w:color w:val="000000"/>
              </w:rPr>
            </w:pPr>
            <w:r w:rsidRPr="00381DC2">
              <w:rPr>
                <w:rFonts w:ascii="Times New Roman" w:hAnsi="Times New Roman"/>
                <w:color w:val="000000"/>
              </w:rPr>
              <w:t>+ bevacizumab</w:t>
            </w:r>
          </w:p>
          <w:p w14:paraId="102C03F6" w14:textId="77777777" w:rsidR="004C384A" w:rsidRPr="00381DC2" w:rsidRDefault="004C384A" w:rsidP="00054CB9">
            <w:pPr>
              <w:pStyle w:val="TableParagraph"/>
              <w:keepNext/>
              <w:spacing w:line="245" w:lineRule="exact"/>
              <w:jc w:val="center"/>
              <w:rPr>
                <w:rFonts w:ascii="Times New Roman" w:eastAsia="Times New Roman" w:hAnsi="Times New Roman"/>
                <w:color w:val="000000"/>
              </w:rPr>
            </w:pPr>
            <w:r w:rsidRPr="00381DC2">
              <w:rPr>
                <w:rFonts w:ascii="Times New Roman" w:hAnsi="Times New Roman"/>
                <w:color w:val="000000"/>
              </w:rPr>
              <w:t>15 mg/kg každé 3 týdny</w:t>
            </w:r>
          </w:p>
        </w:tc>
      </w:tr>
      <w:tr w:rsidR="004C384A" w:rsidRPr="00F60460" w14:paraId="00050C9D" w14:textId="77777777" w:rsidTr="006A2145">
        <w:tc>
          <w:tcPr>
            <w:tcW w:w="1884" w:type="dxa"/>
            <w:tcBorders>
              <w:bottom w:val="single" w:sz="4" w:space="0" w:color="000000"/>
            </w:tcBorders>
          </w:tcPr>
          <w:p w14:paraId="442BC876" w14:textId="77777777" w:rsidR="004C384A" w:rsidRPr="00381DC2" w:rsidRDefault="004C384A" w:rsidP="00054CB9">
            <w:pPr>
              <w:pStyle w:val="TableParagraph"/>
              <w:keepNext/>
              <w:spacing w:before="33"/>
              <w:rPr>
                <w:rFonts w:ascii="Times New Roman" w:eastAsia="Times New Roman" w:hAnsi="Times New Roman"/>
                <w:color w:val="000000"/>
              </w:rPr>
            </w:pPr>
            <w:r w:rsidRPr="00381DC2">
              <w:rPr>
                <w:rFonts w:ascii="Times New Roman" w:hAnsi="Times New Roman"/>
                <w:color w:val="000000"/>
                <w:spacing w:val="-1"/>
              </w:rPr>
              <w:t>Počet pacientů</w:t>
            </w:r>
          </w:p>
        </w:tc>
        <w:tc>
          <w:tcPr>
            <w:tcW w:w="2155" w:type="dxa"/>
            <w:tcBorders>
              <w:bottom w:val="single" w:sz="4" w:space="0" w:color="000000"/>
            </w:tcBorders>
          </w:tcPr>
          <w:p w14:paraId="5EB632BA" w14:textId="77777777" w:rsidR="004C384A" w:rsidRPr="00381DC2" w:rsidRDefault="004C384A" w:rsidP="00054CB9">
            <w:pPr>
              <w:pStyle w:val="TableParagraph"/>
              <w:keepNext/>
              <w:spacing w:before="84"/>
              <w:jc w:val="center"/>
              <w:rPr>
                <w:rFonts w:ascii="Times New Roman" w:eastAsia="Times New Roman" w:hAnsi="Times New Roman"/>
                <w:color w:val="000000"/>
              </w:rPr>
            </w:pPr>
            <w:r w:rsidRPr="00381DC2">
              <w:rPr>
                <w:rFonts w:ascii="Times New Roman" w:hAnsi="Times New Roman"/>
                <w:color w:val="000000"/>
              </w:rPr>
              <w:t>347</w:t>
            </w:r>
          </w:p>
        </w:tc>
        <w:tc>
          <w:tcPr>
            <w:tcW w:w="2227" w:type="dxa"/>
            <w:tcBorders>
              <w:bottom w:val="single" w:sz="4" w:space="0" w:color="000000"/>
            </w:tcBorders>
          </w:tcPr>
          <w:p w14:paraId="0EC4FDF0" w14:textId="77777777" w:rsidR="004C384A" w:rsidRPr="00381DC2" w:rsidRDefault="004C384A" w:rsidP="00054CB9">
            <w:pPr>
              <w:pStyle w:val="TableParagraph"/>
              <w:keepNext/>
              <w:spacing w:before="84"/>
              <w:jc w:val="center"/>
              <w:rPr>
                <w:rFonts w:ascii="Times New Roman" w:eastAsia="Times New Roman" w:hAnsi="Times New Roman"/>
                <w:color w:val="000000"/>
              </w:rPr>
            </w:pPr>
            <w:r w:rsidRPr="00381DC2">
              <w:rPr>
                <w:rFonts w:ascii="Times New Roman" w:hAnsi="Times New Roman"/>
                <w:color w:val="000000"/>
              </w:rPr>
              <w:t>345</w:t>
            </w:r>
          </w:p>
        </w:tc>
        <w:tc>
          <w:tcPr>
            <w:tcW w:w="2182" w:type="dxa"/>
            <w:tcBorders>
              <w:bottom w:val="single" w:sz="4" w:space="0" w:color="000000"/>
            </w:tcBorders>
          </w:tcPr>
          <w:p w14:paraId="364E9709" w14:textId="77777777" w:rsidR="004C384A" w:rsidRPr="00381DC2" w:rsidRDefault="004C384A" w:rsidP="00054CB9">
            <w:pPr>
              <w:pStyle w:val="TableParagraph"/>
              <w:keepNext/>
              <w:spacing w:before="84"/>
              <w:jc w:val="center"/>
              <w:rPr>
                <w:rFonts w:ascii="Times New Roman" w:eastAsia="Times New Roman" w:hAnsi="Times New Roman"/>
                <w:color w:val="000000"/>
              </w:rPr>
            </w:pPr>
            <w:r w:rsidRPr="00381DC2">
              <w:rPr>
                <w:rFonts w:ascii="Times New Roman" w:hAnsi="Times New Roman"/>
                <w:color w:val="000000"/>
              </w:rPr>
              <w:t>351</w:t>
            </w:r>
          </w:p>
        </w:tc>
      </w:tr>
      <w:tr w:rsidR="004C384A" w:rsidRPr="00F60460" w14:paraId="5453E092" w14:textId="77777777" w:rsidTr="006A2145">
        <w:tc>
          <w:tcPr>
            <w:tcW w:w="1884" w:type="dxa"/>
            <w:tcBorders>
              <w:bottom w:val="nil"/>
            </w:tcBorders>
          </w:tcPr>
          <w:p w14:paraId="5CC19C6E" w14:textId="77777777" w:rsidR="004C384A" w:rsidRPr="00381DC2" w:rsidRDefault="004C384A" w:rsidP="00054CB9">
            <w:pPr>
              <w:pStyle w:val="TableParagraph"/>
              <w:keepNext/>
              <w:spacing w:before="33"/>
              <w:rPr>
                <w:rFonts w:ascii="Times New Roman" w:hAnsi="Times New Roman"/>
                <w:color w:val="000000"/>
                <w:spacing w:val="-1"/>
              </w:rPr>
            </w:pPr>
            <w:r w:rsidRPr="00381DC2">
              <w:rPr>
                <w:rFonts w:ascii="Times New Roman" w:hAnsi="Times New Roman"/>
                <w:color w:val="000000"/>
                <w:spacing w:val="-1"/>
              </w:rPr>
              <w:t>Přežití bez progrese</w:t>
            </w:r>
          </w:p>
        </w:tc>
        <w:tc>
          <w:tcPr>
            <w:tcW w:w="2155" w:type="dxa"/>
            <w:tcBorders>
              <w:bottom w:val="nil"/>
            </w:tcBorders>
          </w:tcPr>
          <w:p w14:paraId="0A9B070D" w14:textId="77777777" w:rsidR="004C384A" w:rsidRPr="00381DC2" w:rsidRDefault="004C384A" w:rsidP="00054CB9">
            <w:pPr>
              <w:pStyle w:val="TableParagraph"/>
              <w:keepNext/>
              <w:spacing w:before="33"/>
              <w:rPr>
                <w:rFonts w:ascii="Times New Roman" w:hAnsi="Times New Roman"/>
                <w:color w:val="000000"/>
                <w:spacing w:val="-1"/>
              </w:rPr>
            </w:pPr>
          </w:p>
        </w:tc>
        <w:tc>
          <w:tcPr>
            <w:tcW w:w="2227" w:type="dxa"/>
            <w:tcBorders>
              <w:bottom w:val="nil"/>
            </w:tcBorders>
          </w:tcPr>
          <w:p w14:paraId="786A2BF3" w14:textId="77777777" w:rsidR="004C384A" w:rsidRPr="00381DC2" w:rsidRDefault="004C384A" w:rsidP="00054CB9">
            <w:pPr>
              <w:pStyle w:val="TableParagraph"/>
              <w:keepNext/>
              <w:spacing w:before="33"/>
              <w:rPr>
                <w:rFonts w:ascii="Times New Roman" w:hAnsi="Times New Roman"/>
                <w:color w:val="000000"/>
                <w:spacing w:val="-1"/>
              </w:rPr>
            </w:pPr>
          </w:p>
        </w:tc>
        <w:tc>
          <w:tcPr>
            <w:tcW w:w="2182" w:type="dxa"/>
            <w:tcBorders>
              <w:bottom w:val="nil"/>
            </w:tcBorders>
          </w:tcPr>
          <w:p w14:paraId="1C250C41" w14:textId="77777777" w:rsidR="004C384A" w:rsidRPr="00381DC2" w:rsidRDefault="004C384A" w:rsidP="00054CB9">
            <w:pPr>
              <w:pStyle w:val="TableParagraph"/>
              <w:keepNext/>
              <w:spacing w:before="33"/>
              <w:rPr>
                <w:rFonts w:ascii="Times New Roman" w:hAnsi="Times New Roman"/>
                <w:color w:val="000000"/>
                <w:spacing w:val="-1"/>
              </w:rPr>
            </w:pPr>
          </w:p>
        </w:tc>
      </w:tr>
      <w:tr w:rsidR="004C384A" w:rsidRPr="00F60460" w14:paraId="05CC2332" w14:textId="77777777" w:rsidTr="006A2145">
        <w:tc>
          <w:tcPr>
            <w:tcW w:w="1884" w:type="dxa"/>
            <w:tcBorders>
              <w:top w:val="nil"/>
              <w:bottom w:val="nil"/>
            </w:tcBorders>
          </w:tcPr>
          <w:p w14:paraId="30DB1B67" w14:textId="77777777" w:rsidR="004C384A" w:rsidRPr="00381DC2" w:rsidRDefault="004C384A" w:rsidP="00054CB9">
            <w:pPr>
              <w:pStyle w:val="TableParagraph"/>
              <w:keepNext/>
              <w:spacing w:before="100"/>
              <w:ind w:left="270"/>
              <w:rPr>
                <w:rFonts w:ascii="Times New Roman" w:eastAsia="Times New Roman" w:hAnsi="Times New Roman"/>
                <w:color w:val="000000"/>
              </w:rPr>
            </w:pPr>
            <w:r w:rsidRPr="00381DC2">
              <w:rPr>
                <w:rFonts w:ascii="Times New Roman" w:hAnsi="Times New Roman"/>
                <w:color w:val="000000"/>
                <w:spacing w:val="-1"/>
              </w:rPr>
              <w:t>Medián (měsíce)</w:t>
            </w:r>
          </w:p>
        </w:tc>
        <w:tc>
          <w:tcPr>
            <w:tcW w:w="2155" w:type="dxa"/>
            <w:tcBorders>
              <w:top w:val="nil"/>
              <w:bottom w:val="nil"/>
            </w:tcBorders>
          </w:tcPr>
          <w:p w14:paraId="60B71A81" w14:textId="77777777" w:rsidR="004C384A" w:rsidRPr="00381DC2" w:rsidRDefault="004C384A" w:rsidP="00054CB9">
            <w:pPr>
              <w:pStyle w:val="TableParagraph"/>
              <w:keepNext/>
              <w:spacing w:before="31"/>
              <w:jc w:val="center"/>
              <w:rPr>
                <w:rFonts w:ascii="Times New Roman" w:eastAsia="Times New Roman" w:hAnsi="Times New Roman"/>
                <w:color w:val="000000"/>
              </w:rPr>
            </w:pPr>
            <w:r w:rsidRPr="00381DC2">
              <w:rPr>
                <w:rFonts w:ascii="Times New Roman" w:hAnsi="Times New Roman"/>
                <w:color w:val="000000"/>
              </w:rPr>
              <w:t>6,1</w:t>
            </w:r>
          </w:p>
        </w:tc>
        <w:tc>
          <w:tcPr>
            <w:tcW w:w="2227" w:type="dxa"/>
            <w:tcBorders>
              <w:top w:val="nil"/>
              <w:bottom w:val="nil"/>
            </w:tcBorders>
          </w:tcPr>
          <w:p w14:paraId="6B80A9C4" w14:textId="77777777" w:rsidR="00AD0244" w:rsidRPr="00381DC2" w:rsidRDefault="004C384A" w:rsidP="00054CB9">
            <w:pPr>
              <w:pStyle w:val="TableParagraph"/>
              <w:keepNext/>
              <w:spacing w:before="86" w:line="246" w:lineRule="exact"/>
              <w:jc w:val="center"/>
              <w:rPr>
                <w:rFonts w:ascii="Times New Roman" w:hAnsi="Times New Roman"/>
                <w:color w:val="000000"/>
              </w:rPr>
            </w:pPr>
            <w:r w:rsidRPr="00381DC2">
              <w:rPr>
                <w:rFonts w:ascii="Times New Roman" w:hAnsi="Times New Roman"/>
                <w:color w:val="000000"/>
              </w:rPr>
              <w:t>6,7</w:t>
            </w:r>
          </w:p>
          <w:p w14:paraId="41FDBB6A" w14:textId="77777777" w:rsidR="004C384A" w:rsidRPr="00381DC2" w:rsidRDefault="004C384A" w:rsidP="00054CB9">
            <w:pPr>
              <w:pStyle w:val="TableParagraph"/>
              <w:keepNext/>
              <w:spacing w:before="86" w:line="246" w:lineRule="exact"/>
              <w:jc w:val="center"/>
              <w:rPr>
                <w:rFonts w:ascii="Times New Roman" w:eastAsia="Times New Roman" w:hAnsi="Times New Roman"/>
                <w:color w:val="000000"/>
              </w:rPr>
            </w:pPr>
            <w:r w:rsidRPr="00381DC2">
              <w:rPr>
                <w:rFonts w:ascii="Times New Roman" w:hAnsi="Times New Roman"/>
                <w:color w:val="000000"/>
              </w:rPr>
              <w:t>(p = 0,0026)</w:t>
            </w:r>
          </w:p>
        </w:tc>
        <w:tc>
          <w:tcPr>
            <w:tcW w:w="2182" w:type="dxa"/>
            <w:tcBorders>
              <w:top w:val="nil"/>
              <w:bottom w:val="nil"/>
            </w:tcBorders>
          </w:tcPr>
          <w:p w14:paraId="3E0BAB0C" w14:textId="77777777" w:rsidR="00AD0244" w:rsidRPr="00381DC2" w:rsidRDefault="004C384A" w:rsidP="00054CB9">
            <w:pPr>
              <w:pStyle w:val="TableParagraph"/>
              <w:keepNext/>
              <w:spacing w:before="86" w:line="246" w:lineRule="exact"/>
              <w:jc w:val="center"/>
              <w:rPr>
                <w:rFonts w:ascii="Times New Roman" w:hAnsi="Times New Roman"/>
                <w:color w:val="000000"/>
              </w:rPr>
            </w:pPr>
            <w:r w:rsidRPr="00381DC2">
              <w:rPr>
                <w:rFonts w:ascii="Times New Roman" w:hAnsi="Times New Roman"/>
                <w:color w:val="000000"/>
              </w:rPr>
              <w:t xml:space="preserve">6,5 </w:t>
            </w:r>
          </w:p>
          <w:p w14:paraId="60ADC785" w14:textId="77777777" w:rsidR="004C384A" w:rsidRPr="00381DC2" w:rsidRDefault="004C384A" w:rsidP="00054CB9">
            <w:pPr>
              <w:pStyle w:val="TableParagraph"/>
              <w:keepNext/>
              <w:spacing w:before="86" w:line="246" w:lineRule="exact"/>
              <w:jc w:val="center"/>
              <w:rPr>
                <w:rFonts w:ascii="Times New Roman" w:eastAsia="Times New Roman" w:hAnsi="Times New Roman"/>
                <w:color w:val="000000"/>
              </w:rPr>
            </w:pPr>
            <w:r w:rsidRPr="00381DC2">
              <w:rPr>
                <w:rFonts w:ascii="Times New Roman" w:hAnsi="Times New Roman"/>
                <w:color w:val="000000"/>
              </w:rPr>
              <w:t>(p = 0,0301)</w:t>
            </w:r>
          </w:p>
        </w:tc>
      </w:tr>
      <w:tr w:rsidR="004C384A" w:rsidRPr="00F60460" w14:paraId="08B1A53C" w14:textId="77777777" w:rsidTr="006A2145">
        <w:tc>
          <w:tcPr>
            <w:tcW w:w="1884" w:type="dxa"/>
            <w:tcBorders>
              <w:top w:val="nil"/>
            </w:tcBorders>
          </w:tcPr>
          <w:p w14:paraId="036EDB88" w14:textId="77777777" w:rsidR="004C384A" w:rsidRPr="00381DC2" w:rsidRDefault="004C384A" w:rsidP="00054CB9">
            <w:pPr>
              <w:pStyle w:val="TableParagraph"/>
              <w:keepNext/>
              <w:spacing w:before="33"/>
              <w:ind w:left="270"/>
              <w:rPr>
                <w:rFonts w:ascii="Times New Roman" w:hAnsi="Times New Roman"/>
                <w:color w:val="000000"/>
                <w:spacing w:val="-1"/>
              </w:rPr>
            </w:pPr>
            <w:r w:rsidRPr="00381DC2">
              <w:rPr>
                <w:rFonts w:ascii="Times New Roman" w:hAnsi="Times New Roman"/>
                <w:color w:val="000000"/>
                <w:spacing w:val="-1"/>
              </w:rPr>
              <w:t>Poměr rizik</w:t>
            </w:r>
          </w:p>
        </w:tc>
        <w:tc>
          <w:tcPr>
            <w:tcW w:w="2155" w:type="dxa"/>
            <w:tcBorders>
              <w:top w:val="nil"/>
            </w:tcBorders>
          </w:tcPr>
          <w:p w14:paraId="4EE8A3E2" w14:textId="77777777" w:rsidR="004C384A" w:rsidRPr="00381DC2" w:rsidRDefault="004C384A" w:rsidP="00054CB9">
            <w:pPr>
              <w:pStyle w:val="TableParagraph"/>
              <w:keepNext/>
              <w:spacing w:before="33"/>
              <w:jc w:val="center"/>
              <w:rPr>
                <w:rFonts w:ascii="Times New Roman" w:hAnsi="Times New Roman"/>
                <w:color w:val="000000"/>
                <w:spacing w:val="-1"/>
              </w:rPr>
            </w:pPr>
          </w:p>
        </w:tc>
        <w:tc>
          <w:tcPr>
            <w:tcW w:w="2227" w:type="dxa"/>
            <w:tcBorders>
              <w:top w:val="nil"/>
            </w:tcBorders>
          </w:tcPr>
          <w:p w14:paraId="4DE3E6C6" w14:textId="77777777" w:rsidR="004C384A" w:rsidRPr="00381DC2" w:rsidRDefault="004C384A" w:rsidP="00054CB9">
            <w:pPr>
              <w:pStyle w:val="TableParagraph"/>
              <w:keepNext/>
              <w:spacing w:before="33"/>
              <w:jc w:val="center"/>
              <w:rPr>
                <w:rFonts w:ascii="Times New Roman" w:hAnsi="Times New Roman"/>
                <w:color w:val="000000"/>
                <w:spacing w:val="-1"/>
              </w:rPr>
            </w:pPr>
            <w:r w:rsidRPr="00381DC2">
              <w:rPr>
                <w:rFonts w:ascii="Times New Roman" w:hAnsi="Times New Roman"/>
                <w:color w:val="000000"/>
                <w:spacing w:val="-1"/>
              </w:rPr>
              <w:t>0,75</w:t>
            </w:r>
          </w:p>
          <w:p w14:paraId="3B191352" w14:textId="77777777" w:rsidR="004C384A" w:rsidRPr="00381DC2" w:rsidRDefault="004C384A" w:rsidP="00054CB9">
            <w:pPr>
              <w:pStyle w:val="TableParagraph"/>
              <w:keepNext/>
              <w:spacing w:before="33"/>
              <w:jc w:val="center"/>
              <w:rPr>
                <w:rFonts w:ascii="Times New Roman" w:hAnsi="Times New Roman"/>
                <w:color w:val="000000"/>
                <w:spacing w:val="-1"/>
              </w:rPr>
            </w:pPr>
            <w:r w:rsidRPr="00381DC2">
              <w:rPr>
                <w:rFonts w:ascii="Times New Roman" w:hAnsi="Times New Roman"/>
                <w:color w:val="000000"/>
                <w:spacing w:val="-1"/>
              </w:rPr>
              <w:t>[0,62; 0,91]</w:t>
            </w:r>
          </w:p>
        </w:tc>
        <w:tc>
          <w:tcPr>
            <w:tcW w:w="2182" w:type="dxa"/>
            <w:tcBorders>
              <w:top w:val="nil"/>
            </w:tcBorders>
          </w:tcPr>
          <w:p w14:paraId="4C06FF04" w14:textId="77777777" w:rsidR="004C384A" w:rsidRPr="00381DC2" w:rsidRDefault="004C384A" w:rsidP="00054CB9">
            <w:pPr>
              <w:pStyle w:val="TableParagraph"/>
              <w:keepNext/>
              <w:spacing w:before="33"/>
              <w:jc w:val="center"/>
              <w:rPr>
                <w:rFonts w:ascii="Times New Roman" w:hAnsi="Times New Roman"/>
                <w:color w:val="000000"/>
                <w:spacing w:val="-1"/>
              </w:rPr>
            </w:pPr>
            <w:r w:rsidRPr="00381DC2">
              <w:rPr>
                <w:rFonts w:ascii="Times New Roman" w:hAnsi="Times New Roman"/>
                <w:color w:val="000000"/>
                <w:spacing w:val="-1"/>
              </w:rPr>
              <w:t>0,82</w:t>
            </w:r>
          </w:p>
          <w:p w14:paraId="43720835" w14:textId="77777777" w:rsidR="004C384A" w:rsidRPr="00381DC2" w:rsidRDefault="004C384A" w:rsidP="00054CB9">
            <w:pPr>
              <w:pStyle w:val="TableParagraph"/>
              <w:keepNext/>
              <w:spacing w:before="33"/>
              <w:jc w:val="center"/>
              <w:rPr>
                <w:rFonts w:ascii="Times New Roman" w:hAnsi="Times New Roman"/>
                <w:color w:val="000000"/>
                <w:spacing w:val="-1"/>
              </w:rPr>
            </w:pPr>
            <w:r w:rsidRPr="00381DC2">
              <w:rPr>
                <w:rFonts w:ascii="Times New Roman" w:hAnsi="Times New Roman"/>
                <w:color w:val="000000"/>
                <w:spacing w:val="-1"/>
              </w:rPr>
              <w:t>[0,68; 0,98]</w:t>
            </w:r>
          </w:p>
        </w:tc>
      </w:tr>
      <w:tr w:rsidR="004C384A" w:rsidRPr="00F60460" w14:paraId="0C744F9B" w14:textId="77777777" w:rsidTr="006A2145">
        <w:tc>
          <w:tcPr>
            <w:tcW w:w="1884" w:type="dxa"/>
          </w:tcPr>
          <w:p w14:paraId="221CA951" w14:textId="77777777" w:rsidR="004C384A" w:rsidRPr="00F60460" w:rsidRDefault="004C384A" w:rsidP="003F25D5">
            <w:pPr>
              <w:pStyle w:val="TableParagraph"/>
              <w:keepNext/>
              <w:tabs>
                <w:tab w:val="left" w:pos="0"/>
              </w:tabs>
              <w:spacing w:before="100" w:line="240" w:lineRule="exact"/>
              <w:rPr>
                <w:rFonts w:ascii="Times New Roman" w:eastAsia="Times New Roman" w:hAnsi="Times New Roman"/>
                <w:color w:val="000000"/>
                <w:sz w:val="14"/>
                <w:szCs w:val="14"/>
              </w:rPr>
            </w:pPr>
            <w:r w:rsidRPr="00381DC2">
              <w:rPr>
                <w:rFonts w:ascii="Times New Roman" w:hAnsi="Times New Roman"/>
                <w:color w:val="000000"/>
                <w:spacing w:val="-1"/>
              </w:rPr>
              <w:t>Nejlepší celková četnost odpovědi</w:t>
            </w:r>
            <w:r w:rsidRPr="00381DC2">
              <w:rPr>
                <w:rFonts w:ascii="Times New Roman" w:hAnsi="Times New Roman"/>
                <w:color w:val="000000"/>
                <w:spacing w:val="-1"/>
                <w:vertAlign w:val="superscript"/>
              </w:rPr>
              <w:t>a</w:t>
            </w:r>
          </w:p>
        </w:tc>
        <w:tc>
          <w:tcPr>
            <w:tcW w:w="2155" w:type="dxa"/>
          </w:tcPr>
          <w:p w14:paraId="40985CF2" w14:textId="77777777" w:rsidR="004C384A" w:rsidRPr="00381DC2" w:rsidRDefault="004C384A" w:rsidP="00054CB9">
            <w:pPr>
              <w:pStyle w:val="TableParagraph"/>
              <w:keepNext/>
              <w:spacing w:before="86"/>
              <w:ind w:right="1"/>
              <w:jc w:val="center"/>
              <w:rPr>
                <w:rFonts w:ascii="Times New Roman" w:eastAsia="Times New Roman" w:hAnsi="Times New Roman"/>
                <w:color w:val="000000"/>
              </w:rPr>
            </w:pPr>
            <w:r w:rsidRPr="00381DC2">
              <w:rPr>
                <w:rFonts w:ascii="Times New Roman" w:hAnsi="Times New Roman"/>
                <w:color w:val="000000"/>
              </w:rPr>
              <w:t>20,1 %</w:t>
            </w:r>
          </w:p>
        </w:tc>
        <w:tc>
          <w:tcPr>
            <w:tcW w:w="2227" w:type="dxa"/>
          </w:tcPr>
          <w:p w14:paraId="3032858F" w14:textId="77777777" w:rsidR="004C384A" w:rsidRPr="00381DC2" w:rsidRDefault="004C384A" w:rsidP="00054CB9">
            <w:pPr>
              <w:pStyle w:val="TableParagraph"/>
              <w:keepNext/>
              <w:spacing w:before="86" w:line="246" w:lineRule="exact"/>
              <w:jc w:val="center"/>
              <w:rPr>
                <w:rFonts w:ascii="Times New Roman" w:eastAsia="Times New Roman" w:hAnsi="Times New Roman"/>
                <w:color w:val="000000"/>
              </w:rPr>
            </w:pPr>
            <w:r w:rsidRPr="00381DC2">
              <w:rPr>
                <w:rFonts w:ascii="Times New Roman" w:hAnsi="Times New Roman"/>
                <w:color w:val="000000"/>
              </w:rPr>
              <w:t>34,1 %</w:t>
            </w:r>
          </w:p>
          <w:p w14:paraId="1D3A8A08" w14:textId="77777777" w:rsidR="004C384A" w:rsidRPr="00381DC2" w:rsidRDefault="004C384A" w:rsidP="00054CB9">
            <w:pPr>
              <w:pStyle w:val="TableParagraph"/>
              <w:keepNext/>
              <w:spacing w:line="246" w:lineRule="exact"/>
              <w:jc w:val="center"/>
              <w:rPr>
                <w:rFonts w:ascii="Times New Roman" w:eastAsia="Times New Roman" w:hAnsi="Times New Roman"/>
                <w:color w:val="000000"/>
              </w:rPr>
            </w:pPr>
            <w:r w:rsidRPr="00381DC2">
              <w:rPr>
                <w:rFonts w:ascii="Times New Roman" w:hAnsi="Times New Roman"/>
                <w:color w:val="000000"/>
              </w:rPr>
              <w:t>(p &lt; 0,0001)</w:t>
            </w:r>
          </w:p>
        </w:tc>
        <w:tc>
          <w:tcPr>
            <w:tcW w:w="2182" w:type="dxa"/>
          </w:tcPr>
          <w:p w14:paraId="69CE0888" w14:textId="77777777" w:rsidR="00AD0244" w:rsidRPr="00381DC2" w:rsidRDefault="004C384A" w:rsidP="00054CB9">
            <w:pPr>
              <w:pStyle w:val="TableParagraph"/>
              <w:keepNext/>
              <w:spacing w:before="86" w:line="246" w:lineRule="exact"/>
              <w:jc w:val="center"/>
              <w:rPr>
                <w:rFonts w:ascii="Times New Roman" w:hAnsi="Times New Roman"/>
                <w:color w:val="000000"/>
              </w:rPr>
            </w:pPr>
            <w:r w:rsidRPr="00381DC2">
              <w:rPr>
                <w:rFonts w:ascii="Times New Roman" w:hAnsi="Times New Roman"/>
                <w:color w:val="000000"/>
              </w:rPr>
              <w:t xml:space="preserve">30,4 % </w:t>
            </w:r>
          </w:p>
          <w:p w14:paraId="202A2904" w14:textId="77777777" w:rsidR="004C384A" w:rsidRPr="00381DC2" w:rsidRDefault="004C384A" w:rsidP="00054CB9">
            <w:pPr>
              <w:pStyle w:val="TableParagraph"/>
              <w:keepNext/>
              <w:jc w:val="center"/>
              <w:rPr>
                <w:rFonts w:ascii="Times New Roman" w:eastAsia="Times New Roman" w:hAnsi="Times New Roman"/>
                <w:color w:val="000000"/>
              </w:rPr>
            </w:pPr>
            <w:r w:rsidRPr="00381DC2">
              <w:rPr>
                <w:rFonts w:ascii="Times New Roman" w:hAnsi="Times New Roman"/>
                <w:color w:val="000000"/>
              </w:rPr>
              <w:t>(p = 0,0023)</w:t>
            </w:r>
          </w:p>
        </w:tc>
      </w:tr>
    </w:tbl>
    <w:p w14:paraId="616A4371" w14:textId="77777777" w:rsidR="00D15122" w:rsidRPr="00F60460" w:rsidRDefault="00D15122" w:rsidP="00054CB9">
      <w:pPr>
        <w:keepNext/>
        <w:rPr>
          <w:rFonts w:ascii="Times New Roman" w:eastAsia="Times New Roman" w:hAnsi="Times New Roman"/>
          <w:color w:val="000000"/>
          <w:sz w:val="19"/>
          <w:szCs w:val="19"/>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90"/>
        <w:gridCol w:w="2160"/>
        <w:gridCol w:w="2250"/>
        <w:gridCol w:w="2160"/>
      </w:tblGrid>
      <w:tr w:rsidR="00D15122" w:rsidRPr="00F60460" w14:paraId="50D4FA20" w14:textId="77777777" w:rsidTr="006A2145">
        <w:tc>
          <w:tcPr>
            <w:tcW w:w="8460" w:type="dxa"/>
            <w:gridSpan w:val="4"/>
          </w:tcPr>
          <w:p w14:paraId="44AA358B" w14:textId="77777777" w:rsidR="00D15122" w:rsidRPr="00381DC2" w:rsidRDefault="009B0756" w:rsidP="00054CB9">
            <w:pPr>
              <w:pStyle w:val="TableParagraph"/>
              <w:keepNext/>
              <w:spacing w:line="252" w:lineRule="exact"/>
              <w:rPr>
                <w:rFonts w:ascii="Times New Roman" w:eastAsia="Times New Roman" w:hAnsi="Times New Roman"/>
                <w:color w:val="000000"/>
              </w:rPr>
            </w:pPr>
            <w:r w:rsidRPr="00381DC2">
              <w:rPr>
                <w:rFonts w:ascii="Times New Roman" w:hAnsi="Times New Roman"/>
                <w:color w:val="000000"/>
              </w:rPr>
              <w:t>Celkové přežití</w:t>
            </w:r>
          </w:p>
        </w:tc>
      </w:tr>
      <w:tr w:rsidR="00D15122" w:rsidRPr="00F60460" w14:paraId="495B0847" w14:textId="77777777" w:rsidTr="006A2145">
        <w:tc>
          <w:tcPr>
            <w:tcW w:w="1890" w:type="dxa"/>
            <w:tcBorders>
              <w:bottom w:val="nil"/>
            </w:tcBorders>
          </w:tcPr>
          <w:p w14:paraId="158C754B" w14:textId="77777777" w:rsidR="00D15122" w:rsidRPr="00381DC2" w:rsidRDefault="009B0756" w:rsidP="00E27EB6">
            <w:pPr>
              <w:pStyle w:val="TableParagraph"/>
              <w:keepNext/>
              <w:ind w:firstLine="127"/>
              <w:rPr>
                <w:rFonts w:ascii="Times New Roman" w:eastAsia="Times New Roman" w:hAnsi="Times New Roman"/>
                <w:color w:val="000000"/>
              </w:rPr>
            </w:pPr>
            <w:r w:rsidRPr="00381DC2">
              <w:rPr>
                <w:rFonts w:ascii="Times New Roman" w:hAnsi="Times New Roman"/>
                <w:color w:val="000000"/>
              </w:rPr>
              <w:t>Medián (měsíce)</w:t>
            </w:r>
          </w:p>
        </w:tc>
        <w:tc>
          <w:tcPr>
            <w:tcW w:w="2160" w:type="dxa"/>
            <w:tcBorders>
              <w:bottom w:val="nil"/>
            </w:tcBorders>
          </w:tcPr>
          <w:p w14:paraId="487C85A7" w14:textId="77777777" w:rsidR="00D15122" w:rsidRPr="00381DC2" w:rsidRDefault="009B0756" w:rsidP="00054CB9">
            <w:pPr>
              <w:pStyle w:val="TableParagraph"/>
              <w:keepNext/>
              <w:jc w:val="center"/>
              <w:rPr>
                <w:rFonts w:ascii="Times New Roman" w:eastAsia="Times New Roman" w:hAnsi="Times New Roman"/>
                <w:color w:val="000000"/>
              </w:rPr>
            </w:pPr>
            <w:r w:rsidRPr="00381DC2">
              <w:rPr>
                <w:rFonts w:ascii="Times New Roman" w:hAnsi="Times New Roman"/>
                <w:color w:val="000000"/>
              </w:rPr>
              <w:t>13,1</w:t>
            </w:r>
          </w:p>
        </w:tc>
        <w:tc>
          <w:tcPr>
            <w:tcW w:w="2250" w:type="dxa"/>
            <w:tcBorders>
              <w:bottom w:val="nil"/>
            </w:tcBorders>
          </w:tcPr>
          <w:p w14:paraId="6C20357A" w14:textId="77777777" w:rsidR="00AD0244" w:rsidRPr="00381DC2" w:rsidRDefault="009B0756" w:rsidP="00054CB9">
            <w:pPr>
              <w:pStyle w:val="TableParagraph"/>
              <w:keepNext/>
              <w:spacing w:line="321" w:lineRule="auto"/>
              <w:ind w:right="5"/>
              <w:jc w:val="center"/>
              <w:rPr>
                <w:rFonts w:ascii="Times New Roman" w:hAnsi="Times New Roman"/>
                <w:color w:val="000000"/>
              </w:rPr>
            </w:pPr>
            <w:r w:rsidRPr="00381DC2">
              <w:rPr>
                <w:rFonts w:ascii="Times New Roman" w:hAnsi="Times New Roman"/>
                <w:color w:val="000000"/>
              </w:rPr>
              <w:t xml:space="preserve">13,6 </w:t>
            </w:r>
          </w:p>
          <w:p w14:paraId="2AB0730C" w14:textId="77777777" w:rsidR="00D15122" w:rsidRPr="00381DC2" w:rsidRDefault="009B0756" w:rsidP="00054CB9">
            <w:pPr>
              <w:pStyle w:val="TableParagraph"/>
              <w:keepNext/>
              <w:spacing w:line="321" w:lineRule="auto"/>
              <w:ind w:right="5"/>
              <w:jc w:val="center"/>
              <w:rPr>
                <w:rFonts w:ascii="Times New Roman" w:eastAsia="Times New Roman" w:hAnsi="Times New Roman"/>
                <w:color w:val="000000"/>
              </w:rPr>
            </w:pPr>
            <w:r w:rsidRPr="00381DC2">
              <w:rPr>
                <w:rFonts w:ascii="Times New Roman" w:hAnsi="Times New Roman"/>
                <w:color w:val="000000"/>
              </w:rPr>
              <w:t>(p = 0,4203)</w:t>
            </w:r>
          </w:p>
        </w:tc>
        <w:tc>
          <w:tcPr>
            <w:tcW w:w="2160" w:type="dxa"/>
            <w:tcBorders>
              <w:bottom w:val="nil"/>
            </w:tcBorders>
          </w:tcPr>
          <w:p w14:paraId="4E3A5239" w14:textId="77777777" w:rsidR="00AD0244" w:rsidRPr="00381DC2" w:rsidRDefault="009B0756" w:rsidP="00054CB9">
            <w:pPr>
              <w:pStyle w:val="TableParagraph"/>
              <w:keepNext/>
              <w:spacing w:line="321" w:lineRule="auto"/>
              <w:ind w:right="5"/>
              <w:jc w:val="center"/>
              <w:rPr>
                <w:rFonts w:ascii="Times New Roman" w:hAnsi="Times New Roman"/>
                <w:color w:val="000000"/>
              </w:rPr>
            </w:pPr>
            <w:r w:rsidRPr="00381DC2">
              <w:rPr>
                <w:rFonts w:ascii="Times New Roman" w:hAnsi="Times New Roman"/>
                <w:color w:val="000000"/>
              </w:rPr>
              <w:t xml:space="preserve">13,4 </w:t>
            </w:r>
          </w:p>
          <w:p w14:paraId="2E713DC2" w14:textId="77777777" w:rsidR="00D15122" w:rsidRPr="00381DC2" w:rsidRDefault="009B0756" w:rsidP="00054CB9">
            <w:pPr>
              <w:pStyle w:val="TableParagraph"/>
              <w:keepNext/>
              <w:spacing w:line="321" w:lineRule="auto"/>
              <w:ind w:right="5"/>
              <w:jc w:val="center"/>
              <w:rPr>
                <w:rFonts w:ascii="Times New Roman" w:eastAsia="Times New Roman" w:hAnsi="Times New Roman"/>
                <w:color w:val="000000"/>
              </w:rPr>
            </w:pPr>
            <w:r w:rsidRPr="00381DC2">
              <w:rPr>
                <w:rFonts w:ascii="Times New Roman" w:hAnsi="Times New Roman"/>
                <w:color w:val="000000"/>
              </w:rPr>
              <w:t>(p = 0,7613)</w:t>
            </w:r>
          </w:p>
        </w:tc>
      </w:tr>
      <w:tr w:rsidR="00D15122" w:rsidRPr="00F60460" w14:paraId="16D56370" w14:textId="77777777" w:rsidTr="006A2145">
        <w:tc>
          <w:tcPr>
            <w:tcW w:w="1890" w:type="dxa"/>
            <w:tcBorders>
              <w:top w:val="nil"/>
            </w:tcBorders>
          </w:tcPr>
          <w:p w14:paraId="44596C9A" w14:textId="77777777" w:rsidR="00D15122" w:rsidRPr="00381DC2" w:rsidRDefault="009B0756" w:rsidP="00B8634B">
            <w:pPr>
              <w:pStyle w:val="TableParagraph"/>
              <w:keepNext/>
              <w:ind w:firstLine="127"/>
              <w:rPr>
                <w:rFonts w:ascii="Times New Roman" w:eastAsia="Times New Roman" w:hAnsi="Times New Roman"/>
                <w:color w:val="000000"/>
              </w:rPr>
            </w:pPr>
            <w:r w:rsidRPr="00381DC2">
              <w:rPr>
                <w:rFonts w:ascii="Times New Roman" w:hAnsi="Times New Roman"/>
                <w:color w:val="000000"/>
              </w:rPr>
              <w:t>Poměr rizik</w:t>
            </w:r>
          </w:p>
        </w:tc>
        <w:tc>
          <w:tcPr>
            <w:tcW w:w="2160" w:type="dxa"/>
            <w:tcBorders>
              <w:top w:val="nil"/>
            </w:tcBorders>
          </w:tcPr>
          <w:p w14:paraId="35A81D7F" w14:textId="77777777" w:rsidR="00D15122" w:rsidRPr="00381DC2" w:rsidRDefault="00D15122" w:rsidP="00054CB9">
            <w:pPr>
              <w:keepNext/>
              <w:rPr>
                <w:rFonts w:ascii="Times New Roman" w:hAnsi="Times New Roman"/>
                <w:color w:val="000000"/>
              </w:rPr>
            </w:pPr>
          </w:p>
        </w:tc>
        <w:tc>
          <w:tcPr>
            <w:tcW w:w="2250" w:type="dxa"/>
            <w:tcBorders>
              <w:top w:val="nil"/>
            </w:tcBorders>
          </w:tcPr>
          <w:p w14:paraId="0D806AE7" w14:textId="77777777" w:rsidR="00D15122" w:rsidRPr="00381DC2" w:rsidRDefault="009B0756" w:rsidP="00054CB9">
            <w:pPr>
              <w:pStyle w:val="TableParagraph"/>
              <w:keepNext/>
              <w:spacing w:line="248" w:lineRule="exact"/>
              <w:jc w:val="center"/>
              <w:rPr>
                <w:rFonts w:ascii="Times New Roman" w:eastAsia="Times New Roman" w:hAnsi="Times New Roman"/>
                <w:color w:val="000000"/>
              </w:rPr>
            </w:pPr>
            <w:r w:rsidRPr="00381DC2">
              <w:rPr>
                <w:rFonts w:ascii="Times New Roman" w:hAnsi="Times New Roman"/>
                <w:color w:val="000000"/>
              </w:rPr>
              <w:t>0,93</w:t>
            </w:r>
          </w:p>
          <w:p w14:paraId="1291EAA0" w14:textId="77777777" w:rsidR="00D15122" w:rsidRPr="00381DC2" w:rsidRDefault="009B0756" w:rsidP="00054CB9">
            <w:pPr>
              <w:pStyle w:val="TableParagraph"/>
              <w:keepNext/>
              <w:spacing w:line="248" w:lineRule="exact"/>
              <w:jc w:val="center"/>
              <w:rPr>
                <w:rFonts w:ascii="Times New Roman" w:eastAsia="Times New Roman" w:hAnsi="Times New Roman"/>
                <w:color w:val="000000"/>
              </w:rPr>
            </w:pPr>
            <w:r w:rsidRPr="00381DC2">
              <w:rPr>
                <w:rFonts w:ascii="Times New Roman" w:hAnsi="Times New Roman"/>
                <w:color w:val="000000"/>
              </w:rPr>
              <w:t>[0,78; 1,11]</w:t>
            </w:r>
          </w:p>
        </w:tc>
        <w:tc>
          <w:tcPr>
            <w:tcW w:w="2160" w:type="dxa"/>
            <w:tcBorders>
              <w:top w:val="nil"/>
            </w:tcBorders>
          </w:tcPr>
          <w:p w14:paraId="02E2B347" w14:textId="77777777" w:rsidR="00D15122" w:rsidRPr="00381DC2" w:rsidRDefault="009B0756" w:rsidP="00054CB9">
            <w:pPr>
              <w:pStyle w:val="TableParagraph"/>
              <w:keepNext/>
              <w:spacing w:line="248" w:lineRule="exact"/>
              <w:jc w:val="center"/>
              <w:rPr>
                <w:rFonts w:ascii="Times New Roman" w:eastAsia="Times New Roman" w:hAnsi="Times New Roman"/>
                <w:color w:val="000000"/>
              </w:rPr>
            </w:pPr>
            <w:r w:rsidRPr="00381DC2">
              <w:rPr>
                <w:rFonts w:ascii="Times New Roman" w:hAnsi="Times New Roman"/>
                <w:color w:val="000000"/>
              </w:rPr>
              <w:t>1,03</w:t>
            </w:r>
          </w:p>
          <w:p w14:paraId="4E045248" w14:textId="77777777" w:rsidR="00D15122" w:rsidRPr="00381DC2" w:rsidRDefault="009B0756" w:rsidP="00054CB9">
            <w:pPr>
              <w:pStyle w:val="TableParagraph"/>
              <w:keepNext/>
              <w:spacing w:line="248" w:lineRule="exact"/>
              <w:ind w:right="1"/>
              <w:jc w:val="center"/>
              <w:rPr>
                <w:rFonts w:ascii="Times New Roman" w:eastAsia="Times New Roman" w:hAnsi="Times New Roman"/>
                <w:color w:val="000000"/>
              </w:rPr>
            </w:pPr>
            <w:r w:rsidRPr="00381DC2">
              <w:rPr>
                <w:rFonts w:ascii="Times New Roman" w:hAnsi="Times New Roman"/>
                <w:color w:val="000000"/>
              </w:rPr>
              <w:t>[0,86; 1,23]</w:t>
            </w:r>
          </w:p>
        </w:tc>
      </w:tr>
    </w:tbl>
    <w:p w14:paraId="3E90B602" w14:textId="77777777" w:rsidR="00E27EB6" w:rsidRPr="00F60460" w:rsidRDefault="00E27EB6" w:rsidP="00E27EB6">
      <w:pPr>
        <w:keepNext/>
        <w:ind w:left="1080" w:hanging="540"/>
        <w:rPr>
          <w:rFonts w:ascii="Times New Roman" w:eastAsia="Times New Roman" w:hAnsi="Times New Roman"/>
          <w:color w:val="000000"/>
          <w:sz w:val="20"/>
          <w:szCs w:val="20"/>
        </w:rPr>
      </w:pPr>
      <w:r w:rsidRPr="00381DC2">
        <w:rPr>
          <w:rFonts w:ascii="Times New Roman" w:hAnsi="Times New Roman"/>
          <w:color w:val="000000"/>
          <w:spacing w:val="-1"/>
          <w:vertAlign w:val="superscript"/>
        </w:rPr>
        <w:t xml:space="preserve">a </w:t>
      </w:r>
      <w:r w:rsidRPr="00F60460">
        <w:rPr>
          <w:rFonts w:ascii="Times New Roman" w:hAnsi="Times New Roman"/>
          <w:color w:val="000000"/>
          <w:sz w:val="20"/>
        </w:rPr>
        <w:t>Pacienti s měřitelným onemocněním při vstupu do studie.</w:t>
      </w:r>
    </w:p>
    <w:p w14:paraId="13546A8D" w14:textId="77777777" w:rsidR="00D15122" w:rsidRPr="00381DC2" w:rsidRDefault="00D15122" w:rsidP="007F6E1B">
      <w:pPr>
        <w:rPr>
          <w:rFonts w:ascii="Times New Roman" w:eastAsia="Times New Roman" w:hAnsi="Times New Roman"/>
          <w:color w:val="000000"/>
        </w:rPr>
      </w:pPr>
    </w:p>
    <w:p w14:paraId="288852CE" w14:textId="77777777" w:rsidR="00DC4E67" w:rsidRPr="00381DC2" w:rsidRDefault="00DC4E67" w:rsidP="007F6E1B">
      <w:pPr>
        <w:rPr>
          <w:rFonts w:ascii="Times New Roman" w:hAnsi="Times New Roman"/>
          <w:i/>
          <w:color w:val="000000"/>
        </w:rPr>
      </w:pPr>
      <w:r w:rsidRPr="00381DC2">
        <w:rPr>
          <w:rFonts w:ascii="Times New Roman" w:hAnsi="Times New Roman"/>
          <w:i/>
          <w:color w:val="000000"/>
        </w:rPr>
        <w:t>První linie léčby nedlaždicového NSCLC s aktivující mutací EGFR v kombinaci s erlotinibem</w:t>
      </w:r>
    </w:p>
    <w:p w14:paraId="10DD696D" w14:textId="77777777" w:rsidR="00DC4E67" w:rsidRPr="00381DC2" w:rsidRDefault="00DC4E67" w:rsidP="007F6E1B">
      <w:pPr>
        <w:rPr>
          <w:rFonts w:ascii="Times New Roman" w:hAnsi="Times New Roman"/>
          <w:i/>
          <w:color w:val="000000"/>
          <w:u w:val="single" w:color="000000"/>
        </w:rPr>
      </w:pPr>
    </w:p>
    <w:p w14:paraId="1922441B" w14:textId="77777777" w:rsidR="00DC4E67" w:rsidRPr="00381DC2" w:rsidRDefault="00DC4E67" w:rsidP="007F6E1B">
      <w:pPr>
        <w:rPr>
          <w:rFonts w:ascii="Times New Roman" w:hAnsi="Times New Roman"/>
          <w:i/>
          <w:color w:val="000000"/>
        </w:rPr>
      </w:pPr>
      <w:r w:rsidRPr="00381DC2">
        <w:rPr>
          <w:rFonts w:ascii="Times New Roman" w:hAnsi="Times New Roman"/>
          <w:i/>
          <w:color w:val="000000"/>
        </w:rPr>
        <w:t>JO25567</w:t>
      </w:r>
      <w:r w:rsidR="00A52027" w:rsidRPr="00381DC2">
        <w:rPr>
          <w:rFonts w:ascii="Times New Roman" w:hAnsi="Times New Roman"/>
          <w:i/>
          <w:color w:val="000000"/>
        </w:rPr>
        <w:t xml:space="preserve"> </w:t>
      </w:r>
    </w:p>
    <w:p w14:paraId="529B7A8D" w14:textId="77777777" w:rsidR="00DC4E67" w:rsidRPr="00381DC2" w:rsidRDefault="00911668" w:rsidP="007F6E1B">
      <w:pPr>
        <w:rPr>
          <w:rFonts w:ascii="Times New Roman" w:hAnsi="Times New Roman"/>
          <w:color w:val="000000"/>
        </w:rPr>
      </w:pPr>
      <w:r w:rsidRPr="00381DC2">
        <w:rPr>
          <w:rFonts w:ascii="Times New Roman" w:hAnsi="Times New Roman"/>
          <w:color w:val="000000"/>
        </w:rPr>
        <w:t>Studie JO25567 byla randomizovaná, otevřená, multicentrická studie fáze II provedená v Japonsku za účelem zhodnocení účinnosti a bezpečnosti bevacizumabu podávaného spolu s erlotinibem u pacientů s nedlaždicovým NSCLC s aktivující mutací EGFR (delece exonu 19 nebo mutace exonu 21 L858R), kteří dosud nebyli léčeni systémovou terapií pro onemocnění stádia IIIB/IV nebo rekurentní onemocnění.</w:t>
      </w:r>
    </w:p>
    <w:p w14:paraId="31B95CA6" w14:textId="77777777" w:rsidR="00911668" w:rsidRPr="00381DC2" w:rsidRDefault="00911668" w:rsidP="007F6E1B">
      <w:pPr>
        <w:rPr>
          <w:rFonts w:ascii="Times New Roman" w:hAnsi="Times New Roman"/>
          <w:color w:val="000000"/>
        </w:rPr>
      </w:pPr>
    </w:p>
    <w:p w14:paraId="2F241596" w14:textId="77777777" w:rsidR="00911668" w:rsidRPr="00381DC2" w:rsidRDefault="004D6F99" w:rsidP="007F6E1B">
      <w:pPr>
        <w:rPr>
          <w:rFonts w:ascii="Times New Roman" w:hAnsi="Times New Roman"/>
          <w:color w:val="000000"/>
        </w:rPr>
      </w:pPr>
      <w:r w:rsidRPr="00381DC2">
        <w:rPr>
          <w:rFonts w:ascii="Times New Roman" w:hAnsi="Times New Roman"/>
          <w:color w:val="000000"/>
        </w:rPr>
        <w:t>Primárním cílovým parametrem bylo přežití bez progrese (PFS) založené na nezávislém hodnocení. Sekundární cílové parametry zahrnovaly celkové přežití, míru odpovědi, míru kontroly onemocnění, trvání odpovědi a bezpečnost.</w:t>
      </w:r>
    </w:p>
    <w:p w14:paraId="165CE7B2" w14:textId="77777777" w:rsidR="004D6F99" w:rsidRPr="00381DC2" w:rsidRDefault="004D6F99" w:rsidP="007F6E1B">
      <w:pPr>
        <w:rPr>
          <w:rFonts w:ascii="Times New Roman" w:hAnsi="Times New Roman"/>
          <w:color w:val="000000"/>
        </w:rPr>
      </w:pPr>
    </w:p>
    <w:p w14:paraId="05316718" w14:textId="77777777" w:rsidR="004D6F99" w:rsidRPr="00381DC2" w:rsidRDefault="004D6F99" w:rsidP="007F6E1B">
      <w:pPr>
        <w:rPr>
          <w:rFonts w:ascii="Times New Roman" w:hAnsi="Times New Roman"/>
          <w:color w:val="000000"/>
        </w:rPr>
      </w:pPr>
      <w:r w:rsidRPr="00381DC2">
        <w:rPr>
          <w:rFonts w:ascii="Times New Roman" w:hAnsi="Times New Roman"/>
          <w:color w:val="000000"/>
        </w:rPr>
        <w:t>Přítomnost mutace EGFR byla u každého pacienta stanovena před screeningem a 154 pacientů bylo randomizováno buď k léčbě kombinací erlotinibu s bevacizumabem (erlotinib v dávce 150 mg podávané perorálně každý den + bevacizumab [v dávce 15 mg/kg podávané intravenózně každé 3 týdny])</w:t>
      </w:r>
      <w:r w:rsidR="00A52027" w:rsidRPr="00381DC2">
        <w:rPr>
          <w:rFonts w:ascii="Times New Roman" w:hAnsi="Times New Roman"/>
          <w:color w:val="000000"/>
        </w:rPr>
        <w:t>,</w:t>
      </w:r>
      <w:r w:rsidRPr="00381DC2">
        <w:rPr>
          <w:rFonts w:ascii="Times New Roman" w:hAnsi="Times New Roman"/>
          <w:color w:val="000000"/>
        </w:rPr>
        <w:t xml:space="preserve"> nebo k léčbě erlotinibem </w:t>
      </w:r>
      <w:r w:rsidR="003C3959" w:rsidRPr="00381DC2">
        <w:rPr>
          <w:rFonts w:ascii="Times New Roman" w:hAnsi="Times New Roman"/>
          <w:color w:val="000000"/>
        </w:rPr>
        <w:t xml:space="preserve">v monoterapii </w:t>
      </w:r>
      <w:r w:rsidRPr="00381DC2">
        <w:rPr>
          <w:rFonts w:ascii="Times New Roman" w:hAnsi="Times New Roman"/>
          <w:color w:val="000000"/>
        </w:rPr>
        <w:t>(</w:t>
      </w:r>
      <w:r w:rsidR="003C3959" w:rsidRPr="00381DC2">
        <w:rPr>
          <w:rFonts w:ascii="Times New Roman" w:hAnsi="Times New Roman"/>
          <w:color w:val="000000"/>
        </w:rPr>
        <w:t>v dávce 150 mg podávané perorálně každý den) až do progrese základního onemocnění nebo do</w:t>
      </w:r>
      <w:r w:rsidR="00AA5305" w:rsidRPr="00381DC2">
        <w:rPr>
          <w:rFonts w:ascii="Times New Roman" w:hAnsi="Times New Roman"/>
          <w:color w:val="000000"/>
        </w:rPr>
        <w:t xml:space="preserve"> nepřijatelné toxicity. Pokud nedošlo k progresi základního onemocnění, ukončení podávání jedné složky hodnocené léčby v případě kombinace erlotinibu</w:t>
      </w:r>
      <w:r w:rsidR="00877EF3" w:rsidRPr="00381DC2">
        <w:rPr>
          <w:rFonts w:ascii="Times New Roman" w:hAnsi="Times New Roman"/>
          <w:color w:val="000000"/>
        </w:rPr>
        <w:t xml:space="preserve"> s</w:t>
      </w:r>
      <w:r w:rsidR="00A52027" w:rsidRPr="00381DC2">
        <w:rPr>
          <w:rFonts w:ascii="Times New Roman" w:hAnsi="Times New Roman"/>
          <w:color w:val="000000"/>
        </w:rPr>
        <w:t xml:space="preserve"> </w:t>
      </w:r>
      <w:r w:rsidR="00AA5305" w:rsidRPr="00381DC2">
        <w:rPr>
          <w:rFonts w:ascii="Times New Roman" w:hAnsi="Times New Roman"/>
          <w:color w:val="000000"/>
        </w:rPr>
        <w:t>bevacizumab</w:t>
      </w:r>
      <w:r w:rsidR="00A52027" w:rsidRPr="00381DC2">
        <w:rPr>
          <w:rFonts w:ascii="Times New Roman" w:hAnsi="Times New Roman"/>
          <w:color w:val="000000"/>
        </w:rPr>
        <w:t>em</w:t>
      </w:r>
      <w:r w:rsidR="00AA5305" w:rsidRPr="00381DC2">
        <w:rPr>
          <w:rFonts w:ascii="Times New Roman" w:hAnsi="Times New Roman"/>
          <w:color w:val="000000"/>
        </w:rPr>
        <w:t xml:space="preserve"> nevedlo k ukončení podávání i druhé složky, jak bylo specifikováno v protokolu studie.</w:t>
      </w:r>
    </w:p>
    <w:p w14:paraId="534CA583" w14:textId="77777777" w:rsidR="00450B61" w:rsidRPr="00381DC2" w:rsidRDefault="00450B61" w:rsidP="007F6E1B">
      <w:pPr>
        <w:rPr>
          <w:rFonts w:ascii="Times New Roman" w:hAnsi="Times New Roman"/>
          <w:color w:val="000000"/>
        </w:rPr>
      </w:pPr>
    </w:p>
    <w:p w14:paraId="3E76695B" w14:textId="77777777" w:rsidR="00450B61" w:rsidRPr="00381DC2" w:rsidRDefault="00450B61" w:rsidP="007F6E1B">
      <w:pPr>
        <w:rPr>
          <w:rFonts w:ascii="Times New Roman" w:hAnsi="Times New Roman"/>
          <w:color w:val="000000"/>
        </w:rPr>
      </w:pPr>
      <w:r w:rsidRPr="00381DC2">
        <w:rPr>
          <w:rFonts w:ascii="Times New Roman" w:hAnsi="Times New Roman"/>
          <w:color w:val="000000"/>
        </w:rPr>
        <w:t>Výsledky účinnosti na základě této studie jsou uvedeny v</w:t>
      </w:r>
      <w:r w:rsidR="00CE116B" w:rsidRPr="00381DC2">
        <w:rPr>
          <w:rFonts w:ascii="Times New Roman" w:hAnsi="Times New Roman"/>
          <w:color w:val="000000"/>
        </w:rPr>
        <w:t> tabulce </w:t>
      </w:r>
      <w:r w:rsidRPr="00381DC2">
        <w:rPr>
          <w:rFonts w:ascii="Times New Roman" w:hAnsi="Times New Roman"/>
          <w:color w:val="000000"/>
        </w:rPr>
        <w:t>14.</w:t>
      </w:r>
    </w:p>
    <w:p w14:paraId="5FB4AEEF" w14:textId="77777777" w:rsidR="00DC4E67" w:rsidRPr="00381DC2" w:rsidRDefault="00DC4E67" w:rsidP="007F6E1B">
      <w:pPr>
        <w:rPr>
          <w:rFonts w:ascii="Times New Roman" w:hAnsi="Times New Roman"/>
          <w:i/>
          <w:color w:val="000000"/>
          <w:u w:val="single" w:color="000000"/>
        </w:rPr>
      </w:pPr>
    </w:p>
    <w:p w14:paraId="31A7EFBA" w14:textId="77777777" w:rsidR="00413543" w:rsidRPr="00381DC2" w:rsidRDefault="00413543" w:rsidP="002B0DE8">
      <w:pPr>
        <w:keepNext/>
        <w:keepLines/>
        <w:rPr>
          <w:rFonts w:ascii="Times New Roman" w:eastAsia="Times New Roman" w:hAnsi="Times New Roman"/>
          <w:b/>
          <w:color w:val="000000"/>
        </w:rPr>
      </w:pPr>
      <w:r w:rsidRPr="00381DC2">
        <w:rPr>
          <w:rFonts w:ascii="Times New Roman" w:eastAsia="Times New Roman" w:hAnsi="Times New Roman"/>
          <w:b/>
          <w:color w:val="000000"/>
        </w:rPr>
        <w:lastRenderedPageBreak/>
        <w:t>Tabulka 14</w:t>
      </w:r>
      <w:r w:rsidRPr="00381DC2">
        <w:rPr>
          <w:rFonts w:ascii="Times New Roman" w:eastAsia="Times New Roman" w:hAnsi="Times New Roman"/>
          <w:b/>
          <w:color w:val="000000"/>
        </w:rPr>
        <w:tab/>
        <w:t>Výsledky účinnosti ve studii JO25567</w:t>
      </w:r>
    </w:p>
    <w:p w14:paraId="12A47170" w14:textId="77777777" w:rsidR="00A52027" w:rsidRPr="00381DC2" w:rsidRDefault="00A52027" w:rsidP="002B0DE8">
      <w:pPr>
        <w:keepNext/>
        <w:keepLines/>
        <w:rPr>
          <w:rFonts w:ascii="Times New Roman" w:eastAsia="Times New Roman" w:hAnsi="Times New Roman"/>
          <w:b/>
          <w:color w:val="00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1E0" w:firstRow="1" w:lastRow="1" w:firstColumn="1" w:lastColumn="1" w:noHBand="0" w:noVBand="0"/>
      </w:tblPr>
      <w:tblGrid>
        <w:gridCol w:w="4109"/>
        <w:gridCol w:w="2431"/>
        <w:gridCol w:w="90"/>
        <w:gridCol w:w="2433"/>
      </w:tblGrid>
      <w:tr w:rsidR="00A52027" w:rsidRPr="00F60460" w14:paraId="3958D6E5" w14:textId="77777777" w:rsidTr="00107EF8">
        <w:trPr>
          <w:cantSplit/>
        </w:trPr>
        <w:tc>
          <w:tcPr>
            <w:tcW w:w="4226" w:type="dxa"/>
            <w:tcBorders>
              <w:bottom w:val="single" w:sz="4" w:space="0" w:color="000000"/>
            </w:tcBorders>
          </w:tcPr>
          <w:p w14:paraId="49A09860" w14:textId="77777777" w:rsidR="00A52027" w:rsidRPr="00381DC2" w:rsidRDefault="00A52027" w:rsidP="002B0DE8">
            <w:pPr>
              <w:keepNext/>
              <w:keepLines/>
              <w:rPr>
                <w:rFonts w:ascii="Times New Roman" w:eastAsia="Times New Roman" w:hAnsi="Times New Roman"/>
                <w:b/>
                <w:color w:val="000000"/>
              </w:rPr>
            </w:pPr>
          </w:p>
        </w:tc>
        <w:tc>
          <w:tcPr>
            <w:tcW w:w="2500" w:type="dxa"/>
            <w:tcBorders>
              <w:bottom w:val="single" w:sz="4" w:space="0" w:color="000000"/>
            </w:tcBorders>
          </w:tcPr>
          <w:p w14:paraId="310267AE" w14:textId="77777777" w:rsidR="00A52027" w:rsidRPr="00381DC2" w:rsidRDefault="00A52027" w:rsidP="002B0DE8">
            <w:pPr>
              <w:keepNext/>
              <w:keepLines/>
              <w:jc w:val="center"/>
              <w:rPr>
                <w:rFonts w:ascii="Times New Roman" w:eastAsia="Times New Roman" w:hAnsi="Times New Roman"/>
                <w:color w:val="000000"/>
              </w:rPr>
            </w:pPr>
            <w:r w:rsidRPr="00381DC2">
              <w:rPr>
                <w:rFonts w:ascii="Times New Roman" w:eastAsia="Times New Roman" w:hAnsi="Times New Roman"/>
                <w:color w:val="000000"/>
              </w:rPr>
              <w:t>Erlotinib</w:t>
            </w:r>
          </w:p>
          <w:p w14:paraId="445038A8" w14:textId="77777777" w:rsidR="00A52027" w:rsidRPr="00381DC2" w:rsidRDefault="00A52027" w:rsidP="002B0DE8">
            <w:pPr>
              <w:keepNext/>
              <w:keepLines/>
              <w:jc w:val="center"/>
              <w:rPr>
                <w:rFonts w:ascii="Times New Roman" w:eastAsia="Times New Roman" w:hAnsi="Times New Roman"/>
                <w:color w:val="000000"/>
              </w:rPr>
            </w:pPr>
            <w:r w:rsidRPr="00381DC2">
              <w:rPr>
                <w:rFonts w:ascii="Times New Roman" w:eastAsia="Times New Roman" w:hAnsi="Times New Roman"/>
                <w:color w:val="000000"/>
              </w:rPr>
              <w:t>N = 77</w:t>
            </w:r>
            <w:r w:rsidRPr="00381DC2">
              <w:rPr>
                <w:rFonts w:ascii="Times New Roman" w:eastAsia="Times New Roman" w:hAnsi="Times New Roman"/>
                <w:color w:val="000000"/>
                <w:vertAlign w:val="superscript"/>
              </w:rPr>
              <w:t>#</w:t>
            </w:r>
          </w:p>
        </w:tc>
        <w:tc>
          <w:tcPr>
            <w:tcW w:w="2577" w:type="dxa"/>
            <w:gridSpan w:val="2"/>
            <w:tcBorders>
              <w:bottom w:val="single" w:sz="4" w:space="0" w:color="000000"/>
            </w:tcBorders>
          </w:tcPr>
          <w:p w14:paraId="549A5295" w14:textId="77777777" w:rsidR="00A52027" w:rsidRPr="00381DC2" w:rsidRDefault="00A52027" w:rsidP="002B0DE8">
            <w:pPr>
              <w:keepNext/>
              <w:keepLines/>
              <w:jc w:val="center"/>
              <w:rPr>
                <w:rFonts w:ascii="Times New Roman" w:eastAsia="Times New Roman" w:hAnsi="Times New Roman"/>
                <w:color w:val="000000"/>
              </w:rPr>
            </w:pPr>
            <w:r w:rsidRPr="00381DC2">
              <w:rPr>
                <w:rFonts w:ascii="Times New Roman" w:eastAsia="Times New Roman" w:hAnsi="Times New Roman"/>
                <w:color w:val="000000"/>
              </w:rPr>
              <w:t>Erlotinib + bevacizumab</w:t>
            </w:r>
          </w:p>
          <w:p w14:paraId="3F5EF7E5" w14:textId="77777777" w:rsidR="00A52027" w:rsidRPr="00381DC2" w:rsidRDefault="00A52027" w:rsidP="002B0DE8">
            <w:pPr>
              <w:keepNext/>
              <w:keepLines/>
              <w:jc w:val="center"/>
              <w:rPr>
                <w:rFonts w:ascii="Times New Roman" w:eastAsia="Times New Roman" w:hAnsi="Times New Roman"/>
                <w:color w:val="000000"/>
              </w:rPr>
            </w:pPr>
            <w:r w:rsidRPr="00381DC2">
              <w:rPr>
                <w:rFonts w:ascii="Times New Roman" w:eastAsia="Times New Roman" w:hAnsi="Times New Roman"/>
                <w:color w:val="000000"/>
              </w:rPr>
              <w:t>N = 75</w:t>
            </w:r>
            <w:r w:rsidRPr="00381DC2">
              <w:rPr>
                <w:rFonts w:ascii="Times New Roman" w:eastAsia="Times New Roman" w:hAnsi="Times New Roman"/>
                <w:color w:val="000000"/>
                <w:vertAlign w:val="superscript"/>
              </w:rPr>
              <w:t>#</w:t>
            </w:r>
          </w:p>
        </w:tc>
      </w:tr>
      <w:tr w:rsidR="00A52027" w:rsidRPr="00F60460" w14:paraId="0ED91D36" w14:textId="77777777" w:rsidTr="00107EF8">
        <w:trPr>
          <w:cantSplit/>
        </w:trPr>
        <w:tc>
          <w:tcPr>
            <w:tcW w:w="4226" w:type="dxa"/>
            <w:tcBorders>
              <w:bottom w:val="nil"/>
            </w:tcBorders>
          </w:tcPr>
          <w:p w14:paraId="2038ECB4" w14:textId="77777777" w:rsidR="00A52027" w:rsidRPr="00381DC2" w:rsidRDefault="00A52027" w:rsidP="002B0DE8">
            <w:pPr>
              <w:keepNext/>
              <w:keepLines/>
              <w:rPr>
                <w:rFonts w:ascii="Times New Roman" w:eastAsia="Times New Roman" w:hAnsi="Times New Roman"/>
                <w:b/>
                <w:color w:val="000000"/>
              </w:rPr>
            </w:pPr>
            <w:r w:rsidRPr="00381DC2">
              <w:rPr>
                <w:rFonts w:ascii="Times New Roman" w:eastAsia="Times New Roman" w:hAnsi="Times New Roman"/>
                <w:b/>
                <w:bCs/>
                <w:color w:val="000000"/>
              </w:rPr>
              <w:t>Přežití bez progrese</w:t>
            </w:r>
            <w:r w:rsidRPr="00381DC2">
              <w:rPr>
                <w:rFonts w:ascii="Times New Roman" w:eastAsia="Times New Roman" w:hAnsi="Times New Roman"/>
                <w:color w:val="000000"/>
              </w:rPr>
              <w:t>^ (měsíce)</w:t>
            </w:r>
          </w:p>
          <w:p w14:paraId="42DD833E" w14:textId="77777777" w:rsidR="00A52027" w:rsidRPr="00381DC2" w:rsidRDefault="00A52027" w:rsidP="002B0DE8">
            <w:pPr>
              <w:keepNext/>
              <w:keepLines/>
              <w:ind w:left="284"/>
              <w:rPr>
                <w:rFonts w:ascii="Times New Roman" w:eastAsia="Times New Roman" w:hAnsi="Times New Roman"/>
                <w:color w:val="000000"/>
              </w:rPr>
            </w:pPr>
            <w:r w:rsidRPr="00381DC2">
              <w:rPr>
                <w:rFonts w:ascii="Times New Roman" w:eastAsia="Times New Roman" w:hAnsi="Times New Roman"/>
                <w:color w:val="000000"/>
              </w:rPr>
              <w:t>Medián</w:t>
            </w:r>
          </w:p>
        </w:tc>
        <w:tc>
          <w:tcPr>
            <w:tcW w:w="2500" w:type="dxa"/>
            <w:tcBorders>
              <w:bottom w:val="nil"/>
            </w:tcBorders>
          </w:tcPr>
          <w:p w14:paraId="4700B0CC" w14:textId="77777777" w:rsidR="00A52027" w:rsidRPr="00381DC2" w:rsidRDefault="00A52027" w:rsidP="002B0DE8">
            <w:pPr>
              <w:keepNext/>
              <w:keepLines/>
              <w:jc w:val="center"/>
              <w:rPr>
                <w:rFonts w:ascii="Times New Roman" w:eastAsia="Times New Roman" w:hAnsi="Times New Roman"/>
                <w:bCs/>
                <w:color w:val="000000"/>
              </w:rPr>
            </w:pPr>
          </w:p>
          <w:p w14:paraId="008B62B2" w14:textId="77777777" w:rsidR="00A52027" w:rsidRPr="00381DC2" w:rsidRDefault="00A52027" w:rsidP="002B0DE8">
            <w:pPr>
              <w:keepNext/>
              <w:keepLines/>
              <w:jc w:val="center"/>
              <w:rPr>
                <w:rFonts w:ascii="Times New Roman" w:eastAsia="Times New Roman" w:hAnsi="Times New Roman"/>
                <w:color w:val="000000"/>
              </w:rPr>
            </w:pPr>
            <w:r w:rsidRPr="00381DC2">
              <w:rPr>
                <w:rFonts w:ascii="Times New Roman" w:eastAsia="Times New Roman" w:hAnsi="Times New Roman"/>
                <w:color w:val="000000"/>
              </w:rPr>
              <w:t>9,7</w:t>
            </w:r>
          </w:p>
        </w:tc>
        <w:tc>
          <w:tcPr>
            <w:tcW w:w="2577" w:type="dxa"/>
            <w:gridSpan w:val="2"/>
            <w:tcBorders>
              <w:bottom w:val="nil"/>
            </w:tcBorders>
          </w:tcPr>
          <w:p w14:paraId="7E55FF4E" w14:textId="77777777" w:rsidR="00A52027" w:rsidRPr="00381DC2" w:rsidRDefault="00A52027" w:rsidP="002B0DE8">
            <w:pPr>
              <w:keepNext/>
              <w:keepLines/>
              <w:jc w:val="center"/>
              <w:rPr>
                <w:rFonts w:ascii="Times New Roman" w:eastAsia="Times New Roman" w:hAnsi="Times New Roman"/>
                <w:bCs/>
                <w:color w:val="000000"/>
              </w:rPr>
            </w:pPr>
          </w:p>
          <w:p w14:paraId="44305FD4" w14:textId="77777777" w:rsidR="00A52027" w:rsidRPr="00381DC2" w:rsidRDefault="00A52027" w:rsidP="002B0DE8">
            <w:pPr>
              <w:keepNext/>
              <w:keepLines/>
              <w:jc w:val="center"/>
              <w:rPr>
                <w:rFonts w:ascii="Times New Roman" w:eastAsia="Times New Roman" w:hAnsi="Times New Roman"/>
                <w:bCs/>
                <w:color w:val="000000"/>
              </w:rPr>
            </w:pPr>
            <w:r w:rsidRPr="00381DC2">
              <w:rPr>
                <w:rFonts w:ascii="Times New Roman" w:eastAsia="Times New Roman" w:hAnsi="Times New Roman"/>
                <w:bCs/>
                <w:color w:val="000000"/>
              </w:rPr>
              <w:t>16,0</w:t>
            </w:r>
          </w:p>
        </w:tc>
      </w:tr>
      <w:tr w:rsidR="00A52027" w:rsidRPr="00F60460" w14:paraId="2652EC8E" w14:textId="77777777" w:rsidTr="00107EF8">
        <w:trPr>
          <w:cantSplit/>
        </w:trPr>
        <w:tc>
          <w:tcPr>
            <w:tcW w:w="4226" w:type="dxa"/>
            <w:tcBorders>
              <w:top w:val="nil"/>
              <w:bottom w:val="single" w:sz="4" w:space="0" w:color="000000"/>
            </w:tcBorders>
          </w:tcPr>
          <w:p w14:paraId="3A426840" w14:textId="77777777" w:rsidR="00A52027" w:rsidRPr="00381DC2" w:rsidRDefault="00A52027" w:rsidP="002B0DE8">
            <w:pPr>
              <w:keepNext/>
              <w:keepLines/>
              <w:ind w:left="284"/>
              <w:rPr>
                <w:rFonts w:ascii="Times New Roman" w:eastAsia="Times New Roman" w:hAnsi="Times New Roman"/>
                <w:color w:val="000000"/>
              </w:rPr>
            </w:pPr>
            <w:r w:rsidRPr="00381DC2">
              <w:rPr>
                <w:rFonts w:ascii="Times New Roman" w:eastAsia="Times New Roman" w:hAnsi="Times New Roman"/>
                <w:color w:val="000000"/>
              </w:rPr>
              <w:t>Poměr rizik (95% interval spolehlivosti)</w:t>
            </w:r>
          </w:p>
          <w:p w14:paraId="20A62B9B" w14:textId="77777777" w:rsidR="00A52027" w:rsidRPr="00381DC2" w:rsidRDefault="00A52027" w:rsidP="002B0DE8">
            <w:pPr>
              <w:keepNext/>
              <w:keepLines/>
              <w:ind w:left="284"/>
              <w:rPr>
                <w:rFonts w:ascii="Times New Roman" w:eastAsia="Times New Roman" w:hAnsi="Times New Roman"/>
                <w:color w:val="000000"/>
              </w:rPr>
            </w:pPr>
            <w:r w:rsidRPr="00381DC2">
              <w:rPr>
                <w:rFonts w:ascii="Times New Roman" w:eastAsia="Times New Roman" w:hAnsi="Times New Roman"/>
                <w:color w:val="000000"/>
              </w:rPr>
              <w:t>p-hodnota</w:t>
            </w:r>
          </w:p>
        </w:tc>
        <w:tc>
          <w:tcPr>
            <w:tcW w:w="5077" w:type="dxa"/>
            <w:gridSpan w:val="3"/>
            <w:tcBorders>
              <w:top w:val="nil"/>
              <w:bottom w:val="single" w:sz="4" w:space="0" w:color="000000"/>
            </w:tcBorders>
          </w:tcPr>
          <w:p w14:paraId="21E3904F" w14:textId="77777777" w:rsidR="00A52027" w:rsidRPr="00381DC2" w:rsidRDefault="00A52027" w:rsidP="002B0DE8">
            <w:pPr>
              <w:keepNext/>
              <w:keepLines/>
              <w:jc w:val="center"/>
              <w:rPr>
                <w:rFonts w:ascii="Times New Roman" w:eastAsia="Times New Roman" w:hAnsi="Times New Roman"/>
                <w:bCs/>
                <w:color w:val="000000"/>
              </w:rPr>
            </w:pPr>
            <w:r w:rsidRPr="00381DC2">
              <w:rPr>
                <w:rFonts w:ascii="Times New Roman" w:eastAsia="Times New Roman" w:hAnsi="Times New Roman"/>
                <w:bCs/>
                <w:color w:val="000000"/>
              </w:rPr>
              <w:t>0,54 (0,36; 0,79)</w:t>
            </w:r>
          </w:p>
          <w:p w14:paraId="3223E69D" w14:textId="77777777" w:rsidR="00A52027" w:rsidRPr="00381DC2" w:rsidRDefault="00A52027" w:rsidP="002B0DE8">
            <w:pPr>
              <w:keepNext/>
              <w:keepLines/>
              <w:jc w:val="center"/>
              <w:rPr>
                <w:rFonts w:ascii="Times New Roman" w:eastAsia="Times New Roman" w:hAnsi="Times New Roman"/>
                <w:bCs/>
                <w:color w:val="000000"/>
              </w:rPr>
            </w:pPr>
            <w:r w:rsidRPr="00381DC2">
              <w:rPr>
                <w:rFonts w:ascii="Times New Roman" w:eastAsia="Times New Roman" w:hAnsi="Times New Roman"/>
                <w:bCs/>
                <w:color w:val="000000"/>
              </w:rPr>
              <w:t>0,0015</w:t>
            </w:r>
          </w:p>
        </w:tc>
      </w:tr>
      <w:tr w:rsidR="00A52027" w:rsidRPr="00F60460" w14:paraId="4F8EF52A" w14:textId="77777777" w:rsidTr="00107EF8">
        <w:trPr>
          <w:cantSplit/>
        </w:trPr>
        <w:tc>
          <w:tcPr>
            <w:tcW w:w="4226" w:type="dxa"/>
            <w:tcBorders>
              <w:bottom w:val="nil"/>
            </w:tcBorders>
          </w:tcPr>
          <w:p w14:paraId="5649BD0E" w14:textId="77777777" w:rsidR="00A52027" w:rsidRPr="00381DC2" w:rsidRDefault="00A52027" w:rsidP="0017170A">
            <w:pPr>
              <w:keepNext/>
              <w:widowControl/>
              <w:rPr>
                <w:rFonts w:ascii="Times New Roman" w:eastAsia="Times New Roman" w:hAnsi="Times New Roman"/>
                <w:b/>
                <w:bCs/>
                <w:color w:val="000000"/>
              </w:rPr>
            </w:pPr>
            <w:r w:rsidRPr="00381DC2">
              <w:rPr>
                <w:rFonts w:ascii="Times New Roman" w:eastAsia="Times New Roman" w:hAnsi="Times New Roman"/>
                <w:b/>
                <w:bCs/>
                <w:color w:val="000000"/>
              </w:rPr>
              <w:t>Celková míra odpovědi</w:t>
            </w:r>
          </w:p>
          <w:p w14:paraId="65E6A823" w14:textId="77777777" w:rsidR="00A52027" w:rsidRPr="00381DC2" w:rsidRDefault="00A52027" w:rsidP="0017170A">
            <w:pPr>
              <w:keepNext/>
              <w:widowControl/>
              <w:ind w:left="284"/>
              <w:rPr>
                <w:rFonts w:ascii="Times New Roman" w:eastAsia="Times New Roman" w:hAnsi="Times New Roman"/>
                <w:color w:val="000000"/>
              </w:rPr>
            </w:pPr>
            <w:r w:rsidRPr="00381DC2">
              <w:rPr>
                <w:rFonts w:ascii="Times New Roman" w:eastAsia="Times New Roman" w:hAnsi="Times New Roman"/>
                <w:color w:val="000000"/>
              </w:rPr>
              <w:t>Míra (n)</w:t>
            </w:r>
          </w:p>
        </w:tc>
        <w:tc>
          <w:tcPr>
            <w:tcW w:w="2500" w:type="dxa"/>
            <w:tcBorders>
              <w:bottom w:val="nil"/>
            </w:tcBorders>
          </w:tcPr>
          <w:p w14:paraId="5CCD2FB0" w14:textId="77777777" w:rsidR="00A52027" w:rsidRPr="00381DC2" w:rsidRDefault="00A52027" w:rsidP="0017170A">
            <w:pPr>
              <w:keepNext/>
              <w:widowControl/>
              <w:jc w:val="center"/>
              <w:rPr>
                <w:rFonts w:ascii="Times New Roman" w:eastAsia="Times New Roman" w:hAnsi="Times New Roman"/>
                <w:bCs/>
                <w:color w:val="000000"/>
              </w:rPr>
            </w:pPr>
          </w:p>
          <w:p w14:paraId="46AB5F22" w14:textId="77777777" w:rsidR="00A52027" w:rsidRPr="00381DC2" w:rsidRDefault="00A52027" w:rsidP="0017170A">
            <w:pPr>
              <w:keepNext/>
              <w:widowControl/>
              <w:jc w:val="center"/>
              <w:rPr>
                <w:rFonts w:ascii="Times New Roman" w:eastAsia="Times New Roman" w:hAnsi="Times New Roman"/>
                <w:bCs/>
                <w:color w:val="000000"/>
              </w:rPr>
            </w:pPr>
            <w:r w:rsidRPr="00381DC2">
              <w:rPr>
                <w:rFonts w:ascii="Times New Roman" w:eastAsia="Times New Roman" w:hAnsi="Times New Roman"/>
                <w:bCs/>
                <w:color w:val="000000"/>
              </w:rPr>
              <w:t>63,6 % (49)</w:t>
            </w:r>
          </w:p>
        </w:tc>
        <w:tc>
          <w:tcPr>
            <w:tcW w:w="2577" w:type="dxa"/>
            <w:gridSpan w:val="2"/>
            <w:tcBorders>
              <w:bottom w:val="nil"/>
            </w:tcBorders>
          </w:tcPr>
          <w:p w14:paraId="376D8048" w14:textId="77777777" w:rsidR="00A52027" w:rsidRPr="00381DC2" w:rsidRDefault="00A52027" w:rsidP="0017170A">
            <w:pPr>
              <w:keepNext/>
              <w:widowControl/>
              <w:jc w:val="center"/>
              <w:rPr>
                <w:rFonts w:ascii="Times New Roman" w:eastAsia="Times New Roman" w:hAnsi="Times New Roman"/>
                <w:bCs/>
                <w:color w:val="000000"/>
              </w:rPr>
            </w:pPr>
          </w:p>
          <w:p w14:paraId="7EDF1754" w14:textId="77777777" w:rsidR="00A52027" w:rsidRPr="00381DC2" w:rsidRDefault="00A52027" w:rsidP="0017170A">
            <w:pPr>
              <w:keepNext/>
              <w:widowControl/>
              <w:jc w:val="center"/>
              <w:rPr>
                <w:rFonts w:ascii="Times New Roman" w:eastAsia="Times New Roman" w:hAnsi="Times New Roman"/>
                <w:bCs/>
                <w:color w:val="000000"/>
              </w:rPr>
            </w:pPr>
            <w:r w:rsidRPr="00381DC2">
              <w:rPr>
                <w:rFonts w:ascii="Times New Roman" w:eastAsia="Times New Roman" w:hAnsi="Times New Roman"/>
                <w:bCs/>
                <w:color w:val="000000"/>
              </w:rPr>
              <w:t>69,3 % (52)</w:t>
            </w:r>
          </w:p>
        </w:tc>
      </w:tr>
      <w:tr w:rsidR="00A52027" w:rsidRPr="00F60460" w14:paraId="71748769" w14:textId="77777777" w:rsidTr="00107EF8">
        <w:trPr>
          <w:cantSplit/>
        </w:trPr>
        <w:tc>
          <w:tcPr>
            <w:tcW w:w="4226" w:type="dxa"/>
            <w:tcBorders>
              <w:top w:val="nil"/>
              <w:bottom w:val="single" w:sz="4" w:space="0" w:color="000000"/>
            </w:tcBorders>
          </w:tcPr>
          <w:p w14:paraId="3A602BA4" w14:textId="77777777" w:rsidR="00A52027" w:rsidRPr="00381DC2" w:rsidRDefault="00A52027" w:rsidP="00E40A5E">
            <w:pPr>
              <w:ind w:left="284"/>
              <w:rPr>
                <w:rFonts w:ascii="Times New Roman" w:eastAsia="Times New Roman" w:hAnsi="Times New Roman"/>
                <w:color w:val="000000"/>
                <w:lang w:val="es-ES"/>
              </w:rPr>
            </w:pPr>
            <w:r w:rsidRPr="00381DC2">
              <w:rPr>
                <w:rFonts w:ascii="Times New Roman" w:eastAsia="Times New Roman" w:hAnsi="Times New Roman"/>
                <w:color w:val="000000"/>
              </w:rPr>
              <w:t>p-hodnota</w:t>
            </w:r>
          </w:p>
        </w:tc>
        <w:tc>
          <w:tcPr>
            <w:tcW w:w="5077" w:type="dxa"/>
            <w:gridSpan w:val="3"/>
            <w:tcBorders>
              <w:top w:val="nil"/>
              <w:bottom w:val="single" w:sz="4" w:space="0" w:color="000000"/>
            </w:tcBorders>
          </w:tcPr>
          <w:p w14:paraId="16771530" w14:textId="77777777" w:rsidR="00A52027" w:rsidRPr="00381DC2" w:rsidRDefault="00A52027" w:rsidP="00107EF8">
            <w:pPr>
              <w:jc w:val="center"/>
              <w:rPr>
                <w:rFonts w:ascii="Times New Roman" w:eastAsia="Times New Roman" w:hAnsi="Times New Roman"/>
                <w:bCs/>
                <w:color w:val="000000"/>
              </w:rPr>
            </w:pPr>
            <w:r w:rsidRPr="00381DC2">
              <w:rPr>
                <w:rFonts w:ascii="Times New Roman" w:eastAsia="Times New Roman" w:hAnsi="Times New Roman"/>
                <w:bCs/>
                <w:color w:val="000000"/>
              </w:rPr>
              <w:t>0.4951</w:t>
            </w:r>
          </w:p>
        </w:tc>
      </w:tr>
      <w:tr w:rsidR="00A52027" w:rsidRPr="00F60460" w14:paraId="7AD867DF" w14:textId="77777777" w:rsidTr="00107EF8">
        <w:trPr>
          <w:cantSplit/>
        </w:trPr>
        <w:tc>
          <w:tcPr>
            <w:tcW w:w="4226" w:type="dxa"/>
            <w:tcBorders>
              <w:bottom w:val="nil"/>
            </w:tcBorders>
          </w:tcPr>
          <w:p w14:paraId="1E7BB118" w14:textId="77777777" w:rsidR="00A52027" w:rsidRPr="00381DC2" w:rsidRDefault="00A52027" w:rsidP="00A52027">
            <w:pPr>
              <w:rPr>
                <w:rFonts w:ascii="Times New Roman" w:eastAsia="Times New Roman" w:hAnsi="Times New Roman"/>
                <w:b/>
                <w:color w:val="000000"/>
              </w:rPr>
            </w:pPr>
            <w:r w:rsidRPr="00381DC2">
              <w:rPr>
                <w:rFonts w:ascii="Times New Roman" w:eastAsia="Times New Roman" w:hAnsi="Times New Roman"/>
                <w:b/>
                <w:bCs/>
                <w:color w:val="000000"/>
              </w:rPr>
              <w:t>Celkové přežití</w:t>
            </w:r>
            <w:r w:rsidRPr="00381DC2">
              <w:rPr>
                <w:rFonts w:ascii="Times New Roman" w:eastAsia="Times New Roman" w:hAnsi="Times New Roman"/>
                <w:color w:val="000000"/>
              </w:rPr>
              <w:t>* (měsíce)</w:t>
            </w:r>
          </w:p>
          <w:p w14:paraId="0A45B991" w14:textId="77777777" w:rsidR="00A52027" w:rsidRPr="00381DC2" w:rsidRDefault="00A52027" w:rsidP="00E40A5E">
            <w:pPr>
              <w:ind w:left="284"/>
              <w:rPr>
                <w:rFonts w:ascii="Times New Roman" w:eastAsia="Times New Roman" w:hAnsi="Times New Roman"/>
                <w:color w:val="000000"/>
              </w:rPr>
            </w:pPr>
            <w:r w:rsidRPr="00381DC2">
              <w:rPr>
                <w:rFonts w:ascii="Times New Roman" w:eastAsia="Times New Roman" w:hAnsi="Times New Roman"/>
                <w:color w:val="000000"/>
              </w:rPr>
              <w:t>Medián</w:t>
            </w:r>
          </w:p>
        </w:tc>
        <w:tc>
          <w:tcPr>
            <w:tcW w:w="2592" w:type="dxa"/>
            <w:gridSpan w:val="2"/>
            <w:tcBorders>
              <w:bottom w:val="nil"/>
            </w:tcBorders>
          </w:tcPr>
          <w:p w14:paraId="2FECACF8" w14:textId="77777777" w:rsidR="00A52027" w:rsidRPr="00381DC2" w:rsidRDefault="00A52027" w:rsidP="00107EF8">
            <w:pPr>
              <w:jc w:val="center"/>
              <w:rPr>
                <w:rFonts w:ascii="Times New Roman" w:eastAsia="Times New Roman" w:hAnsi="Times New Roman"/>
                <w:bCs/>
                <w:color w:val="000000"/>
              </w:rPr>
            </w:pPr>
          </w:p>
          <w:p w14:paraId="25B46FE6" w14:textId="77777777" w:rsidR="00A52027" w:rsidRPr="00381DC2" w:rsidRDefault="00A52027" w:rsidP="00107EF8">
            <w:pPr>
              <w:jc w:val="center"/>
              <w:rPr>
                <w:rFonts w:ascii="Times New Roman" w:eastAsia="Times New Roman" w:hAnsi="Times New Roman"/>
                <w:bCs/>
                <w:color w:val="000000"/>
              </w:rPr>
            </w:pPr>
            <w:r w:rsidRPr="00381DC2">
              <w:rPr>
                <w:rFonts w:ascii="Times New Roman" w:eastAsia="Times New Roman" w:hAnsi="Times New Roman"/>
                <w:bCs/>
                <w:color w:val="000000"/>
              </w:rPr>
              <w:t>47,4</w:t>
            </w:r>
          </w:p>
        </w:tc>
        <w:tc>
          <w:tcPr>
            <w:tcW w:w="2485" w:type="dxa"/>
            <w:tcBorders>
              <w:bottom w:val="nil"/>
            </w:tcBorders>
          </w:tcPr>
          <w:p w14:paraId="1635A12D" w14:textId="77777777" w:rsidR="00A52027" w:rsidRPr="00381DC2" w:rsidRDefault="00A52027" w:rsidP="00107EF8">
            <w:pPr>
              <w:jc w:val="center"/>
              <w:rPr>
                <w:rFonts w:ascii="Times New Roman" w:eastAsia="Times New Roman" w:hAnsi="Times New Roman"/>
                <w:bCs/>
                <w:color w:val="000000"/>
              </w:rPr>
            </w:pPr>
          </w:p>
          <w:p w14:paraId="2274EDED" w14:textId="77777777" w:rsidR="00A52027" w:rsidRPr="00381DC2" w:rsidRDefault="00A52027" w:rsidP="00107EF8">
            <w:pPr>
              <w:jc w:val="center"/>
              <w:rPr>
                <w:rFonts w:ascii="Times New Roman" w:eastAsia="Times New Roman" w:hAnsi="Times New Roman"/>
                <w:bCs/>
                <w:color w:val="000000"/>
              </w:rPr>
            </w:pPr>
            <w:r w:rsidRPr="00381DC2">
              <w:rPr>
                <w:rFonts w:ascii="Times New Roman" w:eastAsia="Times New Roman" w:hAnsi="Times New Roman"/>
                <w:bCs/>
                <w:color w:val="000000"/>
              </w:rPr>
              <w:t>47,0</w:t>
            </w:r>
          </w:p>
        </w:tc>
      </w:tr>
      <w:tr w:rsidR="00A52027" w:rsidRPr="00F60460" w14:paraId="013C1934" w14:textId="77777777" w:rsidTr="00107EF8">
        <w:trPr>
          <w:cantSplit/>
        </w:trPr>
        <w:tc>
          <w:tcPr>
            <w:tcW w:w="4226" w:type="dxa"/>
            <w:tcBorders>
              <w:top w:val="nil"/>
            </w:tcBorders>
          </w:tcPr>
          <w:p w14:paraId="5B15E0DA" w14:textId="77777777" w:rsidR="00A52027" w:rsidRPr="00381DC2" w:rsidRDefault="00A52027" w:rsidP="00E40A5E">
            <w:pPr>
              <w:ind w:left="284"/>
              <w:rPr>
                <w:rFonts w:ascii="Times New Roman" w:eastAsia="Times New Roman" w:hAnsi="Times New Roman"/>
                <w:color w:val="000000"/>
              </w:rPr>
            </w:pPr>
            <w:r w:rsidRPr="00381DC2">
              <w:rPr>
                <w:rFonts w:ascii="Times New Roman" w:eastAsia="Times New Roman" w:hAnsi="Times New Roman"/>
                <w:color w:val="000000"/>
              </w:rPr>
              <w:t>Poměr rizik (95% interval spolehlivosti)</w:t>
            </w:r>
          </w:p>
          <w:p w14:paraId="715FFB5C" w14:textId="77777777" w:rsidR="00A52027" w:rsidRPr="00381DC2" w:rsidRDefault="00A52027" w:rsidP="00107EF8">
            <w:pPr>
              <w:ind w:left="284"/>
              <w:rPr>
                <w:rFonts w:ascii="Times New Roman" w:eastAsia="Times New Roman" w:hAnsi="Times New Roman"/>
                <w:color w:val="000000"/>
              </w:rPr>
            </w:pPr>
            <w:r w:rsidRPr="00381DC2">
              <w:rPr>
                <w:rFonts w:ascii="Times New Roman" w:eastAsia="Times New Roman" w:hAnsi="Times New Roman"/>
                <w:color w:val="000000"/>
              </w:rPr>
              <w:t>p-hodnota</w:t>
            </w:r>
          </w:p>
        </w:tc>
        <w:tc>
          <w:tcPr>
            <w:tcW w:w="5077" w:type="dxa"/>
            <w:gridSpan w:val="3"/>
            <w:tcBorders>
              <w:top w:val="nil"/>
            </w:tcBorders>
          </w:tcPr>
          <w:p w14:paraId="0A3AF568" w14:textId="77777777" w:rsidR="00A52027" w:rsidRPr="00381DC2" w:rsidRDefault="00A52027" w:rsidP="00107EF8">
            <w:pPr>
              <w:jc w:val="center"/>
              <w:rPr>
                <w:rFonts w:ascii="Times New Roman" w:eastAsia="Times New Roman" w:hAnsi="Times New Roman"/>
                <w:bCs/>
                <w:color w:val="000000"/>
              </w:rPr>
            </w:pPr>
            <w:r w:rsidRPr="00381DC2">
              <w:rPr>
                <w:rFonts w:ascii="Times New Roman" w:eastAsia="Times New Roman" w:hAnsi="Times New Roman"/>
                <w:bCs/>
                <w:color w:val="000000"/>
              </w:rPr>
              <w:t>0,81 (0,53; 1,23)</w:t>
            </w:r>
          </w:p>
          <w:p w14:paraId="12E5495C" w14:textId="77777777" w:rsidR="00A52027" w:rsidRPr="00381DC2" w:rsidRDefault="00A52027" w:rsidP="00107EF8">
            <w:pPr>
              <w:jc w:val="center"/>
              <w:rPr>
                <w:rFonts w:ascii="Times New Roman" w:eastAsia="Times New Roman" w:hAnsi="Times New Roman"/>
                <w:bCs/>
                <w:color w:val="000000"/>
              </w:rPr>
            </w:pPr>
            <w:r w:rsidRPr="00381DC2">
              <w:rPr>
                <w:rFonts w:ascii="Times New Roman" w:eastAsia="Times New Roman" w:hAnsi="Times New Roman"/>
                <w:bCs/>
                <w:color w:val="000000"/>
              </w:rPr>
              <w:t>0,3267</w:t>
            </w:r>
          </w:p>
        </w:tc>
      </w:tr>
    </w:tbl>
    <w:p w14:paraId="799F9E01" w14:textId="77777777" w:rsidR="006812F8" w:rsidRPr="00F60460" w:rsidRDefault="006812F8" w:rsidP="006812F8">
      <w:pPr>
        <w:widowControl/>
        <w:ind w:left="284" w:hanging="284"/>
        <w:rPr>
          <w:rFonts w:ascii="Times New Roman" w:eastAsia="Times New Roman" w:hAnsi="Times New Roman"/>
          <w:color w:val="000000"/>
          <w:sz w:val="20"/>
          <w:szCs w:val="20"/>
          <w:lang w:bidi="ar-SA"/>
        </w:rPr>
      </w:pPr>
      <w:r w:rsidRPr="00F60460">
        <w:rPr>
          <w:rFonts w:ascii="Times New Roman" w:hAnsi="Times New Roman"/>
          <w:color w:val="000000"/>
          <w:sz w:val="20"/>
          <w:szCs w:val="20"/>
          <w:vertAlign w:val="superscript"/>
        </w:rPr>
        <w:t>#</w:t>
      </w:r>
      <w:r w:rsidRPr="00F60460">
        <w:rPr>
          <w:rFonts w:ascii="Times New Roman" w:eastAsia="Times New Roman" w:hAnsi="Times New Roman"/>
          <w:color w:val="000000"/>
          <w:sz w:val="20"/>
          <w:szCs w:val="20"/>
          <w:lang w:bidi="ar-SA"/>
        </w:rPr>
        <w:t xml:space="preserve"> </w:t>
      </w:r>
      <w:r w:rsidRPr="00F60460">
        <w:rPr>
          <w:rFonts w:ascii="Times New Roman" w:eastAsia="Times New Roman" w:hAnsi="Times New Roman"/>
          <w:color w:val="000000"/>
          <w:sz w:val="20"/>
          <w:szCs w:val="20"/>
          <w:lang w:bidi="ar-SA"/>
        </w:rPr>
        <w:tab/>
        <w:t>Celkem bylo randomizováno 154 pacientů (ECOG Performance Status roven 0 nebo 1), avšak dva z randomizovaných pacientů vystoupili ze studie dříve, než jim byla podána jakákoli hodnocená léčba.</w:t>
      </w:r>
    </w:p>
    <w:p w14:paraId="7B7D7C74" w14:textId="77777777" w:rsidR="006812F8" w:rsidRPr="00F60460" w:rsidRDefault="006812F8" w:rsidP="006812F8">
      <w:pPr>
        <w:widowControl/>
        <w:ind w:left="284" w:hanging="284"/>
        <w:rPr>
          <w:rFonts w:ascii="Times New Roman" w:eastAsia="Times New Roman" w:hAnsi="Times New Roman"/>
          <w:color w:val="000000"/>
          <w:sz w:val="20"/>
          <w:szCs w:val="20"/>
          <w:lang w:bidi="ar-SA"/>
        </w:rPr>
      </w:pPr>
      <w:r w:rsidRPr="00F60460">
        <w:rPr>
          <w:rFonts w:ascii="Times New Roman" w:hAnsi="Times New Roman"/>
          <w:color w:val="000000"/>
          <w:sz w:val="20"/>
          <w:szCs w:val="20"/>
        </w:rPr>
        <w:t>^</w:t>
      </w:r>
      <w:r w:rsidRPr="00F60460">
        <w:rPr>
          <w:rFonts w:ascii="Times New Roman" w:eastAsia="Times New Roman" w:hAnsi="Times New Roman"/>
          <w:color w:val="000000"/>
          <w:sz w:val="20"/>
          <w:szCs w:val="20"/>
          <w:lang w:bidi="ar-SA"/>
        </w:rPr>
        <w:t xml:space="preserve"> </w:t>
      </w:r>
      <w:r w:rsidRPr="00F60460">
        <w:rPr>
          <w:rFonts w:ascii="Times New Roman" w:eastAsia="Times New Roman" w:hAnsi="Times New Roman"/>
          <w:color w:val="000000"/>
          <w:sz w:val="20"/>
          <w:szCs w:val="20"/>
          <w:lang w:bidi="ar-SA"/>
        </w:rPr>
        <w:tab/>
      </w:r>
      <w:r w:rsidR="00F53511" w:rsidRPr="00F60460">
        <w:rPr>
          <w:rFonts w:ascii="Times New Roman" w:eastAsia="Times New Roman" w:hAnsi="Times New Roman"/>
          <w:color w:val="000000"/>
          <w:sz w:val="20"/>
          <w:szCs w:val="20"/>
          <w:lang w:bidi="ar-SA"/>
        </w:rPr>
        <w:t>Zaslepené nezávislé hodnocení (primární analýza definovaná v rámci protokolu).</w:t>
      </w:r>
    </w:p>
    <w:p w14:paraId="181C6FB2" w14:textId="77777777" w:rsidR="006812F8" w:rsidRPr="00F60460" w:rsidRDefault="006812F8" w:rsidP="006812F8">
      <w:pPr>
        <w:widowControl/>
        <w:ind w:left="284" w:hanging="284"/>
        <w:rPr>
          <w:rFonts w:ascii="Times New Roman" w:hAnsi="Times New Roman"/>
          <w:color w:val="000000"/>
          <w:sz w:val="20"/>
          <w:szCs w:val="20"/>
        </w:rPr>
      </w:pPr>
      <w:r w:rsidRPr="00F60460">
        <w:rPr>
          <w:rFonts w:ascii="Times New Roman" w:hAnsi="Times New Roman"/>
          <w:color w:val="000000"/>
          <w:sz w:val="20"/>
          <w:szCs w:val="20"/>
        </w:rPr>
        <w:t>*</w:t>
      </w:r>
      <w:r w:rsidRPr="00F60460">
        <w:rPr>
          <w:rFonts w:ascii="Times New Roman" w:hAnsi="Times New Roman"/>
          <w:color w:val="000000"/>
          <w:sz w:val="20"/>
          <w:szCs w:val="20"/>
        </w:rPr>
        <w:tab/>
      </w:r>
      <w:r w:rsidR="00F53511" w:rsidRPr="00F60460">
        <w:rPr>
          <w:rFonts w:ascii="Times New Roman" w:hAnsi="Times New Roman"/>
          <w:color w:val="000000"/>
          <w:sz w:val="20"/>
          <w:szCs w:val="20"/>
        </w:rPr>
        <w:t>Explorativní analýza: konečné celkové přežití s klinickými daty získanými k 31. říjnu 2017, kdy zemřelo přibližně 59 % pacientů.</w:t>
      </w:r>
    </w:p>
    <w:p w14:paraId="15F5B564" w14:textId="77777777" w:rsidR="006812F8" w:rsidRPr="00F60460" w:rsidRDefault="006812F8" w:rsidP="006812F8">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rPr>
        <w:t>CI = interval spolehlivosti; HR: poměr rizik dle nestratifikované Coxovy regresní analýzy; NR = nedosaženo.</w:t>
      </w:r>
    </w:p>
    <w:p w14:paraId="0E3C79E0" w14:textId="77777777" w:rsidR="00FA7D63" w:rsidRPr="00381DC2" w:rsidRDefault="00FA7D63" w:rsidP="007F6E1B">
      <w:pPr>
        <w:rPr>
          <w:rFonts w:ascii="Times New Roman" w:hAnsi="Times New Roman"/>
          <w:i/>
          <w:color w:val="000000"/>
          <w:u w:val="single" w:color="000000"/>
        </w:rPr>
      </w:pPr>
    </w:p>
    <w:p w14:paraId="411C30DC" w14:textId="77777777" w:rsidR="00D15122" w:rsidRPr="00381DC2" w:rsidRDefault="009B0756" w:rsidP="007F6E1B">
      <w:pPr>
        <w:rPr>
          <w:rFonts w:ascii="Times New Roman" w:eastAsia="Times New Roman" w:hAnsi="Times New Roman"/>
          <w:color w:val="000000"/>
        </w:rPr>
      </w:pPr>
      <w:r w:rsidRPr="00381DC2">
        <w:rPr>
          <w:rFonts w:ascii="Times New Roman" w:hAnsi="Times New Roman"/>
          <w:i/>
          <w:color w:val="000000"/>
          <w:u w:val="single" w:color="000000"/>
        </w:rPr>
        <w:t>Pokročil</w:t>
      </w:r>
      <w:r w:rsidR="00424D9A" w:rsidRPr="00381DC2">
        <w:rPr>
          <w:rFonts w:ascii="Times New Roman" w:hAnsi="Times New Roman"/>
          <w:i/>
          <w:color w:val="000000"/>
          <w:u w:val="single" w:color="000000"/>
        </w:rPr>
        <w:t>ý</w:t>
      </w:r>
      <w:r w:rsidRPr="00381DC2">
        <w:rPr>
          <w:rFonts w:ascii="Times New Roman" w:hAnsi="Times New Roman"/>
          <w:i/>
          <w:color w:val="000000"/>
          <w:u w:val="single" w:color="000000"/>
        </w:rPr>
        <w:t xml:space="preserve"> a/nebo </w:t>
      </w:r>
      <w:r w:rsidR="00F0199F" w:rsidRPr="00381DC2">
        <w:rPr>
          <w:rFonts w:ascii="Times New Roman" w:hAnsi="Times New Roman"/>
          <w:i/>
          <w:color w:val="000000"/>
          <w:u w:val="single" w:color="000000"/>
        </w:rPr>
        <w:t>metast</w:t>
      </w:r>
      <w:r w:rsidR="00424D9A" w:rsidRPr="00381DC2">
        <w:rPr>
          <w:rFonts w:ascii="Times New Roman" w:hAnsi="Times New Roman"/>
          <w:i/>
          <w:color w:val="000000"/>
          <w:u w:val="single" w:color="000000"/>
        </w:rPr>
        <w:t>zující renální karcinom</w:t>
      </w:r>
      <w:r w:rsidRPr="00381DC2">
        <w:rPr>
          <w:rFonts w:ascii="Times New Roman" w:hAnsi="Times New Roman"/>
          <w:i/>
          <w:color w:val="000000"/>
          <w:u w:val="single" w:color="000000"/>
        </w:rPr>
        <w:t xml:space="preserve"> (mRCC)</w:t>
      </w:r>
    </w:p>
    <w:p w14:paraId="718B4162" w14:textId="77777777" w:rsidR="00D15122" w:rsidRPr="00381DC2" w:rsidRDefault="00D15122" w:rsidP="007F6E1B">
      <w:pPr>
        <w:rPr>
          <w:rFonts w:ascii="Times New Roman" w:eastAsia="Times New Roman" w:hAnsi="Times New Roman"/>
          <w:color w:val="000000"/>
        </w:rPr>
      </w:pPr>
    </w:p>
    <w:p w14:paraId="0658482A" w14:textId="77777777" w:rsidR="00D15122" w:rsidRPr="00381DC2" w:rsidRDefault="00007842" w:rsidP="007F6E1B">
      <w:pPr>
        <w:ind w:right="281"/>
        <w:rPr>
          <w:rFonts w:ascii="Times New Roman" w:eastAsia="Times New Roman" w:hAnsi="Times New Roman"/>
          <w:color w:val="000000"/>
        </w:rPr>
      </w:pPr>
      <w:r w:rsidRPr="00381DC2">
        <w:rPr>
          <w:rFonts w:ascii="Times New Roman" w:hAnsi="Times New Roman"/>
          <w:i/>
          <w:color w:val="000000"/>
        </w:rPr>
        <w:t>Bevacizumab v kombinaci s interferonem alfa-2a v první linii léčby pokročil</w:t>
      </w:r>
      <w:r w:rsidR="00CD2851" w:rsidRPr="00381DC2">
        <w:rPr>
          <w:rFonts w:ascii="Times New Roman" w:hAnsi="Times New Roman"/>
          <w:i/>
          <w:color w:val="000000"/>
        </w:rPr>
        <w:t>ého</w:t>
      </w:r>
      <w:r w:rsidRPr="00381DC2">
        <w:rPr>
          <w:rFonts w:ascii="Times New Roman" w:hAnsi="Times New Roman"/>
          <w:i/>
          <w:color w:val="000000"/>
        </w:rPr>
        <w:t xml:space="preserve"> a/nebo </w:t>
      </w:r>
      <w:r w:rsidR="00F0199F" w:rsidRPr="00381DC2">
        <w:rPr>
          <w:rFonts w:ascii="Times New Roman" w:hAnsi="Times New Roman"/>
          <w:i/>
          <w:color w:val="000000"/>
        </w:rPr>
        <w:t>metasta</w:t>
      </w:r>
      <w:r w:rsidR="00424D9A" w:rsidRPr="00381DC2">
        <w:rPr>
          <w:rFonts w:ascii="Times New Roman" w:hAnsi="Times New Roman"/>
          <w:i/>
          <w:color w:val="000000"/>
        </w:rPr>
        <w:t>zujícího</w:t>
      </w:r>
      <w:r w:rsidR="00CD2851" w:rsidRPr="00381DC2">
        <w:rPr>
          <w:rFonts w:ascii="Times New Roman" w:hAnsi="Times New Roman"/>
          <w:i/>
          <w:color w:val="000000"/>
        </w:rPr>
        <w:t xml:space="preserve"> </w:t>
      </w:r>
      <w:r w:rsidR="004F49CF" w:rsidRPr="00381DC2">
        <w:rPr>
          <w:rFonts w:ascii="Times New Roman" w:hAnsi="Times New Roman"/>
          <w:i/>
          <w:color w:val="000000"/>
        </w:rPr>
        <w:t>karcinomu</w:t>
      </w:r>
      <w:r w:rsidR="00F0199F" w:rsidRPr="00381DC2">
        <w:rPr>
          <w:rFonts w:ascii="Times New Roman" w:hAnsi="Times New Roman"/>
          <w:i/>
          <w:color w:val="000000"/>
        </w:rPr>
        <w:t xml:space="preserve"> ledvin</w:t>
      </w:r>
      <w:r w:rsidRPr="00381DC2">
        <w:rPr>
          <w:rFonts w:ascii="Times New Roman" w:hAnsi="Times New Roman"/>
          <w:i/>
          <w:color w:val="000000"/>
        </w:rPr>
        <w:t xml:space="preserve"> (BO17705)</w:t>
      </w:r>
    </w:p>
    <w:p w14:paraId="03D5149B" w14:textId="77777777" w:rsidR="00D15122" w:rsidRPr="00381DC2" w:rsidRDefault="009B0756" w:rsidP="007F6E1B">
      <w:pPr>
        <w:pStyle w:val="BodyText"/>
        <w:ind w:left="0" w:right="171"/>
        <w:rPr>
          <w:color w:val="000000"/>
        </w:rPr>
      </w:pPr>
      <w:r w:rsidRPr="00381DC2">
        <w:rPr>
          <w:color w:val="000000"/>
        </w:rPr>
        <w:t xml:space="preserve">Toto randomizované dvojitě zaslepené hodnocení fáze III bylo provedeno za účelem zhodnocení účinnosti a bezpečnosti bevacizumabu v kombinaci s interferonem (IFN) alfa-2a ve srovnání se samotným IFN alfa-2a v první linii léčby </w:t>
      </w:r>
      <w:r w:rsidR="009A2EC6" w:rsidRPr="00381DC2">
        <w:rPr>
          <w:color w:val="000000"/>
        </w:rPr>
        <w:t>mRCC</w:t>
      </w:r>
      <w:r w:rsidRPr="00381DC2">
        <w:rPr>
          <w:color w:val="000000"/>
        </w:rPr>
        <w:t xml:space="preserve">. </w:t>
      </w:r>
      <w:r w:rsidR="009A2EC6" w:rsidRPr="00381DC2">
        <w:rPr>
          <w:color w:val="000000"/>
        </w:rPr>
        <w:t>B</w:t>
      </w:r>
      <w:r w:rsidRPr="00381DC2">
        <w:rPr>
          <w:color w:val="000000"/>
        </w:rPr>
        <w:t>ylo randomizováno 649 pacientů (léčeno bylo 641) s </w:t>
      </w:r>
      <w:r w:rsidR="009A2EC6" w:rsidRPr="00381DC2">
        <w:rPr>
          <w:color w:val="000000"/>
        </w:rPr>
        <w:t xml:space="preserve">výkonností </w:t>
      </w:r>
      <w:r w:rsidRPr="00381DC2">
        <w:rPr>
          <w:color w:val="000000"/>
        </w:rPr>
        <w:t xml:space="preserve">dle Karnofského ≥ 70 %, bez metastáz do </w:t>
      </w:r>
      <w:r w:rsidR="009A2EC6" w:rsidRPr="00381DC2">
        <w:rPr>
          <w:color w:val="000000"/>
        </w:rPr>
        <w:t xml:space="preserve">CNS </w:t>
      </w:r>
      <w:r w:rsidRPr="00381DC2">
        <w:rPr>
          <w:color w:val="000000"/>
        </w:rPr>
        <w:t xml:space="preserve">a s přiměřenou funkcí orgánů. U pacientů byla provedena nefrektomie pro primární karcinom ledvin. Bevacizumab v dávce 10 mg/kg byl podáván každé 2 týdny </w:t>
      </w:r>
      <w:r w:rsidR="009A2EC6" w:rsidRPr="00381DC2">
        <w:rPr>
          <w:color w:val="000000"/>
        </w:rPr>
        <w:t xml:space="preserve">až </w:t>
      </w:r>
      <w:r w:rsidRPr="00381DC2">
        <w:rPr>
          <w:color w:val="000000"/>
        </w:rPr>
        <w:t>do progrese</w:t>
      </w:r>
      <w:r w:rsidR="009A2EC6" w:rsidRPr="00381DC2">
        <w:rPr>
          <w:color w:val="000000"/>
        </w:rPr>
        <w:t xml:space="preserve"> onemocnění</w:t>
      </w:r>
      <w:r w:rsidRPr="00381DC2">
        <w:rPr>
          <w:color w:val="000000"/>
        </w:rPr>
        <w:t>. IFN alfa-2a byl podáván po dobu až 52 týdnů nebo do progrese</w:t>
      </w:r>
      <w:r w:rsidR="009A2EC6" w:rsidRPr="00381DC2">
        <w:rPr>
          <w:color w:val="000000"/>
        </w:rPr>
        <w:t xml:space="preserve"> onemocnění</w:t>
      </w:r>
      <w:r w:rsidRPr="00381DC2">
        <w:rPr>
          <w:color w:val="000000"/>
        </w:rPr>
        <w:t xml:space="preserve"> v doporučené úvodní dávce 9 MIU třikrát týdně s možností </w:t>
      </w:r>
      <w:r w:rsidR="001A5C1F" w:rsidRPr="00381DC2">
        <w:rPr>
          <w:color w:val="000000"/>
        </w:rPr>
        <w:t xml:space="preserve">snížení </w:t>
      </w:r>
      <w:r w:rsidR="009A2EC6" w:rsidRPr="00381DC2">
        <w:rPr>
          <w:color w:val="000000"/>
        </w:rPr>
        <w:t>dávky</w:t>
      </w:r>
      <w:r w:rsidRPr="00381DC2">
        <w:rPr>
          <w:color w:val="000000"/>
        </w:rPr>
        <w:t xml:space="preserve"> na 3 MIU třikrát týdn</w:t>
      </w:r>
      <w:r w:rsidR="009A2EC6" w:rsidRPr="00381DC2">
        <w:rPr>
          <w:color w:val="000000"/>
        </w:rPr>
        <w:t>ě</w:t>
      </w:r>
      <w:r w:rsidRPr="00381DC2">
        <w:rPr>
          <w:color w:val="000000"/>
        </w:rPr>
        <w:t xml:space="preserve"> ve 2 krocích. Pacienti byli stratifikováni dle země a Motzerova skóre a léčebn</w:t>
      </w:r>
      <w:r w:rsidR="009A2EC6" w:rsidRPr="00381DC2">
        <w:rPr>
          <w:color w:val="000000"/>
        </w:rPr>
        <w:t xml:space="preserve">á ramena </w:t>
      </w:r>
      <w:r w:rsidRPr="00381DC2">
        <w:rPr>
          <w:color w:val="000000"/>
        </w:rPr>
        <w:t>byl</w:t>
      </w:r>
      <w:r w:rsidR="009A2EC6" w:rsidRPr="00381DC2">
        <w:rPr>
          <w:color w:val="000000"/>
        </w:rPr>
        <w:t>a</w:t>
      </w:r>
      <w:r w:rsidRPr="00381DC2">
        <w:rPr>
          <w:color w:val="000000"/>
        </w:rPr>
        <w:t xml:space="preserve"> s ohledem na prognostické faktory dobře vyvážen</w:t>
      </w:r>
      <w:r w:rsidR="009A2EC6" w:rsidRPr="00381DC2">
        <w:rPr>
          <w:color w:val="000000"/>
        </w:rPr>
        <w:t>a</w:t>
      </w:r>
      <w:r w:rsidRPr="00381DC2">
        <w:rPr>
          <w:color w:val="000000"/>
        </w:rPr>
        <w:t>.</w:t>
      </w:r>
    </w:p>
    <w:p w14:paraId="20842B45" w14:textId="77777777" w:rsidR="00D15122" w:rsidRPr="00381DC2" w:rsidRDefault="00D15122" w:rsidP="007F6E1B">
      <w:pPr>
        <w:rPr>
          <w:rFonts w:ascii="Times New Roman" w:eastAsia="Times New Roman" w:hAnsi="Times New Roman"/>
          <w:color w:val="000000"/>
        </w:rPr>
      </w:pPr>
    </w:p>
    <w:p w14:paraId="097CA8F2" w14:textId="77777777" w:rsidR="00D15122" w:rsidRPr="00381DC2" w:rsidRDefault="009B0756" w:rsidP="004F6645">
      <w:pPr>
        <w:pStyle w:val="BodyText"/>
        <w:widowControl/>
        <w:ind w:left="0" w:right="288"/>
        <w:rPr>
          <w:color w:val="000000"/>
        </w:rPr>
      </w:pPr>
      <w:r w:rsidRPr="00381DC2">
        <w:rPr>
          <w:color w:val="000000"/>
        </w:rPr>
        <w:t xml:space="preserve">Primárním </w:t>
      </w:r>
      <w:r w:rsidR="009A2EC6" w:rsidRPr="00381DC2">
        <w:rPr>
          <w:color w:val="000000"/>
        </w:rPr>
        <w:t xml:space="preserve">cílovým parametrem </w:t>
      </w:r>
      <w:r w:rsidRPr="00381DC2">
        <w:rPr>
          <w:color w:val="000000"/>
        </w:rPr>
        <w:t xml:space="preserve">bylo celkové přežití, sekundární </w:t>
      </w:r>
      <w:r w:rsidR="009A2EC6" w:rsidRPr="00381DC2">
        <w:rPr>
          <w:color w:val="000000"/>
        </w:rPr>
        <w:t xml:space="preserve">cílové parametry </w:t>
      </w:r>
      <w:r w:rsidRPr="00381DC2">
        <w:rPr>
          <w:color w:val="000000"/>
        </w:rPr>
        <w:t xml:space="preserve">zahrnovaly přežití bez progrese. Přidání bevacizumabu k IFN-alfa-2a významně zvýšilo </w:t>
      </w:r>
      <w:r w:rsidR="009A2EC6" w:rsidRPr="00381DC2">
        <w:rPr>
          <w:color w:val="000000"/>
        </w:rPr>
        <w:t xml:space="preserve">PFS </w:t>
      </w:r>
      <w:r w:rsidRPr="00381DC2">
        <w:rPr>
          <w:color w:val="000000"/>
        </w:rPr>
        <w:t xml:space="preserve">a četnost objektivních odpovědí nádoru. </w:t>
      </w:r>
      <w:r w:rsidR="009A2EC6" w:rsidRPr="00381DC2">
        <w:rPr>
          <w:color w:val="000000"/>
        </w:rPr>
        <w:t>Tyto v</w:t>
      </w:r>
      <w:r w:rsidRPr="00381DC2">
        <w:rPr>
          <w:color w:val="000000"/>
        </w:rPr>
        <w:t xml:space="preserve">ýsledky byly potvrzeny nezávislým radiologickým přezkoumáním. Zlepšení primárního </w:t>
      </w:r>
      <w:r w:rsidR="009A2EC6" w:rsidRPr="00381DC2">
        <w:rPr>
          <w:color w:val="000000"/>
        </w:rPr>
        <w:t xml:space="preserve">cílového parametru </w:t>
      </w:r>
      <w:r w:rsidRPr="00381DC2">
        <w:rPr>
          <w:color w:val="000000"/>
        </w:rPr>
        <w:t xml:space="preserve">celkového přežití o 2 měsíce bylo nicméně nevýznamné (HR = 0,91). </w:t>
      </w:r>
      <w:r w:rsidR="0078572E" w:rsidRPr="00381DC2">
        <w:rPr>
          <w:color w:val="000000"/>
        </w:rPr>
        <w:t xml:space="preserve">Velký podíl </w:t>
      </w:r>
      <w:r w:rsidRPr="00381DC2">
        <w:rPr>
          <w:color w:val="000000"/>
        </w:rPr>
        <w:t>pacientů (přibližně 63 % v</w:t>
      </w:r>
      <w:r w:rsidR="0078572E" w:rsidRPr="00381DC2">
        <w:rPr>
          <w:color w:val="000000"/>
        </w:rPr>
        <w:t> rameni</w:t>
      </w:r>
      <w:r w:rsidRPr="00381DC2">
        <w:rPr>
          <w:color w:val="000000"/>
        </w:rPr>
        <w:t xml:space="preserve"> IFN/placebo a 55 % v</w:t>
      </w:r>
      <w:r w:rsidR="0078572E" w:rsidRPr="00381DC2">
        <w:rPr>
          <w:color w:val="000000"/>
        </w:rPr>
        <w:t xml:space="preserve"> rameni </w:t>
      </w:r>
      <w:r w:rsidRPr="00381DC2">
        <w:rPr>
          <w:color w:val="000000"/>
        </w:rPr>
        <w:t xml:space="preserve">bevacizumab/IFN) byl po hodnocení léčen řadou nespecifikovaných protinádorových léků, včetně </w:t>
      </w:r>
      <w:r w:rsidR="0078572E" w:rsidRPr="00381DC2">
        <w:rPr>
          <w:color w:val="000000"/>
        </w:rPr>
        <w:t>cytostatik</w:t>
      </w:r>
      <w:r w:rsidRPr="00381DC2">
        <w:rPr>
          <w:color w:val="000000"/>
        </w:rPr>
        <w:t>, což mohlo ovlivnit analýzu celkového přežití.</w:t>
      </w:r>
    </w:p>
    <w:p w14:paraId="0E6A0C35" w14:textId="77777777" w:rsidR="00203535" w:rsidRPr="00381DC2" w:rsidRDefault="00203535" w:rsidP="007F6E1B">
      <w:pPr>
        <w:pStyle w:val="BodyText"/>
        <w:ind w:left="0" w:right="281"/>
        <w:rPr>
          <w:color w:val="000000"/>
        </w:rPr>
      </w:pPr>
    </w:p>
    <w:p w14:paraId="1562FAE3" w14:textId="77777777" w:rsidR="00D15122" w:rsidRPr="00381DC2" w:rsidRDefault="009B0756" w:rsidP="00640240">
      <w:pPr>
        <w:pStyle w:val="BodyText"/>
        <w:ind w:left="0"/>
        <w:rPr>
          <w:color w:val="000000"/>
        </w:rPr>
      </w:pPr>
      <w:r w:rsidRPr="00381DC2">
        <w:rPr>
          <w:color w:val="000000"/>
        </w:rPr>
        <w:t xml:space="preserve">Výsledky účinnosti jsou </w:t>
      </w:r>
      <w:r w:rsidR="0078572E" w:rsidRPr="00381DC2">
        <w:rPr>
          <w:color w:val="000000"/>
        </w:rPr>
        <w:t xml:space="preserve">uvedeny </w:t>
      </w:r>
      <w:r w:rsidRPr="00381DC2">
        <w:rPr>
          <w:color w:val="000000"/>
        </w:rPr>
        <w:t>v </w:t>
      </w:r>
      <w:r w:rsidR="005E6C8E" w:rsidRPr="00381DC2">
        <w:rPr>
          <w:color w:val="000000"/>
        </w:rPr>
        <w:t>t</w:t>
      </w:r>
      <w:r w:rsidRPr="00381DC2">
        <w:rPr>
          <w:color w:val="000000"/>
        </w:rPr>
        <w:t>abulce </w:t>
      </w:r>
      <w:r w:rsidR="00A52027" w:rsidRPr="00381DC2">
        <w:rPr>
          <w:color w:val="000000"/>
        </w:rPr>
        <w:t>15</w:t>
      </w:r>
      <w:r w:rsidR="00E438BC" w:rsidRPr="00381DC2">
        <w:rPr>
          <w:color w:val="000000"/>
        </w:rPr>
        <w:t>.</w:t>
      </w:r>
    </w:p>
    <w:p w14:paraId="113FA1B2" w14:textId="77777777" w:rsidR="00D15122" w:rsidRPr="00381DC2" w:rsidRDefault="00D15122" w:rsidP="007F6E1B">
      <w:pPr>
        <w:rPr>
          <w:rFonts w:ascii="Times New Roman" w:eastAsia="Times New Roman" w:hAnsi="Times New Roman"/>
          <w:color w:val="000000"/>
        </w:rPr>
      </w:pPr>
    </w:p>
    <w:p w14:paraId="512AEB3A" w14:textId="77777777" w:rsidR="00D15122" w:rsidRPr="00381DC2" w:rsidRDefault="009B0756" w:rsidP="00363CA4">
      <w:pPr>
        <w:keepNext/>
        <w:keepLines/>
        <w:rPr>
          <w:rFonts w:ascii="Times New Roman" w:eastAsia="Times New Roman" w:hAnsi="Times New Roman"/>
          <w:b/>
          <w:color w:val="000000"/>
        </w:rPr>
      </w:pPr>
      <w:r w:rsidRPr="00381DC2">
        <w:rPr>
          <w:rFonts w:ascii="Times New Roman" w:eastAsia="Times New Roman" w:hAnsi="Times New Roman"/>
          <w:b/>
          <w:color w:val="000000"/>
        </w:rPr>
        <w:lastRenderedPageBreak/>
        <w:t>Tabulka </w:t>
      </w:r>
      <w:r w:rsidR="00413543" w:rsidRPr="00381DC2">
        <w:rPr>
          <w:rFonts w:ascii="Times New Roman" w:eastAsia="Times New Roman" w:hAnsi="Times New Roman"/>
          <w:b/>
          <w:color w:val="000000"/>
        </w:rPr>
        <w:t>15</w:t>
      </w:r>
      <w:r w:rsidRPr="00381DC2">
        <w:rPr>
          <w:rFonts w:ascii="Times New Roman" w:eastAsia="Times New Roman" w:hAnsi="Times New Roman"/>
          <w:b/>
          <w:color w:val="000000"/>
        </w:rPr>
        <w:tab/>
        <w:t>Výsledky účinnosti v</w:t>
      </w:r>
      <w:r w:rsidR="004F49CF" w:rsidRPr="00381DC2">
        <w:rPr>
          <w:rFonts w:ascii="Times New Roman" w:eastAsia="Times New Roman" w:hAnsi="Times New Roman"/>
          <w:b/>
          <w:color w:val="000000"/>
        </w:rPr>
        <w:t>e studii</w:t>
      </w:r>
      <w:r w:rsidRPr="00381DC2">
        <w:rPr>
          <w:rFonts w:ascii="Times New Roman" w:eastAsia="Times New Roman" w:hAnsi="Times New Roman"/>
          <w:b/>
          <w:color w:val="000000"/>
        </w:rPr>
        <w:t xml:space="preserve"> BO17705</w:t>
      </w:r>
    </w:p>
    <w:p w14:paraId="768EE76F" w14:textId="77777777" w:rsidR="00D15122" w:rsidRPr="00381DC2" w:rsidRDefault="00D15122" w:rsidP="007F6E1B">
      <w:pPr>
        <w:keepNext/>
        <w:rPr>
          <w:rFonts w:ascii="Times New Roman" w:eastAsia="Times New Roman" w:hAnsi="Times New Roman"/>
          <w:bCs/>
          <w:color w:val="000000"/>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4500"/>
      </w:tblGrid>
      <w:tr w:rsidR="00D15122" w:rsidRPr="00F60460" w14:paraId="17ED5E55" w14:textId="77777777" w:rsidTr="006A2145">
        <w:tc>
          <w:tcPr>
            <w:tcW w:w="4135" w:type="dxa"/>
            <w:vMerge w:val="restart"/>
          </w:tcPr>
          <w:p w14:paraId="63518595" w14:textId="77777777" w:rsidR="00D15122" w:rsidRPr="00381DC2" w:rsidRDefault="00D15122" w:rsidP="007F6E1B">
            <w:pPr>
              <w:keepNext/>
              <w:rPr>
                <w:rFonts w:ascii="Times New Roman" w:hAnsi="Times New Roman"/>
                <w:color w:val="000000"/>
              </w:rPr>
            </w:pPr>
          </w:p>
        </w:tc>
        <w:tc>
          <w:tcPr>
            <w:tcW w:w="4500" w:type="dxa"/>
          </w:tcPr>
          <w:p w14:paraId="497E937F" w14:textId="77777777" w:rsidR="00D15122" w:rsidRPr="00381DC2" w:rsidRDefault="009B0756" w:rsidP="007F6E1B">
            <w:pPr>
              <w:pStyle w:val="TableParagraph"/>
              <w:keepNext/>
              <w:jc w:val="center"/>
              <w:rPr>
                <w:rFonts w:ascii="Times New Roman" w:eastAsia="Times New Roman" w:hAnsi="Times New Roman"/>
                <w:color w:val="000000"/>
              </w:rPr>
            </w:pPr>
            <w:r w:rsidRPr="00381DC2">
              <w:rPr>
                <w:rFonts w:ascii="Times New Roman" w:hAnsi="Times New Roman"/>
                <w:color w:val="000000"/>
              </w:rPr>
              <w:t>BO17705</w:t>
            </w:r>
          </w:p>
        </w:tc>
      </w:tr>
      <w:tr w:rsidR="00D15122" w:rsidRPr="00F60460" w14:paraId="38D64246" w14:textId="77777777" w:rsidTr="006A2145">
        <w:tc>
          <w:tcPr>
            <w:tcW w:w="4135" w:type="dxa"/>
            <w:vMerge/>
          </w:tcPr>
          <w:p w14:paraId="0848ABA3" w14:textId="77777777" w:rsidR="00D15122" w:rsidRPr="00381DC2" w:rsidRDefault="00D15122" w:rsidP="007F6E1B">
            <w:pPr>
              <w:keepNext/>
              <w:rPr>
                <w:rFonts w:ascii="Times New Roman" w:hAnsi="Times New Roman"/>
                <w:color w:val="000000"/>
              </w:rPr>
            </w:pPr>
          </w:p>
        </w:tc>
        <w:tc>
          <w:tcPr>
            <w:tcW w:w="4500" w:type="dxa"/>
          </w:tcPr>
          <w:p w14:paraId="66ED4E00" w14:textId="77777777" w:rsidR="00D15122" w:rsidRPr="00F60460" w:rsidRDefault="009B0756" w:rsidP="00583644">
            <w:pPr>
              <w:pStyle w:val="TableParagraph"/>
              <w:keepNext/>
              <w:tabs>
                <w:tab w:val="left" w:pos="2922"/>
              </w:tabs>
              <w:jc w:val="center"/>
              <w:rPr>
                <w:rFonts w:ascii="Times New Roman" w:eastAsia="Times New Roman" w:hAnsi="Times New Roman"/>
                <w:color w:val="000000"/>
                <w:sz w:val="14"/>
                <w:szCs w:val="14"/>
              </w:rPr>
            </w:pPr>
            <w:r w:rsidRPr="00381DC2">
              <w:rPr>
                <w:rFonts w:ascii="Times New Roman" w:hAnsi="Times New Roman"/>
                <w:color w:val="000000"/>
              </w:rPr>
              <w:t>Placebo + IFN</w:t>
            </w:r>
            <w:r w:rsidRPr="00381DC2">
              <w:rPr>
                <w:rFonts w:ascii="Times New Roman" w:hAnsi="Times New Roman"/>
                <w:color w:val="000000"/>
                <w:vertAlign w:val="superscript"/>
              </w:rPr>
              <w:t>a</w:t>
            </w:r>
            <w:r w:rsidRPr="00381DC2">
              <w:rPr>
                <w:rFonts w:ascii="Times New Roman" w:hAnsi="Times New Roman"/>
                <w:color w:val="000000"/>
              </w:rPr>
              <w:tab/>
              <w:t>Bv</w:t>
            </w:r>
            <w:r w:rsidRPr="00381DC2">
              <w:rPr>
                <w:rFonts w:ascii="Times New Roman" w:hAnsi="Times New Roman"/>
                <w:color w:val="000000"/>
                <w:vertAlign w:val="superscript"/>
              </w:rPr>
              <w:t>b</w:t>
            </w:r>
            <w:r w:rsidR="004F49CF" w:rsidRPr="00381DC2">
              <w:rPr>
                <w:rFonts w:ascii="Times New Roman" w:hAnsi="Times New Roman"/>
                <w:color w:val="000000"/>
              </w:rPr>
              <w:t xml:space="preserve"> </w:t>
            </w:r>
            <w:r w:rsidRPr="00381DC2">
              <w:rPr>
                <w:rFonts w:ascii="Times New Roman" w:hAnsi="Times New Roman"/>
                <w:color w:val="000000"/>
              </w:rPr>
              <w:t>+ IFN</w:t>
            </w:r>
            <w:r w:rsidRPr="00381DC2">
              <w:rPr>
                <w:rFonts w:ascii="Times New Roman" w:hAnsi="Times New Roman"/>
                <w:color w:val="000000"/>
                <w:vertAlign w:val="superscript"/>
              </w:rPr>
              <w:t>a</w:t>
            </w:r>
          </w:p>
        </w:tc>
      </w:tr>
      <w:tr w:rsidR="00D15122" w:rsidRPr="00F60460" w14:paraId="754634AD" w14:textId="77777777" w:rsidTr="006A2145">
        <w:tc>
          <w:tcPr>
            <w:tcW w:w="4135" w:type="dxa"/>
          </w:tcPr>
          <w:p w14:paraId="0EB93CF7" w14:textId="77777777" w:rsidR="00D15122" w:rsidRPr="00381DC2" w:rsidRDefault="009B0756" w:rsidP="007F6E1B">
            <w:pPr>
              <w:pStyle w:val="TableParagraph"/>
              <w:keepNext/>
              <w:rPr>
                <w:rFonts w:ascii="Times New Roman" w:eastAsia="Times New Roman" w:hAnsi="Times New Roman"/>
                <w:color w:val="000000"/>
              </w:rPr>
            </w:pPr>
            <w:r w:rsidRPr="00381DC2">
              <w:rPr>
                <w:rFonts w:ascii="Times New Roman" w:hAnsi="Times New Roman"/>
                <w:color w:val="000000"/>
              </w:rPr>
              <w:t>Počet pacientů</w:t>
            </w:r>
          </w:p>
        </w:tc>
        <w:tc>
          <w:tcPr>
            <w:tcW w:w="4500" w:type="dxa"/>
          </w:tcPr>
          <w:p w14:paraId="736498C8" w14:textId="77777777" w:rsidR="00D15122" w:rsidRPr="00381DC2" w:rsidRDefault="009B0756" w:rsidP="00583644">
            <w:pPr>
              <w:pStyle w:val="TableParagraph"/>
              <w:keepNext/>
              <w:tabs>
                <w:tab w:val="left" w:pos="2342"/>
              </w:tabs>
              <w:jc w:val="center"/>
              <w:rPr>
                <w:rFonts w:ascii="Times New Roman" w:eastAsia="Times New Roman" w:hAnsi="Times New Roman"/>
                <w:color w:val="000000"/>
              </w:rPr>
            </w:pPr>
            <w:r w:rsidRPr="00381DC2">
              <w:rPr>
                <w:rFonts w:ascii="Times New Roman" w:hAnsi="Times New Roman"/>
                <w:color w:val="000000"/>
              </w:rPr>
              <w:t>322</w:t>
            </w:r>
            <w:r w:rsidRPr="00381DC2">
              <w:rPr>
                <w:rFonts w:ascii="Times New Roman" w:hAnsi="Times New Roman"/>
                <w:color w:val="000000"/>
              </w:rPr>
              <w:tab/>
              <w:t>327</w:t>
            </w:r>
          </w:p>
        </w:tc>
      </w:tr>
      <w:tr w:rsidR="00D15122" w:rsidRPr="00F60460" w14:paraId="02E6E373" w14:textId="77777777" w:rsidTr="006A2145">
        <w:tc>
          <w:tcPr>
            <w:tcW w:w="4135" w:type="dxa"/>
          </w:tcPr>
          <w:p w14:paraId="215FD326" w14:textId="77777777" w:rsidR="00583644" w:rsidRPr="00381DC2" w:rsidRDefault="009B0756" w:rsidP="003E4A60">
            <w:pPr>
              <w:pStyle w:val="TableParagraph"/>
              <w:keepNext/>
              <w:spacing w:line="299" w:lineRule="auto"/>
              <w:ind w:right="1346" w:firstLine="1"/>
              <w:rPr>
                <w:rFonts w:ascii="Times New Roman" w:hAnsi="Times New Roman"/>
                <w:color w:val="000000"/>
              </w:rPr>
            </w:pPr>
            <w:r w:rsidRPr="00381DC2">
              <w:rPr>
                <w:rFonts w:ascii="Times New Roman" w:hAnsi="Times New Roman"/>
                <w:color w:val="000000"/>
              </w:rPr>
              <w:t>Přežití bez progrese</w:t>
            </w:r>
          </w:p>
          <w:p w14:paraId="74342DD8" w14:textId="77777777" w:rsidR="006C0348" w:rsidRPr="00381DC2" w:rsidRDefault="009B0756" w:rsidP="00583644">
            <w:pPr>
              <w:pStyle w:val="TableParagraph"/>
              <w:keepNext/>
              <w:spacing w:line="299" w:lineRule="auto"/>
              <w:ind w:left="355" w:right="1346" w:firstLine="1"/>
              <w:rPr>
                <w:rFonts w:ascii="Times New Roman" w:hAnsi="Times New Roman"/>
                <w:color w:val="000000"/>
              </w:rPr>
            </w:pPr>
            <w:r w:rsidRPr="00381DC2">
              <w:rPr>
                <w:rFonts w:ascii="Times New Roman" w:hAnsi="Times New Roman"/>
                <w:color w:val="000000"/>
              </w:rPr>
              <w:t xml:space="preserve">Medián (měsíce) </w:t>
            </w:r>
          </w:p>
          <w:p w14:paraId="10CFBDE5" w14:textId="77777777" w:rsidR="00D15122" w:rsidRPr="00381DC2" w:rsidRDefault="009B0756" w:rsidP="00583644">
            <w:pPr>
              <w:pStyle w:val="TableParagraph"/>
              <w:keepNext/>
              <w:spacing w:line="299" w:lineRule="auto"/>
              <w:ind w:left="355" w:right="1346"/>
              <w:rPr>
                <w:rFonts w:ascii="Times New Roman" w:eastAsia="Times New Roman" w:hAnsi="Times New Roman"/>
                <w:color w:val="000000"/>
              </w:rPr>
            </w:pPr>
            <w:r w:rsidRPr="00381DC2">
              <w:rPr>
                <w:rFonts w:ascii="Times New Roman" w:hAnsi="Times New Roman"/>
                <w:color w:val="000000"/>
              </w:rPr>
              <w:t>Poměr rizik</w:t>
            </w:r>
          </w:p>
          <w:p w14:paraId="0CB4A893" w14:textId="77777777" w:rsidR="00D15122" w:rsidRPr="00381DC2" w:rsidRDefault="009B0756" w:rsidP="00583644">
            <w:pPr>
              <w:pStyle w:val="TableParagraph"/>
              <w:keepNext/>
              <w:spacing w:line="228" w:lineRule="exact"/>
              <w:ind w:left="355"/>
              <w:rPr>
                <w:rFonts w:ascii="Times New Roman" w:eastAsia="Times New Roman" w:hAnsi="Times New Roman"/>
                <w:color w:val="000000"/>
              </w:rPr>
            </w:pPr>
            <w:r w:rsidRPr="00381DC2">
              <w:rPr>
                <w:rFonts w:ascii="Times New Roman" w:hAnsi="Times New Roman"/>
                <w:color w:val="000000"/>
              </w:rPr>
              <w:t>95% CI</w:t>
            </w:r>
          </w:p>
        </w:tc>
        <w:tc>
          <w:tcPr>
            <w:tcW w:w="4500" w:type="dxa"/>
          </w:tcPr>
          <w:p w14:paraId="09B3D397" w14:textId="77777777" w:rsidR="00D15122" w:rsidRPr="00381DC2" w:rsidRDefault="00D15122" w:rsidP="007F6E1B">
            <w:pPr>
              <w:pStyle w:val="TableParagraph"/>
              <w:keepNext/>
              <w:rPr>
                <w:rFonts w:ascii="Times New Roman" w:eastAsia="Times New Roman" w:hAnsi="Times New Roman"/>
                <w:bCs/>
                <w:color w:val="000000"/>
              </w:rPr>
            </w:pPr>
          </w:p>
          <w:p w14:paraId="52C90692" w14:textId="77777777" w:rsidR="00D15122" w:rsidRPr="00381DC2" w:rsidRDefault="009B0756" w:rsidP="00583644">
            <w:pPr>
              <w:pStyle w:val="TableParagraph"/>
              <w:keepNext/>
              <w:tabs>
                <w:tab w:val="left" w:pos="2342"/>
              </w:tabs>
              <w:jc w:val="center"/>
              <w:rPr>
                <w:rFonts w:ascii="Times New Roman" w:eastAsia="Times New Roman" w:hAnsi="Times New Roman"/>
                <w:color w:val="000000"/>
              </w:rPr>
            </w:pPr>
            <w:r w:rsidRPr="00381DC2">
              <w:rPr>
                <w:rFonts w:ascii="Times New Roman" w:hAnsi="Times New Roman"/>
                <w:color w:val="000000"/>
              </w:rPr>
              <w:t>5,4</w:t>
            </w:r>
            <w:r w:rsidRPr="00381DC2">
              <w:rPr>
                <w:rFonts w:ascii="Times New Roman" w:hAnsi="Times New Roman"/>
                <w:color w:val="000000"/>
              </w:rPr>
              <w:tab/>
              <w:t>10,2</w:t>
            </w:r>
          </w:p>
          <w:p w14:paraId="050DEA28" w14:textId="77777777" w:rsidR="00D15122" w:rsidRPr="00381DC2" w:rsidRDefault="009B0756" w:rsidP="007F6E1B">
            <w:pPr>
              <w:pStyle w:val="TableParagraph"/>
              <w:keepNext/>
              <w:jc w:val="center"/>
              <w:rPr>
                <w:rFonts w:ascii="Times New Roman" w:eastAsia="Times New Roman" w:hAnsi="Times New Roman"/>
                <w:color w:val="000000"/>
              </w:rPr>
            </w:pPr>
            <w:r w:rsidRPr="00381DC2">
              <w:rPr>
                <w:rFonts w:ascii="Times New Roman" w:hAnsi="Times New Roman"/>
                <w:color w:val="000000"/>
              </w:rPr>
              <w:t>0,63</w:t>
            </w:r>
          </w:p>
          <w:p w14:paraId="01DCAF37" w14:textId="77777777" w:rsidR="00D15122" w:rsidRPr="00381DC2" w:rsidRDefault="009B0756" w:rsidP="007F6E1B">
            <w:pPr>
              <w:pStyle w:val="TableParagraph"/>
              <w:keepNext/>
              <w:jc w:val="center"/>
              <w:rPr>
                <w:rFonts w:ascii="Times New Roman" w:eastAsia="Times New Roman" w:hAnsi="Times New Roman"/>
                <w:color w:val="000000"/>
              </w:rPr>
            </w:pPr>
            <w:r w:rsidRPr="00381DC2">
              <w:rPr>
                <w:rFonts w:ascii="Times New Roman" w:hAnsi="Times New Roman"/>
                <w:color w:val="000000"/>
              </w:rPr>
              <w:t>0,52, 0,75</w:t>
            </w:r>
          </w:p>
          <w:p w14:paraId="0A3A8AAE" w14:textId="77777777" w:rsidR="00D15122" w:rsidRPr="00381DC2" w:rsidRDefault="009B0756" w:rsidP="007F6E1B">
            <w:pPr>
              <w:pStyle w:val="TableParagraph"/>
              <w:keepNext/>
              <w:ind w:right="1"/>
              <w:jc w:val="center"/>
              <w:rPr>
                <w:rFonts w:ascii="Times New Roman" w:eastAsia="Times New Roman" w:hAnsi="Times New Roman"/>
                <w:color w:val="000000"/>
              </w:rPr>
            </w:pPr>
            <w:r w:rsidRPr="00381DC2">
              <w:rPr>
                <w:rFonts w:ascii="Times New Roman" w:hAnsi="Times New Roman"/>
                <w:color w:val="000000"/>
              </w:rPr>
              <w:t>(p-hodnota &lt; 0,0001)</w:t>
            </w:r>
          </w:p>
        </w:tc>
      </w:tr>
      <w:tr w:rsidR="00D15122" w:rsidRPr="00F60460" w14:paraId="5E83CAF6" w14:textId="77777777" w:rsidTr="006A2145">
        <w:tc>
          <w:tcPr>
            <w:tcW w:w="4135" w:type="dxa"/>
          </w:tcPr>
          <w:p w14:paraId="6EB059A7" w14:textId="77777777" w:rsidR="00D15122" w:rsidRPr="00381DC2" w:rsidRDefault="009B0756" w:rsidP="007F6E1B">
            <w:pPr>
              <w:pStyle w:val="TableParagraph"/>
              <w:keepNext/>
              <w:spacing w:line="240" w:lineRule="exact"/>
              <w:ind w:right="135"/>
              <w:rPr>
                <w:rFonts w:ascii="Times New Roman" w:eastAsia="Times New Roman" w:hAnsi="Times New Roman"/>
                <w:color w:val="000000"/>
              </w:rPr>
            </w:pPr>
            <w:r w:rsidRPr="00381DC2">
              <w:rPr>
                <w:rFonts w:ascii="Times New Roman" w:hAnsi="Times New Roman"/>
                <w:color w:val="000000"/>
              </w:rPr>
              <w:t>Četnost objektivních odpovědí (%) u pacientů s měřitelným onemocněním</w:t>
            </w:r>
          </w:p>
          <w:p w14:paraId="7E6C5707" w14:textId="77777777" w:rsidR="00D15122" w:rsidRPr="00381DC2" w:rsidRDefault="009B0756" w:rsidP="00583644">
            <w:pPr>
              <w:pStyle w:val="TableParagraph"/>
              <w:keepNext/>
              <w:ind w:left="355"/>
              <w:rPr>
                <w:rFonts w:ascii="Times New Roman" w:eastAsia="Times New Roman" w:hAnsi="Times New Roman"/>
                <w:color w:val="000000"/>
              </w:rPr>
            </w:pPr>
            <w:r w:rsidRPr="00381DC2">
              <w:rPr>
                <w:rFonts w:ascii="Times New Roman" w:hAnsi="Times New Roman"/>
                <w:color w:val="000000"/>
              </w:rPr>
              <w:t>N</w:t>
            </w:r>
          </w:p>
          <w:p w14:paraId="1D539F0E" w14:textId="77777777" w:rsidR="00D15122" w:rsidRPr="00381DC2" w:rsidRDefault="009B0756" w:rsidP="00583644">
            <w:pPr>
              <w:pStyle w:val="TableParagraph"/>
              <w:keepNext/>
              <w:ind w:left="355"/>
              <w:rPr>
                <w:rFonts w:ascii="Times New Roman" w:eastAsia="Times New Roman" w:hAnsi="Times New Roman"/>
                <w:color w:val="000000"/>
              </w:rPr>
            </w:pPr>
            <w:r w:rsidRPr="00381DC2">
              <w:rPr>
                <w:rFonts w:ascii="Times New Roman" w:hAnsi="Times New Roman"/>
                <w:color w:val="000000"/>
              </w:rPr>
              <w:t>Četnost odpovědí</w:t>
            </w:r>
          </w:p>
        </w:tc>
        <w:tc>
          <w:tcPr>
            <w:tcW w:w="4500" w:type="dxa"/>
          </w:tcPr>
          <w:p w14:paraId="2C09AB23" w14:textId="77777777" w:rsidR="00D15122" w:rsidRPr="00381DC2" w:rsidRDefault="00D15122" w:rsidP="007F6E1B">
            <w:pPr>
              <w:pStyle w:val="TableParagraph"/>
              <w:keepNext/>
              <w:rPr>
                <w:rFonts w:ascii="Times New Roman" w:eastAsia="Times New Roman" w:hAnsi="Times New Roman"/>
                <w:bCs/>
                <w:color w:val="000000"/>
              </w:rPr>
            </w:pPr>
          </w:p>
          <w:p w14:paraId="09F72965" w14:textId="77777777" w:rsidR="00D15122" w:rsidRPr="00381DC2" w:rsidRDefault="00D15122" w:rsidP="007F6E1B">
            <w:pPr>
              <w:pStyle w:val="TableParagraph"/>
              <w:keepNext/>
              <w:rPr>
                <w:rFonts w:ascii="Times New Roman" w:eastAsia="Times New Roman" w:hAnsi="Times New Roman"/>
                <w:bCs/>
                <w:color w:val="000000"/>
              </w:rPr>
            </w:pPr>
          </w:p>
          <w:p w14:paraId="69FBCCB3" w14:textId="77777777" w:rsidR="00D15122" w:rsidRPr="00381DC2" w:rsidRDefault="009B0756" w:rsidP="007F6E1B">
            <w:pPr>
              <w:pStyle w:val="TableParagraph"/>
              <w:keepNext/>
              <w:tabs>
                <w:tab w:val="left" w:pos="2339"/>
              </w:tabs>
              <w:jc w:val="center"/>
              <w:rPr>
                <w:rFonts w:ascii="Times New Roman" w:eastAsia="Times New Roman" w:hAnsi="Times New Roman"/>
                <w:color w:val="000000"/>
              </w:rPr>
            </w:pPr>
            <w:r w:rsidRPr="00381DC2">
              <w:rPr>
                <w:rFonts w:ascii="Times New Roman" w:hAnsi="Times New Roman"/>
                <w:color w:val="000000"/>
              </w:rPr>
              <w:t>289</w:t>
            </w:r>
            <w:r w:rsidRPr="00381DC2">
              <w:rPr>
                <w:rFonts w:ascii="Times New Roman" w:hAnsi="Times New Roman"/>
                <w:color w:val="000000"/>
              </w:rPr>
              <w:tab/>
              <w:t>306</w:t>
            </w:r>
          </w:p>
          <w:p w14:paraId="7BE8D407" w14:textId="77777777" w:rsidR="00054CB9" w:rsidRPr="00381DC2" w:rsidRDefault="009B0756" w:rsidP="00544E53">
            <w:pPr>
              <w:pStyle w:val="TableParagraph"/>
              <w:keepNext/>
              <w:tabs>
                <w:tab w:val="left" w:pos="2339"/>
              </w:tabs>
              <w:jc w:val="center"/>
              <w:rPr>
                <w:rFonts w:ascii="Times New Roman" w:eastAsia="Times New Roman" w:hAnsi="Times New Roman"/>
                <w:color w:val="000000"/>
              </w:rPr>
            </w:pPr>
            <w:r w:rsidRPr="00381DC2">
              <w:rPr>
                <w:rFonts w:ascii="Times New Roman" w:hAnsi="Times New Roman"/>
                <w:color w:val="000000"/>
              </w:rPr>
              <w:t>12,8 %</w:t>
            </w:r>
            <w:r w:rsidRPr="00381DC2">
              <w:rPr>
                <w:rFonts w:ascii="Times New Roman" w:hAnsi="Times New Roman"/>
                <w:color w:val="000000"/>
              </w:rPr>
              <w:tab/>
              <w:t>31,4 %</w:t>
            </w:r>
          </w:p>
          <w:p w14:paraId="2E1B0B0D" w14:textId="77777777" w:rsidR="00D15122" w:rsidRPr="00381DC2" w:rsidRDefault="009B0756" w:rsidP="007F6E1B">
            <w:pPr>
              <w:pStyle w:val="TableParagraph"/>
              <w:keepNext/>
              <w:ind w:right="1"/>
              <w:jc w:val="center"/>
              <w:rPr>
                <w:rFonts w:ascii="Times New Roman" w:eastAsia="Times New Roman" w:hAnsi="Times New Roman"/>
                <w:color w:val="000000"/>
              </w:rPr>
            </w:pPr>
            <w:r w:rsidRPr="00381DC2">
              <w:rPr>
                <w:rFonts w:ascii="Times New Roman" w:hAnsi="Times New Roman"/>
                <w:color w:val="000000"/>
              </w:rPr>
              <w:t>(p-hodnota &lt; 0,0001)</w:t>
            </w:r>
          </w:p>
        </w:tc>
      </w:tr>
    </w:tbl>
    <w:p w14:paraId="131633CB" w14:textId="77777777" w:rsidR="00D15122" w:rsidRPr="00F60460" w:rsidRDefault="00D15122" w:rsidP="007F6E1B">
      <w:pPr>
        <w:rPr>
          <w:rFonts w:ascii="Times New Roman" w:eastAsia="Times New Roman" w:hAnsi="Times New Roman"/>
          <w:color w:val="000000"/>
          <w:sz w:val="25"/>
          <w:szCs w:val="25"/>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4500"/>
      </w:tblGrid>
      <w:tr w:rsidR="00583644" w:rsidRPr="00F60460" w14:paraId="57D6EB54" w14:textId="77777777" w:rsidTr="006A2145">
        <w:tc>
          <w:tcPr>
            <w:tcW w:w="4140" w:type="dxa"/>
            <w:shd w:val="clear" w:color="auto" w:fill="auto"/>
          </w:tcPr>
          <w:p w14:paraId="55CDBFCF" w14:textId="77777777" w:rsidR="00583644" w:rsidRPr="00381DC2" w:rsidRDefault="00583644" w:rsidP="00A542C9">
            <w:pPr>
              <w:widowControl/>
              <w:spacing w:line="316" w:lineRule="auto"/>
              <w:ind w:left="288" w:right="1952" w:hanging="185"/>
              <w:rPr>
                <w:rFonts w:ascii="Times New Roman" w:hAnsi="Times New Roman"/>
                <w:color w:val="000000"/>
              </w:rPr>
            </w:pPr>
            <w:r w:rsidRPr="00381DC2">
              <w:rPr>
                <w:rFonts w:ascii="Times New Roman" w:hAnsi="Times New Roman"/>
                <w:color w:val="000000"/>
              </w:rPr>
              <w:t>Celkov</w:t>
            </w:r>
            <w:r w:rsidR="007D1931" w:rsidRPr="00381DC2">
              <w:rPr>
                <w:rFonts w:ascii="Times New Roman" w:hAnsi="Times New Roman"/>
                <w:color w:val="000000"/>
              </w:rPr>
              <w:t>é přežití</w:t>
            </w:r>
          </w:p>
          <w:p w14:paraId="51444E37" w14:textId="77777777" w:rsidR="00583644" w:rsidRPr="00381DC2" w:rsidRDefault="00583644" w:rsidP="00A542C9">
            <w:pPr>
              <w:widowControl/>
              <w:spacing w:line="316" w:lineRule="auto"/>
              <w:ind w:left="288" w:right="1952" w:hanging="185"/>
              <w:rPr>
                <w:rFonts w:ascii="Times New Roman" w:hAnsi="Times New Roman"/>
                <w:color w:val="000000"/>
              </w:rPr>
            </w:pPr>
            <w:r w:rsidRPr="00381DC2">
              <w:rPr>
                <w:rFonts w:ascii="Times New Roman" w:hAnsi="Times New Roman"/>
                <w:color w:val="000000"/>
              </w:rPr>
              <w:tab/>
              <w:t>Medián (měsíce)</w:t>
            </w:r>
          </w:p>
          <w:p w14:paraId="44796640" w14:textId="77777777" w:rsidR="00583644" w:rsidRPr="00381DC2" w:rsidRDefault="00583644" w:rsidP="00A542C9">
            <w:pPr>
              <w:widowControl/>
              <w:spacing w:line="280" w:lineRule="auto"/>
              <w:ind w:left="288" w:right="2378"/>
              <w:rPr>
                <w:rFonts w:ascii="Times New Roman" w:hAnsi="Times New Roman"/>
                <w:color w:val="000000"/>
              </w:rPr>
            </w:pPr>
            <w:r w:rsidRPr="00381DC2">
              <w:rPr>
                <w:rFonts w:ascii="Times New Roman" w:hAnsi="Times New Roman"/>
                <w:color w:val="000000"/>
              </w:rPr>
              <w:t>Pom</w:t>
            </w:r>
            <w:r w:rsidR="007D1931" w:rsidRPr="00381DC2">
              <w:rPr>
                <w:rFonts w:ascii="Times New Roman" w:hAnsi="Times New Roman"/>
                <w:color w:val="000000"/>
              </w:rPr>
              <w:t>ěr rizik</w:t>
            </w:r>
          </w:p>
          <w:p w14:paraId="00549007" w14:textId="77777777" w:rsidR="00583644" w:rsidRPr="00381DC2" w:rsidRDefault="00583644" w:rsidP="006A2145">
            <w:pPr>
              <w:widowControl/>
              <w:spacing w:line="280" w:lineRule="auto"/>
              <w:ind w:left="288" w:right="2378"/>
              <w:rPr>
                <w:rFonts w:ascii="Times New Roman" w:hAnsi="Times New Roman"/>
                <w:color w:val="000000"/>
              </w:rPr>
            </w:pPr>
            <w:r w:rsidRPr="00381DC2">
              <w:rPr>
                <w:rFonts w:ascii="Times New Roman" w:hAnsi="Times New Roman"/>
                <w:color w:val="000000"/>
              </w:rPr>
              <w:t>95% CI</w:t>
            </w:r>
          </w:p>
        </w:tc>
        <w:tc>
          <w:tcPr>
            <w:tcW w:w="4500" w:type="dxa"/>
            <w:shd w:val="clear" w:color="auto" w:fill="auto"/>
          </w:tcPr>
          <w:p w14:paraId="472609CD" w14:textId="77777777" w:rsidR="00583644" w:rsidRPr="00381DC2" w:rsidRDefault="00583644" w:rsidP="00A542C9">
            <w:pPr>
              <w:widowControl/>
              <w:tabs>
                <w:tab w:val="left" w:pos="2281"/>
              </w:tabs>
              <w:ind w:left="62"/>
              <w:jc w:val="center"/>
              <w:rPr>
                <w:rFonts w:ascii="Times New Roman"/>
                <w:color w:val="000000"/>
              </w:rPr>
            </w:pPr>
          </w:p>
          <w:p w14:paraId="1952CC3A" w14:textId="77777777" w:rsidR="00583644" w:rsidRPr="00381DC2" w:rsidRDefault="00583644" w:rsidP="00A542C9">
            <w:pPr>
              <w:widowControl/>
              <w:tabs>
                <w:tab w:val="left" w:pos="2281"/>
              </w:tabs>
              <w:ind w:left="62"/>
              <w:jc w:val="center"/>
              <w:rPr>
                <w:rFonts w:ascii="Times New Roman" w:eastAsia="Times New Roman" w:hAnsi="Times New Roman"/>
                <w:color w:val="000000"/>
              </w:rPr>
            </w:pPr>
            <w:r w:rsidRPr="00381DC2">
              <w:rPr>
                <w:rFonts w:ascii="Times New Roman"/>
                <w:color w:val="000000"/>
              </w:rPr>
              <w:t>21,</w:t>
            </w:r>
            <w:r w:rsidRPr="00381DC2">
              <w:rPr>
                <w:rFonts w:ascii="Times New Roman" w:hAnsi="Times New Roman"/>
                <w:color w:val="000000"/>
              </w:rPr>
              <w:t>3</w:t>
            </w:r>
            <w:r w:rsidR="004F312E" w:rsidRPr="00381DC2">
              <w:rPr>
                <w:rFonts w:ascii="Times New Roman" w:hAnsi="Times New Roman"/>
                <w:color w:val="000000"/>
              </w:rPr>
              <w:t xml:space="preserve">                                   </w:t>
            </w:r>
            <w:r w:rsidRPr="00381DC2">
              <w:rPr>
                <w:rFonts w:ascii="Times New Roman" w:hAnsi="Times New Roman"/>
                <w:color w:val="000000"/>
              </w:rPr>
              <w:t>23,3</w:t>
            </w:r>
          </w:p>
          <w:p w14:paraId="18718B43" w14:textId="77777777" w:rsidR="00583644" w:rsidRPr="00381DC2" w:rsidRDefault="00583644" w:rsidP="00A542C9">
            <w:pPr>
              <w:widowControl/>
              <w:ind w:left="2"/>
              <w:jc w:val="center"/>
              <w:rPr>
                <w:rFonts w:ascii="Times New Roman" w:eastAsia="Times New Roman" w:hAnsi="Times New Roman"/>
                <w:color w:val="000000"/>
              </w:rPr>
            </w:pPr>
            <w:r w:rsidRPr="00381DC2">
              <w:rPr>
                <w:rFonts w:ascii="Times New Roman"/>
                <w:color w:val="000000"/>
              </w:rPr>
              <w:t>0,91</w:t>
            </w:r>
          </w:p>
          <w:p w14:paraId="56F85A09" w14:textId="77777777" w:rsidR="00583644" w:rsidRPr="00381DC2" w:rsidRDefault="00583644" w:rsidP="00A542C9">
            <w:pPr>
              <w:widowControl/>
              <w:jc w:val="center"/>
              <w:rPr>
                <w:rFonts w:ascii="Times New Roman" w:eastAsia="Times New Roman" w:hAnsi="Times New Roman"/>
                <w:color w:val="000000"/>
              </w:rPr>
            </w:pPr>
            <w:r w:rsidRPr="00381DC2">
              <w:rPr>
                <w:rFonts w:ascii="Times New Roman"/>
                <w:color w:val="000000"/>
              </w:rPr>
              <w:t>0,76, 1,10</w:t>
            </w:r>
          </w:p>
          <w:p w14:paraId="10A2FD2A" w14:textId="77777777" w:rsidR="00583644" w:rsidRPr="00F60460" w:rsidRDefault="00583644" w:rsidP="006A2145">
            <w:pPr>
              <w:widowControl/>
              <w:jc w:val="center"/>
              <w:rPr>
                <w:rFonts w:ascii="Times New Roman" w:eastAsia="Times New Roman" w:hAnsi="Times New Roman"/>
                <w:color w:val="000000"/>
                <w:sz w:val="25"/>
                <w:szCs w:val="25"/>
              </w:rPr>
            </w:pPr>
            <w:r w:rsidRPr="00381DC2">
              <w:rPr>
                <w:rFonts w:ascii="Times New Roman"/>
                <w:color w:val="000000"/>
                <w:spacing w:val="-1"/>
              </w:rPr>
              <w:t>(p-hodnota 0,3360)</w:t>
            </w:r>
          </w:p>
        </w:tc>
      </w:tr>
    </w:tbl>
    <w:p w14:paraId="514799E9" w14:textId="77777777" w:rsidR="00E27EB6" w:rsidRPr="00F60460" w:rsidRDefault="00E27EB6" w:rsidP="00E27EB6">
      <w:pPr>
        <w:spacing w:line="239" w:lineRule="exact"/>
        <w:ind w:left="284" w:hanging="284"/>
        <w:rPr>
          <w:rFonts w:ascii="Times New Roman" w:eastAsia="Times New Roman" w:hAnsi="Times New Roman"/>
          <w:color w:val="000000"/>
          <w:sz w:val="20"/>
          <w:szCs w:val="20"/>
        </w:rPr>
      </w:pPr>
      <w:r w:rsidRPr="00381DC2">
        <w:rPr>
          <w:rFonts w:ascii="Times New Roman" w:hAnsi="Times New Roman"/>
          <w:color w:val="000000"/>
          <w:vertAlign w:val="superscript"/>
        </w:rPr>
        <w:t>a</w:t>
      </w:r>
      <w:r w:rsidRPr="00F60460">
        <w:rPr>
          <w:rFonts w:ascii="Times New Roman" w:hAnsi="Times New Roman"/>
          <w:color w:val="000000"/>
          <w:sz w:val="13"/>
        </w:rPr>
        <w:t xml:space="preserve"> </w:t>
      </w:r>
      <w:r w:rsidRPr="00F60460">
        <w:rPr>
          <w:rFonts w:ascii="Times New Roman" w:hAnsi="Times New Roman"/>
          <w:color w:val="000000"/>
          <w:sz w:val="13"/>
        </w:rPr>
        <w:tab/>
      </w:r>
      <w:r w:rsidRPr="00F60460">
        <w:rPr>
          <w:rFonts w:ascii="Times New Roman" w:hAnsi="Times New Roman"/>
          <w:color w:val="000000"/>
          <w:sz w:val="20"/>
        </w:rPr>
        <w:t>Interferon alfa-2a 9 MIU 3x týdně.</w:t>
      </w:r>
    </w:p>
    <w:p w14:paraId="42E86001" w14:textId="77777777" w:rsidR="00E27EB6" w:rsidRPr="00F60460" w:rsidRDefault="00E27EB6" w:rsidP="00E27EB6">
      <w:pPr>
        <w:ind w:left="284" w:hanging="284"/>
        <w:rPr>
          <w:rFonts w:ascii="Times New Roman" w:eastAsia="Times New Roman" w:hAnsi="Times New Roman"/>
          <w:color w:val="000000"/>
          <w:sz w:val="20"/>
          <w:szCs w:val="20"/>
        </w:rPr>
      </w:pPr>
      <w:r w:rsidRPr="00381DC2">
        <w:rPr>
          <w:rFonts w:ascii="Times New Roman" w:hAnsi="Times New Roman"/>
          <w:color w:val="000000"/>
          <w:vertAlign w:val="superscript"/>
        </w:rPr>
        <w:t>b</w:t>
      </w:r>
      <w:r w:rsidRPr="00F60460">
        <w:rPr>
          <w:rFonts w:ascii="Times New Roman" w:hAnsi="Times New Roman"/>
          <w:color w:val="000000"/>
          <w:sz w:val="13"/>
        </w:rPr>
        <w:t xml:space="preserve"> </w:t>
      </w:r>
      <w:r w:rsidRPr="00F60460">
        <w:rPr>
          <w:rFonts w:ascii="Times New Roman" w:hAnsi="Times New Roman"/>
          <w:color w:val="000000"/>
          <w:sz w:val="13"/>
        </w:rPr>
        <w:tab/>
      </w:r>
      <w:r w:rsidRPr="00F60460">
        <w:rPr>
          <w:rFonts w:ascii="Times New Roman" w:hAnsi="Times New Roman"/>
          <w:color w:val="000000"/>
          <w:sz w:val="20"/>
        </w:rPr>
        <w:t>Bevacizumab 10 mg/kg každé 2 týdny.</w:t>
      </w:r>
    </w:p>
    <w:p w14:paraId="6B0EE2C2" w14:textId="77777777" w:rsidR="00583644" w:rsidRPr="00F60460" w:rsidRDefault="00583644" w:rsidP="007F6E1B">
      <w:pPr>
        <w:rPr>
          <w:rFonts w:ascii="Times New Roman" w:eastAsia="Times New Roman" w:hAnsi="Times New Roman"/>
          <w:color w:val="000000"/>
          <w:sz w:val="25"/>
          <w:szCs w:val="25"/>
        </w:rPr>
      </w:pPr>
    </w:p>
    <w:p w14:paraId="351E263C" w14:textId="77777777" w:rsidR="00D15122" w:rsidRPr="00381DC2" w:rsidRDefault="009B0756" w:rsidP="007F6E1B">
      <w:pPr>
        <w:pStyle w:val="BodyText"/>
        <w:ind w:left="0" w:right="236"/>
        <w:rPr>
          <w:color w:val="000000"/>
        </w:rPr>
      </w:pPr>
      <w:r w:rsidRPr="00381DC2">
        <w:rPr>
          <w:color w:val="000000"/>
        </w:rPr>
        <w:t xml:space="preserve">Explorativní multivariační Coxův regresní model se zpětným výběrem ukázal, že nezávisle na léčbě byly s přežitím silně spojeny následující </w:t>
      </w:r>
      <w:r w:rsidR="001A5C1F" w:rsidRPr="00381DC2">
        <w:rPr>
          <w:color w:val="000000"/>
        </w:rPr>
        <w:t xml:space="preserve">vstupní prognostické </w:t>
      </w:r>
      <w:r w:rsidRPr="00381DC2">
        <w:rPr>
          <w:color w:val="000000"/>
        </w:rPr>
        <w:t xml:space="preserve">faktory: pohlaví, počet </w:t>
      </w:r>
      <w:r w:rsidR="001A5C1F" w:rsidRPr="00381DC2">
        <w:rPr>
          <w:color w:val="000000"/>
        </w:rPr>
        <w:t>leukocytů</w:t>
      </w:r>
      <w:r w:rsidRPr="00381DC2">
        <w:rPr>
          <w:color w:val="000000"/>
        </w:rPr>
        <w:t xml:space="preserve">, </w:t>
      </w:r>
      <w:r w:rsidR="001A5C1F" w:rsidRPr="00381DC2">
        <w:rPr>
          <w:color w:val="000000"/>
        </w:rPr>
        <w:t>trombocyty</w:t>
      </w:r>
      <w:r w:rsidRPr="00381DC2">
        <w:rPr>
          <w:color w:val="000000"/>
        </w:rPr>
        <w:t xml:space="preserve">, ztráta tělesné hmotnosti v 6 měsících před vstupem do hodnocení, počet metastazujících lokalizací, součet nejdelších průměrů cílových lézí, Motzerovo skóre. Zohlednění těchto vstupních faktorů vede k poměru rizik </w:t>
      </w:r>
      <w:r w:rsidR="001A5C1F" w:rsidRPr="00381DC2">
        <w:rPr>
          <w:color w:val="000000"/>
        </w:rPr>
        <w:t xml:space="preserve">léčby </w:t>
      </w:r>
      <w:r w:rsidRPr="00381DC2">
        <w:rPr>
          <w:color w:val="000000"/>
        </w:rPr>
        <w:t xml:space="preserve">0,78 (95% CI [0,63; 0,96], p = 0,0219), což ukazuje na 22% redukci rizika úmrtí pacientů </w:t>
      </w:r>
      <w:r w:rsidR="001A5C1F" w:rsidRPr="00381DC2">
        <w:rPr>
          <w:color w:val="000000"/>
        </w:rPr>
        <w:t xml:space="preserve">v rameni </w:t>
      </w:r>
      <w:r w:rsidRPr="00381DC2">
        <w:rPr>
          <w:color w:val="000000"/>
        </w:rPr>
        <w:t xml:space="preserve">s bevacizumabem + IFN-alfa-2a ve srovnání </w:t>
      </w:r>
      <w:r w:rsidR="001A5C1F" w:rsidRPr="00381DC2">
        <w:rPr>
          <w:color w:val="000000"/>
        </w:rPr>
        <w:t xml:space="preserve">s ramenem </w:t>
      </w:r>
      <w:r w:rsidRPr="00381DC2">
        <w:rPr>
          <w:color w:val="000000"/>
        </w:rPr>
        <w:t>s IFN-alfa-2a.</w:t>
      </w:r>
    </w:p>
    <w:p w14:paraId="60ADAC14" w14:textId="77777777" w:rsidR="00D15122" w:rsidRPr="00381DC2" w:rsidRDefault="00D15122" w:rsidP="007F6E1B">
      <w:pPr>
        <w:rPr>
          <w:rFonts w:ascii="Times New Roman" w:eastAsia="Times New Roman" w:hAnsi="Times New Roman"/>
          <w:color w:val="000000"/>
        </w:rPr>
      </w:pPr>
    </w:p>
    <w:p w14:paraId="01AF64C5" w14:textId="77777777" w:rsidR="00D15122" w:rsidRPr="00381DC2" w:rsidRDefault="009B0756" w:rsidP="007F6E1B">
      <w:pPr>
        <w:pStyle w:val="BodyText"/>
        <w:ind w:left="0" w:right="157"/>
        <w:rPr>
          <w:color w:val="000000"/>
        </w:rPr>
      </w:pPr>
      <w:r w:rsidRPr="00381DC2">
        <w:rPr>
          <w:color w:val="000000"/>
        </w:rPr>
        <w:t xml:space="preserve">U 97 pacientů </w:t>
      </w:r>
      <w:r w:rsidR="001A5C1F" w:rsidRPr="00381DC2">
        <w:rPr>
          <w:color w:val="000000"/>
        </w:rPr>
        <w:t xml:space="preserve">v rameni </w:t>
      </w:r>
      <w:r w:rsidRPr="00381DC2">
        <w:rPr>
          <w:color w:val="000000"/>
        </w:rPr>
        <w:t xml:space="preserve">s IFN-alfa-2a a 131 pacientů </w:t>
      </w:r>
      <w:r w:rsidR="001A5C1F" w:rsidRPr="00381DC2">
        <w:rPr>
          <w:color w:val="000000"/>
        </w:rPr>
        <w:t xml:space="preserve">v rameni </w:t>
      </w:r>
      <w:r w:rsidRPr="00381DC2">
        <w:rPr>
          <w:color w:val="000000"/>
        </w:rPr>
        <w:t xml:space="preserve">s bevacizumabem byla dávka IFN-alfa-2a redukována z 9 MIU na 6 nebo 3 MIU třikrát týdně, jak bylo předem stanoveno protokolem. Snížení dávky IFN-alfa-2a neovlivnilo účinnost kombinace bevacizumabu s IFN-alfa-2a hodnocené dle četnosti </w:t>
      </w:r>
      <w:r w:rsidR="001A5C1F" w:rsidRPr="00381DC2">
        <w:rPr>
          <w:color w:val="000000"/>
        </w:rPr>
        <w:t xml:space="preserve">případů </w:t>
      </w:r>
      <w:r w:rsidRPr="00381DC2">
        <w:rPr>
          <w:color w:val="000000"/>
        </w:rPr>
        <w:t xml:space="preserve">bez příhody </w:t>
      </w:r>
      <w:r w:rsidR="001A5C1F" w:rsidRPr="00381DC2">
        <w:rPr>
          <w:color w:val="000000"/>
        </w:rPr>
        <w:t xml:space="preserve">PFS </w:t>
      </w:r>
      <w:r w:rsidRPr="00381DC2">
        <w:rPr>
          <w:color w:val="000000"/>
        </w:rPr>
        <w:t xml:space="preserve">v průběhu času, jak dokládá analýza podskupin. U 131 pacientů </w:t>
      </w:r>
      <w:r w:rsidR="001A5C1F" w:rsidRPr="00381DC2">
        <w:rPr>
          <w:color w:val="000000"/>
        </w:rPr>
        <w:t xml:space="preserve">v rameni </w:t>
      </w:r>
      <w:r w:rsidRPr="00381DC2">
        <w:rPr>
          <w:color w:val="000000"/>
        </w:rPr>
        <w:t>bevacizumab</w:t>
      </w:r>
      <w:r w:rsidR="001A5C1F" w:rsidRPr="00381DC2">
        <w:rPr>
          <w:color w:val="000000"/>
        </w:rPr>
        <w:t>u</w:t>
      </w:r>
      <w:r w:rsidRPr="00381DC2">
        <w:rPr>
          <w:color w:val="000000"/>
        </w:rPr>
        <w:t xml:space="preserve"> + IFN-alfa-2a, u nichž byla dávka IFN-alfa-2a redukována na 6 nebo 3 MIU a dále během hodnocení zachována, byla četnost případů bez příhody </w:t>
      </w:r>
      <w:r w:rsidR="001A5C1F" w:rsidRPr="00381DC2">
        <w:rPr>
          <w:color w:val="000000"/>
        </w:rPr>
        <w:t>PFS</w:t>
      </w:r>
      <w:r w:rsidRPr="00381DC2">
        <w:rPr>
          <w:color w:val="000000"/>
        </w:rPr>
        <w:t xml:space="preserve"> po 6, 12 a 18 měsících 73, 52 respektive 21 % ve srovnání s 61, 43 a 17 % v celé populaci pacientů léčené bevacizumab</w:t>
      </w:r>
      <w:r w:rsidR="001A5C1F" w:rsidRPr="00381DC2">
        <w:rPr>
          <w:color w:val="000000"/>
        </w:rPr>
        <w:t>em</w:t>
      </w:r>
      <w:r w:rsidRPr="00381DC2">
        <w:rPr>
          <w:color w:val="000000"/>
        </w:rPr>
        <w:t xml:space="preserve"> + IFN-alfa-2a.</w:t>
      </w:r>
    </w:p>
    <w:p w14:paraId="40B98374" w14:textId="77777777" w:rsidR="00D15122" w:rsidRPr="00381DC2" w:rsidRDefault="00D15122" w:rsidP="007F6E1B">
      <w:pPr>
        <w:rPr>
          <w:rFonts w:ascii="Times New Roman" w:eastAsia="Times New Roman" w:hAnsi="Times New Roman"/>
          <w:color w:val="000000"/>
        </w:rPr>
      </w:pPr>
    </w:p>
    <w:p w14:paraId="27F4C13A" w14:textId="77777777" w:rsidR="00D15122" w:rsidRPr="00381DC2" w:rsidRDefault="009B0756" w:rsidP="007F6E1B">
      <w:pPr>
        <w:rPr>
          <w:rFonts w:ascii="Times New Roman" w:eastAsia="Times New Roman" w:hAnsi="Times New Roman"/>
          <w:color w:val="000000"/>
        </w:rPr>
      </w:pPr>
      <w:r w:rsidRPr="00381DC2">
        <w:rPr>
          <w:rFonts w:ascii="Times New Roman" w:hAnsi="Times New Roman"/>
          <w:i/>
          <w:color w:val="000000"/>
        </w:rPr>
        <w:t>AVF2938</w:t>
      </w:r>
    </w:p>
    <w:p w14:paraId="73A58E81" w14:textId="77777777" w:rsidR="00D15122" w:rsidRPr="00381DC2" w:rsidRDefault="009B0756" w:rsidP="007F6E1B">
      <w:pPr>
        <w:pStyle w:val="BodyText"/>
        <w:ind w:left="0" w:right="137"/>
        <w:rPr>
          <w:color w:val="000000"/>
        </w:rPr>
      </w:pPr>
      <w:r w:rsidRPr="00381DC2">
        <w:rPr>
          <w:color w:val="000000"/>
        </w:rPr>
        <w:t xml:space="preserve">Randomizované dvojitě zaslepené klinické hodnocení fáze II hodnotilo bevacizumab 10 mg/kg </w:t>
      </w:r>
      <w:r w:rsidR="001A5C1F" w:rsidRPr="00381DC2">
        <w:rPr>
          <w:color w:val="000000"/>
        </w:rPr>
        <w:t xml:space="preserve">v 2týdenním režimu </w:t>
      </w:r>
      <w:r w:rsidRPr="00381DC2">
        <w:rPr>
          <w:color w:val="000000"/>
        </w:rPr>
        <w:t>se stejnou dávkou bevacizumabu v kombinaci s erlotinib</w:t>
      </w:r>
      <w:r w:rsidR="001A5C1F" w:rsidRPr="00381DC2">
        <w:rPr>
          <w:color w:val="000000"/>
        </w:rPr>
        <w:t>em</w:t>
      </w:r>
      <w:r w:rsidRPr="00381DC2">
        <w:rPr>
          <w:color w:val="000000"/>
        </w:rPr>
        <w:t xml:space="preserve"> </w:t>
      </w:r>
      <w:r w:rsidR="004D45CB" w:rsidRPr="00381DC2">
        <w:rPr>
          <w:color w:val="000000"/>
        </w:rPr>
        <w:t xml:space="preserve">v dávce </w:t>
      </w:r>
      <w:r w:rsidRPr="00381DC2">
        <w:rPr>
          <w:color w:val="000000"/>
        </w:rPr>
        <w:t xml:space="preserve">150 mg </w:t>
      </w:r>
      <w:r w:rsidR="001A5C1F" w:rsidRPr="00381DC2">
        <w:rPr>
          <w:color w:val="000000"/>
        </w:rPr>
        <w:t xml:space="preserve">denně </w:t>
      </w:r>
      <w:r w:rsidRPr="00381DC2">
        <w:rPr>
          <w:color w:val="000000"/>
        </w:rPr>
        <w:t>u pacientů s </w:t>
      </w:r>
      <w:r w:rsidR="000834FE" w:rsidRPr="00381DC2">
        <w:rPr>
          <w:color w:val="000000"/>
        </w:rPr>
        <w:t>metasta</w:t>
      </w:r>
      <w:r w:rsidR="004D45CB" w:rsidRPr="00381DC2">
        <w:rPr>
          <w:color w:val="000000"/>
        </w:rPr>
        <w:t>zujívím</w:t>
      </w:r>
      <w:r w:rsidR="000834FE" w:rsidRPr="00381DC2">
        <w:rPr>
          <w:color w:val="000000"/>
        </w:rPr>
        <w:t xml:space="preserve"> </w:t>
      </w:r>
      <w:r w:rsidRPr="00381DC2">
        <w:rPr>
          <w:color w:val="000000"/>
        </w:rPr>
        <w:t xml:space="preserve">světlebuněčným </w:t>
      </w:r>
      <w:r w:rsidR="00A6244F" w:rsidRPr="00381DC2">
        <w:rPr>
          <w:color w:val="000000"/>
        </w:rPr>
        <w:t>RCC</w:t>
      </w:r>
      <w:r w:rsidRPr="00381DC2">
        <w:rPr>
          <w:color w:val="000000"/>
        </w:rPr>
        <w:t xml:space="preserve">. Do tohoto hodnocení bylo randomizováno celkem 104 pacientů, 53 k léčbě bevacizumabem 10 mg/kg každé 2 týdny plus placebo a 51 k léčbě bevacizumabem 10 mg/kg každé 2 týdny plus erlotinib 150 mg denně. Analýza primárního </w:t>
      </w:r>
      <w:r w:rsidR="00A6244F" w:rsidRPr="00381DC2">
        <w:rPr>
          <w:color w:val="000000"/>
        </w:rPr>
        <w:t xml:space="preserve">cílového parametru </w:t>
      </w:r>
      <w:r w:rsidRPr="00381DC2">
        <w:rPr>
          <w:color w:val="000000"/>
        </w:rPr>
        <w:t xml:space="preserve">neprokázala rozdíl mezi </w:t>
      </w:r>
      <w:r w:rsidR="00A6244F" w:rsidRPr="00381DC2">
        <w:rPr>
          <w:color w:val="000000"/>
        </w:rPr>
        <w:t xml:space="preserve">ramenem </w:t>
      </w:r>
      <w:r w:rsidRPr="00381DC2">
        <w:rPr>
          <w:color w:val="000000"/>
        </w:rPr>
        <w:t>bevacizumab + placebo a </w:t>
      </w:r>
      <w:r w:rsidR="00A6244F" w:rsidRPr="00381DC2">
        <w:rPr>
          <w:color w:val="000000"/>
        </w:rPr>
        <w:t xml:space="preserve">ramenem </w:t>
      </w:r>
      <w:r w:rsidRPr="00381DC2">
        <w:rPr>
          <w:color w:val="000000"/>
        </w:rPr>
        <w:t xml:space="preserve">bevacizumab + erlotinib (medián </w:t>
      </w:r>
      <w:r w:rsidR="00A6244F" w:rsidRPr="00381DC2">
        <w:rPr>
          <w:color w:val="000000"/>
        </w:rPr>
        <w:t>PFS</w:t>
      </w:r>
      <w:r w:rsidRPr="00381DC2">
        <w:rPr>
          <w:color w:val="000000"/>
        </w:rPr>
        <w:t xml:space="preserve"> 8,5 versus 9,9 měsíce). Objektivní odpovědi bylo dosaženo u sedmi pacientů v každé</w:t>
      </w:r>
      <w:r w:rsidR="00A6244F" w:rsidRPr="00381DC2">
        <w:rPr>
          <w:color w:val="000000"/>
        </w:rPr>
        <w:t>m rameni</w:t>
      </w:r>
      <w:r w:rsidRPr="00381DC2">
        <w:rPr>
          <w:color w:val="000000"/>
        </w:rPr>
        <w:t>. Přidání erlotinibu k bevacizumabu nevedlo k prodloužení celkového přežití (</w:t>
      </w:r>
      <w:r w:rsidR="00A6244F" w:rsidRPr="00381DC2">
        <w:rPr>
          <w:color w:val="000000"/>
        </w:rPr>
        <w:t>HR =</w:t>
      </w:r>
      <w:r w:rsidRPr="00381DC2">
        <w:rPr>
          <w:color w:val="000000"/>
        </w:rPr>
        <w:t xml:space="preserve"> 1,764, p = 0,1789), doby trvání objektivní odpovědi (6,7 versus 9,1 měsíce) nebo doby do progrese </w:t>
      </w:r>
      <w:r w:rsidR="004D45CB" w:rsidRPr="00381DC2">
        <w:rPr>
          <w:color w:val="000000"/>
        </w:rPr>
        <w:t>symptomů</w:t>
      </w:r>
      <w:r w:rsidRPr="00381DC2">
        <w:rPr>
          <w:color w:val="000000"/>
        </w:rPr>
        <w:t xml:space="preserve"> (</w:t>
      </w:r>
      <w:r w:rsidR="00A6244F" w:rsidRPr="00381DC2">
        <w:rPr>
          <w:color w:val="000000"/>
        </w:rPr>
        <w:t xml:space="preserve">HR = </w:t>
      </w:r>
      <w:r w:rsidRPr="00381DC2">
        <w:rPr>
          <w:color w:val="000000"/>
        </w:rPr>
        <w:t>1,172, p = 0,5076).</w:t>
      </w:r>
    </w:p>
    <w:p w14:paraId="3158F329" w14:textId="77777777" w:rsidR="00D15122" w:rsidRPr="00381DC2" w:rsidRDefault="00D15122" w:rsidP="007F6E1B">
      <w:pPr>
        <w:rPr>
          <w:rFonts w:ascii="Times New Roman" w:eastAsia="Times New Roman" w:hAnsi="Times New Roman"/>
          <w:color w:val="000000"/>
        </w:rPr>
      </w:pPr>
    </w:p>
    <w:p w14:paraId="3C752EF5" w14:textId="77777777" w:rsidR="00D15122" w:rsidRPr="00381DC2" w:rsidRDefault="009B0756" w:rsidP="007F6E1B">
      <w:pPr>
        <w:spacing w:line="252" w:lineRule="exact"/>
        <w:rPr>
          <w:rFonts w:ascii="Times New Roman" w:eastAsia="Times New Roman" w:hAnsi="Times New Roman"/>
          <w:color w:val="000000"/>
        </w:rPr>
      </w:pPr>
      <w:r w:rsidRPr="00381DC2">
        <w:rPr>
          <w:rFonts w:ascii="Times New Roman" w:hAnsi="Times New Roman"/>
          <w:i/>
          <w:color w:val="000000"/>
        </w:rPr>
        <w:t>AVF0890</w:t>
      </w:r>
    </w:p>
    <w:p w14:paraId="76973648" w14:textId="77777777" w:rsidR="00D15122" w:rsidRPr="00381DC2" w:rsidRDefault="009B0756" w:rsidP="007F6E1B">
      <w:pPr>
        <w:pStyle w:val="BodyText"/>
        <w:ind w:left="0" w:right="207"/>
        <w:rPr>
          <w:color w:val="000000"/>
        </w:rPr>
      </w:pPr>
      <w:r w:rsidRPr="00381DC2">
        <w:rPr>
          <w:color w:val="000000"/>
        </w:rPr>
        <w:t xml:space="preserve">Toto </w:t>
      </w:r>
      <w:r w:rsidR="00DB395F" w:rsidRPr="00381DC2">
        <w:rPr>
          <w:color w:val="000000"/>
        </w:rPr>
        <w:t xml:space="preserve">randomizované </w:t>
      </w:r>
      <w:r w:rsidRPr="00381DC2">
        <w:rPr>
          <w:color w:val="000000"/>
        </w:rPr>
        <w:t xml:space="preserve">hodnocení fáze II porovnávalo bezpečnost a účinnost bevacizumabu oproti placebu. Celkem 116 pacientů bylo randomizováno k léčbě bevacizumabem 3 mg/kg každé 2 týdny (n = 39), 10 mg/kg každé 2 týdny (n = 37) nebo k podávání placeba (n = 40). Průběžná analýza </w:t>
      </w:r>
      <w:r w:rsidRPr="00381DC2">
        <w:rPr>
          <w:color w:val="000000"/>
        </w:rPr>
        <w:lastRenderedPageBreak/>
        <w:t>prokázala významné prodloužení doby do progrese onemocnění ve skupině s 10 mg/kg ve srovnání se skupinou s placebem (poměr rizik 2,55, p &lt; 0,001). Mezi skupinami s 3 mg/kg a placebem byl malý rozdíl doby do progrese onemocnění s hraniční významností (poměr rizik 1,26, p = 0,053). Čtyři pacienti měli objektivní (částečnou) odpověď, všichni dostávali bevacizumab v dávce 10 mg/kg, celková četnost odpovědí pro dávku 10 mg/kg byla 10 %.</w:t>
      </w:r>
    </w:p>
    <w:p w14:paraId="220A5AB9" w14:textId="77777777" w:rsidR="004F312E" w:rsidRPr="00381DC2" w:rsidRDefault="004F312E" w:rsidP="00D5294C">
      <w:pPr>
        <w:rPr>
          <w:rFonts w:ascii="Times New Roman" w:eastAsia="Times New Roman" w:hAnsi="Times New Roman"/>
          <w:color w:val="000000"/>
        </w:rPr>
      </w:pPr>
    </w:p>
    <w:p w14:paraId="02473AB6" w14:textId="77777777" w:rsidR="00ED4C2D" w:rsidRPr="00381DC2" w:rsidRDefault="00ED4C2D" w:rsidP="00ED4C2D">
      <w:pPr>
        <w:widowControl/>
        <w:rPr>
          <w:rFonts w:ascii="Times New Roman" w:eastAsia="Times New Roman" w:hAnsi="Times New Roman"/>
          <w:i/>
          <w:color w:val="000000"/>
          <w:u w:val="single"/>
          <w:lang w:bidi="ar-SA"/>
        </w:rPr>
      </w:pPr>
      <w:r w:rsidRPr="00381DC2">
        <w:rPr>
          <w:rFonts w:ascii="Times New Roman" w:eastAsia="Times New Roman" w:hAnsi="Times New Roman"/>
          <w:bCs/>
          <w:i/>
          <w:color w:val="000000"/>
          <w:u w:val="single"/>
          <w:lang w:bidi="ar-SA"/>
        </w:rPr>
        <w:t>Epitelový nádor vaječníků, vejcovodů a primární nádor pobřišnice</w:t>
      </w:r>
    </w:p>
    <w:p w14:paraId="01A400E2" w14:textId="77777777" w:rsidR="00ED4C2D" w:rsidRPr="00381DC2" w:rsidRDefault="00ED4C2D" w:rsidP="00ED4C2D">
      <w:pPr>
        <w:widowControl/>
        <w:rPr>
          <w:rFonts w:ascii="Times New Roman" w:eastAsia="Times New Roman" w:hAnsi="Times New Roman"/>
          <w:i/>
          <w:iCs/>
          <w:color w:val="000000"/>
          <w:lang w:bidi="ar-SA"/>
        </w:rPr>
      </w:pPr>
    </w:p>
    <w:p w14:paraId="0BC28A64"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i/>
          <w:iCs/>
          <w:color w:val="000000"/>
          <w:lang w:bidi="ar-SA"/>
        </w:rPr>
        <w:t>Primární léčba karcinomu vaječníků</w:t>
      </w:r>
    </w:p>
    <w:p w14:paraId="4143CFDA" w14:textId="77777777" w:rsidR="00ED4C2D" w:rsidRPr="00381DC2" w:rsidRDefault="00ED4C2D" w:rsidP="00ED4C2D">
      <w:pPr>
        <w:widowControl/>
        <w:rPr>
          <w:rFonts w:ascii="Times New Roman" w:eastAsia="Times New Roman" w:hAnsi="Times New Roman"/>
          <w:color w:val="000000"/>
          <w:lang w:bidi="ar-SA"/>
        </w:rPr>
      </w:pPr>
    </w:p>
    <w:p w14:paraId="6189A761"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Bezpečnost a účinnost bevacizumabu v úvodní léčbě pacientek s epitelovým nádorem vaječníků, vejcovodů nebo primárním nádorem pobřišnice byly studovány ve dvou studiích fáze III (GOG-0218 a BO17707), v nichž byl hodnocen vliv přidání bevacizumabu ke karboplatině a paklitaxelu ve srovnání se samotným chemoterapeutickým režimem.</w:t>
      </w:r>
    </w:p>
    <w:p w14:paraId="78E727B3" w14:textId="77777777" w:rsidR="00ED4C2D" w:rsidRPr="00381DC2" w:rsidRDefault="00ED4C2D" w:rsidP="00ED4C2D">
      <w:pPr>
        <w:widowControl/>
        <w:rPr>
          <w:rFonts w:ascii="Times New Roman" w:eastAsia="Times New Roman" w:hAnsi="Times New Roman"/>
          <w:i/>
          <w:iCs/>
          <w:color w:val="000000"/>
          <w:lang w:bidi="ar-SA"/>
        </w:rPr>
      </w:pPr>
    </w:p>
    <w:p w14:paraId="56EAFAB5"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i/>
          <w:iCs/>
          <w:color w:val="000000"/>
          <w:lang w:bidi="ar-SA"/>
        </w:rPr>
        <w:t>GOG-0218</w:t>
      </w:r>
    </w:p>
    <w:p w14:paraId="0FA0D530"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GOG-0218 byla multicentrická, randomizovaná, dvojitě zaslepená, placebem kontrolovaná studie fáze III se třemi rameny, která hodnotila vliv přidání bevacizumabu k osvědčenému režimu chemoterapie (karboplatina a paklitaxel) u pacientek s pokročilým (stádium IIIB, IIIC a IV podle klasifikace FIGO, verze z roku 1988) epitelovým nádorem vaječníků, vejcovodů a primárním nádorem pobřišnice.</w:t>
      </w:r>
    </w:p>
    <w:p w14:paraId="281F4757" w14:textId="77777777" w:rsidR="00ED4C2D" w:rsidRPr="00381DC2" w:rsidRDefault="00ED4C2D" w:rsidP="00ED4C2D">
      <w:pPr>
        <w:widowControl/>
        <w:rPr>
          <w:rFonts w:ascii="Times New Roman" w:eastAsia="Times New Roman" w:hAnsi="Times New Roman"/>
          <w:color w:val="000000"/>
          <w:lang w:bidi="ar-SA"/>
        </w:rPr>
      </w:pPr>
    </w:p>
    <w:p w14:paraId="53009139"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Pacientky dříve léčené bevacizumabem nebo systémovou protinádorovou chemoterapií pro karcinom vaječníků (např. chemoterapií, monoklonálními protilátkami, inhibitory tyrosinkinázy nebo hormonální léčbou) nebo radioterapií na oblast břicha nebo pánve byly ze studie vyloučeny.</w:t>
      </w:r>
    </w:p>
    <w:p w14:paraId="57D00F86" w14:textId="77777777" w:rsidR="00ED4C2D" w:rsidRPr="00381DC2" w:rsidRDefault="00ED4C2D" w:rsidP="00ED4C2D">
      <w:pPr>
        <w:widowControl/>
        <w:rPr>
          <w:rFonts w:ascii="Times New Roman" w:eastAsia="Times New Roman" w:hAnsi="Times New Roman"/>
          <w:color w:val="000000"/>
          <w:lang w:bidi="ar-SA"/>
        </w:rPr>
      </w:pPr>
    </w:p>
    <w:p w14:paraId="63F05D05"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Do tří ramen studie bylo rovnoměrně randomizováno celkem 1873 pacientů následovně:</w:t>
      </w:r>
    </w:p>
    <w:p w14:paraId="172D84C0" w14:textId="77777777" w:rsidR="00ED4C2D" w:rsidRPr="00381DC2" w:rsidRDefault="00ED4C2D" w:rsidP="008378F9">
      <w:pPr>
        <w:widowControl/>
        <w:numPr>
          <w:ilvl w:val="0"/>
          <w:numId w:val="36"/>
        </w:numPr>
        <w:rPr>
          <w:rFonts w:ascii="Times New Roman" w:eastAsia="Times New Roman" w:hAnsi="Times New Roman"/>
          <w:color w:val="000000"/>
          <w:lang w:bidi="ar-SA"/>
        </w:rPr>
      </w:pPr>
      <w:r w:rsidRPr="00381DC2">
        <w:rPr>
          <w:rFonts w:ascii="Times New Roman" w:eastAsia="Times New Roman" w:hAnsi="Times New Roman"/>
          <w:color w:val="000000"/>
          <w:lang w:bidi="ar-SA"/>
        </w:rPr>
        <w:t>rameno CPP: Pět cyklů placeba (od cyklu 2) v kombinaci se 6 cykly karboplatiny (AUC 6) a paklitaxelu (175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xml:space="preserve">) s následným podáváním samotného placeba po celkovou dobu až 15 měsíců léčby </w:t>
      </w:r>
    </w:p>
    <w:p w14:paraId="484A7DDC" w14:textId="77777777" w:rsidR="00ED4C2D" w:rsidRPr="00381DC2" w:rsidRDefault="00ED4C2D" w:rsidP="008378F9">
      <w:pPr>
        <w:widowControl/>
        <w:numPr>
          <w:ilvl w:val="0"/>
          <w:numId w:val="36"/>
        </w:numPr>
        <w:rPr>
          <w:rFonts w:ascii="Times New Roman" w:eastAsia="Times New Roman" w:hAnsi="Times New Roman"/>
          <w:color w:val="000000"/>
          <w:lang w:bidi="ar-SA"/>
        </w:rPr>
      </w:pPr>
      <w:r w:rsidRPr="00381DC2">
        <w:rPr>
          <w:rFonts w:ascii="Times New Roman" w:eastAsia="Times New Roman" w:hAnsi="Times New Roman"/>
          <w:color w:val="000000"/>
          <w:lang w:bidi="ar-SA"/>
        </w:rPr>
        <w:t>rameno CPB 15: Pět cyklů bevacizumabu (15 mg/kg každé 3 týdny od cyklu 2) v kombinaci se 6 cykly karboplatiny (AUC 6) a paklitaxelu (175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xml:space="preserve">) s následným podáváním samotného placeba po celkovou dobu až 15 měsíců léčby </w:t>
      </w:r>
    </w:p>
    <w:p w14:paraId="6CCB3F08" w14:textId="77777777" w:rsidR="00ED4C2D" w:rsidRPr="00381DC2" w:rsidRDefault="00ED4C2D" w:rsidP="008378F9">
      <w:pPr>
        <w:widowControl/>
        <w:numPr>
          <w:ilvl w:val="0"/>
          <w:numId w:val="36"/>
        </w:numPr>
        <w:rPr>
          <w:rFonts w:ascii="Times New Roman" w:eastAsia="Times New Roman" w:hAnsi="Times New Roman"/>
          <w:color w:val="000000"/>
          <w:lang w:bidi="ar-SA"/>
        </w:rPr>
      </w:pPr>
      <w:r w:rsidRPr="00381DC2">
        <w:rPr>
          <w:rFonts w:ascii="Times New Roman" w:eastAsia="Times New Roman" w:hAnsi="Times New Roman"/>
          <w:color w:val="000000"/>
          <w:lang w:bidi="ar-SA"/>
        </w:rPr>
        <w:t>rameno CPB 15+: Pět cyklů bevacizumabu (15 mg/kg každé 3 týdny od cyklu 2) v kombinaci se 6 cykly karboplatiny (AUC 6) a paklitaxelu (175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s následným podáváním samotného bevacizumabu (15 mg/kg každé 3 týdny) po celkovou dobu až 15 měsíců léčby.</w:t>
      </w:r>
    </w:p>
    <w:p w14:paraId="4C3DF524" w14:textId="77777777" w:rsidR="00ED4C2D" w:rsidRPr="00381DC2" w:rsidRDefault="00ED4C2D" w:rsidP="00ED4C2D">
      <w:pPr>
        <w:widowControl/>
        <w:rPr>
          <w:rFonts w:ascii="Times New Roman" w:eastAsia="Times New Roman" w:hAnsi="Times New Roman"/>
          <w:color w:val="000000"/>
          <w:lang w:bidi="ar-SA"/>
        </w:rPr>
      </w:pPr>
    </w:p>
    <w:p w14:paraId="7FF23AD2"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Většina pacientek zařazených do studie byly bělošky (87% ve všech třech ramenech); střední věk byl 60 let v ramenech CPP a CPB15 a 59 let v rameni CPB15+; 29% pacientek v ramenech CPP nebo CPB15 a 26% pacientek v rameni CPB15+ bylo starších než 65 let. Celkem přibližně 50% pacientek mělo při vstupu do studie GOG PS 0, 43% GOG PS 1 a 7% GOG PS 2. Většina pacientek měla epitelový karcinom vaječníků (82% v ramenech CPP a CPB15, 85% v rameni CPB15+), následoval primární nádor pobřišnice (16% v rameni CPP, 15% v CPB15, 13% v CPB15+) a karcinom vejcovodů (1% v CPP, 3% v CPB15, 2% v CPB15+). Většina pacientek měla histologii serózního adenokarcinomu (85% v CPP a v CPB15, 86% v CPB15+). Celkem přibližně 34% pacientek mělo FIGO stádium III s optimální cytoredukcí s makroskopickou reziduální nemocí, 40% stádium III s suboptimální cytoredukcí a 26% stádium IV.</w:t>
      </w:r>
    </w:p>
    <w:p w14:paraId="0AC774D7" w14:textId="77777777" w:rsidR="00ED4C2D" w:rsidRPr="00381DC2" w:rsidRDefault="00ED4C2D" w:rsidP="00ED4C2D">
      <w:pPr>
        <w:widowControl/>
        <w:rPr>
          <w:rFonts w:ascii="Times New Roman" w:eastAsia="Times New Roman" w:hAnsi="Times New Roman"/>
          <w:color w:val="000000"/>
          <w:lang w:bidi="ar-SA"/>
        </w:rPr>
      </w:pPr>
    </w:p>
    <w:p w14:paraId="20DA1AF9"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Primárním cílovým parametrem účinnosti bylo zhodnocení doby přežití bez progrese dle progrese nemoci stanovené řešitelem na podkladě radiologických snímků nebo hladin CA 125 nebo klinické deteriorace dle protokolu. Dále byla provedena předem specifikovaná analýza s cenzurou při progresi dle hladiny CA 125 a na podkladě rentgenologických snímků bylo provedeno rovněž nezávislé zhodnocení doby přežití bez progrese.</w:t>
      </w:r>
    </w:p>
    <w:p w14:paraId="6A498524" w14:textId="77777777" w:rsidR="00ED4C2D" w:rsidRPr="00381DC2" w:rsidRDefault="00ED4C2D" w:rsidP="00ED4C2D">
      <w:pPr>
        <w:widowControl/>
        <w:rPr>
          <w:rFonts w:ascii="Times New Roman" w:eastAsia="Times New Roman" w:hAnsi="Times New Roman"/>
          <w:color w:val="000000"/>
          <w:lang w:bidi="ar-SA"/>
        </w:rPr>
      </w:pPr>
    </w:p>
    <w:p w14:paraId="2185A93F"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Studie splnila primární cíl prodloužení doby přežití bez progrese. Pacientky, které byly léčeny bevacizumabem v dávce 15 mg/kg každé 3 týdny v kombinaci s chemoterapií a dále dostávaly bevacizumab samostatně (CPB15+), měly klinicky i statisticky významné zlepšení doby přežití bez </w:t>
      </w:r>
      <w:r w:rsidRPr="00381DC2">
        <w:rPr>
          <w:rFonts w:ascii="Times New Roman" w:eastAsia="Times New Roman" w:hAnsi="Times New Roman"/>
          <w:color w:val="000000"/>
          <w:lang w:bidi="ar-SA"/>
        </w:rPr>
        <w:lastRenderedPageBreak/>
        <w:t>progrese ve srovnání s pacientkami léčenými v úvodní léčbě samotnou chemoterapií (karboplatina a paklitaxel).</w:t>
      </w:r>
    </w:p>
    <w:p w14:paraId="1FBA9055" w14:textId="77777777" w:rsidR="00ED4C2D" w:rsidRPr="00381DC2" w:rsidRDefault="00ED4C2D" w:rsidP="00ED4C2D">
      <w:pPr>
        <w:widowControl/>
        <w:rPr>
          <w:rFonts w:ascii="Times New Roman" w:eastAsia="Times New Roman" w:hAnsi="Times New Roman"/>
          <w:color w:val="000000"/>
          <w:lang w:bidi="ar-SA"/>
        </w:rPr>
      </w:pPr>
    </w:p>
    <w:p w14:paraId="533FDA6E"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U pacientek, které dostávaly bevacizumab pouze v kombinaci s chemoterapií a nepokračovaly v samostatné léčbě bevacizumabem (CPB 15), nebylo dosaženo klinicky významného zlepšení doby přežití bez progrese.</w:t>
      </w:r>
    </w:p>
    <w:p w14:paraId="53AB87B9" w14:textId="77777777" w:rsidR="00ED4C2D" w:rsidRPr="00381DC2" w:rsidRDefault="00ED4C2D" w:rsidP="00ED4C2D">
      <w:pPr>
        <w:widowControl/>
        <w:rPr>
          <w:rFonts w:ascii="Times New Roman" w:eastAsia="Times New Roman" w:hAnsi="Times New Roman"/>
          <w:color w:val="000000"/>
          <w:lang w:bidi="ar-SA"/>
        </w:rPr>
      </w:pPr>
    </w:p>
    <w:p w14:paraId="7682B545"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Výsledky této studie jsou shrnuty v Tabulce </w:t>
      </w:r>
      <w:r w:rsidR="00677B9A" w:rsidRPr="00381DC2">
        <w:rPr>
          <w:rFonts w:ascii="Times New Roman" w:eastAsia="Times New Roman" w:hAnsi="Times New Roman"/>
          <w:color w:val="000000"/>
          <w:lang w:bidi="ar-SA"/>
        </w:rPr>
        <w:t>16</w:t>
      </w:r>
      <w:r w:rsidRPr="00381DC2">
        <w:rPr>
          <w:rFonts w:ascii="Times New Roman" w:eastAsia="Times New Roman" w:hAnsi="Times New Roman"/>
          <w:color w:val="000000"/>
          <w:lang w:bidi="ar-SA"/>
        </w:rPr>
        <w:t>.</w:t>
      </w:r>
    </w:p>
    <w:p w14:paraId="0F711BF2" w14:textId="77777777" w:rsidR="00ED4C2D" w:rsidRPr="00381DC2" w:rsidRDefault="00ED4C2D" w:rsidP="00ED4C2D">
      <w:pPr>
        <w:widowControl/>
        <w:rPr>
          <w:rFonts w:ascii="Times New Roman" w:eastAsia="Times New Roman" w:hAnsi="Times New Roman"/>
          <w:color w:val="000000"/>
          <w:lang w:bidi="ar-SA"/>
        </w:rPr>
      </w:pPr>
    </w:p>
    <w:p w14:paraId="0149BA68"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b/>
          <w:bCs/>
          <w:color w:val="000000"/>
          <w:lang w:bidi="ar-SA"/>
        </w:rPr>
        <w:t xml:space="preserve">Tabulka </w:t>
      </w:r>
      <w:r w:rsidR="00677B9A" w:rsidRPr="00381DC2">
        <w:rPr>
          <w:rFonts w:ascii="Times New Roman" w:eastAsia="Times New Roman" w:hAnsi="Times New Roman"/>
          <w:b/>
          <w:bCs/>
          <w:color w:val="000000"/>
          <w:lang w:bidi="ar-SA"/>
        </w:rPr>
        <w:t>16</w:t>
      </w:r>
      <w:r w:rsidR="005D48D1" w:rsidRPr="00381DC2">
        <w:rPr>
          <w:rFonts w:ascii="Times New Roman" w:eastAsia="Times New Roman" w:hAnsi="Times New Roman"/>
          <w:b/>
          <w:bCs/>
          <w:color w:val="000000"/>
          <w:lang w:bidi="ar-SA"/>
        </w:rPr>
        <w:tab/>
      </w:r>
      <w:r w:rsidRPr="00381DC2">
        <w:rPr>
          <w:rFonts w:ascii="Times New Roman" w:eastAsia="Times New Roman" w:hAnsi="Times New Roman"/>
          <w:b/>
          <w:color w:val="000000"/>
          <w:lang w:bidi="ar-SA"/>
        </w:rPr>
        <w:t xml:space="preserve">Výsledky účinnosti ve studii GOG-0218 </w:t>
      </w:r>
    </w:p>
    <w:p w14:paraId="0480D0B2" w14:textId="77777777" w:rsidR="00ED4C2D" w:rsidRPr="00381DC2" w:rsidRDefault="00ED4C2D" w:rsidP="00ED4C2D">
      <w:pPr>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012"/>
        <w:gridCol w:w="2027"/>
        <w:gridCol w:w="2035"/>
      </w:tblGrid>
      <w:tr w:rsidR="00ED4C2D" w:rsidRPr="00F60460" w14:paraId="2456269C" w14:textId="77777777" w:rsidTr="003C1003">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5CD2F6E2" w14:textId="77777777" w:rsidR="00ED4C2D" w:rsidRPr="00381DC2" w:rsidRDefault="00ED4C2D" w:rsidP="003C1003">
            <w:pPr>
              <w:rPr>
                <w:rFonts w:ascii="Times New Roman" w:eastAsia="Times New Roman" w:hAnsi="Times New Roman"/>
                <w:color w:val="000000"/>
              </w:rPr>
            </w:pPr>
            <w:r w:rsidRPr="00381DC2">
              <w:rPr>
                <w:rFonts w:ascii="Times New Roman" w:hAnsi="Times New Roman"/>
                <w:color w:val="000000"/>
              </w:rPr>
              <w:t>Doba přežití bez progrese</w:t>
            </w:r>
            <w:r w:rsidRPr="00381DC2">
              <w:rPr>
                <w:rFonts w:ascii="Times New Roman" w:hAnsi="Times New Roman"/>
                <w:color w:val="000000"/>
                <w:vertAlign w:val="superscript"/>
              </w:rPr>
              <w:t>1</w:t>
            </w:r>
          </w:p>
        </w:tc>
      </w:tr>
      <w:tr w:rsidR="00ED4C2D" w:rsidRPr="00F60460" w14:paraId="5E6646EC" w14:textId="77777777" w:rsidTr="003C1003">
        <w:tc>
          <w:tcPr>
            <w:tcW w:w="2970" w:type="dxa"/>
            <w:tcBorders>
              <w:left w:val="single" w:sz="4" w:space="0" w:color="auto"/>
              <w:bottom w:val="nil"/>
              <w:right w:val="single" w:sz="4" w:space="0" w:color="auto"/>
            </w:tcBorders>
            <w:shd w:val="clear" w:color="auto" w:fill="auto"/>
          </w:tcPr>
          <w:p w14:paraId="1813F57B" w14:textId="77777777" w:rsidR="00ED4C2D" w:rsidRPr="00381DC2" w:rsidRDefault="00ED4C2D" w:rsidP="003C1003">
            <w:pPr>
              <w:rPr>
                <w:rFonts w:ascii="Times New Roman" w:eastAsia="Times New Roman" w:hAnsi="Times New Roman"/>
                <w:color w:val="000000"/>
              </w:rPr>
            </w:pPr>
          </w:p>
        </w:tc>
        <w:tc>
          <w:tcPr>
            <w:tcW w:w="2102" w:type="dxa"/>
            <w:tcBorders>
              <w:top w:val="single" w:sz="4" w:space="0" w:color="auto"/>
              <w:left w:val="single" w:sz="4" w:space="0" w:color="auto"/>
              <w:bottom w:val="nil"/>
              <w:right w:val="single" w:sz="4" w:space="0" w:color="auto"/>
            </w:tcBorders>
            <w:shd w:val="clear" w:color="auto" w:fill="auto"/>
          </w:tcPr>
          <w:p w14:paraId="50BD3C1C" w14:textId="77777777" w:rsidR="00ED4C2D" w:rsidRPr="00381DC2" w:rsidRDefault="00ED4C2D" w:rsidP="003C1003">
            <w:pPr>
              <w:pStyle w:val="Default"/>
              <w:jc w:val="center"/>
              <w:rPr>
                <w:rFonts w:eastAsia="Times New Roman"/>
                <w:sz w:val="22"/>
                <w:szCs w:val="22"/>
              </w:rPr>
            </w:pPr>
            <w:r w:rsidRPr="00381DC2">
              <w:rPr>
                <w:sz w:val="22"/>
                <w:szCs w:val="22"/>
              </w:rPr>
              <w:t>CPP</w:t>
            </w:r>
          </w:p>
        </w:tc>
        <w:tc>
          <w:tcPr>
            <w:tcW w:w="2103" w:type="dxa"/>
            <w:tcBorders>
              <w:left w:val="single" w:sz="4" w:space="0" w:color="auto"/>
              <w:bottom w:val="nil"/>
            </w:tcBorders>
            <w:shd w:val="clear" w:color="auto" w:fill="auto"/>
          </w:tcPr>
          <w:p w14:paraId="06B7E281" w14:textId="77777777" w:rsidR="00ED4C2D" w:rsidRPr="00381DC2" w:rsidRDefault="00ED4C2D" w:rsidP="003C1003">
            <w:pPr>
              <w:pStyle w:val="Default"/>
              <w:jc w:val="center"/>
              <w:rPr>
                <w:rFonts w:eastAsia="Times New Roman"/>
                <w:sz w:val="22"/>
                <w:szCs w:val="22"/>
              </w:rPr>
            </w:pPr>
            <w:r w:rsidRPr="00381DC2">
              <w:rPr>
                <w:sz w:val="22"/>
                <w:szCs w:val="22"/>
              </w:rPr>
              <w:t>CPB15</w:t>
            </w:r>
          </w:p>
        </w:tc>
        <w:tc>
          <w:tcPr>
            <w:tcW w:w="2103" w:type="dxa"/>
            <w:tcBorders>
              <w:bottom w:val="nil"/>
              <w:right w:val="single" w:sz="4" w:space="0" w:color="auto"/>
            </w:tcBorders>
            <w:shd w:val="clear" w:color="auto" w:fill="auto"/>
          </w:tcPr>
          <w:p w14:paraId="57792AA8" w14:textId="77777777" w:rsidR="00ED4C2D" w:rsidRPr="00381DC2" w:rsidRDefault="00ED4C2D" w:rsidP="003C1003">
            <w:pPr>
              <w:pStyle w:val="Default"/>
              <w:jc w:val="center"/>
              <w:rPr>
                <w:rFonts w:eastAsia="Times New Roman"/>
                <w:sz w:val="22"/>
                <w:szCs w:val="22"/>
              </w:rPr>
            </w:pPr>
            <w:r w:rsidRPr="00381DC2">
              <w:rPr>
                <w:sz w:val="22"/>
                <w:szCs w:val="22"/>
              </w:rPr>
              <w:t>CPB15+</w:t>
            </w:r>
          </w:p>
        </w:tc>
      </w:tr>
      <w:tr w:rsidR="00ED4C2D" w:rsidRPr="00F60460" w14:paraId="2BC623A1" w14:textId="77777777" w:rsidTr="003C1003">
        <w:tc>
          <w:tcPr>
            <w:tcW w:w="2970" w:type="dxa"/>
            <w:tcBorders>
              <w:top w:val="nil"/>
              <w:left w:val="single" w:sz="4" w:space="0" w:color="auto"/>
              <w:bottom w:val="nil"/>
              <w:right w:val="single" w:sz="4" w:space="0" w:color="auto"/>
            </w:tcBorders>
            <w:shd w:val="clear" w:color="auto" w:fill="auto"/>
          </w:tcPr>
          <w:p w14:paraId="14BBA80D" w14:textId="77777777" w:rsidR="00ED4C2D" w:rsidRPr="00381DC2" w:rsidRDefault="00ED4C2D" w:rsidP="003C1003">
            <w:pPr>
              <w:rPr>
                <w:rFonts w:ascii="Times New Roman" w:eastAsia="Times New Roman" w:hAnsi="Times New Roman"/>
                <w:color w:val="000000"/>
              </w:rPr>
            </w:pPr>
          </w:p>
        </w:tc>
        <w:tc>
          <w:tcPr>
            <w:tcW w:w="2102" w:type="dxa"/>
            <w:tcBorders>
              <w:top w:val="nil"/>
              <w:left w:val="single" w:sz="4" w:space="0" w:color="auto"/>
              <w:bottom w:val="nil"/>
              <w:right w:val="single" w:sz="4" w:space="0" w:color="auto"/>
            </w:tcBorders>
            <w:shd w:val="clear" w:color="auto" w:fill="auto"/>
          </w:tcPr>
          <w:p w14:paraId="7E2AA5CE" w14:textId="77777777" w:rsidR="00ED4C2D" w:rsidRPr="00381DC2" w:rsidRDefault="00ED4C2D" w:rsidP="003C1003">
            <w:pPr>
              <w:pStyle w:val="Default"/>
              <w:jc w:val="center"/>
              <w:rPr>
                <w:rFonts w:eastAsia="Times New Roman"/>
                <w:sz w:val="22"/>
                <w:szCs w:val="22"/>
              </w:rPr>
            </w:pPr>
            <w:r w:rsidRPr="00381DC2">
              <w:rPr>
                <w:sz w:val="22"/>
                <w:szCs w:val="22"/>
              </w:rPr>
              <w:t>(n = 625)</w:t>
            </w:r>
          </w:p>
        </w:tc>
        <w:tc>
          <w:tcPr>
            <w:tcW w:w="2103" w:type="dxa"/>
            <w:tcBorders>
              <w:top w:val="nil"/>
              <w:left w:val="single" w:sz="4" w:space="0" w:color="auto"/>
              <w:bottom w:val="nil"/>
            </w:tcBorders>
            <w:shd w:val="clear" w:color="auto" w:fill="auto"/>
          </w:tcPr>
          <w:p w14:paraId="4527BAAF" w14:textId="77777777" w:rsidR="00ED4C2D" w:rsidRPr="00381DC2" w:rsidRDefault="00ED4C2D" w:rsidP="003C1003">
            <w:pPr>
              <w:pStyle w:val="Default"/>
              <w:jc w:val="center"/>
              <w:rPr>
                <w:rFonts w:eastAsia="Times New Roman"/>
                <w:sz w:val="22"/>
                <w:szCs w:val="22"/>
              </w:rPr>
            </w:pPr>
            <w:r w:rsidRPr="00381DC2">
              <w:rPr>
                <w:sz w:val="22"/>
                <w:szCs w:val="22"/>
              </w:rPr>
              <w:t>(n = 625)</w:t>
            </w:r>
          </w:p>
        </w:tc>
        <w:tc>
          <w:tcPr>
            <w:tcW w:w="2103" w:type="dxa"/>
            <w:tcBorders>
              <w:top w:val="nil"/>
              <w:bottom w:val="nil"/>
              <w:right w:val="single" w:sz="4" w:space="0" w:color="auto"/>
            </w:tcBorders>
            <w:shd w:val="clear" w:color="auto" w:fill="auto"/>
          </w:tcPr>
          <w:p w14:paraId="2031A651" w14:textId="77777777" w:rsidR="00ED4C2D" w:rsidRPr="00381DC2" w:rsidRDefault="00ED4C2D" w:rsidP="003C1003">
            <w:pPr>
              <w:pStyle w:val="Default"/>
              <w:jc w:val="center"/>
              <w:rPr>
                <w:rFonts w:eastAsia="Times New Roman"/>
                <w:sz w:val="22"/>
                <w:szCs w:val="22"/>
              </w:rPr>
            </w:pPr>
            <w:r w:rsidRPr="00381DC2">
              <w:rPr>
                <w:sz w:val="22"/>
                <w:szCs w:val="22"/>
              </w:rPr>
              <w:t>(n = 623)</w:t>
            </w:r>
          </w:p>
        </w:tc>
      </w:tr>
      <w:tr w:rsidR="00ED4C2D" w:rsidRPr="00F60460" w14:paraId="541D5173" w14:textId="77777777" w:rsidTr="003C1003">
        <w:tc>
          <w:tcPr>
            <w:tcW w:w="2970" w:type="dxa"/>
            <w:tcBorders>
              <w:top w:val="nil"/>
              <w:left w:val="single" w:sz="4" w:space="0" w:color="auto"/>
              <w:bottom w:val="nil"/>
              <w:right w:val="single" w:sz="4" w:space="0" w:color="auto"/>
            </w:tcBorders>
            <w:shd w:val="clear" w:color="auto" w:fill="auto"/>
          </w:tcPr>
          <w:p w14:paraId="6B51A5C9" w14:textId="77777777" w:rsidR="00ED4C2D" w:rsidRPr="00381DC2" w:rsidRDefault="00ED4C2D" w:rsidP="003C1003">
            <w:pPr>
              <w:pStyle w:val="Default"/>
              <w:rPr>
                <w:rFonts w:eastAsia="Times New Roman"/>
                <w:sz w:val="22"/>
                <w:szCs w:val="22"/>
              </w:rPr>
            </w:pPr>
            <w:r w:rsidRPr="00381DC2">
              <w:rPr>
                <w:sz w:val="22"/>
                <w:szCs w:val="22"/>
              </w:rPr>
              <w:t>Střední přežití bez progrese (měsíce)</w:t>
            </w:r>
          </w:p>
        </w:tc>
        <w:tc>
          <w:tcPr>
            <w:tcW w:w="2102" w:type="dxa"/>
            <w:tcBorders>
              <w:top w:val="nil"/>
              <w:left w:val="single" w:sz="4" w:space="0" w:color="auto"/>
              <w:bottom w:val="nil"/>
              <w:right w:val="single" w:sz="4" w:space="0" w:color="auto"/>
            </w:tcBorders>
            <w:shd w:val="clear" w:color="auto" w:fill="auto"/>
          </w:tcPr>
          <w:p w14:paraId="3652091B" w14:textId="77777777" w:rsidR="00ED4C2D" w:rsidRPr="00381DC2" w:rsidRDefault="00ED4C2D" w:rsidP="003C1003">
            <w:pPr>
              <w:pStyle w:val="Default"/>
              <w:jc w:val="center"/>
              <w:rPr>
                <w:rFonts w:eastAsia="Times New Roman"/>
                <w:sz w:val="22"/>
                <w:szCs w:val="22"/>
              </w:rPr>
            </w:pPr>
            <w:r w:rsidRPr="00381DC2">
              <w:rPr>
                <w:sz w:val="22"/>
                <w:szCs w:val="22"/>
              </w:rPr>
              <w:t>10,6</w:t>
            </w:r>
          </w:p>
        </w:tc>
        <w:tc>
          <w:tcPr>
            <w:tcW w:w="2103" w:type="dxa"/>
            <w:tcBorders>
              <w:top w:val="nil"/>
              <w:left w:val="single" w:sz="4" w:space="0" w:color="auto"/>
              <w:bottom w:val="nil"/>
            </w:tcBorders>
            <w:shd w:val="clear" w:color="auto" w:fill="auto"/>
          </w:tcPr>
          <w:p w14:paraId="043418AB" w14:textId="77777777" w:rsidR="00ED4C2D" w:rsidRPr="00381DC2" w:rsidRDefault="00ED4C2D" w:rsidP="003C1003">
            <w:pPr>
              <w:pStyle w:val="Default"/>
              <w:jc w:val="center"/>
              <w:rPr>
                <w:rFonts w:eastAsia="Times New Roman"/>
                <w:sz w:val="22"/>
                <w:szCs w:val="22"/>
              </w:rPr>
            </w:pPr>
            <w:r w:rsidRPr="00381DC2">
              <w:rPr>
                <w:sz w:val="22"/>
                <w:szCs w:val="22"/>
              </w:rPr>
              <w:t>11,6</w:t>
            </w:r>
          </w:p>
        </w:tc>
        <w:tc>
          <w:tcPr>
            <w:tcW w:w="2103" w:type="dxa"/>
            <w:tcBorders>
              <w:top w:val="nil"/>
              <w:bottom w:val="nil"/>
              <w:right w:val="single" w:sz="4" w:space="0" w:color="auto"/>
            </w:tcBorders>
            <w:shd w:val="clear" w:color="auto" w:fill="auto"/>
          </w:tcPr>
          <w:p w14:paraId="5DA31303" w14:textId="77777777" w:rsidR="00ED4C2D" w:rsidRPr="00381DC2" w:rsidRDefault="00ED4C2D" w:rsidP="003C1003">
            <w:pPr>
              <w:pStyle w:val="Default"/>
              <w:jc w:val="center"/>
              <w:rPr>
                <w:rFonts w:eastAsia="Times New Roman"/>
                <w:sz w:val="22"/>
                <w:szCs w:val="22"/>
              </w:rPr>
            </w:pPr>
            <w:r w:rsidRPr="00381DC2">
              <w:rPr>
                <w:sz w:val="22"/>
                <w:szCs w:val="22"/>
              </w:rPr>
              <w:t>14,7</w:t>
            </w:r>
          </w:p>
        </w:tc>
      </w:tr>
      <w:tr w:rsidR="00ED4C2D" w:rsidRPr="00F60460" w14:paraId="55AEC97A" w14:textId="77777777" w:rsidTr="003C1003">
        <w:tc>
          <w:tcPr>
            <w:tcW w:w="2970" w:type="dxa"/>
            <w:tcBorders>
              <w:top w:val="nil"/>
              <w:left w:val="single" w:sz="4" w:space="0" w:color="auto"/>
              <w:bottom w:val="nil"/>
              <w:right w:val="single" w:sz="4" w:space="0" w:color="auto"/>
            </w:tcBorders>
            <w:shd w:val="clear" w:color="auto" w:fill="auto"/>
          </w:tcPr>
          <w:p w14:paraId="03CA902F" w14:textId="77777777" w:rsidR="00ED4C2D" w:rsidRPr="00381DC2" w:rsidRDefault="00ED4C2D" w:rsidP="003C1003">
            <w:pPr>
              <w:pStyle w:val="Default"/>
              <w:rPr>
                <w:rFonts w:eastAsia="Times New Roman"/>
                <w:sz w:val="22"/>
                <w:szCs w:val="22"/>
              </w:rPr>
            </w:pPr>
            <w:r w:rsidRPr="00381DC2">
              <w:rPr>
                <w:sz w:val="22"/>
                <w:szCs w:val="22"/>
              </w:rPr>
              <w:t>Poměr rizik (95% interval spolehlivosti)</w:t>
            </w:r>
            <w:r w:rsidRPr="00381DC2">
              <w:rPr>
                <w:sz w:val="22"/>
                <w:szCs w:val="22"/>
                <w:vertAlign w:val="superscript"/>
              </w:rPr>
              <w:t>2</w:t>
            </w:r>
            <w:r w:rsidRPr="00381DC2">
              <w:rPr>
                <w:sz w:val="22"/>
                <w:szCs w:val="22"/>
              </w:rPr>
              <w:t xml:space="preserve"> </w:t>
            </w:r>
          </w:p>
        </w:tc>
        <w:tc>
          <w:tcPr>
            <w:tcW w:w="2102" w:type="dxa"/>
            <w:tcBorders>
              <w:top w:val="nil"/>
              <w:left w:val="single" w:sz="4" w:space="0" w:color="auto"/>
              <w:bottom w:val="nil"/>
              <w:right w:val="single" w:sz="4" w:space="0" w:color="auto"/>
            </w:tcBorders>
            <w:shd w:val="clear" w:color="auto" w:fill="auto"/>
          </w:tcPr>
          <w:p w14:paraId="0D0A01AA" w14:textId="77777777" w:rsidR="00ED4C2D" w:rsidRPr="00381DC2" w:rsidRDefault="00ED4C2D" w:rsidP="003C1003">
            <w:pPr>
              <w:jc w:val="center"/>
              <w:rPr>
                <w:rFonts w:ascii="Times New Roman" w:eastAsia="Times New Roman" w:hAnsi="Times New Roman"/>
                <w:color w:val="000000"/>
              </w:rPr>
            </w:pPr>
          </w:p>
        </w:tc>
        <w:tc>
          <w:tcPr>
            <w:tcW w:w="2103" w:type="dxa"/>
            <w:tcBorders>
              <w:top w:val="nil"/>
              <w:left w:val="single" w:sz="4" w:space="0" w:color="auto"/>
              <w:bottom w:val="nil"/>
            </w:tcBorders>
            <w:shd w:val="clear" w:color="auto" w:fill="auto"/>
          </w:tcPr>
          <w:p w14:paraId="53EE9F23" w14:textId="77777777" w:rsidR="00ED4C2D" w:rsidRPr="00381DC2" w:rsidRDefault="00ED4C2D" w:rsidP="003C1003">
            <w:pPr>
              <w:pStyle w:val="Default"/>
              <w:jc w:val="center"/>
              <w:rPr>
                <w:rFonts w:eastAsia="Times New Roman"/>
                <w:sz w:val="22"/>
                <w:szCs w:val="22"/>
              </w:rPr>
            </w:pPr>
            <w:r w:rsidRPr="00381DC2">
              <w:rPr>
                <w:sz w:val="22"/>
                <w:szCs w:val="22"/>
              </w:rPr>
              <w:t>0,89</w:t>
            </w:r>
          </w:p>
        </w:tc>
        <w:tc>
          <w:tcPr>
            <w:tcW w:w="2103" w:type="dxa"/>
            <w:tcBorders>
              <w:top w:val="nil"/>
              <w:bottom w:val="nil"/>
              <w:right w:val="single" w:sz="4" w:space="0" w:color="auto"/>
            </w:tcBorders>
            <w:shd w:val="clear" w:color="auto" w:fill="auto"/>
          </w:tcPr>
          <w:p w14:paraId="045BED64" w14:textId="77777777" w:rsidR="00ED4C2D" w:rsidRPr="00381DC2" w:rsidRDefault="00ED4C2D" w:rsidP="003C1003">
            <w:pPr>
              <w:pStyle w:val="Default"/>
              <w:jc w:val="center"/>
              <w:rPr>
                <w:rFonts w:eastAsia="Times New Roman"/>
                <w:sz w:val="22"/>
                <w:szCs w:val="22"/>
              </w:rPr>
            </w:pPr>
            <w:r w:rsidRPr="00381DC2">
              <w:rPr>
                <w:sz w:val="22"/>
                <w:szCs w:val="22"/>
              </w:rPr>
              <w:t>0,70</w:t>
            </w:r>
          </w:p>
        </w:tc>
      </w:tr>
      <w:tr w:rsidR="00ED4C2D" w:rsidRPr="00F60460" w14:paraId="613F7DDF" w14:textId="77777777" w:rsidTr="003C1003">
        <w:tc>
          <w:tcPr>
            <w:tcW w:w="2970" w:type="dxa"/>
            <w:tcBorders>
              <w:top w:val="nil"/>
              <w:left w:val="single" w:sz="4" w:space="0" w:color="auto"/>
              <w:bottom w:val="nil"/>
              <w:right w:val="single" w:sz="4" w:space="0" w:color="auto"/>
            </w:tcBorders>
            <w:shd w:val="clear" w:color="auto" w:fill="auto"/>
          </w:tcPr>
          <w:p w14:paraId="2D743758" w14:textId="77777777" w:rsidR="00ED4C2D" w:rsidRPr="00381DC2" w:rsidRDefault="00ED4C2D" w:rsidP="003C1003">
            <w:pPr>
              <w:rPr>
                <w:rFonts w:ascii="Times New Roman" w:eastAsia="Times New Roman" w:hAnsi="Times New Roman"/>
                <w:color w:val="000000"/>
              </w:rPr>
            </w:pPr>
          </w:p>
        </w:tc>
        <w:tc>
          <w:tcPr>
            <w:tcW w:w="2102" w:type="dxa"/>
            <w:tcBorders>
              <w:top w:val="nil"/>
              <w:left w:val="single" w:sz="4" w:space="0" w:color="auto"/>
              <w:bottom w:val="nil"/>
              <w:right w:val="single" w:sz="4" w:space="0" w:color="auto"/>
            </w:tcBorders>
            <w:shd w:val="clear" w:color="auto" w:fill="auto"/>
          </w:tcPr>
          <w:p w14:paraId="5E7C05A1" w14:textId="77777777" w:rsidR="00ED4C2D" w:rsidRPr="00381DC2" w:rsidRDefault="00ED4C2D" w:rsidP="003C1003">
            <w:pPr>
              <w:jc w:val="center"/>
              <w:rPr>
                <w:rFonts w:ascii="Times New Roman" w:eastAsia="Times New Roman" w:hAnsi="Times New Roman"/>
                <w:color w:val="000000"/>
              </w:rPr>
            </w:pPr>
          </w:p>
        </w:tc>
        <w:tc>
          <w:tcPr>
            <w:tcW w:w="2103" w:type="dxa"/>
            <w:tcBorders>
              <w:top w:val="nil"/>
              <w:left w:val="single" w:sz="4" w:space="0" w:color="auto"/>
              <w:bottom w:val="nil"/>
            </w:tcBorders>
            <w:shd w:val="clear" w:color="auto" w:fill="auto"/>
          </w:tcPr>
          <w:p w14:paraId="56F0E973" w14:textId="77777777" w:rsidR="00ED4C2D" w:rsidRPr="00381DC2" w:rsidRDefault="00ED4C2D" w:rsidP="003C1003">
            <w:pPr>
              <w:pStyle w:val="Default"/>
              <w:jc w:val="center"/>
              <w:rPr>
                <w:rFonts w:eastAsia="Times New Roman"/>
                <w:sz w:val="22"/>
                <w:szCs w:val="22"/>
              </w:rPr>
            </w:pPr>
            <w:r w:rsidRPr="00381DC2">
              <w:rPr>
                <w:sz w:val="22"/>
                <w:szCs w:val="22"/>
              </w:rPr>
              <w:t>(0,78, 1,02)</w:t>
            </w:r>
          </w:p>
        </w:tc>
        <w:tc>
          <w:tcPr>
            <w:tcW w:w="2103" w:type="dxa"/>
            <w:tcBorders>
              <w:top w:val="nil"/>
              <w:bottom w:val="nil"/>
              <w:right w:val="single" w:sz="4" w:space="0" w:color="auto"/>
            </w:tcBorders>
            <w:shd w:val="clear" w:color="auto" w:fill="auto"/>
          </w:tcPr>
          <w:p w14:paraId="7338B332" w14:textId="77777777" w:rsidR="00ED4C2D" w:rsidRPr="00381DC2" w:rsidRDefault="00ED4C2D" w:rsidP="003C1003">
            <w:pPr>
              <w:pStyle w:val="Default"/>
              <w:jc w:val="center"/>
              <w:rPr>
                <w:rFonts w:eastAsia="Times New Roman"/>
                <w:sz w:val="22"/>
                <w:szCs w:val="22"/>
              </w:rPr>
            </w:pPr>
            <w:r w:rsidRPr="00381DC2">
              <w:rPr>
                <w:sz w:val="22"/>
                <w:szCs w:val="22"/>
              </w:rPr>
              <w:t>(0,61, 0,81)</w:t>
            </w:r>
          </w:p>
        </w:tc>
      </w:tr>
      <w:tr w:rsidR="00ED4C2D" w:rsidRPr="00F60460" w14:paraId="4DAE29C1" w14:textId="77777777" w:rsidTr="003C1003">
        <w:tc>
          <w:tcPr>
            <w:tcW w:w="2970" w:type="dxa"/>
            <w:tcBorders>
              <w:top w:val="nil"/>
              <w:left w:val="single" w:sz="4" w:space="0" w:color="auto"/>
              <w:bottom w:val="single" w:sz="4" w:space="0" w:color="auto"/>
              <w:right w:val="single" w:sz="4" w:space="0" w:color="auto"/>
            </w:tcBorders>
            <w:shd w:val="clear" w:color="auto" w:fill="auto"/>
          </w:tcPr>
          <w:p w14:paraId="5BCCC5D4" w14:textId="77777777" w:rsidR="00ED4C2D" w:rsidRPr="00381DC2" w:rsidRDefault="00ED4C2D" w:rsidP="003C1003">
            <w:pPr>
              <w:pStyle w:val="Default"/>
              <w:rPr>
                <w:rFonts w:eastAsia="Times New Roman"/>
                <w:sz w:val="22"/>
                <w:szCs w:val="22"/>
              </w:rPr>
            </w:pPr>
            <w:r w:rsidRPr="00381DC2">
              <w:rPr>
                <w:sz w:val="22"/>
                <w:szCs w:val="22"/>
              </w:rPr>
              <w:t>p-hodnota</w:t>
            </w:r>
            <w:r w:rsidRPr="00381DC2">
              <w:rPr>
                <w:sz w:val="22"/>
                <w:szCs w:val="22"/>
                <w:vertAlign w:val="superscript"/>
              </w:rPr>
              <w:t>3,4</w:t>
            </w:r>
            <w:r w:rsidRPr="00381DC2">
              <w:rPr>
                <w:sz w:val="22"/>
                <w:szCs w:val="22"/>
              </w:rPr>
              <w:t xml:space="preserve"> </w:t>
            </w:r>
          </w:p>
        </w:tc>
        <w:tc>
          <w:tcPr>
            <w:tcW w:w="2102" w:type="dxa"/>
            <w:tcBorders>
              <w:top w:val="nil"/>
              <w:left w:val="single" w:sz="4" w:space="0" w:color="auto"/>
              <w:bottom w:val="single" w:sz="4" w:space="0" w:color="auto"/>
              <w:right w:val="single" w:sz="4" w:space="0" w:color="auto"/>
            </w:tcBorders>
            <w:shd w:val="clear" w:color="auto" w:fill="auto"/>
          </w:tcPr>
          <w:p w14:paraId="59CE2C7B" w14:textId="77777777" w:rsidR="00ED4C2D" w:rsidRPr="00381DC2" w:rsidRDefault="00ED4C2D" w:rsidP="003C1003">
            <w:pPr>
              <w:jc w:val="center"/>
              <w:rPr>
                <w:rFonts w:ascii="Times New Roman" w:eastAsia="Times New Roman" w:hAnsi="Times New Roman"/>
                <w:color w:val="000000"/>
              </w:rPr>
            </w:pPr>
          </w:p>
        </w:tc>
        <w:tc>
          <w:tcPr>
            <w:tcW w:w="2103" w:type="dxa"/>
            <w:tcBorders>
              <w:top w:val="nil"/>
              <w:left w:val="single" w:sz="4" w:space="0" w:color="auto"/>
              <w:bottom w:val="single" w:sz="4" w:space="0" w:color="auto"/>
            </w:tcBorders>
            <w:shd w:val="clear" w:color="auto" w:fill="auto"/>
          </w:tcPr>
          <w:p w14:paraId="558D5C0D" w14:textId="77777777" w:rsidR="00ED4C2D" w:rsidRPr="00381DC2" w:rsidRDefault="00ED4C2D" w:rsidP="003C1003">
            <w:pPr>
              <w:pStyle w:val="Default"/>
              <w:jc w:val="center"/>
              <w:rPr>
                <w:rFonts w:eastAsia="Times New Roman"/>
                <w:sz w:val="22"/>
                <w:szCs w:val="22"/>
              </w:rPr>
            </w:pPr>
            <w:r w:rsidRPr="00381DC2">
              <w:rPr>
                <w:sz w:val="22"/>
                <w:szCs w:val="22"/>
              </w:rPr>
              <w:t>0,0437</w:t>
            </w:r>
          </w:p>
        </w:tc>
        <w:tc>
          <w:tcPr>
            <w:tcW w:w="2103" w:type="dxa"/>
            <w:tcBorders>
              <w:top w:val="nil"/>
              <w:bottom w:val="single" w:sz="4" w:space="0" w:color="auto"/>
              <w:right w:val="single" w:sz="4" w:space="0" w:color="auto"/>
            </w:tcBorders>
            <w:shd w:val="clear" w:color="auto" w:fill="auto"/>
          </w:tcPr>
          <w:p w14:paraId="2B1131BF" w14:textId="77777777" w:rsidR="00ED4C2D" w:rsidRPr="00381DC2" w:rsidRDefault="00ED4C2D" w:rsidP="003C1003">
            <w:pPr>
              <w:pStyle w:val="Default"/>
              <w:jc w:val="center"/>
              <w:rPr>
                <w:rFonts w:eastAsia="Times New Roman"/>
                <w:sz w:val="22"/>
                <w:szCs w:val="22"/>
              </w:rPr>
            </w:pPr>
            <w:r w:rsidRPr="00381DC2">
              <w:rPr>
                <w:sz w:val="22"/>
                <w:szCs w:val="22"/>
              </w:rPr>
              <w:t>&lt; 0,0001</w:t>
            </w:r>
          </w:p>
        </w:tc>
      </w:tr>
      <w:tr w:rsidR="00ED4C2D" w:rsidRPr="00F60460" w14:paraId="544353F6" w14:textId="77777777" w:rsidTr="003C1003">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2D84A1E3" w14:textId="77777777" w:rsidR="00ED4C2D" w:rsidRPr="00381DC2" w:rsidRDefault="00ED4C2D" w:rsidP="003C1003">
            <w:pPr>
              <w:rPr>
                <w:rFonts w:ascii="Times New Roman" w:eastAsia="Times New Roman" w:hAnsi="Times New Roman"/>
                <w:color w:val="000000"/>
              </w:rPr>
            </w:pPr>
            <w:r w:rsidRPr="00381DC2">
              <w:rPr>
                <w:rFonts w:ascii="Times New Roman" w:hAnsi="Times New Roman"/>
                <w:color w:val="000000"/>
              </w:rPr>
              <w:t>Četnost objektivních odpovědí</w:t>
            </w:r>
            <w:r w:rsidRPr="00381DC2">
              <w:rPr>
                <w:rFonts w:ascii="Times New Roman" w:hAnsi="Times New Roman"/>
                <w:color w:val="000000"/>
                <w:vertAlign w:val="superscript"/>
              </w:rPr>
              <w:t>5</w:t>
            </w:r>
          </w:p>
        </w:tc>
      </w:tr>
      <w:tr w:rsidR="00ED4C2D" w:rsidRPr="00F60460" w14:paraId="7CA32762" w14:textId="77777777" w:rsidTr="003C1003">
        <w:tc>
          <w:tcPr>
            <w:tcW w:w="2970" w:type="dxa"/>
            <w:tcBorders>
              <w:left w:val="single" w:sz="4" w:space="0" w:color="auto"/>
              <w:bottom w:val="nil"/>
            </w:tcBorders>
            <w:shd w:val="clear" w:color="auto" w:fill="auto"/>
          </w:tcPr>
          <w:p w14:paraId="35F8DDAF" w14:textId="77777777" w:rsidR="00ED4C2D" w:rsidRPr="00381DC2" w:rsidRDefault="00ED4C2D" w:rsidP="003C1003">
            <w:pPr>
              <w:rPr>
                <w:rFonts w:ascii="Times New Roman" w:eastAsia="Times New Roman" w:hAnsi="Times New Roman"/>
                <w:color w:val="000000"/>
              </w:rPr>
            </w:pPr>
          </w:p>
        </w:tc>
        <w:tc>
          <w:tcPr>
            <w:tcW w:w="2102" w:type="dxa"/>
            <w:tcBorders>
              <w:bottom w:val="nil"/>
            </w:tcBorders>
            <w:shd w:val="clear" w:color="auto" w:fill="auto"/>
          </w:tcPr>
          <w:p w14:paraId="275D49D5" w14:textId="77777777" w:rsidR="00ED4C2D" w:rsidRPr="00381DC2" w:rsidRDefault="00ED4C2D" w:rsidP="003C1003">
            <w:pPr>
              <w:pStyle w:val="Default"/>
              <w:jc w:val="center"/>
              <w:rPr>
                <w:rFonts w:eastAsia="Times New Roman"/>
                <w:sz w:val="22"/>
                <w:szCs w:val="22"/>
              </w:rPr>
            </w:pPr>
            <w:r w:rsidRPr="00381DC2">
              <w:rPr>
                <w:sz w:val="22"/>
                <w:szCs w:val="22"/>
              </w:rPr>
              <w:t>CPP</w:t>
            </w:r>
          </w:p>
        </w:tc>
        <w:tc>
          <w:tcPr>
            <w:tcW w:w="2103" w:type="dxa"/>
            <w:tcBorders>
              <w:bottom w:val="nil"/>
            </w:tcBorders>
            <w:shd w:val="clear" w:color="auto" w:fill="auto"/>
          </w:tcPr>
          <w:p w14:paraId="40E64041" w14:textId="77777777" w:rsidR="00ED4C2D" w:rsidRPr="00381DC2" w:rsidRDefault="00ED4C2D" w:rsidP="003C1003">
            <w:pPr>
              <w:pStyle w:val="Default"/>
              <w:jc w:val="center"/>
              <w:rPr>
                <w:rFonts w:eastAsia="Times New Roman"/>
                <w:sz w:val="22"/>
                <w:szCs w:val="22"/>
              </w:rPr>
            </w:pPr>
            <w:r w:rsidRPr="00381DC2">
              <w:rPr>
                <w:sz w:val="22"/>
                <w:szCs w:val="22"/>
              </w:rPr>
              <w:t>CPB15</w:t>
            </w:r>
          </w:p>
        </w:tc>
        <w:tc>
          <w:tcPr>
            <w:tcW w:w="2103" w:type="dxa"/>
            <w:tcBorders>
              <w:bottom w:val="nil"/>
              <w:right w:val="single" w:sz="4" w:space="0" w:color="auto"/>
            </w:tcBorders>
            <w:shd w:val="clear" w:color="auto" w:fill="auto"/>
          </w:tcPr>
          <w:p w14:paraId="5C3BC937" w14:textId="77777777" w:rsidR="00ED4C2D" w:rsidRPr="00381DC2" w:rsidRDefault="00ED4C2D" w:rsidP="003C1003">
            <w:pPr>
              <w:pStyle w:val="Default"/>
              <w:jc w:val="center"/>
              <w:rPr>
                <w:rFonts w:eastAsia="Times New Roman"/>
                <w:sz w:val="22"/>
                <w:szCs w:val="22"/>
              </w:rPr>
            </w:pPr>
            <w:r w:rsidRPr="00381DC2">
              <w:rPr>
                <w:sz w:val="22"/>
                <w:szCs w:val="22"/>
              </w:rPr>
              <w:t>CPB15 +</w:t>
            </w:r>
          </w:p>
        </w:tc>
      </w:tr>
      <w:tr w:rsidR="00ED4C2D" w:rsidRPr="00F60460" w14:paraId="55E8C52C" w14:textId="77777777" w:rsidTr="003C1003">
        <w:tc>
          <w:tcPr>
            <w:tcW w:w="2970" w:type="dxa"/>
            <w:tcBorders>
              <w:top w:val="nil"/>
              <w:left w:val="single" w:sz="4" w:space="0" w:color="auto"/>
              <w:bottom w:val="nil"/>
            </w:tcBorders>
            <w:shd w:val="clear" w:color="auto" w:fill="auto"/>
          </w:tcPr>
          <w:p w14:paraId="1A2AC3BB" w14:textId="77777777" w:rsidR="00ED4C2D" w:rsidRPr="00381DC2" w:rsidRDefault="00ED4C2D" w:rsidP="003C1003">
            <w:pPr>
              <w:rPr>
                <w:rFonts w:ascii="Times New Roman" w:eastAsia="Times New Roman" w:hAnsi="Times New Roman"/>
                <w:color w:val="000000"/>
              </w:rPr>
            </w:pPr>
          </w:p>
        </w:tc>
        <w:tc>
          <w:tcPr>
            <w:tcW w:w="2102" w:type="dxa"/>
            <w:tcBorders>
              <w:top w:val="nil"/>
              <w:bottom w:val="nil"/>
            </w:tcBorders>
            <w:shd w:val="clear" w:color="auto" w:fill="auto"/>
          </w:tcPr>
          <w:p w14:paraId="75A38A6A" w14:textId="77777777" w:rsidR="00ED4C2D" w:rsidRPr="00381DC2" w:rsidRDefault="00ED4C2D" w:rsidP="003C1003">
            <w:pPr>
              <w:pStyle w:val="Default"/>
              <w:jc w:val="center"/>
              <w:rPr>
                <w:rFonts w:eastAsia="Times New Roman"/>
                <w:sz w:val="22"/>
                <w:szCs w:val="22"/>
              </w:rPr>
            </w:pPr>
            <w:r w:rsidRPr="00381DC2">
              <w:rPr>
                <w:sz w:val="22"/>
                <w:szCs w:val="22"/>
              </w:rPr>
              <w:t>(n = 396)</w:t>
            </w:r>
          </w:p>
        </w:tc>
        <w:tc>
          <w:tcPr>
            <w:tcW w:w="2103" w:type="dxa"/>
            <w:tcBorders>
              <w:top w:val="nil"/>
              <w:bottom w:val="nil"/>
            </w:tcBorders>
            <w:shd w:val="clear" w:color="auto" w:fill="auto"/>
          </w:tcPr>
          <w:p w14:paraId="1E01E82A" w14:textId="77777777" w:rsidR="00ED4C2D" w:rsidRPr="00381DC2" w:rsidRDefault="00ED4C2D" w:rsidP="003C1003">
            <w:pPr>
              <w:pStyle w:val="Default"/>
              <w:jc w:val="center"/>
              <w:rPr>
                <w:rFonts w:eastAsia="Times New Roman"/>
                <w:sz w:val="22"/>
                <w:szCs w:val="22"/>
              </w:rPr>
            </w:pPr>
            <w:r w:rsidRPr="00381DC2">
              <w:rPr>
                <w:sz w:val="22"/>
                <w:szCs w:val="22"/>
              </w:rPr>
              <w:t>(n = 393)</w:t>
            </w:r>
          </w:p>
        </w:tc>
        <w:tc>
          <w:tcPr>
            <w:tcW w:w="2103" w:type="dxa"/>
            <w:tcBorders>
              <w:top w:val="nil"/>
              <w:bottom w:val="nil"/>
              <w:right w:val="single" w:sz="4" w:space="0" w:color="auto"/>
            </w:tcBorders>
            <w:shd w:val="clear" w:color="auto" w:fill="auto"/>
          </w:tcPr>
          <w:p w14:paraId="4A345D36" w14:textId="77777777" w:rsidR="00ED4C2D" w:rsidRPr="00381DC2" w:rsidRDefault="00ED4C2D" w:rsidP="003C1003">
            <w:pPr>
              <w:pStyle w:val="Default"/>
              <w:jc w:val="center"/>
              <w:rPr>
                <w:rFonts w:eastAsia="Times New Roman"/>
                <w:sz w:val="22"/>
                <w:szCs w:val="22"/>
              </w:rPr>
            </w:pPr>
            <w:r w:rsidRPr="00381DC2">
              <w:rPr>
                <w:sz w:val="22"/>
                <w:szCs w:val="22"/>
              </w:rPr>
              <w:t>(n = 403)</w:t>
            </w:r>
          </w:p>
        </w:tc>
      </w:tr>
      <w:tr w:rsidR="00ED4C2D" w:rsidRPr="00F60460" w14:paraId="3063DEF1" w14:textId="77777777" w:rsidTr="003C1003">
        <w:tc>
          <w:tcPr>
            <w:tcW w:w="2970" w:type="dxa"/>
            <w:tcBorders>
              <w:top w:val="nil"/>
              <w:left w:val="single" w:sz="4" w:space="0" w:color="auto"/>
              <w:bottom w:val="nil"/>
            </w:tcBorders>
            <w:shd w:val="clear" w:color="auto" w:fill="auto"/>
          </w:tcPr>
          <w:p w14:paraId="5DE0F9AE" w14:textId="77777777" w:rsidR="00ED4C2D" w:rsidRPr="00381DC2" w:rsidRDefault="00ED4C2D" w:rsidP="003C1003">
            <w:pPr>
              <w:pStyle w:val="Default"/>
              <w:rPr>
                <w:rFonts w:eastAsia="Times New Roman"/>
                <w:sz w:val="22"/>
                <w:szCs w:val="22"/>
              </w:rPr>
            </w:pPr>
            <w:r w:rsidRPr="00381DC2">
              <w:rPr>
                <w:sz w:val="22"/>
                <w:szCs w:val="22"/>
              </w:rPr>
              <w:t xml:space="preserve">% pacientek s objektivní odpovědí </w:t>
            </w:r>
          </w:p>
        </w:tc>
        <w:tc>
          <w:tcPr>
            <w:tcW w:w="2102" w:type="dxa"/>
            <w:tcBorders>
              <w:top w:val="nil"/>
              <w:bottom w:val="nil"/>
            </w:tcBorders>
            <w:shd w:val="clear" w:color="auto" w:fill="auto"/>
          </w:tcPr>
          <w:p w14:paraId="1AD77A1B" w14:textId="77777777" w:rsidR="00ED4C2D" w:rsidRPr="00381DC2" w:rsidRDefault="00ED4C2D" w:rsidP="003C1003">
            <w:pPr>
              <w:pStyle w:val="Default"/>
              <w:jc w:val="center"/>
              <w:rPr>
                <w:rFonts w:eastAsia="Times New Roman"/>
                <w:sz w:val="22"/>
                <w:szCs w:val="22"/>
              </w:rPr>
            </w:pPr>
            <w:r w:rsidRPr="00381DC2">
              <w:rPr>
                <w:sz w:val="22"/>
                <w:szCs w:val="22"/>
              </w:rPr>
              <w:t>63,4</w:t>
            </w:r>
          </w:p>
        </w:tc>
        <w:tc>
          <w:tcPr>
            <w:tcW w:w="2103" w:type="dxa"/>
            <w:tcBorders>
              <w:top w:val="nil"/>
              <w:bottom w:val="nil"/>
            </w:tcBorders>
            <w:shd w:val="clear" w:color="auto" w:fill="auto"/>
          </w:tcPr>
          <w:p w14:paraId="577414E1" w14:textId="77777777" w:rsidR="00ED4C2D" w:rsidRPr="00381DC2" w:rsidRDefault="00ED4C2D" w:rsidP="003C1003">
            <w:pPr>
              <w:pStyle w:val="Default"/>
              <w:jc w:val="center"/>
              <w:rPr>
                <w:rFonts w:eastAsia="Times New Roman"/>
                <w:sz w:val="22"/>
                <w:szCs w:val="22"/>
              </w:rPr>
            </w:pPr>
            <w:r w:rsidRPr="00381DC2">
              <w:rPr>
                <w:sz w:val="22"/>
                <w:szCs w:val="22"/>
              </w:rPr>
              <w:t>66,2</w:t>
            </w:r>
          </w:p>
        </w:tc>
        <w:tc>
          <w:tcPr>
            <w:tcW w:w="2103" w:type="dxa"/>
            <w:tcBorders>
              <w:top w:val="nil"/>
              <w:bottom w:val="nil"/>
              <w:right w:val="single" w:sz="4" w:space="0" w:color="auto"/>
            </w:tcBorders>
            <w:shd w:val="clear" w:color="auto" w:fill="auto"/>
          </w:tcPr>
          <w:p w14:paraId="1B51E8FC" w14:textId="77777777" w:rsidR="00ED4C2D" w:rsidRPr="00381DC2" w:rsidRDefault="00ED4C2D" w:rsidP="003C1003">
            <w:pPr>
              <w:pStyle w:val="Default"/>
              <w:jc w:val="center"/>
              <w:rPr>
                <w:rFonts w:eastAsia="Times New Roman"/>
                <w:sz w:val="22"/>
                <w:szCs w:val="22"/>
              </w:rPr>
            </w:pPr>
            <w:r w:rsidRPr="00381DC2">
              <w:rPr>
                <w:sz w:val="22"/>
                <w:szCs w:val="22"/>
              </w:rPr>
              <w:t>66,0</w:t>
            </w:r>
          </w:p>
        </w:tc>
      </w:tr>
      <w:tr w:rsidR="00ED4C2D" w:rsidRPr="00F60460" w14:paraId="43AE0400" w14:textId="77777777" w:rsidTr="003C1003">
        <w:tc>
          <w:tcPr>
            <w:tcW w:w="2970" w:type="dxa"/>
            <w:tcBorders>
              <w:top w:val="nil"/>
              <w:left w:val="single" w:sz="4" w:space="0" w:color="auto"/>
            </w:tcBorders>
            <w:shd w:val="clear" w:color="auto" w:fill="auto"/>
          </w:tcPr>
          <w:p w14:paraId="026CA3C3" w14:textId="77777777" w:rsidR="00ED4C2D" w:rsidRPr="00381DC2" w:rsidRDefault="00ED4C2D" w:rsidP="003C1003">
            <w:pPr>
              <w:pStyle w:val="Default"/>
              <w:rPr>
                <w:rFonts w:eastAsia="Times New Roman"/>
                <w:sz w:val="22"/>
                <w:szCs w:val="22"/>
              </w:rPr>
            </w:pPr>
            <w:r w:rsidRPr="00381DC2">
              <w:rPr>
                <w:sz w:val="22"/>
                <w:szCs w:val="22"/>
              </w:rPr>
              <w:t xml:space="preserve">p-hodnota </w:t>
            </w:r>
          </w:p>
        </w:tc>
        <w:tc>
          <w:tcPr>
            <w:tcW w:w="2102" w:type="dxa"/>
            <w:tcBorders>
              <w:top w:val="nil"/>
            </w:tcBorders>
            <w:shd w:val="clear" w:color="auto" w:fill="auto"/>
          </w:tcPr>
          <w:p w14:paraId="1CD32C02" w14:textId="77777777" w:rsidR="00ED4C2D" w:rsidRPr="00381DC2" w:rsidRDefault="00ED4C2D" w:rsidP="003C1003">
            <w:pPr>
              <w:jc w:val="center"/>
              <w:rPr>
                <w:rFonts w:ascii="Times New Roman" w:eastAsia="Times New Roman" w:hAnsi="Times New Roman"/>
                <w:color w:val="000000"/>
              </w:rPr>
            </w:pPr>
          </w:p>
        </w:tc>
        <w:tc>
          <w:tcPr>
            <w:tcW w:w="2103" w:type="dxa"/>
            <w:tcBorders>
              <w:top w:val="nil"/>
            </w:tcBorders>
            <w:shd w:val="clear" w:color="auto" w:fill="auto"/>
          </w:tcPr>
          <w:p w14:paraId="6C4C1D19" w14:textId="77777777" w:rsidR="00ED4C2D" w:rsidRPr="00381DC2" w:rsidRDefault="00ED4C2D" w:rsidP="003C1003">
            <w:pPr>
              <w:pStyle w:val="Default"/>
              <w:jc w:val="center"/>
              <w:rPr>
                <w:rFonts w:eastAsia="Times New Roman"/>
                <w:sz w:val="22"/>
                <w:szCs w:val="22"/>
              </w:rPr>
            </w:pPr>
            <w:r w:rsidRPr="00381DC2">
              <w:rPr>
                <w:sz w:val="22"/>
                <w:szCs w:val="22"/>
              </w:rPr>
              <w:t>0,2341</w:t>
            </w:r>
          </w:p>
        </w:tc>
        <w:tc>
          <w:tcPr>
            <w:tcW w:w="2103" w:type="dxa"/>
            <w:tcBorders>
              <w:top w:val="nil"/>
              <w:right w:val="single" w:sz="4" w:space="0" w:color="auto"/>
            </w:tcBorders>
            <w:shd w:val="clear" w:color="auto" w:fill="auto"/>
          </w:tcPr>
          <w:p w14:paraId="3F0526CB" w14:textId="77777777" w:rsidR="00ED4C2D" w:rsidRPr="00381DC2" w:rsidRDefault="00ED4C2D" w:rsidP="003C1003">
            <w:pPr>
              <w:pStyle w:val="Default"/>
              <w:jc w:val="center"/>
              <w:rPr>
                <w:rFonts w:eastAsia="Times New Roman"/>
                <w:sz w:val="22"/>
                <w:szCs w:val="22"/>
              </w:rPr>
            </w:pPr>
            <w:r w:rsidRPr="00381DC2">
              <w:rPr>
                <w:sz w:val="22"/>
                <w:szCs w:val="22"/>
              </w:rPr>
              <w:t>0,2041</w:t>
            </w:r>
          </w:p>
        </w:tc>
      </w:tr>
      <w:tr w:rsidR="00ED4C2D" w:rsidRPr="00F60460" w14:paraId="6FABA263" w14:textId="77777777" w:rsidTr="003C1003">
        <w:tc>
          <w:tcPr>
            <w:tcW w:w="9278" w:type="dxa"/>
            <w:gridSpan w:val="4"/>
            <w:tcBorders>
              <w:left w:val="single" w:sz="4" w:space="0" w:color="auto"/>
              <w:bottom w:val="single" w:sz="4" w:space="0" w:color="auto"/>
              <w:right w:val="single" w:sz="4" w:space="0" w:color="auto"/>
            </w:tcBorders>
            <w:shd w:val="clear" w:color="auto" w:fill="auto"/>
          </w:tcPr>
          <w:p w14:paraId="05DC4E11" w14:textId="77777777" w:rsidR="00ED4C2D" w:rsidRPr="00381DC2" w:rsidRDefault="00ED4C2D" w:rsidP="003C1003">
            <w:pPr>
              <w:pStyle w:val="Default"/>
              <w:rPr>
                <w:rFonts w:eastAsia="Times New Roman"/>
                <w:sz w:val="22"/>
                <w:szCs w:val="22"/>
              </w:rPr>
            </w:pPr>
            <w:r w:rsidRPr="00381DC2">
              <w:rPr>
                <w:sz w:val="22"/>
                <w:szCs w:val="22"/>
              </w:rPr>
              <w:t>Celkové přežití</w:t>
            </w:r>
            <w:r w:rsidRPr="00381DC2">
              <w:rPr>
                <w:sz w:val="22"/>
                <w:szCs w:val="22"/>
                <w:vertAlign w:val="superscript"/>
              </w:rPr>
              <w:t>6</w:t>
            </w:r>
          </w:p>
        </w:tc>
      </w:tr>
      <w:tr w:rsidR="00ED4C2D" w:rsidRPr="00F60460" w14:paraId="738692C7" w14:textId="77777777" w:rsidTr="003C1003">
        <w:tc>
          <w:tcPr>
            <w:tcW w:w="2970" w:type="dxa"/>
            <w:tcBorders>
              <w:left w:val="single" w:sz="4" w:space="0" w:color="auto"/>
              <w:bottom w:val="nil"/>
            </w:tcBorders>
            <w:shd w:val="clear" w:color="auto" w:fill="auto"/>
          </w:tcPr>
          <w:p w14:paraId="2681A35B" w14:textId="77777777" w:rsidR="00ED4C2D" w:rsidRPr="00381DC2" w:rsidRDefault="00ED4C2D" w:rsidP="003C1003">
            <w:pPr>
              <w:pStyle w:val="Default"/>
              <w:rPr>
                <w:sz w:val="22"/>
                <w:szCs w:val="22"/>
              </w:rPr>
            </w:pPr>
          </w:p>
        </w:tc>
        <w:tc>
          <w:tcPr>
            <w:tcW w:w="2102" w:type="dxa"/>
            <w:tcBorders>
              <w:bottom w:val="nil"/>
            </w:tcBorders>
            <w:shd w:val="clear" w:color="auto" w:fill="auto"/>
          </w:tcPr>
          <w:p w14:paraId="5664A968" w14:textId="77777777" w:rsidR="00ED4C2D" w:rsidRPr="00381DC2" w:rsidRDefault="00ED4C2D" w:rsidP="003C1003">
            <w:pPr>
              <w:pStyle w:val="Default"/>
              <w:jc w:val="center"/>
              <w:rPr>
                <w:sz w:val="22"/>
                <w:szCs w:val="22"/>
              </w:rPr>
            </w:pPr>
            <w:r w:rsidRPr="00381DC2">
              <w:rPr>
                <w:sz w:val="22"/>
                <w:szCs w:val="22"/>
              </w:rPr>
              <w:t>CPP</w:t>
            </w:r>
          </w:p>
        </w:tc>
        <w:tc>
          <w:tcPr>
            <w:tcW w:w="2103" w:type="dxa"/>
            <w:tcBorders>
              <w:bottom w:val="nil"/>
            </w:tcBorders>
            <w:shd w:val="clear" w:color="auto" w:fill="auto"/>
          </w:tcPr>
          <w:p w14:paraId="6EC3E254" w14:textId="77777777" w:rsidR="00ED4C2D" w:rsidRPr="00381DC2" w:rsidRDefault="00ED4C2D" w:rsidP="003C1003">
            <w:pPr>
              <w:pStyle w:val="Default"/>
              <w:jc w:val="center"/>
              <w:rPr>
                <w:sz w:val="22"/>
                <w:szCs w:val="22"/>
              </w:rPr>
            </w:pPr>
            <w:r w:rsidRPr="00381DC2">
              <w:rPr>
                <w:sz w:val="22"/>
                <w:szCs w:val="22"/>
              </w:rPr>
              <w:t>CPB15</w:t>
            </w:r>
          </w:p>
        </w:tc>
        <w:tc>
          <w:tcPr>
            <w:tcW w:w="2103" w:type="dxa"/>
            <w:tcBorders>
              <w:bottom w:val="nil"/>
              <w:right w:val="single" w:sz="4" w:space="0" w:color="auto"/>
            </w:tcBorders>
            <w:shd w:val="clear" w:color="auto" w:fill="auto"/>
          </w:tcPr>
          <w:p w14:paraId="6BCEB1C4" w14:textId="77777777" w:rsidR="00ED4C2D" w:rsidRPr="00381DC2" w:rsidRDefault="00ED4C2D" w:rsidP="003C1003">
            <w:pPr>
              <w:pStyle w:val="Default"/>
              <w:jc w:val="center"/>
              <w:rPr>
                <w:sz w:val="22"/>
                <w:szCs w:val="22"/>
              </w:rPr>
            </w:pPr>
            <w:r w:rsidRPr="00381DC2">
              <w:rPr>
                <w:sz w:val="22"/>
                <w:szCs w:val="22"/>
              </w:rPr>
              <w:t>CPB15 +</w:t>
            </w:r>
          </w:p>
        </w:tc>
      </w:tr>
      <w:tr w:rsidR="00ED4C2D" w:rsidRPr="00F60460" w14:paraId="1FA5B6DB" w14:textId="77777777" w:rsidTr="003C1003">
        <w:tc>
          <w:tcPr>
            <w:tcW w:w="2970" w:type="dxa"/>
            <w:tcBorders>
              <w:top w:val="nil"/>
              <w:left w:val="single" w:sz="4" w:space="0" w:color="auto"/>
              <w:bottom w:val="nil"/>
            </w:tcBorders>
            <w:shd w:val="clear" w:color="auto" w:fill="auto"/>
          </w:tcPr>
          <w:p w14:paraId="0CB9CFC3" w14:textId="77777777" w:rsidR="00ED4C2D" w:rsidRPr="00381DC2" w:rsidRDefault="00ED4C2D" w:rsidP="003C1003">
            <w:pPr>
              <w:rPr>
                <w:rFonts w:ascii="Times New Roman" w:eastAsia="Times New Roman" w:hAnsi="Times New Roman"/>
                <w:color w:val="000000"/>
              </w:rPr>
            </w:pPr>
          </w:p>
        </w:tc>
        <w:tc>
          <w:tcPr>
            <w:tcW w:w="2102" w:type="dxa"/>
            <w:tcBorders>
              <w:top w:val="nil"/>
              <w:bottom w:val="nil"/>
            </w:tcBorders>
            <w:shd w:val="clear" w:color="auto" w:fill="auto"/>
          </w:tcPr>
          <w:p w14:paraId="4F641BDE" w14:textId="77777777" w:rsidR="00ED4C2D" w:rsidRPr="00381DC2" w:rsidRDefault="00ED4C2D" w:rsidP="003C1003">
            <w:pPr>
              <w:pStyle w:val="Default"/>
              <w:jc w:val="center"/>
              <w:rPr>
                <w:rFonts w:eastAsia="Times New Roman"/>
                <w:sz w:val="22"/>
                <w:szCs w:val="22"/>
              </w:rPr>
            </w:pPr>
            <w:r w:rsidRPr="00381DC2">
              <w:rPr>
                <w:sz w:val="22"/>
                <w:szCs w:val="22"/>
              </w:rPr>
              <w:t>(n = 625)</w:t>
            </w:r>
          </w:p>
        </w:tc>
        <w:tc>
          <w:tcPr>
            <w:tcW w:w="2103" w:type="dxa"/>
            <w:tcBorders>
              <w:top w:val="nil"/>
              <w:bottom w:val="nil"/>
            </w:tcBorders>
            <w:shd w:val="clear" w:color="auto" w:fill="auto"/>
          </w:tcPr>
          <w:p w14:paraId="4E8DFE0C" w14:textId="77777777" w:rsidR="00ED4C2D" w:rsidRPr="00381DC2" w:rsidRDefault="00ED4C2D" w:rsidP="003C1003">
            <w:pPr>
              <w:pStyle w:val="Default"/>
              <w:jc w:val="center"/>
              <w:rPr>
                <w:rFonts w:eastAsia="Times New Roman"/>
                <w:sz w:val="22"/>
                <w:szCs w:val="22"/>
              </w:rPr>
            </w:pPr>
            <w:r w:rsidRPr="00381DC2">
              <w:rPr>
                <w:sz w:val="22"/>
                <w:szCs w:val="22"/>
              </w:rPr>
              <w:t>(n = 625)</w:t>
            </w:r>
          </w:p>
        </w:tc>
        <w:tc>
          <w:tcPr>
            <w:tcW w:w="2103" w:type="dxa"/>
            <w:tcBorders>
              <w:top w:val="nil"/>
              <w:bottom w:val="nil"/>
              <w:right w:val="single" w:sz="4" w:space="0" w:color="auto"/>
            </w:tcBorders>
            <w:shd w:val="clear" w:color="auto" w:fill="auto"/>
          </w:tcPr>
          <w:p w14:paraId="3857E980" w14:textId="77777777" w:rsidR="00ED4C2D" w:rsidRPr="00381DC2" w:rsidRDefault="00ED4C2D" w:rsidP="003C1003">
            <w:pPr>
              <w:pStyle w:val="Default"/>
              <w:jc w:val="center"/>
              <w:rPr>
                <w:rFonts w:eastAsia="Times New Roman"/>
                <w:sz w:val="22"/>
                <w:szCs w:val="22"/>
              </w:rPr>
            </w:pPr>
            <w:r w:rsidRPr="00381DC2">
              <w:rPr>
                <w:sz w:val="22"/>
                <w:szCs w:val="22"/>
              </w:rPr>
              <w:t>(n = 623)</w:t>
            </w:r>
          </w:p>
        </w:tc>
      </w:tr>
      <w:tr w:rsidR="00ED4C2D" w:rsidRPr="00F60460" w14:paraId="27E683D1" w14:textId="77777777" w:rsidTr="003C1003">
        <w:tc>
          <w:tcPr>
            <w:tcW w:w="2970" w:type="dxa"/>
            <w:tcBorders>
              <w:top w:val="nil"/>
              <w:left w:val="single" w:sz="4" w:space="0" w:color="auto"/>
              <w:bottom w:val="nil"/>
            </w:tcBorders>
            <w:shd w:val="clear" w:color="auto" w:fill="auto"/>
          </w:tcPr>
          <w:p w14:paraId="3364C3DB" w14:textId="77777777" w:rsidR="00ED4C2D" w:rsidRPr="00381DC2" w:rsidRDefault="00ED4C2D" w:rsidP="003C1003">
            <w:pPr>
              <w:pStyle w:val="Default"/>
              <w:rPr>
                <w:rFonts w:eastAsia="Times New Roman"/>
                <w:sz w:val="22"/>
                <w:szCs w:val="22"/>
              </w:rPr>
            </w:pPr>
            <w:r w:rsidRPr="00381DC2">
              <w:rPr>
                <w:sz w:val="22"/>
                <w:szCs w:val="22"/>
              </w:rPr>
              <w:t xml:space="preserve">Střední celkové přežití (měsíce) </w:t>
            </w:r>
          </w:p>
        </w:tc>
        <w:tc>
          <w:tcPr>
            <w:tcW w:w="2102" w:type="dxa"/>
            <w:tcBorders>
              <w:top w:val="nil"/>
              <w:bottom w:val="nil"/>
            </w:tcBorders>
            <w:shd w:val="clear" w:color="auto" w:fill="auto"/>
          </w:tcPr>
          <w:p w14:paraId="3BBA694C" w14:textId="77777777" w:rsidR="00ED4C2D" w:rsidRPr="00381DC2" w:rsidRDefault="00ED4C2D" w:rsidP="003C1003">
            <w:pPr>
              <w:pStyle w:val="Default"/>
              <w:jc w:val="center"/>
              <w:rPr>
                <w:rFonts w:eastAsia="Times New Roman"/>
                <w:sz w:val="22"/>
                <w:szCs w:val="22"/>
              </w:rPr>
            </w:pPr>
            <w:r w:rsidRPr="00381DC2">
              <w:rPr>
                <w:sz w:val="22"/>
                <w:szCs w:val="22"/>
              </w:rPr>
              <w:t>40,6</w:t>
            </w:r>
          </w:p>
        </w:tc>
        <w:tc>
          <w:tcPr>
            <w:tcW w:w="2103" w:type="dxa"/>
            <w:tcBorders>
              <w:top w:val="nil"/>
              <w:bottom w:val="nil"/>
            </w:tcBorders>
            <w:shd w:val="clear" w:color="auto" w:fill="auto"/>
          </w:tcPr>
          <w:p w14:paraId="7966600C" w14:textId="77777777" w:rsidR="00ED4C2D" w:rsidRPr="00381DC2" w:rsidRDefault="00ED4C2D" w:rsidP="003C1003">
            <w:pPr>
              <w:pStyle w:val="Default"/>
              <w:jc w:val="center"/>
              <w:rPr>
                <w:rFonts w:eastAsia="Times New Roman"/>
                <w:sz w:val="22"/>
                <w:szCs w:val="22"/>
              </w:rPr>
            </w:pPr>
            <w:r w:rsidRPr="00381DC2">
              <w:rPr>
                <w:sz w:val="22"/>
                <w:szCs w:val="22"/>
              </w:rPr>
              <w:t>38,8</w:t>
            </w:r>
          </w:p>
        </w:tc>
        <w:tc>
          <w:tcPr>
            <w:tcW w:w="2103" w:type="dxa"/>
            <w:tcBorders>
              <w:top w:val="nil"/>
              <w:bottom w:val="nil"/>
              <w:right w:val="single" w:sz="4" w:space="0" w:color="auto"/>
            </w:tcBorders>
            <w:shd w:val="clear" w:color="auto" w:fill="auto"/>
          </w:tcPr>
          <w:p w14:paraId="677FAB96" w14:textId="77777777" w:rsidR="00ED4C2D" w:rsidRPr="00381DC2" w:rsidRDefault="00ED4C2D" w:rsidP="003C1003">
            <w:pPr>
              <w:pStyle w:val="Default"/>
              <w:jc w:val="center"/>
              <w:rPr>
                <w:rFonts w:eastAsia="Times New Roman"/>
                <w:sz w:val="22"/>
                <w:szCs w:val="22"/>
              </w:rPr>
            </w:pPr>
            <w:r w:rsidRPr="00381DC2">
              <w:rPr>
                <w:sz w:val="22"/>
                <w:szCs w:val="22"/>
              </w:rPr>
              <w:t>43,8</w:t>
            </w:r>
          </w:p>
        </w:tc>
      </w:tr>
      <w:tr w:rsidR="00ED4C2D" w:rsidRPr="00F60460" w14:paraId="3B0EA61D" w14:textId="77777777" w:rsidTr="003C1003">
        <w:tc>
          <w:tcPr>
            <w:tcW w:w="2970" w:type="dxa"/>
            <w:tcBorders>
              <w:top w:val="nil"/>
              <w:left w:val="single" w:sz="4" w:space="0" w:color="auto"/>
              <w:bottom w:val="nil"/>
            </w:tcBorders>
            <w:shd w:val="clear" w:color="auto" w:fill="auto"/>
          </w:tcPr>
          <w:p w14:paraId="515BB919" w14:textId="77777777" w:rsidR="00ED4C2D" w:rsidRPr="00381DC2" w:rsidRDefault="00ED4C2D" w:rsidP="003C1003">
            <w:pPr>
              <w:pStyle w:val="Default"/>
              <w:rPr>
                <w:rFonts w:eastAsia="Times New Roman"/>
                <w:sz w:val="22"/>
                <w:szCs w:val="22"/>
              </w:rPr>
            </w:pPr>
            <w:r w:rsidRPr="00381DC2">
              <w:rPr>
                <w:sz w:val="22"/>
                <w:szCs w:val="22"/>
              </w:rPr>
              <w:t>Poměr rizik (95% interval spolehlivosti)</w:t>
            </w:r>
            <w:r w:rsidRPr="00381DC2">
              <w:rPr>
                <w:sz w:val="22"/>
                <w:szCs w:val="22"/>
                <w:vertAlign w:val="superscript"/>
              </w:rPr>
              <w:t>2</w:t>
            </w:r>
          </w:p>
        </w:tc>
        <w:tc>
          <w:tcPr>
            <w:tcW w:w="2102" w:type="dxa"/>
            <w:tcBorders>
              <w:top w:val="nil"/>
              <w:bottom w:val="nil"/>
            </w:tcBorders>
            <w:shd w:val="clear" w:color="auto" w:fill="auto"/>
          </w:tcPr>
          <w:p w14:paraId="46D8DB8F" w14:textId="77777777" w:rsidR="00ED4C2D" w:rsidRPr="00381DC2" w:rsidRDefault="00ED4C2D" w:rsidP="003C1003">
            <w:pPr>
              <w:jc w:val="center"/>
              <w:rPr>
                <w:rFonts w:ascii="Times New Roman" w:eastAsia="Times New Roman" w:hAnsi="Times New Roman"/>
                <w:color w:val="000000"/>
              </w:rPr>
            </w:pPr>
          </w:p>
        </w:tc>
        <w:tc>
          <w:tcPr>
            <w:tcW w:w="2103" w:type="dxa"/>
            <w:tcBorders>
              <w:top w:val="nil"/>
              <w:bottom w:val="nil"/>
            </w:tcBorders>
            <w:shd w:val="clear" w:color="auto" w:fill="auto"/>
          </w:tcPr>
          <w:p w14:paraId="086BD0DF" w14:textId="77777777" w:rsidR="00ED4C2D" w:rsidRPr="00381DC2" w:rsidRDefault="00ED4C2D" w:rsidP="003C1003">
            <w:pPr>
              <w:pStyle w:val="Default"/>
              <w:jc w:val="center"/>
              <w:rPr>
                <w:rFonts w:eastAsia="Times New Roman"/>
                <w:sz w:val="22"/>
                <w:szCs w:val="22"/>
              </w:rPr>
            </w:pPr>
            <w:r w:rsidRPr="00381DC2">
              <w:rPr>
                <w:sz w:val="22"/>
                <w:szCs w:val="22"/>
              </w:rPr>
              <w:t>1,07 (0,91, 1,25)</w:t>
            </w:r>
          </w:p>
        </w:tc>
        <w:tc>
          <w:tcPr>
            <w:tcW w:w="2103" w:type="dxa"/>
            <w:tcBorders>
              <w:top w:val="nil"/>
              <w:bottom w:val="nil"/>
              <w:right w:val="single" w:sz="4" w:space="0" w:color="auto"/>
            </w:tcBorders>
            <w:shd w:val="clear" w:color="auto" w:fill="auto"/>
          </w:tcPr>
          <w:p w14:paraId="2B38BF46" w14:textId="77777777" w:rsidR="00ED4C2D" w:rsidRPr="00381DC2" w:rsidRDefault="00ED4C2D" w:rsidP="003C1003">
            <w:pPr>
              <w:pStyle w:val="Default"/>
              <w:jc w:val="center"/>
              <w:rPr>
                <w:rFonts w:eastAsia="Times New Roman"/>
                <w:sz w:val="22"/>
                <w:szCs w:val="22"/>
              </w:rPr>
            </w:pPr>
            <w:r w:rsidRPr="00381DC2">
              <w:rPr>
                <w:sz w:val="22"/>
                <w:szCs w:val="22"/>
              </w:rPr>
              <w:t>0,88 (0,75, 1,04)</w:t>
            </w:r>
          </w:p>
        </w:tc>
      </w:tr>
      <w:tr w:rsidR="00ED4C2D" w:rsidRPr="00F60460" w14:paraId="673AC50D" w14:textId="77777777" w:rsidTr="003C1003">
        <w:tc>
          <w:tcPr>
            <w:tcW w:w="2970" w:type="dxa"/>
            <w:tcBorders>
              <w:top w:val="nil"/>
              <w:left w:val="single" w:sz="4" w:space="0" w:color="auto"/>
              <w:bottom w:val="single" w:sz="4" w:space="0" w:color="auto"/>
            </w:tcBorders>
            <w:shd w:val="clear" w:color="auto" w:fill="auto"/>
          </w:tcPr>
          <w:p w14:paraId="3C077D87" w14:textId="77777777" w:rsidR="00ED4C2D" w:rsidRPr="00381DC2" w:rsidRDefault="00ED4C2D" w:rsidP="003C1003">
            <w:pPr>
              <w:pStyle w:val="Default"/>
              <w:rPr>
                <w:rFonts w:eastAsia="Times New Roman"/>
                <w:sz w:val="22"/>
                <w:szCs w:val="22"/>
              </w:rPr>
            </w:pPr>
            <w:r w:rsidRPr="00381DC2">
              <w:rPr>
                <w:sz w:val="22"/>
                <w:szCs w:val="22"/>
              </w:rPr>
              <w:t>p-hodnota</w:t>
            </w:r>
            <w:r w:rsidRPr="00381DC2">
              <w:rPr>
                <w:sz w:val="22"/>
                <w:szCs w:val="22"/>
                <w:vertAlign w:val="superscript"/>
              </w:rPr>
              <w:t>3</w:t>
            </w:r>
          </w:p>
        </w:tc>
        <w:tc>
          <w:tcPr>
            <w:tcW w:w="2102" w:type="dxa"/>
            <w:tcBorders>
              <w:top w:val="nil"/>
              <w:bottom w:val="single" w:sz="4" w:space="0" w:color="auto"/>
            </w:tcBorders>
            <w:shd w:val="clear" w:color="auto" w:fill="auto"/>
          </w:tcPr>
          <w:p w14:paraId="06677977" w14:textId="77777777" w:rsidR="00ED4C2D" w:rsidRPr="00381DC2" w:rsidRDefault="00ED4C2D" w:rsidP="003C1003">
            <w:pPr>
              <w:jc w:val="center"/>
              <w:rPr>
                <w:rFonts w:ascii="Times New Roman" w:eastAsia="Times New Roman" w:hAnsi="Times New Roman"/>
                <w:color w:val="000000"/>
              </w:rPr>
            </w:pPr>
          </w:p>
        </w:tc>
        <w:tc>
          <w:tcPr>
            <w:tcW w:w="2103" w:type="dxa"/>
            <w:tcBorders>
              <w:top w:val="nil"/>
              <w:bottom w:val="single" w:sz="4" w:space="0" w:color="auto"/>
            </w:tcBorders>
            <w:shd w:val="clear" w:color="auto" w:fill="auto"/>
          </w:tcPr>
          <w:p w14:paraId="4AAB8067" w14:textId="77777777" w:rsidR="00ED4C2D" w:rsidRPr="00381DC2" w:rsidRDefault="00ED4C2D" w:rsidP="003C1003">
            <w:pPr>
              <w:pStyle w:val="Default"/>
              <w:jc w:val="center"/>
              <w:rPr>
                <w:rFonts w:eastAsia="Times New Roman"/>
                <w:sz w:val="22"/>
                <w:szCs w:val="22"/>
              </w:rPr>
            </w:pPr>
            <w:r w:rsidRPr="00381DC2">
              <w:rPr>
                <w:sz w:val="22"/>
                <w:szCs w:val="22"/>
              </w:rPr>
              <w:t>0,2197</w:t>
            </w:r>
          </w:p>
        </w:tc>
        <w:tc>
          <w:tcPr>
            <w:tcW w:w="2103" w:type="dxa"/>
            <w:tcBorders>
              <w:top w:val="nil"/>
              <w:bottom w:val="single" w:sz="4" w:space="0" w:color="auto"/>
              <w:right w:val="single" w:sz="4" w:space="0" w:color="auto"/>
            </w:tcBorders>
            <w:shd w:val="clear" w:color="auto" w:fill="auto"/>
          </w:tcPr>
          <w:p w14:paraId="3069D5C5" w14:textId="77777777" w:rsidR="00ED4C2D" w:rsidRPr="00381DC2" w:rsidRDefault="00ED4C2D" w:rsidP="003C1003">
            <w:pPr>
              <w:pStyle w:val="Default"/>
              <w:jc w:val="center"/>
              <w:rPr>
                <w:rFonts w:eastAsia="Times New Roman"/>
                <w:sz w:val="22"/>
                <w:szCs w:val="22"/>
              </w:rPr>
            </w:pPr>
            <w:r w:rsidRPr="00381DC2">
              <w:rPr>
                <w:sz w:val="22"/>
                <w:szCs w:val="22"/>
              </w:rPr>
              <w:t>0,0641</w:t>
            </w:r>
          </w:p>
        </w:tc>
      </w:tr>
    </w:tbl>
    <w:p w14:paraId="54A65F6F" w14:textId="77777777" w:rsidR="003E5A93" w:rsidRPr="00F60460" w:rsidRDefault="00ED4C2D" w:rsidP="008D6A46">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(1)</w:t>
      </w:r>
      <w:r w:rsidRPr="00F60460">
        <w:rPr>
          <w:rFonts w:ascii="Times New Roman" w:eastAsia="Times New Roman" w:hAnsi="Times New Roman"/>
          <w:color w:val="000000"/>
          <w:sz w:val="20"/>
          <w:szCs w:val="20"/>
          <w:lang w:bidi="ar-SA"/>
        </w:rPr>
        <w:t xml:space="preserve"> </w:t>
      </w:r>
      <w:r w:rsidR="00E608ED"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Analýza doby přežití bez progrese hodnocená řešiteli dle protokolu GOG (bez cenzury pro progresi dle hladiny CA-125 a bez cenzury při léčbě mimo protokol zahájené před progresí), data k 25. únoru 2010.</w:t>
      </w:r>
    </w:p>
    <w:p w14:paraId="0DA80BC1" w14:textId="77777777" w:rsidR="003E5A93" w:rsidRPr="00F60460" w:rsidRDefault="00ED4C2D" w:rsidP="00151C97">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(2)</w:t>
      </w:r>
      <w:r w:rsidRPr="00F60460">
        <w:rPr>
          <w:rFonts w:ascii="Times New Roman" w:eastAsia="Times New Roman" w:hAnsi="Times New Roman"/>
          <w:color w:val="000000"/>
          <w:sz w:val="20"/>
          <w:szCs w:val="20"/>
          <w:lang w:bidi="ar-SA"/>
        </w:rPr>
        <w:t xml:space="preserve"> </w:t>
      </w:r>
      <w:r w:rsidR="00E608ED"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Ve vztahu ke kontrolnímu rameni; stratifikovaný poměr rizik.</w:t>
      </w:r>
    </w:p>
    <w:p w14:paraId="02D7AA35" w14:textId="77777777" w:rsidR="003E5A93" w:rsidRPr="00F60460" w:rsidRDefault="00ED4C2D" w:rsidP="00151C97">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(3)</w:t>
      </w:r>
      <w:r w:rsidRPr="00F60460">
        <w:rPr>
          <w:rFonts w:ascii="Times New Roman" w:eastAsia="Times New Roman" w:hAnsi="Times New Roman"/>
          <w:color w:val="000000"/>
          <w:sz w:val="20"/>
          <w:szCs w:val="20"/>
          <w:lang w:bidi="ar-SA"/>
        </w:rPr>
        <w:t xml:space="preserve"> </w:t>
      </w:r>
      <w:r w:rsidR="00E608ED"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Jednostranný log-rank test hodnoty p.</w:t>
      </w:r>
    </w:p>
    <w:p w14:paraId="26A9647C" w14:textId="77777777" w:rsidR="003E5A93" w:rsidRPr="00F60460" w:rsidRDefault="00ED4C2D" w:rsidP="00151C97">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(4)</w:t>
      </w:r>
      <w:r w:rsidRPr="00F60460">
        <w:rPr>
          <w:rFonts w:ascii="Times New Roman" w:eastAsia="Times New Roman" w:hAnsi="Times New Roman"/>
          <w:color w:val="000000"/>
          <w:sz w:val="20"/>
          <w:szCs w:val="20"/>
          <w:lang w:bidi="ar-SA"/>
        </w:rPr>
        <w:t xml:space="preserve"> </w:t>
      </w:r>
      <w:r w:rsidR="00E608ED"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Stanovená hraniční hodnota p 0,0116.</w:t>
      </w:r>
    </w:p>
    <w:p w14:paraId="4B80A97D" w14:textId="77777777" w:rsidR="003E5A93" w:rsidRPr="00F60460" w:rsidRDefault="00ED4C2D" w:rsidP="00151C97">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(5)</w:t>
      </w:r>
      <w:r w:rsidRPr="00F60460">
        <w:rPr>
          <w:rFonts w:ascii="Times New Roman" w:eastAsia="Times New Roman" w:hAnsi="Times New Roman"/>
          <w:color w:val="000000"/>
          <w:sz w:val="20"/>
          <w:szCs w:val="20"/>
          <w:lang w:bidi="ar-SA"/>
        </w:rPr>
        <w:t xml:space="preserve"> </w:t>
      </w:r>
      <w:r w:rsidR="00E608ED"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Pacientky s měřitelným onemocněním při vstupu do studie.</w:t>
      </w:r>
    </w:p>
    <w:p w14:paraId="21F2F2FC" w14:textId="77777777" w:rsidR="00ED4C2D" w:rsidRPr="00F60460" w:rsidRDefault="00ED4C2D" w:rsidP="00D23770">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(6)</w:t>
      </w:r>
      <w:r w:rsidRPr="00F60460">
        <w:rPr>
          <w:rFonts w:ascii="Times New Roman" w:eastAsia="Times New Roman" w:hAnsi="Times New Roman"/>
          <w:color w:val="000000"/>
          <w:sz w:val="20"/>
          <w:szCs w:val="20"/>
          <w:lang w:bidi="ar-SA"/>
        </w:rPr>
        <w:t xml:space="preserve"> </w:t>
      </w:r>
      <w:r w:rsidR="003E5A93"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Konečná analýza celkového přežití provedena v době, kdy zemřelo 46,9% pacientů.</w:t>
      </w:r>
    </w:p>
    <w:p w14:paraId="00606778" w14:textId="77777777" w:rsidR="00ED4C2D" w:rsidRPr="00381DC2" w:rsidRDefault="00ED4C2D" w:rsidP="00ED4C2D">
      <w:pPr>
        <w:widowControl/>
        <w:rPr>
          <w:rFonts w:ascii="Times New Roman" w:eastAsia="Times New Roman" w:hAnsi="Times New Roman"/>
          <w:color w:val="000000"/>
          <w:lang w:bidi="ar-SA"/>
        </w:rPr>
      </w:pPr>
    </w:p>
    <w:p w14:paraId="0D6E29BC"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Byly provedeny předem specifikované analýzy doby přežití bez progrese, všechny s daty k 29. září 2009. Výsledky těchto předem specifikovaných analýz jsou následující:</w:t>
      </w:r>
    </w:p>
    <w:p w14:paraId="5643BB2F" w14:textId="77777777" w:rsidR="00ED4C2D" w:rsidRPr="00381DC2" w:rsidRDefault="00ED4C2D" w:rsidP="00ED4C2D">
      <w:pPr>
        <w:widowControl/>
        <w:rPr>
          <w:rFonts w:ascii="Times New Roman" w:eastAsia="Times New Roman" w:hAnsi="Times New Roman"/>
          <w:color w:val="000000"/>
          <w:lang w:bidi="ar-SA"/>
        </w:rPr>
      </w:pPr>
    </w:p>
    <w:p w14:paraId="7F70D085" w14:textId="77777777" w:rsidR="00ED4C2D" w:rsidRPr="00381DC2" w:rsidRDefault="00ED4C2D" w:rsidP="008378F9">
      <w:pPr>
        <w:widowControl/>
        <w:numPr>
          <w:ilvl w:val="0"/>
          <w:numId w:val="37"/>
        </w:numPr>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Protokolem specifikovaná analýza doby přežití bez progrese dle hodnocení řešiteli (bez cenzury pro progresi dle hladiny CA-125 nebo bez cenzury při léčbě mimo protokol zahájené před progresí) vykázala stratifikovaný poměr rizik 0,71 (95% interval spolehlivosti: 0,61-0,83, 1-stranný log-rank test hodnota p&lt;0,0001) při porovnání ramen CBP 15+ a CPP a střední dobou přežití bez progrese 10,4 měsíce v rameni CPP a 14,1 měsíce v rameni CPB 15+. </w:t>
      </w:r>
    </w:p>
    <w:p w14:paraId="25FC778D" w14:textId="77777777" w:rsidR="00ED4C2D" w:rsidRPr="00381DC2" w:rsidRDefault="00ED4C2D" w:rsidP="008378F9">
      <w:pPr>
        <w:widowControl/>
        <w:ind w:left="720"/>
        <w:rPr>
          <w:rFonts w:ascii="Times New Roman" w:eastAsia="Times New Roman" w:hAnsi="Times New Roman"/>
          <w:color w:val="000000"/>
          <w:lang w:bidi="ar-SA"/>
        </w:rPr>
      </w:pPr>
    </w:p>
    <w:p w14:paraId="6183322A" w14:textId="77777777" w:rsidR="00ED4C2D" w:rsidRPr="00381DC2" w:rsidRDefault="00ED4C2D" w:rsidP="008378F9">
      <w:pPr>
        <w:widowControl/>
        <w:numPr>
          <w:ilvl w:val="0"/>
          <w:numId w:val="37"/>
        </w:numPr>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Primární analýza doby přežití bez progrese dle hodnocení řešiteli (s cenzurou při progresi dle CA-125 a při léčbě mimo protokol před průkazem progrese) vykázala stratifikovaný poměr rizik 0,62 (95% interval spolehlivosti: 0,52-0,75, 1-stranný log-rank test hodnota p &lt; 0,0001) při porovnání ramen CBP 15+ a CPP a střední dobou přežití bez progrese 12,0 měsíce v rameni CPP a 18,2 měsíce v rameni CPB 15+. </w:t>
      </w:r>
    </w:p>
    <w:p w14:paraId="01285C37" w14:textId="77777777" w:rsidR="00ED4C2D" w:rsidRPr="00381DC2" w:rsidRDefault="00ED4C2D" w:rsidP="008378F9">
      <w:pPr>
        <w:widowControl/>
        <w:ind w:left="720"/>
        <w:rPr>
          <w:rFonts w:ascii="Times New Roman" w:eastAsia="Times New Roman" w:hAnsi="Times New Roman"/>
          <w:color w:val="000000"/>
          <w:lang w:bidi="ar-SA"/>
        </w:rPr>
      </w:pPr>
    </w:p>
    <w:p w14:paraId="04664D20" w14:textId="77777777" w:rsidR="00ED4C2D" w:rsidRPr="00381DC2" w:rsidRDefault="00ED4C2D" w:rsidP="008378F9">
      <w:pPr>
        <w:widowControl/>
        <w:numPr>
          <w:ilvl w:val="0"/>
          <w:numId w:val="37"/>
        </w:numPr>
        <w:rPr>
          <w:rFonts w:ascii="Times New Roman" w:eastAsia="Times New Roman" w:hAnsi="Times New Roman"/>
          <w:color w:val="000000"/>
          <w:lang w:bidi="ar-SA"/>
        </w:rPr>
      </w:pPr>
      <w:r w:rsidRPr="00381DC2">
        <w:rPr>
          <w:rFonts w:ascii="Times New Roman" w:eastAsia="Times New Roman" w:hAnsi="Times New Roman"/>
          <w:color w:val="000000"/>
          <w:lang w:bidi="ar-SA"/>
        </w:rPr>
        <w:lastRenderedPageBreak/>
        <w:t>Analýza doby přežití bez progrese dle nezávislé hodnotící komise (s cenzurou při léčbě mimo protokol před průkazem progrese) vykázala stratifikovaný poměr rizik 0,62 (95% interval spolehlivosti: 0,50-0,77, 1-stranný log-rank test hodnoty p &lt; 0,0001) při porovnání ramen CBP 15+ a CPP a střední dobou přežití bez progrese 13,1 měsíce v rameni CPP a 19,1 měsíce v rameni CPB 15+.</w:t>
      </w:r>
    </w:p>
    <w:p w14:paraId="63A97F5E" w14:textId="77777777" w:rsidR="00ED4C2D" w:rsidRPr="00381DC2" w:rsidRDefault="00ED4C2D" w:rsidP="00BE7168">
      <w:pPr>
        <w:widowControl/>
        <w:ind w:left="720"/>
        <w:rPr>
          <w:rFonts w:ascii="Times New Roman" w:eastAsia="Times New Roman" w:hAnsi="Times New Roman"/>
          <w:color w:val="000000"/>
          <w:lang w:bidi="ar-SA"/>
        </w:rPr>
      </w:pPr>
    </w:p>
    <w:p w14:paraId="78882E11"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Výsledky analýzy přežití bez progrese v podskupinách dle stádia nemoci a rozsahu cytoredukce jsou shrnuty v Tabulce </w:t>
      </w:r>
      <w:r w:rsidR="00E42FEF" w:rsidRPr="00381DC2">
        <w:rPr>
          <w:rFonts w:ascii="Times New Roman" w:eastAsia="Times New Roman" w:hAnsi="Times New Roman"/>
          <w:color w:val="000000"/>
          <w:lang w:bidi="ar-SA"/>
        </w:rPr>
        <w:t>17</w:t>
      </w:r>
      <w:r w:rsidRPr="00381DC2">
        <w:rPr>
          <w:rFonts w:ascii="Times New Roman" w:eastAsia="Times New Roman" w:hAnsi="Times New Roman"/>
          <w:color w:val="000000"/>
          <w:lang w:bidi="ar-SA"/>
        </w:rPr>
        <w:t xml:space="preserve">. Tyto výsledky demonstrují robustnost analýzy přežití bez progrese uvedené v Tabulce </w:t>
      </w:r>
      <w:r w:rsidR="00806306" w:rsidRPr="00381DC2">
        <w:rPr>
          <w:rFonts w:ascii="Times New Roman" w:eastAsia="Times New Roman" w:hAnsi="Times New Roman"/>
          <w:color w:val="000000"/>
          <w:lang w:bidi="ar-SA"/>
        </w:rPr>
        <w:t>16</w:t>
      </w:r>
      <w:r w:rsidRPr="00381DC2">
        <w:rPr>
          <w:rFonts w:ascii="Times New Roman" w:eastAsia="Times New Roman" w:hAnsi="Times New Roman"/>
          <w:color w:val="000000"/>
          <w:lang w:bidi="ar-SA"/>
        </w:rPr>
        <w:t>.</w:t>
      </w:r>
    </w:p>
    <w:p w14:paraId="1B5C38DD" w14:textId="77777777" w:rsidR="00ED4C2D" w:rsidRPr="00381DC2" w:rsidRDefault="00ED4C2D" w:rsidP="00ED4C2D">
      <w:pPr>
        <w:widowControl/>
        <w:rPr>
          <w:rFonts w:ascii="Times New Roman" w:eastAsia="Times New Roman" w:hAnsi="Times New Roman"/>
          <w:color w:val="000000"/>
          <w:lang w:bidi="ar-SA"/>
        </w:rPr>
      </w:pPr>
    </w:p>
    <w:p w14:paraId="3BFE4556"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b/>
          <w:bCs/>
          <w:color w:val="000000"/>
          <w:lang w:bidi="ar-SA"/>
        </w:rPr>
        <w:t xml:space="preserve">Tabulka </w:t>
      </w:r>
      <w:r w:rsidR="004902D9" w:rsidRPr="00381DC2">
        <w:rPr>
          <w:rFonts w:ascii="Times New Roman" w:eastAsia="Times New Roman" w:hAnsi="Times New Roman"/>
          <w:b/>
          <w:bCs/>
          <w:color w:val="000000"/>
          <w:lang w:bidi="ar-SA"/>
        </w:rPr>
        <w:t>17</w:t>
      </w:r>
      <w:r w:rsidR="005D48D1" w:rsidRPr="00381DC2">
        <w:rPr>
          <w:rFonts w:ascii="Times New Roman" w:eastAsia="Times New Roman" w:hAnsi="Times New Roman"/>
          <w:b/>
          <w:bCs/>
          <w:color w:val="000000"/>
          <w:lang w:bidi="ar-SA"/>
        </w:rPr>
        <w:tab/>
      </w:r>
      <w:r w:rsidRPr="00381DC2">
        <w:rPr>
          <w:rFonts w:ascii="Times New Roman" w:eastAsia="Times New Roman" w:hAnsi="Times New Roman"/>
          <w:b/>
          <w:color w:val="000000"/>
          <w:lang w:bidi="ar-SA"/>
        </w:rPr>
        <w:t>Výsledky přežití bez progrese</w:t>
      </w:r>
      <w:r w:rsidRPr="00381DC2">
        <w:rPr>
          <w:rFonts w:ascii="Times New Roman" w:eastAsia="Times New Roman" w:hAnsi="Times New Roman"/>
          <w:b/>
          <w:color w:val="000000"/>
          <w:vertAlign w:val="superscript"/>
          <w:lang w:bidi="ar-SA"/>
        </w:rPr>
        <w:t>(1)</w:t>
      </w:r>
      <w:r w:rsidRPr="00381DC2">
        <w:rPr>
          <w:rFonts w:ascii="Times New Roman" w:eastAsia="Times New Roman" w:hAnsi="Times New Roman"/>
          <w:b/>
          <w:color w:val="000000"/>
          <w:lang w:bidi="ar-SA"/>
        </w:rPr>
        <w:t xml:space="preserve"> v podskupinách dle stádia nemoci a rozsahu cytoredukce ve studii GOG-0218</w:t>
      </w:r>
      <w:r w:rsidRPr="00381DC2">
        <w:rPr>
          <w:rFonts w:ascii="Times New Roman" w:eastAsia="Times New Roman" w:hAnsi="Times New Roman"/>
          <w:color w:val="000000"/>
          <w:lang w:bidi="ar-SA"/>
        </w:rPr>
        <w:t xml:space="preserve"> </w:t>
      </w:r>
    </w:p>
    <w:p w14:paraId="24B6BFEC" w14:textId="77777777" w:rsidR="00ED4C2D" w:rsidRPr="00381DC2" w:rsidRDefault="00ED4C2D" w:rsidP="00ED4C2D">
      <w:pPr>
        <w:rPr>
          <w:rFonts w:ascii="Times New Roman" w:eastAsia="Times New Roman" w:hAnsi="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012"/>
        <w:gridCol w:w="2027"/>
        <w:gridCol w:w="2035"/>
      </w:tblGrid>
      <w:tr w:rsidR="00ED4C2D" w:rsidRPr="00F60460" w14:paraId="6030AF06" w14:textId="77777777" w:rsidTr="003C1003">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11ED85BF" w14:textId="77777777" w:rsidR="00ED4C2D" w:rsidRPr="00381DC2" w:rsidRDefault="00ED4C2D" w:rsidP="003C1003">
            <w:pPr>
              <w:pStyle w:val="Default"/>
              <w:rPr>
                <w:rFonts w:eastAsia="Times New Roman"/>
                <w:sz w:val="22"/>
                <w:szCs w:val="22"/>
              </w:rPr>
            </w:pPr>
            <w:r w:rsidRPr="00381DC2">
              <w:rPr>
                <w:sz w:val="22"/>
                <w:szCs w:val="22"/>
              </w:rPr>
              <w:t xml:space="preserve">Randomizované pacientky s onemocněním stádia III s optimální cytoredukcí </w:t>
            </w:r>
            <w:r w:rsidRPr="00381DC2">
              <w:rPr>
                <w:sz w:val="22"/>
                <w:szCs w:val="22"/>
                <w:vertAlign w:val="superscript"/>
              </w:rPr>
              <w:t>2,3</w:t>
            </w:r>
          </w:p>
        </w:tc>
      </w:tr>
      <w:tr w:rsidR="00ED4C2D" w:rsidRPr="00F60460" w14:paraId="4374E5A9" w14:textId="77777777" w:rsidTr="003C1003">
        <w:tc>
          <w:tcPr>
            <w:tcW w:w="2970" w:type="dxa"/>
            <w:tcBorders>
              <w:left w:val="single" w:sz="4" w:space="0" w:color="auto"/>
              <w:bottom w:val="nil"/>
              <w:right w:val="single" w:sz="4" w:space="0" w:color="auto"/>
            </w:tcBorders>
            <w:shd w:val="clear" w:color="auto" w:fill="auto"/>
          </w:tcPr>
          <w:p w14:paraId="46B773B0" w14:textId="77777777" w:rsidR="00ED4C2D" w:rsidRPr="00381DC2" w:rsidRDefault="00ED4C2D" w:rsidP="003C1003">
            <w:pPr>
              <w:rPr>
                <w:rFonts w:ascii="Times New Roman" w:eastAsia="Times New Roman" w:hAnsi="Times New Roman"/>
                <w:color w:val="000000"/>
              </w:rPr>
            </w:pPr>
          </w:p>
        </w:tc>
        <w:tc>
          <w:tcPr>
            <w:tcW w:w="2102" w:type="dxa"/>
            <w:tcBorders>
              <w:top w:val="single" w:sz="4" w:space="0" w:color="auto"/>
              <w:left w:val="single" w:sz="4" w:space="0" w:color="auto"/>
              <w:bottom w:val="nil"/>
              <w:right w:val="single" w:sz="4" w:space="0" w:color="auto"/>
            </w:tcBorders>
            <w:shd w:val="clear" w:color="auto" w:fill="auto"/>
          </w:tcPr>
          <w:p w14:paraId="06DE001B" w14:textId="77777777" w:rsidR="00ED4C2D" w:rsidRPr="00381DC2" w:rsidRDefault="00ED4C2D" w:rsidP="003C1003">
            <w:pPr>
              <w:pStyle w:val="Default"/>
              <w:jc w:val="center"/>
              <w:rPr>
                <w:rFonts w:eastAsia="Times New Roman"/>
                <w:sz w:val="22"/>
                <w:szCs w:val="22"/>
              </w:rPr>
            </w:pPr>
            <w:r w:rsidRPr="00381DC2">
              <w:rPr>
                <w:sz w:val="22"/>
                <w:szCs w:val="22"/>
              </w:rPr>
              <w:t xml:space="preserve">CPP </w:t>
            </w:r>
          </w:p>
        </w:tc>
        <w:tc>
          <w:tcPr>
            <w:tcW w:w="2103" w:type="dxa"/>
            <w:tcBorders>
              <w:left w:val="single" w:sz="4" w:space="0" w:color="auto"/>
              <w:bottom w:val="nil"/>
            </w:tcBorders>
            <w:shd w:val="clear" w:color="auto" w:fill="auto"/>
          </w:tcPr>
          <w:p w14:paraId="0DB6C522" w14:textId="77777777" w:rsidR="00ED4C2D" w:rsidRPr="00381DC2" w:rsidRDefault="00ED4C2D" w:rsidP="003C1003">
            <w:pPr>
              <w:pStyle w:val="Default"/>
              <w:jc w:val="center"/>
              <w:rPr>
                <w:rFonts w:eastAsia="Times New Roman"/>
                <w:sz w:val="22"/>
                <w:szCs w:val="22"/>
              </w:rPr>
            </w:pPr>
            <w:r w:rsidRPr="00381DC2">
              <w:rPr>
                <w:sz w:val="22"/>
                <w:szCs w:val="22"/>
              </w:rPr>
              <w:t xml:space="preserve">CPB15 </w:t>
            </w:r>
          </w:p>
        </w:tc>
        <w:tc>
          <w:tcPr>
            <w:tcW w:w="2103" w:type="dxa"/>
            <w:tcBorders>
              <w:bottom w:val="nil"/>
              <w:right w:val="single" w:sz="4" w:space="0" w:color="auto"/>
            </w:tcBorders>
            <w:shd w:val="clear" w:color="auto" w:fill="auto"/>
          </w:tcPr>
          <w:p w14:paraId="37B55B1B" w14:textId="77777777" w:rsidR="00ED4C2D" w:rsidRPr="00381DC2" w:rsidRDefault="00ED4C2D" w:rsidP="003C1003">
            <w:pPr>
              <w:pStyle w:val="Default"/>
              <w:jc w:val="center"/>
              <w:rPr>
                <w:rFonts w:eastAsia="Times New Roman"/>
                <w:sz w:val="22"/>
                <w:szCs w:val="22"/>
              </w:rPr>
            </w:pPr>
            <w:r w:rsidRPr="00381DC2">
              <w:rPr>
                <w:sz w:val="22"/>
                <w:szCs w:val="22"/>
              </w:rPr>
              <w:t xml:space="preserve">CPB15+ </w:t>
            </w:r>
          </w:p>
        </w:tc>
      </w:tr>
      <w:tr w:rsidR="00ED4C2D" w:rsidRPr="00F60460" w14:paraId="01827F4A" w14:textId="77777777" w:rsidTr="003C1003">
        <w:tc>
          <w:tcPr>
            <w:tcW w:w="2970" w:type="dxa"/>
            <w:tcBorders>
              <w:top w:val="nil"/>
              <w:left w:val="single" w:sz="4" w:space="0" w:color="auto"/>
              <w:bottom w:val="nil"/>
              <w:right w:val="single" w:sz="4" w:space="0" w:color="auto"/>
            </w:tcBorders>
            <w:shd w:val="clear" w:color="auto" w:fill="auto"/>
          </w:tcPr>
          <w:p w14:paraId="769B6FD7" w14:textId="77777777" w:rsidR="00ED4C2D" w:rsidRPr="00381DC2" w:rsidRDefault="00ED4C2D" w:rsidP="003C1003">
            <w:pPr>
              <w:rPr>
                <w:rFonts w:ascii="Times New Roman" w:eastAsia="Times New Roman" w:hAnsi="Times New Roman"/>
                <w:color w:val="000000"/>
              </w:rPr>
            </w:pPr>
          </w:p>
        </w:tc>
        <w:tc>
          <w:tcPr>
            <w:tcW w:w="2102" w:type="dxa"/>
            <w:tcBorders>
              <w:top w:val="nil"/>
              <w:left w:val="single" w:sz="4" w:space="0" w:color="auto"/>
              <w:bottom w:val="nil"/>
              <w:right w:val="single" w:sz="4" w:space="0" w:color="auto"/>
            </w:tcBorders>
            <w:shd w:val="clear" w:color="auto" w:fill="auto"/>
          </w:tcPr>
          <w:p w14:paraId="441E7714" w14:textId="77777777" w:rsidR="00ED4C2D" w:rsidRPr="00381DC2" w:rsidRDefault="00ED4C2D" w:rsidP="003C1003">
            <w:pPr>
              <w:pStyle w:val="Default"/>
              <w:jc w:val="center"/>
              <w:rPr>
                <w:rFonts w:eastAsia="Times New Roman"/>
                <w:sz w:val="22"/>
                <w:szCs w:val="22"/>
              </w:rPr>
            </w:pPr>
            <w:r w:rsidRPr="00381DC2">
              <w:rPr>
                <w:sz w:val="22"/>
                <w:szCs w:val="22"/>
              </w:rPr>
              <w:t>(n = 219)</w:t>
            </w:r>
          </w:p>
        </w:tc>
        <w:tc>
          <w:tcPr>
            <w:tcW w:w="2103" w:type="dxa"/>
            <w:tcBorders>
              <w:top w:val="nil"/>
              <w:left w:val="single" w:sz="4" w:space="0" w:color="auto"/>
              <w:bottom w:val="nil"/>
            </w:tcBorders>
            <w:shd w:val="clear" w:color="auto" w:fill="auto"/>
          </w:tcPr>
          <w:p w14:paraId="5FCB0A5D" w14:textId="77777777" w:rsidR="00ED4C2D" w:rsidRPr="00381DC2" w:rsidRDefault="00ED4C2D" w:rsidP="003C1003">
            <w:pPr>
              <w:pStyle w:val="Default"/>
              <w:jc w:val="center"/>
              <w:rPr>
                <w:rFonts w:eastAsia="Times New Roman"/>
                <w:sz w:val="22"/>
                <w:szCs w:val="22"/>
              </w:rPr>
            </w:pPr>
            <w:r w:rsidRPr="00381DC2">
              <w:rPr>
                <w:sz w:val="22"/>
                <w:szCs w:val="22"/>
              </w:rPr>
              <w:t xml:space="preserve">(n = 204) </w:t>
            </w:r>
          </w:p>
        </w:tc>
        <w:tc>
          <w:tcPr>
            <w:tcW w:w="2103" w:type="dxa"/>
            <w:tcBorders>
              <w:top w:val="nil"/>
              <w:bottom w:val="nil"/>
              <w:right w:val="single" w:sz="4" w:space="0" w:color="auto"/>
            </w:tcBorders>
            <w:shd w:val="clear" w:color="auto" w:fill="auto"/>
          </w:tcPr>
          <w:p w14:paraId="0B59724C" w14:textId="77777777" w:rsidR="00ED4C2D" w:rsidRPr="00381DC2" w:rsidRDefault="00ED4C2D" w:rsidP="003C1003">
            <w:pPr>
              <w:pStyle w:val="Default"/>
              <w:jc w:val="center"/>
              <w:rPr>
                <w:rFonts w:eastAsia="Times New Roman"/>
                <w:sz w:val="22"/>
                <w:szCs w:val="22"/>
              </w:rPr>
            </w:pPr>
            <w:r w:rsidRPr="00381DC2">
              <w:rPr>
                <w:sz w:val="22"/>
                <w:szCs w:val="22"/>
              </w:rPr>
              <w:t xml:space="preserve">(n = 216) </w:t>
            </w:r>
          </w:p>
        </w:tc>
      </w:tr>
      <w:tr w:rsidR="00ED4C2D" w:rsidRPr="00F60460" w14:paraId="3BAC5640" w14:textId="77777777" w:rsidTr="003C1003">
        <w:tc>
          <w:tcPr>
            <w:tcW w:w="2970" w:type="dxa"/>
            <w:tcBorders>
              <w:top w:val="nil"/>
              <w:left w:val="single" w:sz="4" w:space="0" w:color="auto"/>
              <w:bottom w:val="nil"/>
              <w:right w:val="single" w:sz="4" w:space="0" w:color="auto"/>
            </w:tcBorders>
            <w:shd w:val="clear" w:color="auto" w:fill="auto"/>
          </w:tcPr>
          <w:p w14:paraId="0659FDC6" w14:textId="77777777" w:rsidR="00ED4C2D" w:rsidRPr="00381DC2" w:rsidRDefault="00ED4C2D" w:rsidP="003C1003">
            <w:pPr>
              <w:pStyle w:val="Default"/>
              <w:rPr>
                <w:rFonts w:eastAsia="Times New Roman"/>
                <w:sz w:val="22"/>
                <w:szCs w:val="22"/>
              </w:rPr>
            </w:pPr>
            <w:r w:rsidRPr="00381DC2">
              <w:rPr>
                <w:sz w:val="22"/>
                <w:szCs w:val="22"/>
              </w:rPr>
              <w:t xml:space="preserve">Střední přežití bez progrese (měsíce) </w:t>
            </w:r>
          </w:p>
        </w:tc>
        <w:tc>
          <w:tcPr>
            <w:tcW w:w="2102" w:type="dxa"/>
            <w:tcBorders>
              <w:top w:val="nil"/>
              <w:left w:val="single" w:sz="4" w:space="0" w:color="auto"/>
              <w:bottom w:val="nil"/>
              <w:right w:val="single" w:sz="4" w:space="0" w:color="auto"/>
            </w:tcBorders>
            <w:shd w:val="clear" w:color="auto" w:fill="auto"/>
          </w:tcPr>
          <w:p w14:paraId="456937C6" w14:textId="77777777" w:rsidR="00ED4C2D" w:rsidRPr="00381DC2" w:rsidRDefault="00ED4C2D" w:rsidP="003C1003">
            <w:pPr>
              <w:pStyle w:val="Default"/>
              <w:jc w:val="center"/>
              <w:rPr>
                <w:rFonts w:eastAsia="Times New Roman"/>
                <w:sz w:val="22"/>
                <w:szCs w:val="22"/>
              </w:rPr>
            </w:pPr>
            <w:r w:rsidRPr="00381DC2">
              <w:rPr>
                <w:sz w:val="22"/>
                <w:szCs w:val="22"/>
              </w:rPr>
              <w:t>12,4</w:t>
            </w:r>
          </w:p>
        </w:tc>
        <w:tc>
          <w:tcPr>
            <w:tcW w:w="2103" w:type="dxa"/>
            <w:tcBorders>
              <w:top w:val="nil"/>
              <w:left w:val="single" w:sz="4" w:space="0" w:color="auto"/>
              <w:bottom w:val="nil"/>
            </w:tcBorders>
            <w:shd w:val="clear" w:color="auto" w:fill="auto"/>
          </w:tcPr>
          <w:p w14:paraId="708D77A8" w14:textId="77777777" w:rsidR="00ED4C2D" w:rsidRPr="00381DC2" w:rsidRDefault="00ED4C2D" w:rsidP="003C1003">
            <w:pPr>
              <w:pStyle w:val="Default"/>
              <w:jc w:val="center"/>
              <w:rPr>
                <w:rFonts w:eastAsia="Times New Roman"/>
                <w:sz w:val="22"/>
                <w:szCs w:val="22"/>
              </w:rPr>
            </w:pPr>
            <w:r w:rsidRPr="00381DC2">
              <w:rPr>
                <w:sz w:val="22"/>
                <w:szCs w:val="22"/>
              </w:rPr>
              <w:t xml:space="preserve">14,3 </w:t>
            </w:r>
          </w:p>
        </w:tc>
        <w:tc>
          <w:tcPr>
            <w:tcW w:w="2103" w:type="dxa"/>
            <w:tcBorders>
              <w:top w:val="nil"/>
              <w:bottom w:val="nil"/>
              <w:right w:val="single" w:sz="4" w:space="0" w:color="auto"/>
            </w:tcBorders>
            <w:shd w:val="clear" w:color="auto" w:fill="auto"/>
          </w:tcPr>
          <w:p w14:paraId="7E3468FB" w14:textId="77777777" w:rsidR="00ED4C2D" w:rsidRPr="00381DC2" w:rsidRDefault="00ED4C2D" w:rsidP="003C1003">
            <w:pPr>
              <w:pStyle w:val="Default"/>
              <w:jc w:val="center"/>
              <w:rPr>
                <w:rFonts w:eastAsia="Times New Roman"/>
                <w:sz w:val="22"/>
                <w:szCs w:val="22"/>
              </w:rPr>
            </w:pPr>
            <w:r w:rsidRPr="00381DC2">
              <w:rPr>
                <w:sz w:val="22"/>
                <w:szCs w:val="22"/>
              </w:rPr>
              <w:t xml:space="preserve">17,5 </w:t>
            </w:r>
          </w:p>
        </w:tc>
      </w:tr>
      <w:tr w:rsidR="00ED4C2D" w:rsidRPr="00F60460" w14:paraId="28A491ED" w14:textId="77777777" w:rsidTr="003C1003">
        <w:tc>
          <w:tcPr>
            <w:tcW w:w="2970" w:type="dxa"/>
            <w:tcBorders>
              <w:top w:val="nil"/>
              <w:left w:val="single" w:sz="4" w:space="0" w:color="auto"/>
              <w:bottom w:val="nil"/>
              <w:right w:val="single" w:sz="4" w:space="0" w:color="auto"/>
            </w:tcBorders>
            <w:shd w:val="clear" w:color="auto" w:fill="auto"/>
          </w:tcPr>
          <w:p w14:paraId="5D75B2D5" w14:textId="77777777" w:rsidR="00ED4C2D" w:rsidRPr="00381DC2" w:rsidRDefault="00ED4C2D" w:rsidP="003C1003">
            <w:pPr>
              <w:pStyle w:val="Default"/>
              <w:rPr>
                <w:rFonts w:eastAsia="Times New Roman"/>
                <w:sz w:val="22"/>
                <w:szCs w:val="22"/>
              </w:rPr>
            </w:pPr>
            <w:r w:rsidRPr="00381DC2">
              <w:rPr>
                <w:sz w:val="22"/>
                <w:szCs w:val="22"/>
              </w:rPr>
              <w:t>Poměr rizik (95% interval spolehlivosti)</w:t>
            </w:r>
            <w:r w:rsidRPr="00381DC2">
              <w:rPr>
                <w:sz w:val="22"/>
                <w:szCs w:val="22"/>
                <w:vertAlign w:val="superscript"/>
              </w:rPr>
              <w:t>4</w:t>
            </w:r>
          </w:p>
        </w:tc>
        <w:tc>
          <w:tcPr>
            <w:tcW w:w="2102" w:type="dxa"/>
            <w:tcBorders>
              <w:top w:val="nil"/>
              <w:left w:val="single" w:sz="4" w:space="0" w:color="auto"/>
              <w:bottom w:val="nil"/>
              <w:right w:val="single" w:sz="4" w:space="0" w:color="auto"/>
            </w:tcBorders>
            <w:shd w:val="clear" w:color="auto" w:fill="auto"/>
          </w:tcPr>
          <w:p w14:paraId="075A9091" w14:textId="77777777" w:rsidR="00ED4C2D" w:rsidRPr="00381DC2" w:rsidRDefault="00ED4C2D" w:rsidP="003C1003">
            <w:pPr>
              <w:jc w:val="center"/>
              <w:rPr>
                <w:rFonts w:ascii="Times New Roman" w:eastAsia="Times New Roman" w:hAnsi="Times New Roman"/>
                <w:color w:val="000000"/>
              </w:rPr>
            </w:pPr>
          </w:p>
        </w:tc>
        <w:tc>
          <w:tcPr>
            <w:tcW w:w="2103" w:type="dxa"/>
            <w:tcBorders>
              <w:top w:val="nil"/>
              <w:left w:val="single" w:sz="4" w:space="0" w:color="auto"/>
              <w:bottom w:val="nil"/>
            </w:tcBorders>
            <w:shd w:val="clear" w:color="auto" w:fill="auto"/>
          </w:tcPr>
          <w:p w14:paraId="3868AF77" w14:textId="77777777" w:rsidR="00ED4C2D" w:rsidRPr="00381DC2" w:rsidRDefault="00ED4C2D" w:rsidP="003C1003">
            <w:pPr>
              <w:pStyle w:val="Default"/>
              <w:jc w:val="center"/>
              <w:rPr>
                <w:rFonts w:eastAsia="Times New Roman"/>
                <w:sz w:val="22"/>
                <w:szCs w:val="22"/>
              </w:rPr>
            </w:pPr>
            <w:r w:rsidRPr="00381DC2">
              <w:rPr>
                <w:sz w:val="22"/>
                <w:szCs w:val="22"/>
              </w:rPr>
              <w:t>0,81</w:t>
            </w:r>
          </w:p>
        </w:tc>
        <w:tc>
          <w:tcPr>
            <w:tcW w:w="2103" w:type="dxa"/>
            <w:tcBorders>
              <w:top w:val="nil"/>
              <w:bottom w:val="nil"/>
              <w:right w:val="single" w:sz="4" w:space="0" w:color="auto"/>
            </w:tcBorders>
            <w:shd w:val="clear" w:color="auto" w:fill="auto"/>
          </w:tcPr>
          <w:p w14:paraId="23204931" w14:textId="77777777" w:rsidR="00ED4C2D" w:rsidRPr="00381DC2" w:rsidRDefault="00ED4C2D" w:rsidP="003C1003">
            <w:pPr>
              <w:pStyle w:val="Default"/>
              <w:jc w:val="center"/>
              <w:rPr>
                <w:rFonts w:eastAsia="Times New Roman"/>
                <w:sz w:val="22"/>
                <w:szCs w:val="22"/>
              </w:rPr>
            </w:pPr>
            <w:r w:rsidRPr="00381DC2">
              <w:rPr>
                <w:sz w:val="22"/>
                <w:szCs w:val="22"/>
              </w:rPr>
              <w:t xml:space="preserve">0,66 </w:t>
            </w:r>
          </w:p>
        </w:tc>
      </w:tr>
      <w:tr w:rsidR="00ED4C2D" w:rsidRPr="00F60460" w14:paraId="27B56AAE" w14:textId="77777777" w:rsidTr="003C1003">
        <w:tc>
          <w:tcPr>
            <w:tcW w:w="2970" w:type="dxa"/>
            <w:tcBorders>
              <w:top w:val="nil"/>
              <w:left w:val="single" w:sz="4" w:space="0" w:color="auto"/>
              <w:bottom w:val="nil"/>
              <w:right w:val="single" w:sz="4" w:space="0" w:color="auto"/>
            </w:tcBorders>
            <w:shd w:val="clear" w:color="auto" w:fill="auto"/>
          </w:tcPr>
          <w:p w14:paraId="4C7F029F" w14:textId="77777777" w:rsidR="00ED4C2D" w:rsidRPr="00381DC2" w:rsidRDefault="00ED4C2D" w:rsidP="003C1003">
            <w:pPr>
              <w:pStyle w:val="Default"/>
              <w:rPr>
                <w:rFonts w:eastAsia="Times New Roman"/>
                <w:sz w:val="22"/>
                <w:szCs w:val="22"/>
              </w:rPr>
            </w:pPr>
          </w:p>
        </w:tc>
        <w:tc>
          <w:tcPr>
            <w:tcW w:w="2102" w:type="dxa"/>
            <w:tcBorders>
              <w:top w:val="nil"/>
              <w:left w:val="single" w:sz="4" w:space="0" w:color="auto"/>
              <w:bottom w:val="nil"/>
              <w:right w:val="single" w:sz="4" w:space="0" w:color="auto"/>
            </w:tcBorders>
            <w:shd w:val="clear" w:color="auto" w:fill="auto"/>
          </w:tcPr>
          <w:p w14:paraId="3F945937" w14:textId="77777777" w:rsidR="00ED4C2D" w:rsidRPr="00381DC2" w:rsidRDefault="00ED4C2D" w:rsidP="003C1003">
            <w:pPr>
              <w:jc w:val="center"/>
              <w:rPr>
                <w:rFonts w:ascii="Times New Roman" w:eastAsia="Times New Roman" w:hAnsi="Times New Roman"/>
                <w:color w:val="000000"/>
              </w:rPr>
            </w:pPr>
          </w:p>
        </w:tc>
        <w:tc>
          <w:tcPr>
            <w:tcW w:w="2103" w:type="dxa"/>
            <w:tcBorders>
              <w:top w:val="nil"/>
              <w:left w:val="single" w:sz="4" w:space="0" w:color="auto"/>
              <w:bottom w:val="nil"/>
            </w:tcBorders>
            <w:shd w:val="clear" w:color="auto" w:fill="auto"/>
          </w:tcPr>
          <w:p w14:paraId="392F6973" w14:textId="77777777" w:rsidR="00ED4C2D" w:rsidRPr="00381DC2" w:rsidRDefault="00ED4C2D" w:rsidP="003C1003">
            <w:pPr>
              <w:pStyle w:val="Default"/>
              <w:jc w:val="center"/>
              <w:rPr>
                <w:rFonts w:eastAsia="Times New Roman"/>
                <w:sz w:val="22"/>
                <w:szCs w:val="22"/>
              </w:rPr>
            </w:pPr>
            <w:r w:rsidRPr="00381DC2">
              <w:rPr>
                <w:sz w:val="22"/>
                <w:szCs w:val="22"/>
              </w:rPr>
              <w:t>(0,62, 1,05)</w:t>
            </w:r>
          </w:p>
        </w:tc>
        <w:tc>
          <w:tcPr>
            <w:tcW w:w="2103" w:type="dxa"/>
            <w:tcBorders>
              <w:top w:val="nil"/>
              <w:bottom w:val="nil"/>
              <w:right w:val="single" w:sz="4" w:space="0" w:color="auto"/>
            </w:tcBorders>
            <w:shd w:val="clear" w:color="auto" w:fill="auto"/>
          </w:tcPr>
          <w:p w14:paraId="6AED2BC7" w14:textId="77777777" w:rsidR="00ED4C2D" w:rsidRPr="00381DC2" w:rsidRDefault="00ED4C2D" w:rsidP="003C1003">
            <w:pPr>
              <w:pStyle w:val="Default"/>
              <w:jc w:val="center"/>
              <w:rPr>
                <w:rFonts w:eastAsia="Times New Roman"/>
                <w:sz w:val="22"/>
                <w:szCs w:val="22"/>
              </w:rPr>
            </w:pPr>
            <w:r w:rsidRPr="00381DC2">
              <w:rPr>
                <w:sz w:val="22"/>
                <w:szCs w:val="22"/>
              </w:rPr>
              <w:t>(0,50, 0,86)</w:t>
            </w:r>
          </w:p>
        </w:tc>
      </w:tr>
      <w:tr w:rsidR="00ED4C2D" w:rsidRPr="00F60460" w14:paraId="6DCEC889" w14:textId="77777777" w:rsidTr="003C1003">
        <w:tc>
          <w:tcPr>
            <w:tcW w:w="9278" w:type="dxa"/>
            <w:gridSpan w:val="4"/>
            <w:tcBorders>
              <w:top w:val="single" w:sz="4" w:space="0" w:color="auto"/>
              <w:left w:val="single" w:sz="4" w:space="0" w:color="auto"/>
              <w:bottom w:val="single" w:sz="4" w:space="0" w:color="auto"/>
              <w:right w:val="single" w:sz="4" w:space="0" w:color="auto"/>
            </w:tcBorders>
            <w:shd w:val="clear" w:color="auto" w:fill="auto"/>
          </w:tcPr>
          <w:p w14:paraId="75CA5293" w14:textId="77777777" w:rsidR="00ED4C2D" w:rsidRPr="00381DC2" w:rsidRDefault="00ED4C2D" w:rsidP="003C1003">
            <w:pPr>
              <w:pStyle w:val="Default"/>
              <w:rPr>
                <w:rFonts w:eastAsia="Times New Roman"/>
                <w:sz w:val="22"/>
                <w:szCs w:val="22"/>
              </w:rPr>
            </w:pPr>
            <w:r w:rsidRPr="00381DC2">
              <w:rPr>
                <w:sz w:val="22"/>
                <w:szCs w:val="22"/>
              </w:rPr>
              <w:t>Randomizované pacientky s onemocněním stádia III se sub-optimální cytoredukcí</w:t>
            </w:r>
            <w:r w:rsidRPr="00381DC2">
              <w:rPr>
                <w:sz w:val="22"/>
                <w:szCs w:val="22"/>
                <w:vertAlign w:val="superscript"/>
              </w:rPr>
              <w:t>3</w:t>
            </w:r>
          </w:p>
        </w:tc>
      </w:tr>
      <w:tr w:rsidR="00ED4C2D" w:rsidRPr="00F60460" w14:paraId="125434C4" w14:textId="77777777" w:rsidTr="003C1003">
        <w:tc>
          <w:tcPr>
            <w:tcW w:w="2970" w:type="dxa"/>
            <w:tcBorders>
              <w:left w:val="single" w:sz="4" w:space="0" w:color="auto"/>
              <w:bottom w:val="nil"/>
            </w:tcBorders>
            <w:shd w:val="clear" w:color="auto" w:fill="auto"/>
          </w:tcPr>
          <w:p w14:paraId="30F028C8" w14:textId="77777777" w:rsidR="00ED4C2D" w:rsidRPr="00381DC2" w:rsidRDefault="00ED4C2D" w:rsidP="003C1003">
            <w:pPr>
              <w:rPr>
                <w:rFonts w:ascii="Times New Roman" w:eastAsia="Times New Roman" w:hAnsi="Times New Roman"/>
                <w:color w:val="000000"/>
              </w:rPr>
            </w:pPr>
          </w:p>
        </w:tc>
        <w:tc>
          <w:tcPr>
            <w:tcW w:w="2102" w:type="dxa"/>
            <w:tcBorders>
              <w:bottom w:val="nil"/>
            </w:tcBorders>
            <w:shd w:val="clear" w:color="auto" w:fill="auto"/>
          </w:tcPr>
          <w:p w14:paraId="0859419F" w14:textId="77777777" w:rsidR="00ED4C2D" w:rsidRPr="00381DC2" w:rsidRDefault="00ED4C2D" w:rsidP="003C1003">
            <w:pPr>
              <w:pStyle w:val="Default"/>
              <w:jc w:val="center"/>
              <w:rPr>
                <w:rFonts w:eastAsia="Times New Roman"/>
                <w:sz w:val="22"/>
                <w:szCs w:val="22"/>
              </w:rPr>
            </w:pPr>
            <w:r w:rsidRPr="00381DC2">
              <w:rPr>
                <w:sz w:val="22"/>
                <w:szCs w:val="22"/>
              </w:rPr>
              <w:t xml:space="preserve">CPP </w:t>
            </w:r>
          </w:p>
        </w:tc>
        <w:tc>
          <w:tcPr>
            <w:tcW w:w="2103" w:type="dxa"/>
            <w:tcBorders>
              <w:bottom w:val="nil"/>
            </w:tcBorders>
            <w:shd w:val="clear" w:color="auto" w:fill="auto"/>
          </w:tcPr>
          <w:p w14:paraId="633736BE" w14:textId="77777777" w:rsidR="00ED4C2D" w:rsidRPr="00381DC2" w:rsidRDefault="00ED4C2D" w:rsidP="003C1003">
            <w:pPr>
              <w:pStyle w:val="Default"/>
              <w:jc w:val="center"/>
              <w:rPr>
                <w:rFonts w:eastAsia="Times New Roman"/>
                <w:sz w:val="22"/>
                <w:szCs w:val="22"/>
              </w:rPr>
            </w:pPr>
            <w:r w:rsidRPr="00381DC2">
              <w:rPr>
                <w:sz w:val="22"/>
                <w:szCs w:val="22"/>
              </w:rPr>
              <w:t xml:space="preserve">CPB15 </w:t>
            </w:r>
          </w:p>
        </w:tc>
        <w:tc>
          <w:tcPr>
            <w:tcW w:w="2103" w:type="dxa"/>
            <w:tcBorders>
              <w:bottom w:val="nil"/>
              <w:right w:val="single" w:sz="4" w:space="0" w:color="auto"/>
            </w:tcBorders>
            <w:shd w:val="clear" w:color="auto" w:fill="auto"/>
          </w:tcPr>
          <w:p w14:paraId="583C09E3" w14:textId="77777777" w:rsidR="00ED4C2D" w:rsidRPr="00381DC2" w:rsidRDefault="00ED4C2D" w:rsidP="003C1003">
            <w:pPr>
              <w:pStyle w:val="Default"/>
              <w:jc w:val="center"/>
              <w:rPr>
                <w:rFonts w:eastAsia="Times New Roman"/>
                <w:sz w:val="22"/>
                <w:szCs w:val="22"/>
              </w:rPr>
            </w:pPr>
            <w:r w:rsidRPr="00381DC2">
              <w:rPr>
                <w:sz w:val="22"/>
                <w:szCs w:val="22"/>
              </w:rPr>
              <w:t xml:space="preserve">CPB15+ </w:t>
            </w:r>
          </w:p>
        </w:tc>
      </w:tr>
      <w:tr w:rsidR="00ED4C2D" w:rsidRPr="00F60460" w14:paraId="5144D16A" w14:textId="77777777" w:rsidTr="003C1003">
        <w:tc>
          <w:tcPr>
            <w:tcW w:w="2970" w:type="dxa"/>
            <w:tcBorders>
              <w:top w:val="nil"/>
              <w:left w:val="single" w:sz="4" w:space="0" w:color="auto"/>
              <w:bottom w:val="nil"/>
            </w:tcBorders>
            <w:shd w:val="clear" w:color="auto" w:fill="auto"/>
          </w:tcPr>
          <w:p w14:paraId="4378FAE0" w14:textId="77777777" w:rsidR="00ED4C2D" w:rsidRPr="00381DC2" w:rsidRDefault="00ED4C2D" w:rsidP="003C1003">
            <w:pPr>
              <w:rPr>
                <w:rFonts w:ascii="Times New Roman" w:eastAsia="Times New Roman" w:hAnsi="Times New Roman"/>
                <w:color w:val="000000"/>
              </w:rPr>
            </w:pPr>
          </w:p>
        </w:tc>
        <w:tc>
          <w:tcPr>
            <w:tcW w:w="2102" w:type="dxa"/>
            <w:tcBorders>
              <w:top w:val="nil"/>
              <w:bottom w:val="nil"/>
            </w:tcBorders>
            <w:shd w:val="clear" w:color="auto" w:fill="auto"/>
          </w:tcPr>
          <w:p w14:paraId="133D3BA5" w14:textId="77777777" w:rsidR="00ED4C2D" w:rsidRPr="00381DC2" w:rsidRDefault="00ED4C2D" w:rsidP="003C1003">
            <w:pPr>
              <w:pStyle w:val="Default"/>
              <w:jc w:val="center"/>
              <w:rPr>
                <w:rFonts w:eastAsia="Times New Roman"/>
                <w:sz w:val="22"/>
                <w:szCs w:val="22"/>
              </w:rPr>
            </w:pPr>
            <w:r w:rsidRPr="00381DC2">
              <w:rPr>
                <w:sz w:val="22"/>
                <w:szCs w:val="22"/>
              </w:rPr>
              <w:t xml:space="preserve">(n = 253) </w:t>
            </w:r>
          </w:p>
        </w:tc>
        <w:tc>
          <w:tcPr>
            <w:tcW w:w="2103" w:type="dxa"/>
            <w:tcBorders>
              <w:top w:val="nil"/>
              <w:bottom w:val="nil"/>
            </w:tcBorders>
            <w:shd w:val="clear" w:color="auto" w:fill="auto"/>
          </w:tcPr>
          <w:p w14:paraId="2F25DB5F" w14:textId="77777777" w:rsidR="00ED4C2D" w:rsidRPr="00381DC2" w:rsidRDefault="00ED4C2D" w:rsidP="003C1003">
            <w:pPr>
              <w:pStyle w:val="Default"/>
              <w:jc w:val="center"/>
              <w:rPr>
                <w:rFonts w:eastAsia="Times New Roman"/>
                <w:sz w:val="22"/>
                <w:szCs w:val="22"/>
              </w:rPr>
            </w:pPr>
            <w:r w:rsidRPr="00381DC2">
              <w:rPr>
                <w:sz w:val="22"/>
                <w:szCs w:val="22"/>
              </w:rPr>
              <w:t xml:space="preserve">(n = 256) </w:t>
            </w:r>
          </w:p>
        </w:tc>
        <w:tc>
          <w:tcPr>
            <w:tcW w:w="2103" w:type="dxa"/>
            <w:tcBorders>
              <w:top w:val="nil"/>
              <w:bottom w:val="nil"/>
              <w:right w:val="single" w:sz="4" w:space="0" w:color="auto"/>
            </w:tcBorders>
            <w:shd w:val="clear" w:color="auto" w:fill="auto"/>
          </w:tcPr>
          <w:p w14:paraId="5A5D885A" w14:textId="77777777" w:rsidR="00ED4C2D" w:rsidRPr="00381DC2" w:rsidRDefault="00ED4C2D" w:rsidP="003C1003">
            <w:pPr>
              <w:pStyle w:val="Default"/>
              <w:jc w:val="center"/>
              <w:rPr>
                <w:rFonts w:eastAsia="Times New Roman"/>
                <w:sz w:val="22"/>
                <w:szCs w:val="22"/>
              </w:rPr>
            </w:pPr>
            <w:r w:rsidRPr="00381DC2">
              <w:rPr>
                <w:sz w:val="22"/>
                <w:szCs w:val="22"/>
              </w:rPr>
              <w:t xml:space="preserve">(n = 242) </w:t>
            </w:r>
          </w:p>
        </w:tc>
      </w:tr>
      <w:tr w:rsidR="00ED4C2D" w:rsidRPr="00F60460" w14:paraId="24B4D243" w14:textId="77777777" w:rsidTr="003C1003">
        <w:tc>
          <w:tcPr>
            <w:tcW w:w="2970" w:type="dxa"/>
            <w:tcBorders>
              <w:top w:val="nil"/>
              <w:left w:val="single" w:sz="4" w:space="0" w:color="auto"/>
              <w:bottom w:val="nil"/>
            </w:tcBorders>
            <w:shd w:val="clear" w:color="auto" w:fill="auto"/>
          </w:tcPr>
          <w:p w14:paraId="5822BEDA" w14:textId="77777777" w:rsidR="00ED4C2D" w:rsidRPr="00381DC2" w:rsidRDefault="00ED4C2D" w:rsidP="003C1003">
            <w:pPr>
              <w:pStyle w:val="Default"/>
              <w:rPr>
                <w:rFonts w:eastAsia="Times New Roman"/>
                <w:sz w:val="22"/>
                <w:szCs w:val="22"/>
              </w:rPr>
            </w:pPr>
            <w:r w:rsidRPr="00381DC2">
              <w:rPr>
                <w:sz w:val="22"/>
                <w:szCs w:val="22"/>
              </w:rPr>
              <w:t xml:space="preserve">Střední přežití bez progrese (měsíce) </w:t>
            </w:r>
          </w:p>
        </w:tc>
        <w:tc>
          <w:tcPr>
            <w:tcW w:w="2102" w:type="dxa"/>
            <w:tcBorders>
              <w:top w:val="nil"/>
              <w:bottom w:val="nil"/>
            </w:tcBorders>
            <w:shd w:val="clear" w:color="auto" w:fill="auto"/>
          </w:tcPr>
          <w:p w14:paraId="480087E3" w14:textId="77777777" w:rsidR="00ED4C2D" w:rsidRPr="00381DC2" w:rsidRDefault="00ED4C2D" w:rsidP="003C1003">
            <w:pPr>
              <w:pStyle w:val="Default"/>
              <w:jc w:val="center"/>
              <w:rPr>
                <w:rFonts w:eastAsia="Times New Roman"/>
                <w:sz w:val="22"/>
                <w:szCs w:val="22"/>
              </w:rPr>
            </w:pPr>
            <w:r w:rsidRPr="00381DC2">
              <w:rPr>
                <w:sz w:val="22"/>
                <w:szCs w:val="22"/>
              </w:rPr>
              <w:t xml:space="preserve">10,1 </w:t>
            </w:r>
          </w:p>
        </w:tc>
        <w:tc>
          <w:tcPr>
            <w:tcW w:w="2103" w:type="dxa"/>
            <w:tcBorders>
              <w:top w:val="nil"/>
              <w:bottom w:val="nil"/>
            </w:tcBorders>
            <w:shd w:val="clear" w:color="auto" w:fill="auto"/>
          </w:tcPr>
          <w:p w14:paraId="5769EF5F" w14:textId="77777777" w:rsidR="00ED4C2D" w:rsidRPr="00381DC2" w:rsidRDefault="00ED4C2D" w:rsidP="003C1003">
            <w:pPr>
              <w:pStyle w:val="Default"/>
              <w:jc w:val="center"/>
              <w:rPr>
                <w:rFonts w:eastAsia="Times New Roman"/>
                <w:sz w:val="22"/>
                <w:szCs w:val="22"/>
              </w:rPr>
            </w:pPr>
            <w:r w:rsidRPr="00381DC2">
              <w:rPr>
                <w:sz w:val="22"/>
                <w:szCs w:val="22"/>
              </w:rPr>
              <w:t xml:space="preserve">10,9 </w:t>
            </w:r>
          </w:p>
        </w:tc>
        <w:tc>
          <w:tcPr>
            <w:tcW w:w="2103" w:type="dxa"/>
            <w:tcBorders>
              <w:top w:val="nil"/>
              <w:bottom w:val="nil"/>
              <w:right w:val="single" w:sz="4" w:space="0" w:color="auto"/>
            </w:tcBorders>
            <w:shd w:val="clear" w:color="auto" w:fill="auto"/>
          </w:tcPr>
          <w:p w14:paraId="1610FC89" w14:textId="77777777" w:rsidR="00ED4C2D" w:rsidRPr="00381DC2" w:rsidRDefault="00ED4C2D" w:rsidP="003C1003">
            <w:pPr>
              <w:pStyle w:val="Default"/>
              <w:jc w:val="center"/>
              <w:rPr>
                <w:rFonts w:eastAsia="Times New Roman"/>
                <w:sz w:val="22"/>
                <w:szCs w:val="22"/>
              </w:rPr>
            </w:pPr>
            <w:r w:rsidRPr="00381DC2">
              <w:rPr>
                <w:sz w:val="22"/>
                <w:szCs w:val="22"/>
              </w:rPr>
              <w:t xml:space="preserve">13,9 </w:t>
            </w:r>
          </w:p>
        </w:tc>
      </w:tr>
      <w:tr w:rsidR="00ED4C2D" w:rsidRPr="00F60460" w14:paraId="19951994" w14:textId="77777777" w:rsidTr="003C1003">
        <w:tc>
          <w:tcPr>
            <w:tcW w:w="2970" w:type="dxa"/>
            <w:tcBorders>
              <w:top w:val="nil"/>
              <w:left w:val="single" w:sz="4" w:space="0" w:color="auto"/>
              <w:bottom w:val="nil"/>
            </w:tcBorders>
            <w:shd w:val="clear" w:color="auto" w:fill="auto"/>
          </w:tcPr>
          <w:p w14:paraId="47F31A8C" w14:textId="77777777" w:rsidR="00ED4C2D" w:rsidRPr="00381DC2" w:rsidRDefault="00ED4C2D" w:rsidP="003C1003">
            <w:pPr>
              <w:pStyle w:val="Default"/>
              <w:rPr>
                <w:rFonts w:eastAsia="Times New Roman"/>
                <w:sz w:val="22"/>
                <w:szCs w:val="22"/>
              </w:rPr>
            </w:pPr>
            <w:r w:rsidRPr="00381DC2">
              <w:rPr>
                <w:sz w:val="22"/>
                <w:szCs w:val="22"/>
              </w:rPr>
              <w:t>Poměr rizik (95% interval spolehlivosti)</w:t>
            </w:r>
            <w:r w:rsidRPr="00381DC2">
              <w:rPr>
                <w:sz w:val="22"/>
                <w:szCs w:val="22"/>
                <w:vertAlign w:val="superscript"/>
              </w:rPr>
              <w:t>4</w:t>
            </w:r>
            <w:r w:rsidRPr="00381DC2">
              <w:rPr>
                <w:sz w:val="22"/>
                <w:szCs w:val="22"/>
              </w:rPr>
              <w:t xml:space="preserve"> </w:t>
            </w:r>
          </w:p>
        </w:tc>
        <w:tc>
          <w:tcPr>
            <w:tcW w:w="2102" w:type="dxa"/>
            <w:tcBorders>
              <w:top w:val="nil"/>
              <w:bottom w:val="nil"/>
            </w:tcBorders>
            <w:shd w:val="clear" w:color="auto" w:fill="auto"/>
          </w:tcPr>
          <w:p w14:paraId="544E4E44" w14:textId="77777777" w:rsidR="00ED4C2D" w:rsidRPr="00381DC2" w:rsidRDefault="00ED4C2D" w:rsidP="003C1003">
            <w:pPr>
              <w:jc w:val="center"/>
              <w:rPr>
                <w:rFonts w:ascii="Times New Roman" w:eastAsia="Times New Roman" w:hAnsi="Times New Roman"/>
                <w:color w:val="000000"/>
              </w:rPr>
            </w:pPr>
          </w:p>
        </w:tc>
        <w:tc>
          <w:tcPr>
            <w:tcW w:w="2103" w:type="dxa"/>
            <w:tcBorders>
              <w:top w:val="nil"/>
              <w:bottom w:val="nil"/>
            </w:tcBorders>
            <w:shd w:val="clear" w:color="auto" w:fill="auto"/>
          </w:tcPr>
          <w:p w14:paraId="5B1D65A3" w14:textId="77777777" w:rsidR="00ED4C2D" w:rsidRPr="00381DC2" w:rsidRDefault="00ED4C2D" w:rsidP="003C1003">
            <w:pPr>
              <w:pStyle w:val="Default"/>
              <w:jc w:val="center"/>
              <w:rPr>
                <w:rFonts w:eastAsia="Times New Roman"/>
                <w:sz w:val="22"/>
                <w:szCs w:val="22"/>
              </w:rPr>
            </w:pPr>
            <w:r w:rsidRPr="00381DC2">
              <w:rPr>
                <w:sz w:val="22"/>
                <w:szCs w:val="22"/>
              </w:rPr>
              <w:t xml:space="preserve">0,93 </w:t>
            </w:r>
          </w:p>
        </w:tc>
        <w:tc>
          <w:tcPr>
            <w:tcW w:w="2103" w:type="dxa"/>
            <w:tcBorders>
              <w:top w:val="nil"/>
              <w:bottom w:val="nil"/>
              <w:right w:val="single" w:sz="4" w:space="0" w:color="auto"/>
            </w:tcBorders>
            <w:shd w:val="clear" w:color="auto" w:fill="auto"/>
          </w:tcPr>
          <w:p w14:paraId="11D0FD60" w14:textId="77777777" w:rsidR="00ED4C2D" w:rsidRPr="00381DC2" w:rsidRDefault="00ED4C2D" w:rsidP="003C1003">
            <w:pPr>
              <w:pStyle w:val="Default"/>
              <w:jc w:val="center"/>
              <w:rPr>
                <w:rFonts w:eastAsia="Times New Roman"/>
                <w:sz w:val="22"/>
                <w:szCs w:val="22"/>
              </w:rPr>
            </w:pPr>
            <w:r w:rsidRPr="00381DC2">
              <w:rPr>
                <w:sz w:val="22"/>
                <w:szCs w:val="22"/>
              </w:rPr>
              <w:t xml:space="preserve">0,78 </w:t>
            </w:r>
          </w:p>
        </w:tc>
      </w:tr>
      <w:tr w:rsidR="00ED4C2D" w:rsidRPr="00F60460" w14:paraId="5CD3AC65" w14:textId="77777777" w:rsidTr="003C1003">
        <w:tc>
          <w:tcPr>
            <w:tcW w:w="2970" w:type="dxa"/>
            <w:tcBorders>
              <w:top w:val="nil"/>
              <w:left w:val="single" w:sz="4" w:space="0" w:color="auto"/>
            </w:tcBorders>
            <w:shd w:val="clear" w:color="auto" w:fill="auto"/>
          </w:tcPr>
          <w:p w14:paraId="0803041B" w14:textId="77777777" w:rsidR="00ED4C2D" w:rsidRPr="00381DC2" w:rsidRDefault="00ED4C2D" w:rsidP="003C1003">
            <w:pPr>
              <w:pStyle w:val="Default"/>
              <w:rPr>
                <w:sz w:val="22"/>
                <w:szCs w:val="22"/>
              </w:rPr>
            </w:pPr>
          </w:p>
        </w:tc>
        <w:tc>
          <w:tcPr>
            <w:tcW w:w="2102" w:type="dxa"/>
            <w:tcBorders>
              <w:top w:val="nil"/>
            </w:tcBorders>
            <w:shd w:val="clear" w:color="auto" w:fill="auto"/>
          </w:tcPr>
          <w:p w14:paraId="76C14244" w14:textId="77777777" w:rsidR="00ED4C2D" w:rsidRPr="00381DC2" w:rsidRDefault="00ED4C2D" w:rsidP="003C1003">
            <w:pPr>
              <w:jc w:val="center"/>
              <w:rPr>
                <w:rFonts w:ascii="Times New Roman" w:eastAsia="Times New Roman" w:hAnsi="Times New Roman"/>
                <w:color w:val="000000"/>
              </w:rPr>
            </w:pPr>
          </w:p>
        </w:tc>
        <w:tc>
          <w:tcPr>
            <w:tcW w:w="2103" w:type="dxa"/>
            <w:tcBorders>
              <w:top w:val="nil"/>
            </w:tcBorders>
            <w:shd w:val="clear" w:color="auto" w:fill="auto"/>
          </w:tcPr>
          <w:p w14:paraId="6F182F53" w14:textId="77777777" w:rsidR="00ED4C2D" w:rsidRPr="00381DC2" w:rsidRDefault="00ED4C2D" w:rsidP="003C1003">
            <w:pPr>
              <w:pStyle w:val="Default"/>
              <w:jc w:val="center"/>
              <w:rPr>
                <w:sz w:val="22"/>
                <w:szCs w:val="22"/>
              </w:rPr>
            </w:pPr>
            <w:r w:rsidRPr="00381DC2">
              <w:rPr>
                <w:sz w:val="22"/>
                <w:szCs w:val="22"/>
              </w:rPr>
              <w:t xml:space="preserve">(0,77, 1,14) </w:t>
            </w:r>
          </w:p>
        </w:tc>
        <w:tc>
          <w:tcPr>
            <w:tcW w:w="2103" w:type="dxa"/>
            <w:tcBorders>
              <w:top w:val="nil"/>
              <w:right w:val="single" w:sz="4" w:space="0" w:color="auto"/>
            </w:tcBorders>
            <w:shd w:val="clear" w:color="auto" w:fill="auto"/>
          </w:tcPr>
          <w:p w14:paraId="0DDC707A" w14:textId="77777777" w:rsidR="00ED4C2D" w:rsidRPr="00381DC2" w:rsidRDefault="00ED4C2D" w:rsidP="003C1003">
            <w:pPr>
              <w:pStyle w:val="Default"/>
              <w:jc w:val="center"/>
              <w:rPr>
                <w:rFonts w:eastAsia="Times New Roman"/>
                <w:sz w:val="22"/>
                <w:szCs w:val="22"/>
              </w:rPr>
            </w:pPr>
            <w:r w:rsidRPr="00381DC2">
              <w:rPr>
                <w:sz w:val="22"/>
                <w:szCs w:val="22"/>
              </w:rPr>
              <w:t xml:space="preserve">(0,63, 0,96) </w:t>
            </w:r>
          </w:p>
        </w:tc>
      </w:tr>
      <w:tr w:rsidR="00ED4C2D" w:rsidRPr="00F60460" w14:paraId="19435B2C" w14:textId="77777777" w:rsidTr="003C1003">
        <w:tc>
          <w:tcPr>
            <w:tcW w:w="9278" w:type="dxa"/>
            <w:gridSpan w:val="4"/>
            <w:tcBorders>
              <w:left w:val="single" w:sz="4" w:space="0" w:color="auto"/>
              <w:bottom w:val="single" w:sz="4" w:space="0" w:color="auto"/>
              <w:right w:val="single" w:sz="4" w:space="0" w:color="auto"/>
            </w:tcBorders>
            <w:shd w:val="clear" w:color="auto" w:fill="auto"/>
          </w:tcPr>
          <w:p w14:paraId="3F8981BF" w14:textId="77777777" w:rsidR="00ED4C2D" w:rsidRPr="00381DC2" w:rsidRDefault="00ED4C2D" w:rsidP="003C1003">
            <w:pPr>
              <w:pStyle w:val="Default"/>
              <w:rPr>
                <w:rFonts w:eastAsia="Times New Roman"/>
                <w:sz w:val="22"/>
                <w:szCs w:val="22"/>
              </w:rPr>
            </w:pPr>
            <w:r w:rsidRPr="00381DC2">
              <w:rPr>
                <w:sz w:val="22"/>
                <w:szCs w:val="22"/>
              </w:rPr>
              <w:t xml:space="preserve">Randomizované pacientky s onemocněním stádia IV </w:t>
            </w:r>
          </w:p>
        </w:tc>
      </w:tr>
      <w:tr w:rsidR="00ED4C2D" w:rsidRPr="00F60460" w14:paraId="33CEA087" w14:textId="77777777" w:rsidTr="003C1003">
        <w:tc>
          <w:tcPr>
            <w:tcW w:w="2970" w:type="dxa"/>
            <w:tcBorders>
              <w:left w:val="single" w:sz="4" w:space="0" w:color="auto"/>
              <w:bottom w:val="nil"/>
            </w:tcBorders>
            <w:shd w:val="clear" w:color="auto" w:fill="auto"/>
          </w:tcPr>
          <w:p w14:paraId="480D7835" w14:textId="77777777" w:rsidR="00ED4C2D" w:rsidRPr="00381DC2" w:rsidRDefault="00ED4C2D" w:rsidP="003C1003">
            <w:pPr>
              <w:pStyle w:val="Default"/>
              <w:rPr>
                <w:sz w:val="22"/>
                <w:szCs w:val="22"/>
              </w:rPr>
            </w:pPr>
          </w:p>
        </w:tc>
        <w:tc>
          <w:tcPr>
            <w:tcW w:w="2102" w:type="dxa"/>
            <w:tcBorders>
              <w:bottom w:val="nil"/>
            </w:tcBorders>
            <w:shd w:val="clear" w:color="auto" w:fill="auto"/>
          </w:tcPr>
          <w:p w14:paraId="47C95F32" w14:textId="77777777" w:rsidR="00ED4C2D" w:rsidRPr="00381DC2" w:rsidRDefault="00ED4C2D" w:rsidP="003C1003">
            <w:pPr>
              <w:pStyle w:val="Default"/>
              <w:jc w:val="center"/>
              <w:rPr>
                <w:sz w:val="22"/>
                <w:szCs w:val="22"/>
              </w:rPr>
            </w:pPr>
            <w:r w:rsidRPr="00381DC2">
              <w:rPr>
                <w:sz w:val="22"/>
                <w:szCs w:val="22"/>
              </w:rPr>
              <w:t xml:space="preserve">CPP </w:t>
            </w:r>
          </w:p>
        </w:tc>
        <w:tc>
          <w:tcPr>
            <w:tcW w:w="2103" w:type="dxa"/>
            <w:tcBorders>
              <w:bottom w:val="nil"/>
            </w:tcBorders>
            <w:shd w:val="clear" w:color="auto" w:fill="auto"/>
          </w:tcPr>
          <w:p w14:paraId="1355E81E" w14:textId="77777777" w:rsidR="00ED4C2D" w:rsidRPr="00381DC2" w:rsidRDefault="00ED4C2D" w:rsidP="003C1003">
            <w:pPr>
              <w:pStyle w:val="Default"/>
              <w:jc w:val="center"/>
              <w:rPr>
                <w:sz w:val="22"/>
                <w:szCs w:val="22"/>
              </w:rPr>
            </w:pPr>
            <w:r w:rsidRPr="00381DC2">
              <w:rPr>
                <w:sz w:val="22"/>
                <w:szCs w:val="22"/>
              </w:rPr>
              <w:t xml:space="preserve">CPB15 </w:t>
            </w:r>
          </w:p>
        </w:tc>
        <w:tc>
          <w:tcPr>
            <w:tcW w:w="2103" w:type="dxa"/>
            <w:tcBorders>
              <w:bottom w:val="nil"/>
              <w:right w:val="single" w:sz="4" w:space="0" w:color="auto"/>
            </w:tcBorders>
            <w:shd w:val="clear" w:color="auto" w:fill="auto"/>
          </w:tcPr>
          <w:p w14:paraId="61B69067" w14:textId="77777777" w:rsidR="00ED4C2D" w:rsidRPr="00381DC2" w:rsidRDefault="00ED4C2D" w:rsidP="003C1003">
            <w:pPr>
              <w:pStyle w:val="Default"/>
              <w:jc w:val="center"/>
              <w:rPr>
                <w:sz w:val="22"/>
                <w:szCs w:val="22"/>
              </w:rPr>
            </w:pPr>
            <w:r w:rsidRPr="00381DC2">
              <w:rPr>
                <w:sz w:val="22"/>
                <w:szCs w:val="22"/>
              </w:rPr>
              <w:t xml:space="preserve">CPB15+ </w:t>
            </w:r>
          </w:p>
        </w:tc>
      </w:tr>
      <w:tr w:rsidR="00ED4C2D" w:rsidRPr="00F60460" w14:paraId="67CA88E6" w14:textId="77777777" w:rsidTr="003C1003">
        <w:tc>
          <w:tcPr>
            <w:tcW w:w="2970" w:type="dxa"/>
            <w:tcBorders>
              <w:top w:val="nil"/>
              <w:left w:val="single" w:sz="4" w:space="0" w:color="auto"/>
              <w:bottom w:val="nil"/>
            </w:tcBorders>
            <w:shd w:val="clear" w:color="auto" w:fill="auto"/>
          </w:tcPr>
          <w:p w14:paraId="18F11E1B" w14:textId="77777777" w:rsidR="00ED4C2D" w:rsidRPr="00381DC2" w:rsidRDefault="00ED4C2D" w:rsidP="003C1003">
            <w:pPr>
              <w:rPr>
                <w:rFonts w:ascii="Times New Roman" w:eastAsia="Times New Roman" w:hAnsi="Times New Roman"/>
                <w:color w:val="000000"/>
              </w:rPr>
            </w:pPr>
          </w:p>
        </w:tc>
        <w:tc>
          <w:tcPr>
            <w:tcW w:w="2102" w:type="dxa"/>
            <w:tcBorders>
              <w:top w:val="nil"/>
              <w:bottom w:val="nil"/>
            </w:tcBorders>
            <w:shd w:val="clear" w:color="auto" w:fill="auto"/>
          </w:tcPr>
          <w:p w14:paraId="751CBB16" w14:textId="77777777" w:rsidR="00ED4C2D" w:rsidRPr="00381DC2" w:rsidRDefault="00ED4C2D" w:rsidP="003C1003">
            <w:pPr>
              <w:pStyle w:val="Default"/>
              <w:jc w:val="center"/>
              <w:rPr>
                <w:rFonts w:eastAsia="Times New Roman"/>
                <w:sz w:val="22"/>
                <w:szCs w:val="22"/>
              </w:rPr>
            </w:pPr>
            <w:r w:rsidRPr="00381DC2">
              <w:rPr>
                <w:sz w:val="22"/>
                <w:szCs w:val="22"/>
              </w:rPr>
              <w:t xml:space="preserve">(n = 153) </w:t>
            </w:r>
          </w:p>
        </w:tc>
        <w:tc>
          <w:tcPr>
            <w:tcW w:w="2103" w:type="dxa"/>
            <w:tcBorders>
              <w:top w:val="nil"/>
              <w:bottom w:val="nil"/>
            </w:tcBorders>
            <w:shd w:val="clear" w:color="auto" w:fill="auto"/>
          </w:tcPr>
          <w:p w14:paraId="6A422D8E" w14:textId="77777777" w:rsidR="00ED4C2D" w:rsidRPr="00381DC2" w:rsidRDefault="00ED4C2D" w:rsidP="003C1003">
            <w:pPr>
              <w:pStyle w:val="Default"/>
              <w:jc w:val="center"/>
              <w:rPr>
                <w:rFonts w:eastAsia="Times New Roman"/>
                <w:sz w:val="22"/>
                <w:szCs w:val="22"/>
              </w:rPr>
            </w:pPr>
            <w:r w:rsidRPr="00381DC2">
              <w:rPr>
                <w:sz w:val="22"/>
                <w:szCs w:val="22"/>
              </w:rPr>
              <w:t xml:space="preserve">(n = 165) </w:t>
            </w:r>
          </w:p>
        </w:tc>
        <w:tc>
          <w:tcPr>
            <w:tcW w:w="2103" w:type="dxa"/>
            <w:tcBorders>
              <w:top w:val="nil"/>
              <w:bottom w:val="nil"/>
              <w:right w:val="single" w:sz="4" w:space="0" w:color="auto"/>
            </w:tcBorders>
            <w:shd w:val="clear" w:color="auto" w:fill="auto"/>
          </w:tcPr>
          <w:p w14:paraId="07DA9674" w14:textId="77777777" w:rsidR="00ED4C2D" w:rsidRPr="00381DC2" w:rsidRDefault="00ED4C2D" w:rsidP="003C1003">
            <w:pPr>
              <w:pStyle w:val="Default"/>
              <w:jc w:val="center"/>
              <w:rPr>
                <w:rFonts w:eastAsia="Times New Roman"/>
                <w:sz w:val="22"/>
                <w:szCs w:val="22"/>
              </w:rPr>
            </w:pPr>
            <w:r w:rsidRPr="00381DC2">
              <w:rPr>
                <w:sz w:val="22"/>
                <w:szCs w:val="22"/>
              </w:rPr>
              <w:t>(n = 165)</w:t>
            </w:r>
          </w:p>
        </w:tc>
      </w:tr>
      <w:tr w:rsidR="00ED4C2D" w:rsidRPr="00F60460" w14:paraId="3A935DA9" w14:textId="77777777" w:rsidTr="003C1003">
        <w:tc>
          <w:tcPr>
            <w:tcW w:w="2970" w:type="dxa"/>
            <w:tcBorders>
              <w:top w:val="nil"/>
              <w:left w:val="single" w:sz="4" w:space="0" w:color="auto"/>
              <w:bottom w:val="nil"/>
            </w:tcBorders>
            <w:shd w:val="clear" w:color="auto" w:fill="auto"/>
          </w:tcPr>
          <w:p w14:paraId="5FF2D890" w14:textId="77777777" w:rsidR="00ED4C2D" w:rsidRPr="00381DC2" w:rsidRDefault="00ED4C2D" w:rsidP="003C1003">
            <w:pPr>
              <w:pStyle w:val="Default"/>
              <w:rPr>
                <w:rFonts w:eastAsia="Times New Roman"/>
                <w:sz w:val="22"/>
                <w:szCs w:val="22"/>
              </w:rPr>
            </w:pPr>
            <w:r w:rsidRPr="00381DC2">
              <w:rPr>
                <w:sz w:val="22"/>
                <w:szCs w:val="22"/>
              </w:rPr>
              <w:t xml:space="preserve">Střední celkové přežití (měsíce) </w:t>
            </w:r>
          </w:p>
        </w:tc>
        <w:tc>
          <w:tcPr>
            <w:tcW w:w="2102" w:type="dxa"/>
            <w:tcBorders>
              <w:top w:val="nil"/>
              <w:bottom w:val="nil"/>
            </w:tcBorders>
            <w:shd w:val="clear" w:color="auto" w:fill="auto"/>
          </w:tcPr>
          <w:p w14:paraId="026AF391" w14:textId="77777777" w:rsidR="00ED4C2D" w:rsidRPr="00381DC2" w:rsidRDefault="00ED4C2D" w:rsidP="003C1003">
            <w:pPr>
              <w:pStyle w:val="Default"/>
              <w:jc w:val="center"/>
              <w:rPr>
                <w:rFonts w:eastAsia="Times New Roman"/>
                <w:sz w:val="22"/>
                <w:szCs w:val="22"/>
              </w:rPr>
            </w:pPr>
            <w:r w:rsidRPr="00381DC2">
              <w:rPr>
                <w:sz w:val="22"/>
                <w:szCs w:val="22"/>
              </w:rPr>
              <w:t xml:space="preserve">9,5 </w:t>
            </w:r>
          </w:p>
        </w:tc>
        <w:tc>
          <w:tcPr>
            <w:tcW w:w="2103" w:type="dxa"/>
            <w:tcBorders>
              <w:top w:val="nil"/>
              <w:bottom w:val="nil"/>
            </w:tcBorders>
            <w:shd w:val="clear" w:color="auto" w:fill="auto"/>
          </w:tcPr>
          <w:p w14:paraId="5C0EC0B0" w14:textId="77777777" w:rsidR="00ED4C2D" w:rsidRPr="00381DC2" w:rsidRDefault="00ED4C2D" w:rsidP="003C1003">
            <w:pPr>
              <w:pStyle w:val="Default"/>
              <w:jc w:val="center"/>
              <w:rPr>
                <w:rFonts w:eastAsia="Times New Roman"/>
                <w:sz w:val="22"/>
                <w:szCs w:val="22"/>
              </w:rPr>
            </w:pPr>
            <w:r w:rsidRPr="00381DC2">
              <w:rPr>
                <w:sz w:val="22"/>
                <w:szCs w:val="22"/>
              </w:rPr>
              <w:t xml:space="preserve">10,4 </w:t>
            </w:r>
          </w:p>
        </w:tc>
        <w:tc>
          <w:tcPr>
            <w:tcW w:w="2103" w:type="dxa"/>
            <w:tcBorders>
              <w:top w:val="nil"/>
              <w:bottom w:val="nil"/>
              <w:right w:val="single" w:sz="4" w:space="0" w:color="auto"/>
            </w:tcBorders>
            <w:shd w:val="clear" w:color="auto" w:fill="auto"/>
          </w:tcPr>
          <w:p w14:paraId="3D0316ED" w14:textId="77777777" w:rsidR="00ED4C2D" w:rsidRPr="00381DC2" w:rsidRDefault="00ED4C2D" w:rsidP="003C1003">
            <w:pPr>
              <w:pStyle w:val="Default"/>
              <w:jc w:val="center"/>
              <w:rPr>
                <w:rFonts w:eastAsia="Times New Roman"/>
                <w:sz w:val="22"/>
                <w:szCs w:val="22"/>
              </w:rPr>
            </w:pPr>
            <w:r w:rsidRPr="00381DC2">
              <w:rPr>
                <w:sz w:val="22"/>
                <w:szCs w:val="22"/>
              </w:rPr>
              <w:t>12,8</w:t>
            </w:r>
          </w:p>
        </w:tc>
      </w:tr>
      <w:tr w:rsidR="00ED4C2D" w:rsidRPr="00F60460" w14:paraId="3D9C5531" w14:textId="77777777" w:rsidTr="003C1003">
        <w:tc>
          <w:tcPr>
            <w:tcW w:w="2970" w:type="dxa"/>
            <w:tcBorders>
              <w:top w:val="nil"/>
              <w:left w:val="single" w:sz="4" w:space="0" w:color="auto"/>
              <w:bottom w:val="nil"/>
            </w:tcBorders>
            <w:shd w:val="clear" w:color="auto" w:fill="auto"/>
          </w:tcPr>
          <w:p w14:paraId="427CF4E3" w14:textId="77777777" w:rsidR="00ED4C2D" w:rsidRPr="00381DC2" w:rsidRDefault="00ED4C2D" w:rsidP="003C1003">
            <w:pPr>
              <w:pStyle w:val="Default"/>
              <w:rPr>
                <w:rFonts w:eastAsia="Times New Roman"/>
                <w:sz w:val="22"/>
                <w:szCs w:val="22"/>
              </w:rPr>
            </w:pPr>
            <w:r w:rsidRPr="00381DC2">
              <w:rPr>
                <w:sz w:val="22"/>
                <w:szCs w:val="22"/>
              </w:rPr>
              <w:t>Poměr rizik (95% interval spolehlivosti)</w:t>
            </w:r>
            <w:r w:rsidRPr="00381DC2">
              <w:rPr>
                <w:sz w:val="22"/>
                <w:szCs w:val="22"/>
                <w:vertAlign w:val="superscript"/>
              </w:rPr>
              <w:t>4</w:t>
            </w:r>
            <w:r w:rsidRPr="00381DC2">
              <w:rPr>
                <w:sz w:val="22"/>
                <w:szCs w:val="22"/>
              </w:rPr>
              <w:t xml:space="preserve"> </w:t>
            </w:r>
          </w:p>
        </w:tc>
        <w:tc>
          <w:tcPr>
            <w:tcW w:w="2102" w:type="dxa"/>
            <w:tcBorders>
              <w:top w:val="nil"/>
              <w:bottom w:val="nil"/>
            </w:tcBorders>
            <w:shd w:val="clear" w:color="auto" w:fill="auto"/>
          </w:tcPr>
          <w:p w14:paraId="4ECB6FCC" w14:textId="77777777" w:rsidR="00ED4C2D" w:rsidRPr="00381DC2" w:rsidRDefault="00ED4C2D" w:rsidP="003C1003">
            <w:pPr>
              <w:jc w:val="center"/>
              <w:rPr>
                <w:rFonts w:ascii="Times New Roman" w:eastAsia="Times New Roman" w:hAnsi="Times New Roman"/>
                <w:color w:val="000000"/>
              </w:rPr>
            </w:pPr>
          </w:p>
        </w:tc>
        <w:tc>
          <w:tcPr>
            <w:tcW w:w="2103" w:type="dxa"/>
            <w:tcBorders>
              <w:top w:val="nil"/>
              <w:bottom w:val="nil"/>
            </w:tcBorders>
            <w:shd w:val="clear" w:color="auto" w:fill="auto"/>
          </w:tcPr>
          <w:p w14:paraId="6D8CBBF3" w14:textId="77777777" w:rsidR="00ED4C2D" w:rsidRPr="00381DC2" w:rsidRDefault="00ED4C2D" w:rsidP="003C1003">
            <w:pPr>
              <w:pStyle w:val="Default"/>
              <w:jc w:val="center"/>
              <w:rPr>
                <w:rFonts w:eastAsia="Times New Roman"/>
                <w:sz w:val="22"/>
                <w:szCs w:val="22"/>
              </w:rPr>
            </w:pPr>
            <w:r w:rsidRPr="00381DC2">
              <w:rPr>
                <w:sz w:val="22"/>
                <w:szCs w:val="22"/>
              </w:rPr>
              <w:t xml:space="preserve">0,90 </w:t>
            </w:r>
          </w:p>
        </w:tc>
        <w:tc>
          <w:tcPr>
            <w:tcW w:w="2103" w:type="dxa"/>
            <w:tcBorders>
              <w:top w:val="nil"/>
              <w:bottom w:val="nil"/>
              <w:right w:val="single" w:sz="4" w:space="0" w:color="auto"/>
            </w:tcBorders>
            <w:shd w:val="clear" w:color="auto" w:fill="auto"/>
          </w:tcPr>
          <w:p w14:paraId="4B13471F" w14:textId="77777777" w:rsidR="00ED4C2D" w:rsidRPr="00381DC2" w:rsidRDefault="00ED4C2D" w:rsidP="003C1003">
            <w:pPr>
              <w:pStyle w:val="Default"/>
              <w:jc w:val="center"/>
              <w:rPr>
                <w:rFonts w:eastAsia="Times New Roman"/>
                <w:sz w:val="22"/>
                <w:szCs w:val="22"/>
              </w:rPr>
            </w:pPr>
            <w:r w:rsidRPr="00381DC2">
              <w:rPr>
                <w:sz w:val="22"/>
                <w:szCs w:val="22"/>
              </w:rPr>
              <w:t xml:space="preserve">0,64 </w:t>
            </w:r>
          </w:p>
        </w:tc>
      </w:tr>
      <w:tr w:rsidR="00ED4C2D" w:rsidRPr="00F60460" w14:paraId="0042553B" w14:textId="77777777" w:rsidTr="003C1003">
        <w:tc>
          <w:tcPr>
            <w:tcW w:w="2970" w:type="dxa"/>
            <w:tcBorders>
              <w:top w:val="nil"/>
              <w:left w:val="single" w:sz="4" w:space="0" w:color="auto"/>
              <w:bottom w:val="single" w:sz="4" w:space="0" w:color="auto"/>
            </w:tcBorders>
            <w:shd w:val="clear" w:color="auto" w:fill="auto"/>
          </w:tcPr>
          <w:p w14:paraId="317D05FA" w14:textId="77777777" w:rsidR="00ED4C2D" w:rsidRPr="00381DC2" w:rsidRDefault="00ED4C2D" w:rsidP="003C1003">
            <w:pPr>
              <w:pStyle w:val="Default"/>
              <w:rPr>
                <w:rFonts w:eastAsia="Times New Roman"/>
                <w:sz w:val="22"/>
                <w:szCs w:val="22"/>
              </w:rPr>
            </w:pPr>
          </w:p>
        </w:tc>
        <w:tc>
          <w:tcPr>
            <w:tcW w:w="2102" w:type="dxa"/>
            <w:tcBorders>
              <w:top w:val="nil"/>
              <w:bottom w:val="single" w:sz="4" w:space="0" w:color="auto"/>
            </w:tcBorders>
            <w:shd w:val="clear" w:color="auto" w:fill="auto"/>
          </w:tcPr>
          <w:p w14:paraId="245B251C" w14:textId="77777777" w:rsidR="00ED4C2D" w:rsidRPr="00381DC2" w:rsidRDefault="00ED4C2D" w:rsidP="003C1003">
            <w:pPr>
              <w:jc w:val="center"/>
              <w:rPr>
                <w:rFonts w:ascii="Times New Roman" w:eastAsia="Times New Roman" w:hAnsi="Times New Roman"/>
                <w:color w:val="000000"/>
              </w:rPr>
            </w:pPr>
          </w:p>
        </w:tc>
        <w:tc>
          <w:tcPr>
            <w:tcW w:w="2103" w:type="dxa"/>
            <w:tcBorders>
              <w:top w:val="nil"/>
              <w:bottom w:val="single" w:sz="4" w:space="0" w:color="auto"/>
            </w:tcBorders>
            <w:shd w:val="clear" w:color="auto" w:fill="auto"/>
          </w:tcPr>
          <w:p w14:paraId="57AB5C1E" w14:textId="77777777" w:rsidR="00ED4C2D" w:rsidRPr="00381DC2" w:rsidRDefault="00ED4C2D" w:rsidP="003C1003">
            <w:pPr>
              <w:pStyle w:val="Default"/>
              <w:jc w:val="center"/>
              <w:rPr>
                <w:rFonts w:eastAsia="Times New Roman"/>
                <w:sz w:val="22"/>
                <w:szCs w:val="22"/>
              </w:rPr>
            </w:pPr>
            <w:r w:rsidRPr="00381DC2">
              <w:rPr>
                <w:sz w:val="22"/>
                <w:szCs w:val="22"/>
              </w:rPr>
              <w:t xml:space="preserve">(0,70, 1,16) </w:t>
            </w:r>
          </w:p>
        </w:tc>
        <w:tc>
          <w:tcPr>
            <w:tcW w:w="2103" w:type="dxa"/>
            <w:tcBorders>
              <w:top w:val="nil"/>
              <w:bottom w:val="single" w:sz="4" w:space="0" w:color="auto"/>
              <w:right w:val="single" w:sz="4" w:space="0" w:color="auto"/>
            </w:tcBorders>
            <w:shd w:val="clear" w:color="auto" w:fill="auto"/>
          </w:tcPr>
          <w:p w14:paraId="63F9C689" w14:textId="77777777" w:rsidR="00ED4C2D" w:rsidRPr="00381DC2" w:rsidRDefault="00ED4C2D" w:rsidP="003C1003">
            <w:pPr>
              <w:pStyle w:val="Default"/>
              <w:jc w:val="center"/>
              <w:rPr>
                <w:rFonts w:eastAsia="Times New Roman"/>
                <w:sz w:val="22"/>
                <w:szCs w:val="22"/>
              </w:rPr>
            </w:pPr>
            <w:r w:rsidRPr="00381DC2">
              <w:rPr>
                <w:sz w:val="22"/>
                <w:szCs w:val="22"/>
              </w:rPr>
              <w:t xml:space="preserve">(0,49, 0,82) </w:t>
            </w:r>
          </w:p>
        </w:tc>
      </w:tr>
    </w:tbl>
    <w:p w14:paraId="0BCC7BA6" w14:textId="77777777" w:rsidR="004902D9" w:rsidRPr="00F60460" w:rsidRDefault="00ED4C2D" w:rsidP="0010053B">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(1)</w:t>
      </w:r>
      <w:r w:rsidRPr="00F60460">
        <w:rPr>
          <w:rFonts w:ascii="Times New Roman" w:eastAsia="Times New Roman" w:hAnsi="Times New Roman"/>
          <w:color w:val="000000"/>
          <w:sz w:val="20"/>
          <w:szCs w:val="20"/>
          <w:lang w:bidi="ar-SA"/>
        </w:rPr>
        <w:t xml:space="preserve"> </w:t>
      </w:r>
      <w:r w:rsidR="0010053B"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Řešiteli provedená protokolem GOG specifikovaná analýza přežití bez progrese (bez cenzury při progresi dle CA-125 a bez cenzury při zahájení protokolem nespecifikované léčby před progresí nemoci). Data k 25. únoru 2010.</w:t>
      </w:r>
    </w:p>
    <w:p w14:paraId="3EB04029" w14:textId="77777777" w:rsidR="004902D9" w:rsidRPr="00F60460" w:rsidRDefault="00ED4C2D" w:rsidP="0010053B">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(2)</w:t>
      </w:r>
      <w:r w:rsidRPr="00F60460">
        <w:rPr>
          <w:rFonts w:ascii="Times New Roman" w:eastAsia="Times New Roman" w:hAnsi="Times New Roman"/>
          <w:color w:val="000000"/>
          <w:sz w:val="20"/>
          <w:szCs w:val="20"/>
          <w:lang w:bidi="ar-SA"/>
        </w:rPr>
        <w:t xml:space="preserve"> </w:t>
      </w:r>
      <w:r w:rsidR="0010053B"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S makroskopickou reziduální nemocí.</w:t>
      </w:r>
    </w:p>
    <w:p w14:paraId="0A9A373C" w14:textId="77777777" w:rsidR="004902D9" w:rsidRPr="00F60460" w:rsidRDefault="00ED4C2D" w:rsidP="0010053B">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(3)</w:t>
      </w:r>
      <w:r w:rsidRPr="00F60460">
        <w:rPr>
          <w:rFonts w:ascii="Times New Roman" w:eastAsia="Times New Roman" w:hAnsi="Times New Roman"/>
          <w:color w:val="000000"/>
          <w:sz w:val="20"/>
          <w:szCs w:val="20"/>
          <w:lang w:bidi="ar-SA"/>
        </w:rPr>
        <w:t xml:space="preserve"> </w:t>
      </w:r>
      <w:r w:rsidR="0010053B"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3,7% ze všech randomizovaných pacientů mělo onemocnění stádia IIIB.</w:t>
      </w:r>
    </w:p>
    <w:p w14:paraId="5945B4E3" w14:textId="77777777" w:rsidR="00ED4C2D" w:rsidRPr="00F60460" w:rsidRDefault="00ED4C2D" w:rsidP="00D23770">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(4)</w:t>
      </w:r>
      <w:r w:rsidRPr="00F60460">
        <w:rPr>
          <w:rFonts w:ascii="Times New Roman" w:eastAsia="Times New Roman" w:hAnsi="Times New Roman"/>
          <w:color w:val="000000"/>
          <w:sz w:val="20"/>
          <w:szCs w:val="20"/>
          <w:lang w:bidi="ar-SA"/>
        </w:rPr>
        <w:t xml:space="preserve"> </w:t>
      </w:r>
      <w:r w:rsidR="0010053B"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Ve vztahu ke kontrolnímu rameni.</w:t>
      </w:r>
    </w:p>
    <w:p w14:paraId="62395C3A" w14:textId="77777777" w:rsidR="00ED4C2D" w:rsidRPr="00381DC2" w:rsidRDefault="00ED4C2D" w:rsidP="00ED4C2D">
      <w:pPr>
        <w:widowControl/>
        <w:rPr>
          <w:rFonts w:ascii="Times New Roman" w:eastAsia="Times New Roman" w:hAnsi="Times New Roman"/>
          <w:i/>
          <w:iCs/>
          <w:color w:val="000000"/>
          <w:lang w:bidi="ar-SA"/>
        </w:rPr>
      </w:pPr>
    </w:p>
    <w:p w14:paraId="4D940F43"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i/>
          <w:iCs/>
          <w:color w:val="000000"/>
          <w:lang w:bidi="ar-SA"/>
        </w:rPr>
        <w:t>BO17707 (ICON7)</w:t>
      </w:r>
    </w:p>
    <w:p w14:paraId="441A5049"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BO17707 byla multicentrická, randomizovaná, kontrolovaná, otevřená studie fáze III se dvěma rameny, která porovnávala vliv přidání bevacizumabu ke karboplatině a paklitaxelu u pacientek s epitelovým nádorem vaječníků, vejcovodů nebo primárním nádorem pobřišnice stádia I nebo IIA dle FIGO (jen stupeň 3 nebo světlebuněčný histologický typ, n = 142) nebo stádia IIB - IV dle FIGO (všechny stupně a histologické typy, n = 1386) po předchozí operaci (NCI-CTCAE v.3). Ve studii byla použita klasifikace FIGO, verze z roku 1988.</w:t>
      </w:r>
    </w:p>
    <w:p w14:paraId="4086DD48" w14:textId="77777777" w:rsidR="00ED4C2D" w:rsidRPr="00381DC2" w:rsidRDefault="00ED4C2D" w:rsidP="00ED4C2D">
      <w:pPr>
        <w:widowControl/>
        <w:rPr>
          <w:rFonts w:ascii="Times New Roman" w:eastAsia="Times New Roman" w:hAnsi="Times New Roman"/>
          <w:color w:val="000000"/>
          <w:lang w:bidi="ar-SA"/>
        </w:rPr>
      </w:pPr>
    </w:p>
    <w:p w14:paraId="10E3E80E"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Pacientky dříve léčené bevacizumabem nebo systémovou protinádorovou chemoterapií pro karcinom vaječníků (např. chemoterapií, monoklonálními protilátkami, inhibitory tyrosinkinázy nebo hormonální léčbou) nebo radioterapií na oblast břicha nebo pánve byly ze studie vyloučeny.</w:t>
      </w:r>
    </w:p>
    <w:p w14:paraId="124A0CD9" w14:textId="77777777" w:rsidR="00ED4C2D" w:rsidRPr="00381DC2" w:rsidRDefault="00ED4C2D" w:rsidP="00ED4C2D">
      <w:pPr>
        <w:widowControl/>
        <w:rPr>
          <w:rFonts w:ascii="Times New Roman" w:eastAsia="Times New Roman" w:hAnsi="Times New Roman"/>
          <w:color w:val="000000"/>
          <w:lang w:bidi="ar-SA"/>
        </w:rPr>
      </w:pPr>
    </w:p>
    <w:p w14:paraId="3DDB974E"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Do dvou ramen studie bylo rovnoměrně randomizováno celkem 1528 pacientek následovně:</w:t>
      </w:r>
    </w:p>
    <w:p w14:paraId="2C486733" w14:textId="77777777" w:rsidR="00ED4C2D" w:rsidRPr="00381DC2" w:rsidRDefault="00ED4C2D" w:rsidP="00ED4C2D">
      <w:pPr>
        <w:widowControl/>
        <w:rPr>
          <w:rFonts w:ascii="Times New Roman" w:eastAsia="Times New Roman" w:hAnsi="Times New Roman"/>
          <w:color w:val="000000"/>
          <w:lang w:bidi="ar-SA"/>
        </w:rPr>
      </w:pPr>
    </w:p>
    <w:p w14:paraId="70ABDD86" w14:textId="77777777" w:rsidR="00ED4C2D" w:rsidRPr="00381DC2" w:rsidRDefault="00ED4C2D" w:rsidP="008378F9">
      <w:pPr>
        <w:widowControl/>
        <w:numPr>
          <w:ilvl w:val="0"/>
          <w:numId w:val="38"/>
        </w:numPr>
        <w:rPr>
          <w:rFonts w:ascii="Times New Roman" w:eastAsia="Times New Roman" w:hAnsi="Times New Roman"/>
          <w:color w:val="000000"/>
          <w:lang w:bidi="ar-SA"/>
        </w:rPr>
      </w:pPr>
      <w:r w:rsidRPr="00381DC2">
        <w:rPr>
          <w:rFonts w:ascii="Times New Roman" w:eastAsia="Times New Roman" w:hAnsi="Times New Roman"/>
          <w:color w:val="000000"/>
          <w:lang w:bidi="ar-SA"/>
        </w:rPr>
        <w:t>rameno CP: Karboplatina (AUC 6) a paklitaxel (175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xml:space="preserve">), každé 3 týdny, 6 cyklů </w:t>
      </w:r>
    </w:p>
    <w:p w14:paraId="0C5E6142" w14:textId="77777777" w:rsidR="00ED4C2D" w:rsidRPr="00381DC2" w:rsidRDefault="00ED4C2D" w:rsidP="008378F9">
      <w:pPr>
        <w:widowControl/>
        <w:numPr>
          <w:ilvl w:val="0"/>
          <w:numId w:val="38"/>
        </w:numPr>
        <w:rPr>
          <w:rFonts w:ascii="Times New Roman" w:eastAsia="Times New Roman" w:hAnsi="Times New Roman"/>
          <w:color w:val="000000"/>
          <w:lang w:bidi="ar-SA"/>
        </w:rPr>
      </w:pPr>
      <w:r w:rsidRPr="00381DC2">
        <w:rPr>
          <w:rFonts w:ascii="Times New Roman" w:eastAsia="Times New Roman" w:hAnsi="Times New Roman"/>
          <w:color w:val="000000"/>
          <w:lang w:bidi="ar-SA"/>
        </w:rPr>
        <w:t>rameno CPB 7,5+: Karboplatina (AUC 6) a paklitaxel (175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každé 3 týdny, 6 cyklů plus bevacizumab (7,5 mg/kg každé 3 týdny) po dobu až 12 měsíců (pokud byla léčba zahájena do 4 týdnů od operace, bylo podávání bevacizumabu zahájeno od cyklu 2 chemoterapie, pokud byla léčba zahájena v odstupu více než 4 týdnů od operace, byl bevacizumab podáván od cyklu 1).</w:t>
      </w:r>
    </w:p>
    <w:p w14:paraId="1BC5D2F5" w14:textId="77777777" w:rsidR="00ED4C2D" w:rsidRPr="00381DC2" w:rsidRDefault="00ED4C2D" w:rsidP="00ED4C2D">
      <w:pPr>
        <w:widowControl/>
        <w:rPr>
          <w:rFonts w:ascii="Times New Roman" w:eastAsia="Times New Roman" w:hAnsi="Times New Roman"/>
          <w:color w:val="000000"/>
          <w:lang w:bidi="ar-SA"/>
        </w:rPr>
      </w:pPr>
    </w:p>
    <w:p w14:paraId="0F3ABA67"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Většina pacientek zařazených do studie byly bělošky (96%), střední věk v obou léčebných ramenech byl 57 let, 25% pacientek v každém léčebném rameni bylo ve věku 65 let nebo více a přibližně 50% pacientek mělo ECOG PS 1; 7% pacientek v každém léčebném rameni mělo ECOG PS 2. Většina pacientek měla epitelový karcinom vaječníků (87,7%), následoval primární nádor pobřišnice (6,9%) a karcinom vejcovodů (3,7%) nebo směs tří primárních lokalizací (1,7%). Většina pacientek měla FIGO stádium III (v obou ramenech 68%), následovalo FIGO stádium IV (13% a 14%), FIGO stádium II (10% a 11%) a FIGO stádium I (9% a 7%). Většina pacientek v každém léčebném rameni (74% a 71%) měla při vstupu do studie špatně diferencovaný (stupeň 3) primární nádor. Incidence každého histologického podtypu epitelového karcinomu vaječníků byla v obou ramenech podobná, 69% pacientek mělo histologický typ serózního adenokarcinomu.</w:t>
      </w:r>
    </w:p>
    <w:p w14:paraId="5B0DBA23" w14:textId="77777777" w:rsidR="00ED4C2D" w:rsidRPr="00381DC2" w:rsidRDefault="00ED4C2D" w:rsidP="00ED4C2D">
      <w:pPr>
        <w:widowControl/>
        <w:rPr>
          <w:rFonts w:ascii="Times New Roman" w:eastAsia="Times New Roman" w:hAnsi="Times New Roman"/>
          <w:color w:val="000000"/>
          <w:lang w:bidi="ar-SA"/>
        </w:rPr>
      </w:pPr>
    </w:p>
    <w:p w14:paraId="38AABDD0"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Primárním cílovým parametrem účinnosti bylo stanovení doby přežití bez progrese dle hodnocení řešiteli za použití RECIST.</w:t>
      </w:r>
    </w:p>
    <w:p w14:paraId="09409A06" w14:textId="77777777" w:rsidR="00ED4C2D" w:rsidRPr="00381DC2" w:rsidRDefault="00ED4C2D" w:rsidP="00ED4C2D">
      <w:pPr>
        <w:widowControl/>
        <w:rPr>
          <w:rFonts w:ascii="Times New Roman" w:eastAsia="Times New Roman" w:hAnsi="Times New Roman"/>
          <w:color w:val="000000"/>
          <w:lang w:bidi="ar-SA"/>
        </w:rPr>
      </w:pPr>
    </w:p>
    <w:p w14:paraId="0E619A45"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Studie splnila primární cíl prodloužení doby přežití bez progrese. Pacientky, které byly léčeny bevacizumabem v dávce 7,5 mg/kg každé 3 týdny v kombinaci s chemoterapií a dále dostávaly bevacizumab po dobu až 18 cyklů, měly i statisticky významné zlepšení doby přežití bez progrese ve srovnání s pacientkami léčenými v úvodní léčbě samotnou chemoterapií (karboplatina a paklitaxel).</w:t>
      </w:r>
    </w:p>
    <w:p w14:paraId="5168047C" w14:textId="77777777" w:rsidR="00ED4C2D" w:rsidRPr="00381DC2" w:rsidRDefault="00ED4C2D" w:rsidP="00ED4C2D">
      <w:pPr>
        <w:widowControl/>
        <w:rPr>
          <w:rFonts w:ascii="Times New Roman" w:eastAsia="Times New Roman" w:hAnsi="Times New Roman"/>
          <w:color w:val="000000"/>
          <w:lang w:bidi="ar-SA"/>
        </w:rPr>
      </w:pPr>
    </w:p>
    <w:p w14:paraId="1E80E476"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Výsledky této studie jsou shrnuty v Tabulce </w:t>
      </w:r>
      <w:r w:rsidR="009B3DA3" w:rsidRPr="00381DC2">
        <w:rPr>
          <w:rFonts w:ascii="Times New Roman" w:eastAsia="Times New Roman" w:hAnsi="Times New Roman"/>
          <w:color w:val="000000"/>
          <w:lang w:bidi="ar-SA"/>
        </w:rPr>
        <w:t>18</w:t>
      </w:r>
      <w:r w:rsidRPr="00381DC2">
        <w:rPr>
          <w:rFonts w:ascii="Times New Roman" w:eastAsia="Times New Roman" w:hAnsi="Times New Roman"/>
          <w:color w:val="000000"/>
          <w:lang w:bidi="ar-SA"/>
        </w:rPr>
        <w:t>.</w:t>
      </w:r>
    </w:p>
    <w:p w14:paraId="51C94D6C" w14:textId="77777777" w:rsidR="00ED4C2D" w:rsidRPr="00381DC2" w:rsidRDefault="00ED4C2D" w:rsidP="00ED4C2D">
      <w:pPr>
        <w:widowControl/>
        <w:rPr>
          <w:rFonts w:ascii="Times New Roman" w:eastAsia="Times New Roman" w:hAnsi="Times New Roman"/>
          <w:color w:val="000000"/>
          <w:lang w:bidi="ar-SA"/>
        </w:rPr>
      </w:pPr>
    </w:p>
    <w:p w14:paraId="32ABF7CF" w14:textId="77777777" w:rsidR="00ED4C2D" w:rsidRPr="00381DC2" w:rsidRDefault="00ED4C2D" w:rsidP="00ED4C2D">
      <w:pPr>
        <w:keepNext/>
        <w:widowControl/>
        <w:rPr>
          <w:rFonts w:ascii="Times New Roman" w:eastAsia="Times New Roman" w:hAnsi="Times New Roman"/>
          <w:color w:val="000000"/>
          <w:lang w:bidi="ar-SA"/>
        </w:rPr>
      </w:pPr>
      <w:r w:rsidRPr="00381DC2">
        <w:rPr>
          <w:rFonts w:ascii="Times New Roman" w:eastAsia="Times New Roman" w:hAnsi="Times New Roman"/>
          <w:b/>
          <w:bCs/>
          <w:color w:val="000000"/>
          <w:lang w:bidi="ar-SA"/>
        </w:rPr>
        <w:t xml:space="preserve">Tabulka </w:t>
      </w:r>
      <w:r w:rsidR="009B3DA3" w:rsidRPr="00381DC2">
        <w:rPr>
          <w:rFonts w:ascii="Times New Roman" w:eastAsia="Times New Roman" w:hAnsi="Times New Roman"/>
          <w:b/>
          <w:bCs/>
          <w:color w:val="000000"/>
          <w:lang w:bidi="ar-SA"/>
        </w:rPr>
        <w:t>18</w:t>
      </w:r>
      <w:r w:rsidR="005D48D1" w:rsidRPr="00381DC2">
        <w:rPr>
          <w:rFonts w:ascii="Times New Roman" w:eastAsia="Times New Roman" w:hAnsi="Times New Roman"/>
          <w:b/>
          <w:bCs/>
          <w:color w:val="000000"/>
          <w:lang w:bidi="ar-SA"/>
        </w:rPr>
        <w:tab/>
      </w:r>
      <w:r w:rsidRPr="00381DC2">
        <w:rPr>
          <w:rFonts w:ascii="Times New Roman" w:eastAsia="Times New Roman" w:hAnsi="Times New Roman"/>
          <w:color w:val="000000"/>
          <w:lang w:bidi="ar-SA"/>
        </w:rPr>
        <w:t xml:space="preserve"> </w:t>
      </w:r>
      <w:r w:rsidRPr="00381DC2">
        <w:rPr>
          <w:rFonts w:ascii="Times New Roman" w:eastAsia="Times New Roman" w:hAnsi="Times New Roman"/>
          <w:b/>
          <w:color w:val="000000"/>
          <w:lang w:bidi="ar-SA"/>
        </w:rPr>
        <w:t>Výsledky účinnosti ve studii BO17707 (ICON7)</w:t>
      </w:r>
      <w:r w:rsidRPr="00381DC2">
        <w:rPr>
          <w:rFonts w:ascii="Times New Roman" w:eastAsia="Times New Roman" w:hAnsi="Times New Roman"/>
          <w:color w:val="000000"/>
          <w:lang w:bidi="ar-SA"/>
        </w:rPr>
        <w:t xml:space="preserve"> </w:t>
      </w:r>
    </w:p>
    <w:p w14:paraId="0A4E964C" w14:textId="77777777" w:rsidR="00ED4C2D" w:rsidRPr="00381DC2" w:rsidRDefault="00ED4C2D" w:rsidP="00ED4C2D">
      <w:pPr>
        <w:keepNext/>
        <w:widowControl/>
        <w:rPr>
          <w:rFonts w:ascii="Times New Roman" w:eastAsia="Times New Roman" w:hAnsi="Times New Roman"/>
          <w:color w:val="000000"/>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ED4C2D" w:rsidRPr="00F60460" w14:paraId="0AFA3232" w14:textId="77777777" w:rsidTr="003C1003">
        <w:tc>
          <w:tcPr>
            <w:tcW w:w="8910" w:type="dxa"/>
            <w:gridSpan w:val="3"/>
            <w:tcBorders>
              <w:left w:val="single" w:sz="4" w:space="0" w:color="auto"/>
              <w:bottom w:val="nil"/>
            </w:tcBorders>
            <w:shd w:val="clear" w:color="auto" w:fill="auto"/>
          </w:tcPr>
          <w:p w14:paraId="03E889C6" w14:textId="77777777" w:rsidR="00ED4C2D" w:rsidRPr="00381DC2" w:rsidRDefault="00ED4C2D" w:rsidP="003C1003">
            <w:pPr>
              <w:pStyle w:val="Default"/>
              <w:keepNext/>
              <w:rPr>
                <w:sz w:val="22"/>
                <w:szCs w:val="22"/>
              </w:rPr>
            </w:pPr>
            <w:r w:rsidRPr="00381DC2">
              <w:rPr>
                <w:sz w:val="22"/>
                <w:szCs w:val="22"/>
              </w:rPr>
              <w:t xml:space="preserve">Doba přežití bez progrese </w:t>
            </w:r>
          </w:p>
        </w:tc>
      </w:tr>
      <w:tr w:rsidR="00ED4C2D" w:rsidRPr="00F60460" w14:paraId="7FCCAB7F" w14:textId="77777777" w:rsidTr="003C1003">
        <w:tc>
          <w:tcPr>
            <w:tcW w:w="2898" w:type="dxa"/>
            <w:tcBorders>
              <w:left w:val="single" w:sz="4" w:space="0" w:color="auto"/>
              <w:bottom w:val="nil"/>
              <w:right w:val="single" w:sz="4" w:space="0" w:color="auto"/>
            </w:tcBorders>
            <w:shd w:val="clear" w:color="auto" w:fill="auto"/>
          </w:tcPr>
          <w:p w14:paraId="3B6463A8" w14:textId="77777777" w:rsidR="00ED4C2D" w:rsidRPr="00381DC2" w:rsidRDefault="00ED4C2D" w:rsidP="003C1003">
            <w:pPr>
              <w:keepNext/>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1550066A"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CP </w:t>
            </w:r>
          </w:p>
        </w:tc>
        <w:tc>
          <w:tcPr>
            <w:tcW w:w="3006" w:type="dxa"/>
            <w:tcBorders>
              <w:left w:val="single" w:sz="4" w:space="0" w:color="auto"/>
              <w:bottom w:val="nil"/>
            </w:tcBorders>
            <w:shd w:val="clear" w:color="auto" w:fill="auto"/>
          </w:tcPr>
          <w:p w14:paraId="3A12D6F1"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CPB7,5+ </w:t>
            </w:r>
          </w:p>
        </w:tc>
      </w:tr>
      <w:tr w:rsidR="00ED4C2D" w:rsidRPr="00F60460" w14:paraId="038D686B" w14:textId="77777777" w:rsidTr="003C1003">
        <w:tc>
          <w:tcPr>
            <w:tcW w:w="2898" w:type="dxa"/>
            <w:tcBorders>
              <w:top w:val="nil"/>
              <w:left w:val="single" w:sz="4" w:space="0" w:color="auto"/>
              <w:bottom w:val="nil"/>
              <w:right w:val="single" w:sz="4" w:space="0" w:color="auto"/>
            </w:tcBorders>
            <w:shd w:val="clear" w:color="auto" w:fill="auto"/>
          </w:tcPr>
          <w:p w14:paraId="69DC2012" w14:textId="77777777" w:rsidR="00ED4C2D" w:rsidRPr="00381DC2" w:rsidRDefault="00ED4C2D" w:rsidP="003C1003">
            <w:pPr>
              <w:keepNext/>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3CC732F9"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(n = 764) </w:t>
            </w:r>
          </w:p>
        </w:tc>
        <w:tc>
          <w:tcPr>
            <w:tcW w:w="3006" w:type="dxa"/>
            <w:tcBorders>
              <w:top w:val="nil"/>
              <w:left w:val="single" w:sz="4" w:space="0" w:color="auto"/>
              <w:bottom w:val="nil"/>
            </w:tcBorders>
            <w:shd w:val="clear" w:color="auto" w:fill="auto"/>
          </w:tcPr>
          <w:p w14:paraId="40FB4B88"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(n =764) </w:t>
            </w:r>
          </w:p>
        </w:tc>
      </w:tr>
      <w:tr w:rsidR="00ED4C2D" w:rsidRPr="00F60460" w14:paraId="18DC3B77" w14:textId="77777777" w:rsidTr="003C1003">
        <w:tc>
          <w:tcPr>
            <w:tcW w:w="2898" w:type="dxa"/>
            <w:tcBorders>
              <w:top w:val="nil"/>
              <w:left w:val="single" w:sz="4" w:space="0" w:color="auto"/>
              <w:bottom w:val="nil"/>
              <w:right w:val="single" w:sz="4" w:space="0" w:color="auto"/>
            </w:tcBorders>
            <w:shd w:val="clear" w:color="auto" w:fill="auto"/>
          </w:tcPr>
          <w:p w14:paraId="62EB7356" w14:textId="77777777" w:rsidR="00ED4C2D" w:rsidRPr="00381DC2" w:rsidRDefault="00ED4C2D" w:rsidP="003C1003">
            <w:pPr>
              <w:pStyle w:val="Default"/>
              <w:keepNext/>
              <w:rPr>
                <w:rFonts w:eastAsia="Times New Roman"/>
                <w:sz w:val="22"/>
                <w:szCs w:val="22"/>
              </w:rPr>
            </w:pPr>
            <w:r w:rsidRPr="00381DC2">
              <w:rPr>
                <w:sz w:val="22"/>
                <w:szCs w:val="22"/>
              </w:rPr>
              <w:t xml:space="preserve">Střední přežití bez progrese (měsíce) </w:t>
            </w:r>
            <w:r w:rsidRPr="00381DC2">
              <w:rPr>
                <w:sz w:val="22"/>
                <w:szCs w:val="22"/>
                <w:vertAlign w:val="superscript"/>
              </w:rPr>
              <w:t>2</w:t>
            </w:r>
            <w:r w:rsidRPr="00381DC2">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7DB4995B"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16,9 </w:t>
            </w:r>
          </w:p>
        </w:tc>
        <w:tc>
          <w:tcPr>
            <w:tcW w:w="3006" w:type="dxa"/>
            <w:tcBorders>
              <w:top w:val="nil"/>
              <w:left w:val="single" w:sz="4" w:space="0" w:color="auto"/>
              <w:bottom w:val="nil"/>
            </w:tcBorders>
            <w:shd w:val="clear" w:color="auto" w:fill="auto"/>
          </w:tcPr>
          <w:p w14:paraId="146C4693"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19,3 </w:t>
            </w:r>
          </w:p>
        </w:tc>
      </w:tr>
      <w:tr w:rsidR="00ED4C2D" w:rsidRPr="00F60460" w14:paraId="41CA8248" w14:textId="77777777" w:rsidTr="003C1003">
        <w:tc>
          <w:tcPr>
            <w:tcW w:w="2898" w:type="dxa"/>
            <w:tcBorders>
              <w:top w:val="nil"/>
              <w:left w:val="single" w:sz="4" w:space="0" w:color="auto"/>
              <w:bottom w:val="nil"/>
              <w:right w:val="single" w:sz="4" w:space="0" w:color="auto"/>
            </w:tcBorders>
            <w:shd w:val="clear" w:color="auto" w:fill="auto"/>
          </w:tcPr>
          <w:p w14:paraId="53E1F156" w14:textId="77777777" w:rsidR="00ED4C2D" w:rsidRPr="00381DC2" w:rsidRDefault="00ED4C2D" w:rsidP="003C1003">
            <w:pPr>
              <w:pStyle w:val="Default"/>
              <w:keepNext/>
              <w:rPr>
                <w:rFonts w:eastAsia="Times New Roman"/>
                <w:sz w:val="22"/>
                <w:szCs w:val="22"/>
              </w:rPr>
            </w:pPr>
            <w:r w:rsidRPr="00381DC2">
              <w:rPr>
                <w:sz w:val="22"/>
                <w:szCs w:val="22"/>
              </w:rPr>
              <w:t xml:space="preserve">Poměr rizik [95% interval spolehlivosti] </w:t>
            </w:r>
            <w:r w:rsidRPr="00381DC2">
              <w:rPr>
                <w:sz w:val="22"/>
                <w:szCs w:val="22"/>
                <w:vertAlign w:val="superscript"/>
              </w:rPr>
              <w:t>2</w:t>
            </w:r>
          </w:p>
        </w:tc>
        <w:tc>
          <w:tcPr>
            <w:tcW w:w="6012" w:type="dxa"/>
            <w:gridSpan w:val="2"/>
            <w:tcBorders>
              <w:top w:val="nil"/>
              <w:left w:val="single" w:sz="4" w:space="0" w:color="auto"/>
              <w:bottom w:val="nil"/>
            </w:tcBorders>
            <w:shd w:val="clear" w:color="auto" w:fill="auto"/>
          </w:tcPr>
          <w:p w14:paraId="1DF4576C"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0,86 [0,75; 0,98] </w:t>
            </w:r>
          </w:p>
        </w:tc>
      </w:tr>
      <w:tr w:rsidR="00ED4C2D" w:rsidRPr="00F60460" w14:paraId="3F88FC86" w14:textId="77777777" w:rsidTr="003C1003">
        <w:tc>
          <w:tcPr>
            <w:tcW w:w="2898" w:type="dxa"/>
            <w:tcBorders>
              <w:top w:val="nil"/>
              <w:left w:val="single" w:sz="4" w:space="0" w:color="auto"/>
              <w:bottom w:val="single" w:sz="4" w:space="0" w:color="auto"/>
              <w:right w:val="single" w:sz="4" w:space="0" w:color="auto"/>
            </w:tcBorders>
            <w:shd w:val="clear" w:color="auto" w:fill="auto"/>
          </w:tcPr>
          <w:p w14:paraId="10F4D8E7" w14:textId="77777777" w:rsidR="00ED4C2D" w:rsidRPr="00381DC2" w:rsidRDefault="00ED4C2D" w:rsidP="003C1003">
            <w:pPr>
              <w:pStyle w:val="Default"/>
              <w:keepNext/>
              <w:rPr>
                <w:rFonts w:eastAsia="Times New Roman"/>
                <w:sz w:val="22"/>
                <w:szCs w:val="22"/>
              </w:rPr>
            </w:pPr>
          </w:p>
        </w:tc>
        <w:tc>
          <w:tcPr>
            <w:tcW w:w="6012" w:type="dxa"/>
            <w:gridSpan w:val="2"/>
            <w:tcBorders>
              <w:top w:val="nil"/>
              <w:left w:val="single" w:sz="4" w:space="0" w:color="auto"/>
              <w:bottom w:val="single" w:sz="4" w:space="0" w:color="auto"/>
            </w:tcBorders>
            <w:shd w:val="clear" w:color="auto" w:fill="auto"/>
          </w:tcPr>
          <w:p w14:paraId="1C31DA1B"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(p-hodnota = 0,0185) </w:t>
            </w:r>
          </w:p>
        </w:tc>
      </w:tr>
      <w:tr w:rsidR="00ED4C2D" w:rsidRPr="00F60460" w14:paraId="6235EFCA" w14:textId="77777777" w:rsidTr="003C1003">
        <w:tc>
          <w:tcPr>
            <w:tcW w:w="8910" w:type="dxa"/>
            <w:gridSpan w:val="3"/>
            <w:tcBorders>
              <w:left w:val="single" w:sz="4" w:space="0" w:color="auto"/>
              <w:bottom w:val="single" w:sz="4" w:space="0" w:color="auto"/>
            </w:tcBorders>
            <w:shd w:val="clear" w:color="auto" w:fill="auto"/>
          </w:tcPr>
          <w:p w14:paraId="054C7BCC" w14:textId="77777777" w:rsidR="00ED4C2D" w:rsidRPr="00381DC2" w:rsidRDefault="00ED4C2D" w:rsidP="003C1003">
            <w:pPr>
              <w:pStyle w:val="Default"/>
              <w:keepNext/>
              <w:rPr>
                <w:rFonts w:eastAsia="Times New Roman"/>
                <w:sz w:val="22"/>
                <w:szCs w:val="22"/>
              </w:rPr>
            </w:pPr>
            <w:r w:rsidRPr="00381DC2">
              <w:rPr>
                <w:sz w:val="22"/>
                <w:szCs w:val="22"/>
              </w:rPr>
              <w:t xml:space="preserve">Četnost objektivních odpovědí </w:t>
            </w:r>
            <w:r w:rsidRPr="00381DC2">
              <w:rPr>
                <w:sz w:val="22"/>
                <w:szCs w:val="22"/>
                <w:vertAlign w:val="superscript"/>
              </w:rPr>
              <w:t>1</w:t>
            </w:r>
            <w:r w:rsidRPr="00381DC2">
              <w:rPr>
                <w:sz w:val="22"/>
                <w:szCs w:val="22"/>
              </w:rPr>
              <w:t xml:space="preserve"> </w:t>
            </w:r>
          </w:p>
        </w:tc>
      </w:tr>
      <w:tr w:rsidR="00ED4C2D" w:rsidRPr="00F60460" w14:paraId="49537F8B" w14:textId="77777777" w:rsidTr="003C1003">
        <w:tc>
          <w:tcPr>
            <w:tcW w:w="2898" w:type="dxa"/>
            <w:tcBorders>
              <w:top w:val="single" w:sz="4" w:space="0" w:color="auto"/>
              <w:left w:val="single" w:sz="4" w:space="0" w:color="auto"/>
              <w:bottom w:val="nil"/>
              <w:right w:val="single" w:sz="4" w:space="0" w:color="auto"/>
            </w:tcBorders>
            <w:shd w:val="clear" w:color="auto" w:fill="auto"/>
          </w:tcPr>
          <w:p w14:paraId="4A3CF871" w14:textId="77777777" w:rsidR="00ED4C2D" w:rsidRPr="00381DC2" w:rsidRDefault="00ED4C2D" w:rsidP="003C1003">
            <w:pPr>
              <w:keepNext/>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2013DBA6" w14:textId="77777777" w:rsidR="00ED4C2D" w:rsidRPr="00381DC2" w:rsidRDefault="00ED4C2D" w:rsidP="003C1003">
            <w:pPr>
              <w:pStyle w:val="Default"/>
              <w:keepNext/>
              <w:jc w:val="center"/>
              <w:rPr>
                <w:rFonts w:eastAsia="Times New Roman"/>
                <w:sz w:val="22"/>
                <w:szCs w:val="22"/>
              </w:rPr>
            </w:pPr>
            <w:r w:rsidRPr="00381DC2">
              <w:rPr>
                <w:sz w:val="22"/>
                <w:szCs w:val="22"/>
              </w:rPr>
              <w:t>CP</w:t>
            </w:r>
          </w:p>
        </w:tc>
        <w:tc>
          <w:tcPr>
            <w:tcW w:w="3006" w:type="dxa"/>
            <w:tcBorders>
              <w:top w:val="single" w:sz="4" w:space="0" w:color="auto"/>
              <w:left w:val="single" w:sz="4" w:space="0" w:color="auto"/>
              <w:bottom w:val="nil"/>
              <w:right w:val="single" w:sz="4" w:space="0" w:color="auto"/>
            </w:tcBorders>
            <w:shd w:val="clear" w:color="auto" w:fill="auto"/>
          </w:tcPr>
          <w:p w14:paraId="34DE258E"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CPB7,5+ </w:t>
            </w:r>
          </w:p>
        </w:tc>
      </w:tr>
      <w:tr w:rsidR="00ED4C2D" w:rsidRPr="00F60460" w14:paraId="5344B3B3" w14:textId="77777777" w:rsidTr="003C1003">
        <w:tc>
          <w:tcPr>
            <w:tcW w:w="2898" w:type="dxa"/>
            <w:tcBorders>
              <w:top w:val="nil"/>
              <w:left w:val="single" w:sz="4" w:space="0" w:color="auto"/>
              <w:bottom w:val="nil"/>
              <w:right w:val="single" w:sz="4" w:space="0" w:color="auto"/>
            </w:tcBorders>
            <w:shd w:val="clear" w:color="auto" w:fill="auto"/>
          </w:tcPr>
          <w:p w14:paraId="2350D1DD" w14:textId="77777777" w:rsidR="00ED4C2D" w:rsidRPr="00381DC2" w:rsidRDefault="00ED4C2D" w:rsidP="003C1003">
            <w:pPr>
              <w:keepNext/>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6E8FC102" w14:textId="77777777" w:rsidR="00ED4C2D" w:rsidRPr="00381DC2" w:rsidRDefault="00ED4C2D" w:rsidP="003C1003">
            <w:pPr>
              <w:pStyle w:val="Default"/>
              <w:keepNext/>
              <w:jc w:val="center"/>
              <w:rPr>
                <w:sz w:val="22"/>
                <w:szCs w:val="22"/>
              </w:rPr>
            </w:pPr>
            <w:r w:rsidRPr="00381DC2">
              <w:rPr>
                <w:sz w:val="22"/>
                <w:szCs w:val="22"/>
              </w:rPr>
              <w:t>(n = 277)</w:t>
            </w:r>
          </w:p>
        </w:tc>
        <w:tc>
          <w:tcPr>
            <w:tcW w:w="3006" w:type="dxa"/>
            <w:tcBorders>
              <w:top w:val="nil"/>
              <w:left w:val="single" w:sz="4" w:space="0" w:color="auto"/>
              <w:bottom w:val="nil"/>
              <w:right w:val="single" w:sz="4" w:space="0" w:color="auto"/>
            </w:tcBorders>
            <w:shd w:val="clear" w:color="auto" w:fill="auto"/>
          </w:tcPr>
          <w:p w14:paraId="1BEC4CA2" w14:textId="77777777" w:rsidR="00ED4C2D" w:rsidRPr="00381DC2" w:rsidRDefault="00ED4C2D" w:rsidP="003C1003">
            <w:pPr>
              <w:pStyle w:val="Default"/>
              <w:keepNext/>
              <w:jc w:val="center"/>
              <w:rPr>
                <w:sz w:val="22"/>
                <w:szCs w:val="22"/>
              </w:rPr>
            </w:pPr>
            <w:r w:rsidRPr="00381DC2">
              <w:rPr>
                <w:sz w:val="22"/>
                <w:szCs w:val="22"/>
              </w:rPr>
              <w:t xml:space="preserve">(n = 272) </w:t>
            </w:r>
          </w:p>
        </w:tc>
      </w:tr>
      <w:tr w:rsidR="00ED4C2D" w:rsidRPr="00F60460" w14:paraId="2E989DED" w14:textId="77777777" w:rsidTr="003C1003">
        <w:tc>
          <w:tcPr>
            <w:tcW w:w="2898" w:type="dxa"/>
            <w:tcBorders>
              <w:top w:val="nil"/>
              <w:left w:val="single" w:sz="4" w:space="0" w:color="auto"/>
              <w:bottom w:val="nil"/>
            </w:tcBorders>
            <w:shd w:val="clear" w:color="auto" w:fill="auto"/>
          </w:tcPr>
          <w:p w14:paraId="0DAEB37F" w14:textId="77777777" w:rsidR="00ED4C2D" w:rsidRPr="00381DC2" w:rsidRDefault="00ED4C2D" w:rsidP="003C1003">
            <w:pPr>
              <w:pStyle w:val="Default"/>
              <w:keepNext/>
              <w:rPr>
                <w:rFonts w:eastAsia="Times New Roman"/>
                <w:sz w:val="22"/>
                <w:szCs w:val="22"/>
              </w:rPr>
            </w:pPr>
            <w:r w:rsidRPr="00381DC2">
              <w:rPr>
                <w:sz w:val="22"/>
                <w:szCs w:val="22"/>
              </w:rPr>
              <w:t xml:space="preserve">Četnost odpovědí </w:t>
            </w:r>
          </w:p>
        </w:tc>
        <w:tc>
          <w:tcPr>
            <w:tcW w:w="3006" w:type="dxa"/>
            <w:tcBorders>
              <w:top w:val="nil"/>
              <w:bottom w:val="nil"/>
            </w:tcBorders>
            <w:shd w:val="clear" w:color="auto" w:fill="auto"/>
          </w:tcPr>
          <w:p w14:paraId="0228BDF9" w14:textId="77777777" w:rsidR="00ED4C2D" w:rsidRPr="00381DC2" w:rsidRDefault="00ED4C2D" w:rsidP="003C1003">
            <w:pPr>
              <w:pStyle w:val="Default"/>
              <w:keepNext/>
              <w:jc w:val="center"/>
              <w:rPr>
                <w:sz w:val="22"/>
                <w:szCs w:val="22"/>
              </w:rPr>
            </w:pPr>
            <w:r w:rsidRPr="00381DC2">
              <w:rPr>
                <w:sz w:val="22"/>
                <w:szCs w:val="22"/>
              </w:rPr>
              <w:t>54,9%</w:t>
            </w:r>
          </w:p>
        </w:tc>
        <w:tc>
          <w:tcPr>
            <w:tcW w:w="3006" w:type="dxa"/>
            <w:tcBorders>
              <w:top w:val="nil"/>
              <w:bottom w:val="nil"/>
            </w:tcBorders>
            <w:shd w:val="clear" w:color="auto" w:fill="auto"/>
          </w:tcPr>
          <w:p w14:paraId="700C9AB9" w14:textId="77777777" w:rsidR="00ED4C2D" w:rsidRPr="00381DC2" w:rsidRDefault="00ED4C2D" w:rsidP="003C1003">
            <w:pPr>
              <w:pStyle w:val="Default"/>
              <w:keepNext/>
              <w:jc w:val="center"/>
              <w:rPr>
                <w:sz w:val="22"/>
                <w:szCs w:val="22"/>
              </w:rPr>
            </w:pPr>
            <w:r w:rsidRPr="00381DC2">
              <w:rPr>
                <w:sz w:val="22"/>
                <w:szCs w:val="22"/>
              </w:rPr>
              <w:t>64,7%</w:t>
            </w:r>
          </w:p>
        </w:tc>
      </w:tr>
      <w:tr w:rsidR="00ED4C2D" w:rsidRPr="00F60460" w14:paraId="25663497" w14:textId="77777777" w:rsidTr="003C1003">
        <w:tc>
          <w:tcPr>
            <w:tcW w:w="2898" w:type="dxa"/>
            <w:tcBorders>
              <w:top w:val="nil"/>
              <w:left w:val="single" w:sz="4" w:space="0" w:color="auto"/>
              <w:bottom w:val="nil"/>
            </w:tcBorders>
            <w:shd w:val="clear" w:color="auto" w:fill="auto"/>
          </w:tcPr>
          <w:p w14:paraId="2FEF5B19" w14:textId="77777777" w:rsidR="00ED4C2D" w:rsidRPr="00381DC2" w:rsidRDefault="00ED4C2D" w:rsidP="003C1003">
            <w:pPr>
              <w:keepNext/>
              <w:rPr>
                <w:rFonts w:ascii="Times New Roman" w:eastAsia="Times New Roman" w:hAnsi="Times New Roman"/>
                <w:color w:val="000000"/>
              </w:rPr>
            </w:pPr>
          </w:p>
        </w:tc>
        <w:tc>
          <w:tcPr>
            <w:tcW w:w="6012" w:type="dxa"/>
            <w:gridSpan w:val="2"/>
            <w:tcBorders>
              <w:top w:val="nil"/>
              <w:bottom w:val="nil"/>
            </w:tcBorders>
            <w:shd w:val="clear" w:color="auto" w:fill="auto"/>
          </w:tcPr>
          <w:p w14:paraId="0C86AB4C"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(p-hodnot = 0.0188) </w:t>
            </w:r>
          </w:p>
        </w:tc>
      </w:tr>
      <w:tr w:rsidR="00ED4C2D" w:rsidRPr="00F60460" w14:paraId="53ECFC55" w14:textId="77777777" w:rsidTr="003C1003">
        <w:tc>
          <w:tcPr>
            <w:tcW w:w="8910" w:type="dxa"/>
            <w:gridSpan w:val="3"/>
            <w:tcBorders>
              <w:left w:val="single" w:sz="4" w:space="0" w:color="auto"/>
              <w:bottom w:val="nil"/>
            </w:tcBorders>
            <w:shd w:val="clear" w:color="auto" w:fill="auto"/>
          </w:tcPr>
          <w:p w14:paraId="5CFC3E40" w14:textId="77777777" w:rsidR="00ED4C2D" w:rsidRPr="00381DC2" w:rsidRDefault="00ED4C2D" w:rsidP="003C1003">
            <w:pPr>
              <w:pStyle w:val="Default"/>
              <w:keepNext/>
              <w:rPr>
                <w:sz w:val="22"/>
                <w:szCs w:val="22"/>
              </w:rPr>
            </w:pPr>
            <w:r w:rsidRPr="00381DC2">
              <w:rPr>
                <w:sz w:val="22"/>
                <w:szCs w:val="22"/>
              </w:rPr>
              <w:t xml:space="preserve">Celkové přežití </w:t>
            </w:r>
            <w:r w:rsidRPr="00381DC2">
              <w:rPr>
                <w:sz w:val="22"/>
                <w:szCs w:val="22"/>
                <w:vertAlign w:val="superscript"/>
              </w:rPr>
              <w:t>3</w:t>
            </w:r>
            <w:r w:rsidRPr="00381DC2">
              <w:rPr>
                <w:sz w:val="22"/>
                <w:szCs w:val="22"/>
              </w:rPr>
              <w:t xml:space="preserve"> </w:t>
            </w:r>
          </w:p>
        </w:tc>
      </w:tr>
      <w:tr w:rsidR="00ED4C2D" w:rsidRPr="00F60460" w14:paraId="628F2D4E" w14:textId="77777777" w:rsidTr="003C1003">
        <w:tc>
          <w:tcPr>
            <w:tcW w:w="2898" w:type="dxa"/>
            <w:tcBorders>
              <w:left w:val="single" w:sz="4" w:space="0" w:color="auto"/>
              <w:bottom w:val="nil"/>
            </w:tcBorders>
            <w:shd w:val="clear" w:color="auto" w:fill="auto"/>
          </w:tcPr>
          <w:p w14:paraId="459935F9" w14:textId="77777777" w:rsidR="00ED4C2D" w:rsidRPr="00381DC2" w:rsidRDefault="00ED4C2D" w:rsidP="003C1003">
            <w:pPr>
              <w:pStyle w:val="Default"/>
              <w:keepNext/>
              <w:rPr>
                <w:sz w:val="22"/>
                <w:szCs w:val="22"/>
              </w:rPr>
            </w:pPr>
          </w:p>
        </w:tc>
        <w:tc>
          <w:tcPr>
            <w:tcW w:w="3006" w:type="dxa"/>
            <w:tcBorders>
              <w:bottom w:val="nil"/>
            </w:tcBorders>
            <w:shd w:val="clear" w:color="auto" w:fill="auto"/>
          </w:tcPr>
          <w:p w14:paraId="21B87D48" w14:textId="77777777" w:rsidR="00ED4C2D" w:rsidRPr="00381DC2" w:rsidRDefault="00ED4C2D" w:rsidP="003C1003">
            <w:pPr>
              <w:pStyle w:val="Default"/>
              <w:keepNext/>
              <w:jc w:val="center"/>
              <w:rPr>
                <w:sz w:val="22"/>
                <w:szCs w:val="22"/>
              </w:rPr>
            </w:pPr>
            <w:r w:rsidRPr="00381DC2">
              <w:rPr>
                <w:sz w:val="22"/>
                <w:szCs w:val="22"/>
              </w:rPr>
              <w:t xml:space="preserve">CP </w:t>
            </w:r>
          </w:p>
        </w:tc>
        <w:tc>
          <w:tcPr>
            <w:tcW w:w="3006" w:type="dxa"/>
            <w:tcBorders>
              <w:bottom w:val="nil"/>
            </w:tcBorders>
            <w:shd w:val="clear" w:color="auto" w:fill="auto"/>
          </w:tcPr>
          <w:p w14:paraId="3DAAF53E" w14:textId="77777777" w:rsidR="00ED4C2D" w:rsidRPr="00381DC2" w:rsidRDefault="00ED4C2D" w:rsidP="003C1003">
            <w:pPr>
              <w:pStyle w:val="Default"/>
              <w:keepNext/>
              <w:jc w:val="center"/>
              <w:rPr>
                <w:sz w:val="22"/>
                <w:szCs w:val="22"/>
              </w:rPr>
            </w:pPr>
            <w:r w:rsidRPr="00381DC2">
              <w:rPr>
                <w:sz w:val="22"/>
                <w:szCs w:val="22"/>
              </w:rPr>
              <w:t xml:space="preserve">CPB7,5+ </w:t>
            </w:r>
          </w:p>
        </w:tc>
      </w:tr>
      <w:tr w:rsidR="00ED4C2D" w:rsidRPr="00F60460" w14:paraId="7FF367BC" w14:textId="77777777" w:rsidTr="003C1003">
        <w:tc>
          <w:tcPr>
            <w:tcW w:w="2898" w:type="dxa"/>
            <w:tcBorders>
              <w:top w:val="nil"/>
              <w:left w:val="single" w:sz="4" w:space="0" w:color="auto"/>
              <w:bottom w:val="nil"/>
            </w:tcBorders>
            <w:shd w:val="clear" w:color="auto" w:fill="auto"/>
          </w:tcPr>
          <w:p w14:paraId="29C9E4C0" w14:textId="77777777" w:rsidR="00ED4C2D" w:rsidRPr="00381DC2" w:rsidRDefault="00ED4C2D" w:rsidP="003C1003">
            <w:pPr>
              <w:keepNext/>
              <w:rPr>
                <w:rFonts w:ascii="Times New Roman" w:eastAsia="Times New Roman" w:hAnsi="Times New Roman"/>
                <w:color w:val="000000"/>
              </w:rPr>
            </w:pPr>
          </w:p>
        </w:tc>
        <w:tc>
          <w:tcPr>
            <w:tcW w:w="3006" w:type="dxa"/>
            <w:tcBorders>
              <w:top w:val="nil"/>
              <w:bottom w:val="nil"/>
            </w:tcBorders>
            <w:shd w:val="clear" w:color="auto" w:fill="auto"/>
          </w:tcPr>
          <w:p w14:paraId="4159644E"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(n = 764) </w:t>
            </w:r>
          </w:p>
        </w:tc>
        <w:tc>
          <w:tcPr>
            <w:tcW w:w="3006" w:type="dxa"/>
            <w:tcBorders>
              <w:top w:val="nil"/>
              <w:bottom w:val="nil"/>
            </w:tcBorders>
            <w:shd w:val="clear" w:color="auto" w:fill="auto"/>
          </w:tcPr>
          <w:p w14:paraId="1D69D3EA"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(n = 764) </w:t>
            </w:r>
          </w:p>
        </w:tc>
      </w:tr>
      <w:tr w:rsidR="00ED4C2D" w:rsidRPr="00F60460" w14:paraId="0863E27C" w14:textId="77777777" w:rsidTr="003C1003">
        <w:tc>
          <w:tcPr>
            <w:tcW w:w="2898" w:type="dxa"/>
            <w:tcBorders>
              <w:top w:val="nil"/>
              <w:left w:val="single" w:sz="4" w:space="0" w:color="auto"/>
              <w:bottom w:val="nil"/>
            </w:tcBorders>
            <w:shd w:val="clear" w:color="auto" w:fill="auto"/>
          </w:tcPr>
          <w:p w14:paraId="37DF8C30" w14:textId="77777777" w:rsidR="00ED4C2D" w:rsidRPr="00381DC2" w:rsidRDefault="00ED4C2D" w:rsidP="003C1003">
            <w:pPr>
              <w:pStyle w:val="Default"/>
              <w:keepNext/>
              <w:rPr>
                <w:rFonts w:eastAsia="Times New Roman"/>
                <w:sz w:val="22"/>
                <w:szCs w:val="22"/>
              </w:rPr>
            </w:pPr>
            <w:r w:rsidRPr="00381DC2">
              <w:rPr>
                <w:sz w:val="22"/>
                <w:szCs w:val="22"/>
              </w:rPr>
              <w:t xml:space="preserve">Střední přežití (měsíce) </w:t>
            </w:r>
          </w:p>
        </w:tc>
        <w:tc>
          <w:tcPr>
            <w:tcW w:w="3006" w:type="dxa"/>
            <w:tcBorders>
              <w:top w:val="nil"/>
              <w:bottom w:val="nil"/>
            </w:tcBorders>
            <w:shd w:val="clear" w:color="auto" w:fill="auto"/>
          </w:tcPr>
          <w:p w14:paraId="1611CEB4"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58,0 </w:t>
            </w:r>
          </w:p>
        </w:tc>
        <w:tc>
          <w:tcPr>
            <w:tcW w:w="3006" w:type="dxa"/>
            <w:tcBorders>
              <w:top w:val="nil"/>
              <w:bottom w:val="nil"/>
            </w:tcBorders>
            <w:shd w:val="clear" w:color="auto" w:fill="auto"/>
          </w:tcPr>
          <w:p w14:paraId="44338AE2"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57,4 </w:t>
            </w:r>
          </w:p>
        </w:tc>
      </w:tr>
      <w:tr w:rsidR="00ED4C2D" w:rsidRPr="00F60460" w14:paraId="68037C7F" w14:textId="77777777" w:rsidTr="003C1003">
        <w:tc>
          <w:tcPr>
            <w:tcW w:w="2898" w:type="dxa"/>
            <w:tcBorders>
              <w:top w:val="nil"/>
              <w:left w:val="single" w:sz="4" w:space="0" w:color="auto"/>
              <w:bottom w:val="nil"/>
            </w:tcBorders>
            <w:shd w:val="clear" w:color="auto" w:fill="auto"/>
          </w:tcPr>
          <w:p w14:paraId="7AF4757A" w14:textId="77777777" w:rsidR="00ED4C2D" w:rsidRPr="00381DC2" w:rsidRDefault="00ED4C2D" w:rsidP="003C1003">
            <w:pPr>
              <w:pStyle w:val="Default"/>
              <w:keepNext/>
              <w:rPr>
                <w:rFonts w:eastAsia="Times New Roman"/>
                <w:sz w:val="22"/>
                <w:szCs w:val="22"/>
              </w:rPr>
            </w:pPr>
            <w:r w:rsidRPr="00381DC2">
              <w:rPr>
                <w:sz w:val="22"/>
                <w:szCs w:val="22"/>
              </w:rPr>
              <w:t xml:space="preserve">Poměr rizik [95% interval spolehlivosti] </w:t>
            </w:r>
          </w:p>
        </w:tc>
        <w:tc>
          <w:tcPr>
            <w:tcW w:w="6012" w:type="dxa"/>
            <w:gridSpan w:val="2"/>
            <w:tcBorders>
              <w:top w:val="nil"/>
              <w:bottom w:val="nil"/>
            </w:tcBorders>
            <w:shd w:val="clear" w:color="auto" w:fill="auto"/>
          </w:tcPr>
          <w:p w14:paraId="0F4BBFA3"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0,99 [0,85; 1,15] </w:t>
            </w:r>
          </w:p>
        </w:tc>
      </w:tr>
      <w:tr w:rsidR="00ED4C2D" w:rsidRPr="00F60460" w14:paraId="37660298" w14:textId="77777777" w:rsidTr="003C1003">
        <w:tc>
          <w:tcPr>
            <w:tcW w:w="2898" w:type="dxa"/>
            <w:tcBorders>
              <w:top w:val="nil"/>
              <w:left w:val="single" w:sz="4" w:space="0" w:color="auto"/>
              <w:bottom w:val="single" w:sz="4" w:space="0" w:color="auto"/>
            </w:tcBorders>
            <w:shd w:val="clear" w:color="auto" w:fill="auto"/>
          </w:tcPr>
          <w:p w14:paraId="68CBFB63" w14:textId="77777777" w:rsidR="00ED4C2D" w:rsidRPr="00381DC2" w:rsidRDefault="00ED4C2D" w:rsidP="003C1003">
            <w:pPr>
              <w:pStyle w:val="Default"/>
              <w:keepNext/>
              <w:rPr>
                <w:rFonts w:eastAsia="Times New Roman"/>
                <w:sz w:val="22"/>
                <w:szCs w:val="22"/>
              </w:rPr>
            </w:pPr>
          </w:p>
        </w:tc>
        <w:tc>
          <w:tcPr>
            <w:tcW w:w="6012" w:type="dxa"/>
            <w:gridSpan w:val="2"/>
            <w:tcBorders>
              <w:top w:val="nil"/>
              <w:bottom w:val="single" w:sz="4" w:space="0" w:color="auto"/>
            </w:tcBorders>
            <w:shd w:val="clear" w:color="auto" w:fill="auto"/>
          </w:tcPr>
          <w:p w14:paraId="7477EA57"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(p-hodnota = 0,8910) </w:t>
            </w:r>
          </w:p>
        </w:tc>
      </w:tr>
    </w:tbl>
    <w:p w14:paraId="5F7E45C7" w14:textId="77777777" w:rsidR="00CD1DCD" w:rsidRPr="00F60460" w:rsidRDefault="00ED4C2D" w:rsidP="00BD37F9">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(1)</w:t>
      </w:r>
      <w:r w:rsidRPr="00F60460">
        <w:rPr>
          <w:rFonts w:ascii="Times New Roman" w:eastAsia="Times New Roman" w:hAnsi="Times New Roman"/>
          <w:color w:val="000000"/>
          <w:sz w:val="20"/>
          <w:szCs w:val="20"/>
          <w:lang w:bidi="ar-SA"/>
        </w:rPr>
        <w:t xml:space="preserve"> </w:t>
      </w:r>
      <w:r w:rsidR="00BD37F9"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Pacienti s měřitelným onemocněním při vstupu do studie.</w:t>
      </w:r>
    </w:p>
    <w:p w14:paraId="0A47C4DA" w14:textId="77777777" w:rsidR="00CD1DCD" w:rsidRPr="00F60460" w:rsidRDefault="00ED4C2D" w:rsidP="00BD37F9">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(2)</w:t>
      </w:r>
      <w:r w:rsidRPr="00F60460">
        <w:rPr>
          <w:rFonts w:ascii="Times New Roman" w:eastAsia="Times New Roman" w:hAnsi="Times New Roman"/>
          <w:color w:val="000000"/>
          <w:sz w:val="20"/>
          <w:szCs w:val="20"/>
          <w:lang w:bidi="ar-SA"/>
        </w:rPr>
        <w:t xml:space="preserve"> </w:t>
      </w:r>
      <w:r w:rsidR="00BD37F9"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Doba přežití bez progrese hodnocená řešiteli, analýza dat k 30. listopadu 2010.</w:t>
      </w:r>
    </w:p>
    <w:p w14:paraId="7E57A5B3" w14:textId="77777777" w:rsidR="00ED4C2D" w:rsidRPr="00F60460" w:rsidRDefault="00ED4C2D" w:rsidP="00CD1DCD">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3)</w:t>
      </w:r>
      <w:r w:rsidRPr="00F60460">
        <w:rPr>
          <w:rFonts w:ascii="Times New Roman" w:eastAsia="Times New Roman" w:hAnsi="Times New Roman"/>
          <w:color w:val="000000"/>
          <w:sz w:val="20"/>
          <w:szCs w:val="20"/>
          <w:lang w:bidi="ar-SA"/>
        </w:rPr>
        <w:t xml:space="preserve"> </w:t>
      </w:r>
      <w:r w:rsidR="00616CCD"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Konečná analýza celkového přežití v době, kdy zemřelo 46,7% pacientek, analýza provedena k datu 31. března 2013.</w:t>
      </w:r>
    </w:p>
    <w:p w14:paraId="037CC150" w14:textId="77777777" w:rsidR="00ED4C2D" w:rsidRPr="00381DC2" w:rsidRDefault="00ED4C2D" w:rsidP="00ED4C2D">
      <w:pPr>
        <w:widowControl/>
        <w:rPr>
          <w:rFonts w:ascii="Times New Roman" w:eastAsia="Times New Roman" w:hAnsi="Times New Roman"/>
          <w:color w:val="000000"/>
          <w:lang w:bidi="ar-SA"/>
        </w:rPr>
      </w:pPr>
    </w:p>
    <w:p w14:paraId="6410C226"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lastRenderedPageBreak/>
        <w:t>Primární analýza doby přežití bez progrese dle hodnocení řešiteli s daty k 28. únoru 2010 vykazuje nestratifikovaný poměr rizik 0,79 (95% interval spolehlivosti: 0,68-0,91, 2-stranný log-rank test hodnoty p = 0,0010) se střední dobou přežití bez progrese 16,0 měsíce v rameni CP a 18,3 měsíce v rameni CPB7,5+.</w:t>
      </w:r>
    </w:p>
    <w:p w14:paraId="71F50C76" w14:textId="77777777" w:rsidR="00ED4C2D" w:rsidRPr="00381DC2" w:rsidRDefault="00ED4C2D" w:rsidP="00ED4C2D">
      <w:pPr>
        <w:widowControl/>
        <w:rPr>
          <w:rFonts w:ascii="Times New Roman" w:eastAsia="Times New Roman" w:hAnsi="Times New Roman"/>
          <w:color w:val="000000"/>
          <w:lang w:bidi="ar-SA"/>
        </w:rPr>
      </w:pPr>
    </w:p>
    <w:p w14:paraId="60EBF0D8"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Výsledky analýzy přežití bez progrese v podskupinách dle stádia nemoci a rozsahu cytoredukce jsou shrnuty v Tabulce </w:t>
      </w:r>
      <w:r w:rsidR="00CD1DCD" w:rsidRPr="00381DC2">
        <w:rPr>
          <w:rFonts w:ascii="Times New Roman" w:eastAsia="Times New Roman" w:hAnsi="Times New Roman"/>
          <w:color w:val="000000"/>
          <w:lang w:bidi="ar-SA"/>
        </w:rPr>
        <w:t>19</w:t>
      </w:r>
      <w:r w:rsidRPr="00381DC2">
        <w:rPr>
          <w:rFonts w:ascii="Times New Roman" w:eastAsia="Times New Roman" w:hAnsi="Times New Roman"/>
          <w:color w:val="000000"/>
          <w:lang w:bidi="ar-SA"/>
        </w:rPr>
        <w:t xml:space="preserve">. Tyto výsledky demonstrují robustnost primární analýzy přežití bez progrese uvedené v Tabulce </w:t>
      </w:r>
      <w:r w:rsidR="00CD1DCD" w:rsidRPr="00381DC2">
        <w:rPr>
          <w:rFonts w:ascii="Times New Roman" w:eastAsia="Times New Roman" w:hAnsi="Times New Roman"/>
          <w:color w:val="000000"/>
          <w:lang w:bidi="ar-SA"/>
        </w:rPr>
        <w:t>18</w:t>
      </w:r>
      <w:r w:rsidRPr="00381DC2">
        <w:rPr>
          <w:rFonts w:ascii="Times New Roman" w:eastAsia="Times New Roman" w:hAnsi="Times New Roman"/>
          <w:color w:val="000000"/>
          <w:lang w:bidi="ar-SA"/>
        </w:rPr>
        <w:t>.</w:t>
      </w:r>
    </w:p>
    <w:p w14:paraId="5683708D" w14:textId="77777777" w:rsidR="00ED4C2D" w:rsidRPr="00381DC2" w:rsidRDefault="00ED4C2D" w:rsidP="00ED4C2D">
      <w:pPr>
        <w:widowControl/>
        <w:rPr>
          <w:rFonts w:ascii="Times New Roman" w:eastAsia="Times New Roman" w:hAnsi="Times New Roman"/>
          <w:color w:val="000000"/>
          <w:lang w:bidi="ar-SA"/>
        </w:rPr>
      </w:pPr>
    </w:p>
    <w:p w14:paraId="0B81A226"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b/>
          <w:bCs/>
          <w:color w:val="000000"/>
          <w:lang w:bidi="ar-SA"/>
        </w:rPr>
        <w:t xml:space="preserve">Tabulka </w:t>
      </w:r>
      <w:r w:rsidR="00CD1DCD" w:rsidRPr="00381DC2">
        <w:rPr>
          <w:rFonts w:ascii="Times New Roman" w:eastAsia="Times New Roman" w:hAnsi="Times New Roman"/>
          <w:b/>
          <w:bCs/>
          <w:color w:val="000000"/>
          <w:lang w:bidi="ar-SA"/>
        </w:rPr>
        <w:t>19</w:t>
      </w:r>
      <w:r w:rsidR="005D48D1" w:rsidRPr="00381DC2">
        <w:rPr>
          <w:rFonts w:ascii="Times New Roman" w:eastAsia="Times New Roman" w:hAnsi="Times New Roman"/>
          <w:b/>
          <w:bCs/>
          <w:color w:val="000000"/>
          <w:lang w:bidi="ar-SA"/>
        </w:rPr>
        <w:tab/>
      </w:r>
      <w:r w:rsidRPr="00381DC2">
        <w:rPr>
          <w:rFonts w:ascii="Times New Roman" w:eastAsia="Times New Roman" w:hAnsi="Times New Roman"/>
          <w:b/>
          <w:color w:val="000000"/>
          <w:lang w:bidi="ar-SA"/>
        </w:rPr>
        <w:t>Výsledky přežití bez progrese</w:t>
      </w:r>
      <w:r w:rsidRPr="00381DC2">
        <w:rPr>
          <w:rFonts w:ascii="Times New Roman" w:eastAsia="Times New Roman" w:hAnsi="Times New Roman"/>
          <w:b/>
          <w:color w:val="000000"/>
          <w:vertAlign w:val="superscript"/>
          <w:lang w:bidi="ar-SA"/>
        </w:rPr>
        <w:t>1</w:t>
      </w:r>
      <w:r w:rsidRPr="00381DC2">
        <w:rPr>
          <w:rFonts w:ascii="Times New Roman" w:eastAsia="Times New Roman" w:hAnsi="Times New Roman"/>
          <w:b/>
          <w:color w:val="000000"/>
          <w:lang w:bidi="ar-SA"/>
        </w:rPr>
        <w:t xml:space="preserve"> v podskupinách dle stádia nemoci a rozsahu cytoredukce ve studii BO17707 (ICON7)</w:t>
      </w:r>
      <w:r w:rsidRPr="00381DC2">
        <w:rPr>
          <w:rFonts w:ascii="Times New Roman" w:eastAsia="Times New Roman" w:hAnsi="Times New Roman"/>
          <w:color w:val="000000"/>
          <w:lang w:bidi="ar-SA"/>
        </w:rPr>
        <w:t xml:space="preserve">  </w:t>
      </w:r>
    </w:p>
    <w:p w14:paraId="073645E1" w14:textId="77777777" w:rsidR="00ED4C2D" w:rsidRPr="00381DC2" w:rsidRDefault="00ED4C2D" w:rsidP="00ED4C2D">
      <w:pPr>
        <w:widowControl/>
        <w:rPr>
          <w:rFonts w:ascii="Times New Roman" w:eastAsia="Times New Roman" w:hAnsi="Times New Roman"/>
          <w:color w:val="000000"/>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3006"/>
        <w:gridCol w:w="3006"/>
      </w:tblGrid>
      <w:tr w:rsidR="00ED4C2D" w:rsidRPr="00F60460" w14:paraId="1310CAC9" w14:textId="77777777" w:rsidTr="003C1003">
        <w:tc>
          <w:tcPr>
            <w:tcW w:w="8910" w:type="dxa"/>
            <w:gridSpan w:val="3"/>
            <w:tcBorders>
              <w:left w:val="single" w:sz="4" w:space="0" w:color="auto"/>
              <w:bottom w:val="nil"/>
            </w:tcBorders>
            <w:shd w:val="clear" w:color="auto" w:fill="auto"/>
          </w:tcPr>
          <w:p w14:paraId="48237372" w14:textId="77777777" w:rsidR="00ED4C2D" w:rsidRPr="00381DC2" w:rsidRDefault="00ED4C2D" w:rsidP="003C1003">
            <w:pPr>
              <w:pStyle w:val="Default"/>
              <w:rPr>
                <w:sz w:val="22"/>
                <w:szCs w:val="22"/>
              </w:rPr>
            </w:pPr>
            <w:r w:rsidRPr="00381DC2">
              <w:rPr>
                <w:sz w:val="22"/>
                <w:szCs w:val="22"/>
              </w:rPr>
              <w:t xml:space="preserve">Randomizované pacientky s onemocněním stádia III s optimální cytoredukcí </w:t>
            </w:r>
            <w:r w:rsidRPr="00381DC2">
              <w:rPr>
                <w:sz w:val="22"/>
                <w:szCs w:val="22"/>
                <w:vertAlign w:val="superscript"/>
              </w:rPr>
              <w:t>2,3</w:t>
            </w:r>
            <w:r w:rsidRPr="00381DC2">
              <w:rPr>
                <w:sz w:val="22"/>
                <w:szCs w:val="22"/>
              </w:rPr>
              <w:t xml:space="preserve"> </w:t>
            </w:r>
          </w:p>
        </w:tc>
      </w:tr>
      <w:tr w:rsidR="00ED4C2D" w:rsidRPr="00F60460" w14:paraId="0313C406" w14:textId="77777777" w:rsidTr="003C1003">
        <w:tc>
          <w:tcPr>
            <w:tcW w:w="2898" w:type="dxa"/>
            <w:tcBorders>
              <w:left w:val="single" w:sz="4" w:space="0" w:color="auto"/>
              <w:bottom w:val="nil"/>
              <w:right w:val="single" w:sz="4" w:space="0" w:color="auto"/>
            </w:tcBorders>
            <w:shd w:val="clear" w:color="auto" w:fill="auto"/>
          </w:tcPr>
          <w:p w14:paraId="064049DB" w14:textId="77777777" w:rsidR="00ED4C2D" w:rsidRPr="00381DC2" w:rsidRDefault="00ED4C2D" w:rsidP="003C1003">
            <w:pPr>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6B5DF8F3" w14:textId="77777777" w:rsidR="00ED4C2D" w:rsidRPr="00381DC2" w:rsidRDefault="00ED4C2D" w:rsidP="003C1003">
            <w:pPr>
              <w:pStyle w:val="Default"/>
              <w:jc w:val="center"/>
              <w:rPr>
                <w:rFonts w:eastAsia="Times New Roman"/>
                <w:sz w:val="22"/>
                <w:szCs w:val="22"/>
              </w:rPr>
            </w:pPr>
            <w:r w:rsidRPr="00381DC2">
              <w:rPr>
                <w:sz w:val="22"/>
                <w:szCs w:val="22"/>
              </w:rPr>
              <w:t xml:space="preserve">CP </w:t>
            </w:r>
          </w:p>
        </w:tc>
        <w:tc>
          <w:tcPr>
            <w:tcW w:w="3006" w:type="dxa"/>
            <w:tcBorders>
              <w:left w:val="single" w:sz="4" w:space="0" w:color="auto"/>
              <w:bottom w:val="nil"/>
            </w:tcBorders>
            <w:shd w:val="clear" w:color="auto" w:fill="auto"/>
          </w:tcPr>
          <w:p w14:paraId="0F246A6E" w14:textId="77777777" w:rsidR="00ED4C2D" w:rsidRPr="00381DC2" w:rsidRDefault="00ED4C2D" w:rsidP="003C1003">
            <w:pPr>
              <w:pStyle w:val="Default"/>
              <w:jc w:val="center"/>
              <w:rPr>
                <w:rFonts w:eastAsia="Times New Roman"/>
                <w:sz w:val="22"/>
                <w:szCs w:val="22"/>
              </w:rPr>
            </w:pPr>
            <w:r w:rsidRPr="00381DC2">
              <w:rPr>
                <w:sz w:val="22"/>
                <w:szCs w:val="22"/>
              </w:rPr>
              <w:t xml:space="preserve">CPB7.5+ </w:t>
            </w:r>
          </w:p>
        </w:tc>
      </w:tr>
      <w:tr w:rsidR="00ED4C2D" w:rsidRPr="00F60460" w14:paraId="650F56F1" w14:textId="77777777" w:rsidTr="003C1003">
        <w:tc>
          <w:tcPr>
            <w:tcW w:w="2898" w:type="dxa"/>
            <w:tcBorders>
              <w:top w:val="nil"/>
              <w:left w:val="single" w:sz="4" w:space="0" w:color="auto"/>
              <w:bottom w:val="nil"/>
              <w:right w:val="single" w:sz="4" w:space="0" w:color="auto"/>
            </w:tcBorders>
            <w:shd w:val="clear" w:color="auto" w:fill="auto"/>
          </w:tcPr>
          <w:p w14:paraId="2853C74A" w14:textId="77777777" w:rsidR="00ED4C2D" w:rsidRPr="00381DC2" w:rsidRDefault="00ED4C2D" w:rsidP="003C1003">
            <w:pPr>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311122B3" w14:textId="77777777" w:rsidR="00ED4C2D" w:rsidRPr="00381DC2" w:rsidRDefault="00ED4C2D" w:rsidP="003C1003">
            <w:pPr>
              <w:pStyle w:val="Default"/>
              <w:jc w:val="center"/>
              <w:rPr>
                <w:rFonts w:eastAsia="Times New Roman"/>
                <w:sz w:val="22"/>
                <w:szCs w:val="22"/>
              </w:rPr>
            </w:pPr>
            <w:r w:rsidRPr="00381DC2">
              <w:rPr>
                <w:sz w:val="22"/>
                <w:szCs w:val="22"/>
              </w:rPr>
              <w:t xml:space="preserve">(n = 368) </w:t>
            </w:r>
          </w:p>
        </w:tc>
        <w:tc>
          <w:tcPr>
            <w:tcW w:w="3006" w:type="dxa"/>
            <w:tcBorders>
              <w:top w:val="nil"/>
              <w:left w:val="single" w:sz="4" w:space="0" w:color="auto"/>
              <w:bottom w:val="nil"/>
            </w:tcBorders>
            <w:shd w:val="clear" w:color="auto" w:fill="auto"/>
          </w:tcPr>
          <w:p w14:paraId="796CFC13" w14:textId="77777777" w:rsidR="00ED4C2D" w:rsidRPr="00381DC2" w:rsidRDefault="00ED4C2D" w:rsidP="003C1003">
            <w:pPr>
              <w:pStyle w:val="Default"/>
              <w:jc w:val="center"/>
              <w:rPr>
                <w:rFonts w:eastAsia="Times New Roman"/>
                <w:sz w:val="22"/>
                <w:szCs w:val="22"/>
              </w:rPr>
            </w:pPr>
            <w:r w:rsidRPr="00381DC2">
              <w:rPr>
                <w:sz w:val="22"/>
                <w:szCs w:val="22"/>
              </w:rPr>
              <w:t xml:space="preserve">(n = 383) </w:t>
            </w:r>
          </w:p>
        </w:tc>
      </w:tr>
      <w:tr w:rsidR="00ED4C2D" w:rsidRPr="00F60460" w14:paraId="2E4D5668" w14:textId="77777777" w:rsidTr="003C1003">
        <w:tc>
          <w:tcPr>
            <w:tcW w:w="2898" w:type="dxa"/>
            <w:tcBorders>
              <w:top w:val="nil"/>
              <w:left w:val="single" w:sz="4" w:space="0" w:color="auto"/>
              <w:bottom w:val="nil"/>
              <w:right w:val="single" w:sz="4" w:space="0" w:color="auto"/>
            </w:tcBorders>
            <w:shd w:val="clear" w:color="auto" w:fill="auto"/>
          </w:tcPr>
          <w:p w14:paraId="18874713" w14:textId="77777777" w:rsidR="00ED4C2D" w:rsidRPr="00381DC2" w:rsidRDefault="00ED4C2D" w:rsidP="003C1003">
            <w:pPr>
              <w:pStyle w:val="Default"/>
              <w:rPr>
                <w:rFonts w:eastAsia="Times New Roman"/>
                <w:sz w:val="22"/>
                <w:szCs w:val="22"/>
              </w:rPr>
            </w:pPr>
            <w:r w:rsidRPr="00381DC2">
              <w:rPr>
                <w:sz w:val="22"/>
                <w:szCs w:val="22"/>
              </w:rPr>
              <w:t xml:space="preserve">Střední přežití (měsíce) </w:t>
            </w:r>
          </w:p>
        </w:tc>
        <w:tc>
          <w:tcPr>
            <w:tcW w:w="3006" w:type="dxa"/>
            <w:tcBorders>
              <w:top w:val="nil"/>
              <w:left w:val="single" w:sz="4" w:space="0" w:color="auto"/>
              <w:bottom w:val="nil"/>
              <w:right w:val="single" w:sz="4" w:space="0" w:color="auto"/>
            </w:tcBorders>
            <w:shd w:val="clear" w:color="auto" w:fill="auto"/>
          </w:tcPr>
          <w:p w14:paraId="18BE707B" w14:textId="77777777" w:rsidR="00ED4C2D" w:rsidRPr="00381DC2" w:rsidRDefault="00ED4C2D" w:rsidP="003C1003">
            <w:pPr>
              <w:pStyle w:val="Default"/>
              <w:jc w:val="center"/>
              <w:rPr>
                <w:rFonts w:eastAsia="Times New Roman"/>
                <w:sz w:val="22"/>
                <w:szCs w:val="22"/>
              </w:rPr>
            </w:pPr>
            <w:r w:rsidRPr="00381DC2">
              <w:rPr>
                <w:sz w:val="22"/>
                <w:szCs w:val="22"/>
              </w:rPr>
              <w:t xml:space="preserve">17,7 </w:t>
            </w:r>
          </w:p>
        </w:tc>
        <w:tc>
          <w:tcPr>
            <w:tcW w:w="3006" w:type="dxa"/>
            <w:tcBorders>
              <w:top w:val="nil"/>
              <w:left w:val="single" w:sz="4" w:space="0" w:color="auto"/>
              <w:bottom w:val="nil"/>
            </w:tcBorders>
            <w:shd w:val="clear" w:color="auto" w:fill="auto"/>
          </w:tcPr>
          <w:p w14:paraId="5CEDEA96" w14:textId="77777777" w:rsidR="00ED4C2D" w:rsidRPr="00381DC2" w:rsidRDefault="00ED4C2D" w:rsidP="003C1003">
            <w:pPr>
              <w:pStyle w:val="Default"/>
              <w:jc w:val="center"/>
              <w:rPr>
                <w:rFonts w:eastAsia="Times New Roman"/>
                <w:sz w:val="22"/>
                <w:szCs w:val="22"/>
              </w:rPr>
            </w:pPr>
            <w:r w:rsidRPr="00381DC2">
              <w:rPr>
                <w:sz w:val="22"/>
                <w:szCs w:val="22"/>
              </w:rPr>
              <w:t xml:space="preserve">19,3 </w:t>
            </w:r>
          </w:p>
        </w:tc>
      </w:tr>
      <w:tr w:rsidR="00ED4C2D" w:rsidRPr="00F60460" w14:paraId="7EF4D475" w14:textId="77777777" w:rsidTr="003C1003">
        <w:tc>
          <w:tcPr>
            <w:tcW w:w="2898" w:type="dxa"/>
            <w:tcBorders>
              <w:top w:val="nil"/>
              <w:left w:val="single" w:sz="4" w:space="0" w:color="auto"/>
              <w:bottom w:val="nil"/>
              <w:right w:val="single" w:sz="4" w:space="0" w:color="auto"/>
            </w:tcBorders>
            <w:shd w:val="clear" w:color="auto" w:fill="auto"/>
          </w:tcPr>
          <w:p w14:paraId="67F8AC6B" w14:textId="77777777" w:rsidR="00ED4C2D" w:rsidRPr="00381DC2" w:rsidRDefault="00ED4C2D" w:rsidP="003C1003">
            <w:pPr>
              <w:pStyle w:val="Default"/>
              <w:rPr>
                <w:rFonts w:eastAsia="Times New Roman"/>
                <w:sz w:val="22"/>
                <w:szCs w:val="22"/>
              </w:rPr>
            </w:pPr>
            <w:r w:rsidRPr="00381DC2">
              <w:rPr>
                <w:sz w:val="22"/>
                <w:szCs w:val="22"/>
              </w:rPr>
              <w:t xml:space="preserve">Poměr rizik (95% interval spolehlivosti) </w:t>
            </w:r>
            <w:r w:rsidRPr="00381DC2">
              <w:rPr>
                <w:sz w:val="22"/>
                <w:szCs w:val="22"/>
                <w:vertAlign w:val="superscript"/>
              </w:rPr>
              <w:t>4</w:t>
            </w:r>
            <w:r w:rsidRPr="00381DC2">
              <w:rPr>
                <w:sz w:val="22"/>
                <w:szCs w:val="22"/>
              </w:rPr>
              <w:t xml:space="preserve"> </w:t>
            </w:r>
          </w:p>
        </w:tc>
        <w:tc>
          <w:tcPr>
            <w:tcW w:w="3006" w:type="dxa"/>
            <w:tcBorders>
              <w:top w:val="nil"/>
              <w:left w:val="single" w:sz="4" w:space="0" w:color="auto"/>
              <w:bottom w:val="nil"/>
              <w:right w:val="single" w:sz="4" w:space="0" w:color="auto"/>
            </w:tcBorders>
            <w:shd w:val="clear" w:color="auto" w:fill="auto"/>
          </w:tcPr>
          <w:p w14:paraId="49FB8081" w14:textId="77777777" w:rsidR="00ED4C2D" w:rsidRPr="00381DC2" w:rsidRDefault="00ED4C2D" w:rsidP="003C1003">
            <w:pPr>
              <w:pStyle w:val="Default"/>
              <w:jc w:val="center"/>
              <w:rPr>
                <w:rFonts w:eastAsia="Times New Roman"/>
                <w:sz w:val="22"/>
                <w:szCs w:val="22"/>
              </w:rPr>
            </w:pPr>
          </w:p>
        </w:tc>
        <w:tc>
          <w:tcPr>
            <w:tcW w:w="3006" w:type="dxa"/>
            <w:tcBorders>
              <w:top w:val="nil"/>
              <w:left w:val="single" w:sz="4" w:space="0" w:color="auto"/>
              <w:bottom w:val="nil"/>
            </w:tcBorders>
            <w:shd w:val="clear" w:color="auto" w:fill="auto"/>
          </w:tcPr>
          <w:p w14:paraId="507DA376" w14:textId="77777777" w:rsidR="00ED4C2D" w:rsidRPr="00381DC2" w:rsidRDefault="00ED4C2D" w:rsidP="003C1003">
            <w:pPr>
              <w:pStyle w:val="Default"/>
              <w:jc w:val="center"/>
              <w:rPr>
                <w:rFonts w:eastAsia="Times New Roman"/>
                <w:sz w:val="22"/>
                <w:szCs w:val="22"/>
              </w:rPr>
            </w:pPr>
            <w:r w:rsidRPr="00381DC2">
              <w:rPr>
                <w:sz w:val="22"/>
                <w:szCs w:val="22"/>
              </w:rPr>
              <w:t xml:space="preserve">0,89 </w:t>
            </w:r>
          </w:p>
        </w:tc>
      </w:tr>
      <w:tr w:rsidR="00ED4C2D" w:rsidRPr="00F60460" w14:paraId="22B61792" w14:textId="77777777" w:rsidTr="003C1003">
        <w:tc>
          <w:tcPr>
            <w:tcW w:w="2898" w:type="dxa"/>
            <w:tcBorders>
              <w:top w:val="nil"/>
              <w:left w:val="single" w:sz="4" w:space="0" w:color="auto"/>
              <w:bottom w:val="nil"/>
              <w:right w:val="single" w:sz="4" w:space="0" w:color="auto"/>
            </w:tcBorders>
            <w:shd w:val="clear" w:color="auto" w:fill="auto"/>
          </w:tcPr>
          <w:p w14:paraId="1187909B" w14:textId="77777777" w:rsidR="00ED4C2D" w:rsidRPr="00381DC2" w:rsidRDefault="00ED4C2D" w:rsidP="003C1003">
            <w:pPr>
              <w:pStyle w:val="Default"/>
              <w:rPr>
                <w:rFonts w:eastAsia="Times New Roman"/>
                <w:sz w:val="22"/>
                <w:szCs w:val="22"/>
              </w:rPr>
            </w:pPr>
          </w:p>
        </w:tc>
        <w:tc>
          <w:tcPr>
            <w:tcW w:w="3006" w:type="dxa"/>
            <w:tcBorders>
              <w:top w:val="nil"/>
              <w:left w:val="single" w:sz="4" w:space="0" w:color="auto"/>
              <w:bottom w:val="nil"/>
              <w:right w:val="single" w:sz="4" w:space="0" w:color="auto"/>
            </w:tcBorders>
            <w:shd w:val="clear" w:color="auto" w:fill="auto"/>
          </w:tcPr>
          <w:p w14:paraId="18C346C7" w14:textId="77777777" w:rsidR="00ED4C2D" w:rsidRPr="00381DC2" w:rsidRDefault="00ED4C2D" w:rsidP="003C1003">
            <w:pPr>
              <w:pStyle w:val="Default"/>
              <w:jc w:val="center"/>
              <w:rPr>
                <w:rFonts w:eastAsia="Times New Roman"/>
                <w:sz w:val="22"/>
                <w:szCs w:val="22"/>
              </w:rPr>
            </w:pPr>
          </w:p>
        </w:tc>
        <w:tc>
          <w:tcPr>
            <w:tcW w:w="3006" w:type="dxa"/>
            <w:tcBorders>
              <w:top w:val="nil"/>
              <w:left w:val="single" w:sz="4" w:space="0" w:color="auto"/>
              <w:bottom w:val="nil"/>
            </w:tcBorders>
            <w:shd w:val="clear" w:color="auto" w:fill="auto"/>
          </w:tcPr>
          <w:p w14:paraId="167F0A2D" w14:textId="77777777" w:rsidR="00ED4C2D" w:rsidRPr="00381DC2" w:rsidRDefault="00ED4C2D" w:rsidP="003C1003">
            <w:pPr>
              <w:pStyle w:val="Default"/>
              <w:jc w:val="center"/>
              <w:rPr>
                <w:rFonts w:eastAsia="Times New Roman"/>
                <w:sz w:val="22"/>
                <w:szCs w:val="22"/>
              </w:rPr>
            </w:pPr>
            <w:r w:rsidRPr="00381DC2">
              <w:rPr>
                <w:sz w:val="22"/>
                <w:szCs w:val="22"/>
              </w:rPr>
              <w:t>(0,74, 1,07)</w:t>
            </w:r>
          </w:p>
        </w:tc>
      </w:tr>
      <w:tr w:rsidR="00ED4C2D" w:rsidRPr="00F60460" w14:paraId="769A9312" w14:textId="77777777" w:rsidTr="003C1003">
        <w:tc>
          <w:tcPr>
            <w:tcW w:w="8910" w:type="dxa"/>
            <w:gridSpan w:val="3"/>
            <w:tcBorders>
              <w:left w:val="single" w:sz="4" w:space="0" w:color="auto"/>
              <w:bottom w:val="single" w:sz="4" w:space="0" w:color="auto"/>
            </w:tcBorders>
            <w:shd w:val="clear" w:color="auto" w:fill="auto"/>
          </w:tcPr>
          <w:p w14:paraId="3EB310DC" w14:textId="77777777" w:rsidR="00ED4C2D" w:rsidRPr="00381DC2" w:rsidRDefault="00ED4C2D" w:rsidP="003C1003">
            <w:pPr>
              <w:pStyle w:val="Default"/>
              <w:rPr>
                <w:rFonts w:eastAsia="Times New Roman"/>
                <w:sz w:val="22"/>
                <w:szCs w:val="22"/>
              </w:rPr>
            </w:pPr>
            <w:r w:rsidRPr="00381DC2">
              <w:rPr>
                <w:sz w:val="22"/>
                <w:szCs w:val="22"/>
              </w:rPr>
              <w:t xml:space="preserve">Randomizované pacientky s onemocněním stádia III sub-optimální cytoredukcí </w:t>
            </w:r>
            <w:r w:rsidRPr="00381DC2">
              <w:rPr>
                <w:sz w:val="22"/>
                <w:szCs w:val="22"/>
                <w:vertAlign w:val="superscript"/>
              </w:rPr>
              <w:t>3</w:t>
            </w:r>
          </w:p>
        </w:tc>
      </w:tr>
      <w:tr w:rsidR="00ED4C2D" w:rsidRPr="00F60460" w14:paraId="56EFC35B" w14:textId="77777777" w:rsidTr="003C1003">
        <w:tc>
          <w:tcPr>
            <w:tcW w:w="2898" w:type="dxa"/>
            <w:tcBorders>
              <w:top w:val="single" w:sz="4" w:space="0" w:color="auto"/>
              <w:left w:val="single" w:sz="4" w:space="0" w:color="auto"/>
              <w:bottom w:val="nil"/>
              <w:right w:val="single" w:sz="4" w:space="0" w:color="auto"/>
            </w:tcBorders>
            <w:shd w:val="clear" w:color="auto" w:fill="auto"/>
          </w:tcPr>
          <w:p w14:paraId="230920DD" w14:textId="77777777" w:rsidR="00ED4C2D" w:rsidRPr="00381DC2" w:rsidRDefault="00ED4C2D" w:rsidP="003C1003">
            <w:pPr>
              <w:rPr>
                <w:rFonts w:ascii="Times New Roman" w:eastAsia="Times New Roman" w:hAnsi="Times New Roman"/>
                <w:color w:val="000000"/>
              </w:rPr>
            </w:pPr>
          </w:p>
        </w:tc>
        <w:tc>
          <w:tcPr>
            <w:tcW w:w="3006" w:type="dxa"/>
            <w:tcBorders>
              <w:top w:val="single" w:sz="4" w:space="0" w:color="auto"/>
              <w:left w:val="single" w:sz="4" w:space="0" w:color="auto"/>
              <w:bottom w:val="nil"/>
              <w:right w:val="single" w:sz="4" w:space="0" w:color="auto"/>
            </w:tcBorders>
            <w:shd w:val="clear" w:color="auto" w:fill="auto"/>
          </w:tcPr>
          <w:p w14:paraId="303E738F" w14:textId="77777777" w:rsidR="00ED4C2D" w:rsidRPr="00381DC2" w:rsidRDefault="00ED4C2D" w:rsidP="003C1003">
            <w:pPr>
              <w:pStyle w:val="Default"/>
              <w:jc w:val="center"/>
              <w:rPr>
                <w:rFonts w:eastAsia="Times New Roman"/>
                <w:sz w:val="22"/>
                <w:szCs w:val="22"/>
              </w:rPr>
            </w:pPr>
            <w:r w:rsidRPr="00381DC2">
              <w:rPr>
                <w:sz w:val="22"/>
                <w:szCs w:val="22"/>
              </w:rPr>
              <w:t xml:space="preserve">CP </w:t>
            </w:r>
          </w:p>
        </w:tc>
        <w:tc>
          <w:tcPr>
            <w:tcW w:w="3006" w:type="dxa"/>
            <w:tcBorders>
              <w:top w:val="single" w:sz="4" w:space="0" w:color="auto"/>
              <w:left w:val="single" w:sz="4" w:space="0" w:color="auto"/>
              <w:bottom w:val="nil"/>
              <w:right w:val="single" w:sz="4" w:space="0" w:color="auto"/>
            </w:tcBorders>
            <w:shd w:val="clear" w:color="auto" w:fill="auto"/>
          </w:tcPr>
          <w:p w14:paraId="66E41468" w14:textId="77777777" w:rsidR="00ED4C2D" w:rsidRPr="00381DC2" w:rsidRDefault="00ED4C2D" w:rsidP="003C1003">
            <w:pPr>
              <w:pStyle w:val="Default"/>
              <w:jc w:val="center"/>
              <w:rPr>
                <w:rFonts w:eastAsia="Times New Roman"/>
                <w:sz w:val="22"/>
                <w:szCs w:val="22"/>
              </w:rPr>
            </w:pPr>
            <w:r w:rsidRPr="00381DC2">
              <w:rPr>
                <w:sz w:val="22"/>
                <w:szCs w:val="22"/>
              </w:rPr>
              <w:t xml:space="preserve">CPB7.5+ </w:t>
            </w:r>
          </w:p>
        </w:tc>
      </w:tr>
      <w:tr w:rsidR="00ED4C2D" w:rsidRPr="00F60460" w14:paraId="269B97FF" w14:textId="77777777" w:rsidTr="003C1003">
        <w:tc>
          <w:tcPr>
            <w:tcW w:w="2898" w:type="dxa"/>
            <w:tcBorders>
              <w:top w:val="nil"/>
              <w:left w:val="single" w:sz="4" w:space="0" w:color="auto"/>
              <w:bottom w:val="nil"/>
              <w:right w:val="single" w:sz="4" w:space="0" w:color="auto"/>
            </w:tcBorders>
            <w:shd w:val="clear" w:color="auto" w:fill="auto"/>
          </w:tcPr>
          <w:p w14:paraId="47265146" w14:textId="77777777" w:rsidR="00ED4C2D" w:rsidRPr="00381DC2" w:rsidRDefault="00ED4C2D" w:rsidP="003C1003">
            <w:pPr>
              <w:rPr>
                <w:rFonts w:ascii="Times New Roman" w:eastAsia="Times New Roman" w:hAnsi="Times New Roman"/>
                <w:color w:val="000000"/>
              </w:rPr>
            </w:pPr>
          </w:p>
        </w:tc>
        <w:tc>
          <w:tcPr>
            <w:tcW w:w="3006" w:type="dxa"/>
            <w:tcBorders>
              <w:top w:val="nil"/>
              <w:left w:val="single" w:sz="4" w:space="0" w:color="auto"/>
              <w:bottom w:val="nil"/>
              <w:right w:val="single" w:sz="4" w:space="0" w:color="auto"/>
            </w:tcBorders>
            <w:shd w:val="clear" w:color="auto" w:fill="auto"/>
          </w:tcPr>
          <w:p w14:paraId="2408D4C1" w14:textId="77777777" w:rsidR="00ED4C2D" w:rsidRPr="00381DC2" w:rsidRDefault="00ED4C2D" w:rsidP="003C1003">
            <w:pPr>
              <w:pStyle w:val="Default"/>
              <w:jc w:val="center"/>
              <w:rPr>
                <w:sz w:val="22"/>
                <w:szCs w:val="22"/>
              </w:rPr>
            </w:pPr>
            <w:r w:rsidRPr="00381DC2">
              <w:rPr>
                <w:sz w:val="22"/>
                <w:szCs w:val="22"/>
              </w:rPr>
              <w:t xml:space="preserve">(n = 154) </w:t>
            </w:r>
          </w:p>
        </w:tc>
        <w:tc>
          <w:tcPr>
            <w:tcW w:w="3006" w:type="dxa"/>
            <w:tcBorders>
              <w:top w:val="nil"/>
              <w:left w:val="single" w:sz="4" w:space="0" w:color="auto"/>
              <w:bottom w:val="nil"/>
              <w:right w:val="single" w:sz="4" w:space="0" w:color="auto"/>
            </w:tcBorders>
            <w:shd w:val="clear" w:color="auto" w:fill="auto"/>
          </w:tcPr>
          <w:p w14:paraId="01D6C04A" w14:textId="77777777" w:rsidR="00ED4C2D" w:rsidRPr="00381DC2" w:rsidRDefault="00ED4C2D" w:rsidP="003C1003">
            <w:pPr>
              <w:pStyle w:val="Default"/>
              <w:jc w:val="center"/>
              <w:rPr>
                <w:sz w:val="22"/>
                <w:szCs w:val="22"/>
              </w:rPr>
            </w:pPr>
            <w:r w:rsidRPr="00381DC2">
              <w:rPr>
                <w:sz w:val="22"/>
                <w:szCs w:val="22"/>
              </w:rPr>
              <w:t xml:space="preserve">(n = 140) </w:t>
            </w:r>
          </w:p>
        </w:tc>
      </w:tr>
      <w:tr w:rsidR="00ED4C2D" w:rsidRPr="00F60460" w14:paraId="48456166" w14:textId="77777777" w:rsidTr="003C1003">
        <w:tc>
          <w:tcPr>
            <w:tcW w:w="2898" w:type="dxa"/>
            <w:tcBorders>
              <w:top w:val="nil"/>
              <w:left w:val="single" w:sz="4" w:space="0" w:color="auto"/>
              <w:bottom w:val="nil"/>
              <w:right w:val="single" w:sz="4" w:space="0" w:color="auto"/>
            </w:tcBorders>
            <w:shd w:val="clear" w:color="auto" w:fill="auto"/>
          </w:tcPr>
          <w:p w14:paraId="3A22E58F" w14:textId="77777777" w:rsidR="00ED4C2D" w:rsidRPr="00381DC2" w:rsidRDefault="00ED4C2D" w:rsidP="003C1003">
            <w:pPr>
              <w:pStyle w:val="Default"/>
              <w:rPr>
                <w:rFonts w:eastAsia="Times New Roman"/>
                <w:sz w:val="22"/>
                <w:szCs w:val="22"/>
              </w:rPr>
            </w:pPr>
            <w:r w:rsidRPr="00381DC2">
              <w:rPr>
                <w:sz w:val="22"/>
                <w:szCs w:val="20"/>
              </w:rPr>
              <w:t>Střední přežití bez progrese (měsíce)</w:t>
            </w:r>
          </w:p>
        </w:tc>
        <w:tc>
          <w:tcPr>
            <w:tcW w:w="3006" w:type="dxa"/>
            <w:tcBorders>
              <w:top w:val="nil"/>
              <w:left w:val="single" w:sz="4" w:space="0" w:color="auto"/>
              <w:bottom w:val="nil"/>
              <w:right w:val="single" w:sz="4" w:space="0" w:color="auto"/>
            </w:tcBorders>
            <w:shd w:val="clear" w:color="auto" w:fill="auto"/>
          </w:tcPr>
          <w:p w14:paraId="67CD7A36" w14:textId="77777777" w:rsidR="00ED4C2D" w:rsidRPr="00381DC2" w:rsidRDefault="00ED4C2D" w:rsidP="003C1003">
            <w:pPr>
              <w:pStyle w:val="Default"/>
              <w:jc w:val="center"/>
              <w:rPr>
                <w:sz w:val="22"/>
                <w:szCs w:val="22"/>
              </w:rPr>
            </w:pPr>
            <w:r w:rsidRPr="00381DC2">
              <w:rPr>
                <w:sz w:val="22"/>
                <w:szCs w:val="22"/>
              </w:rPr>
              <w:t xml:space="preserve">10,1 </w:t>
            </w:r>
          </w:p>
        </w:tc>
        <w:tc>
          <w:tcPr>
            <w:tcW w:w="3006" w:type="dxa"/>
            <w:tcBorders>
              <w:top w:val="nil"/>
              <w:left w:val="single" w:sz="4" w:space="0" w:color="auto"/>
              <w:bottom w:val="nil"/>
              <w:right w:val="single" w:sz="4" w:space="0" w:color="auto"/>
            </w:tcBorders>
            <w:shd w:val="clear" w:color="auto" w:fill="auto"/>
          </w:tcPr>
          <w:p w14:paraId="50D64C99" w14:textId="77777777" w:rsidR="00ED4C2D" w:rsidRPr="00381DC2" w:rsidRDefault="00ED4C2D" w:rsidP="003C1003">
            <w:pPr>
              <w:pStyle w:val="Default"/>
              <w:jc w:val="center"/>
              <w:rPr>
                <w:sz w:val="22"/>
                <w:szCs w:val="22"/>
              </w:rPr>
            </w:pPr>
            <w:r w:rsidRPr="00381DC2">
              <w:rPr>
                <w:sz w:val="22"/>
                <w:szCs w:val="22"/>
              </w:rPr>
              <w:t xml:space="preserve">16,9 </w:t>
            </w:r>
          </w:p>
        </w:tc>
      </w:tr>
      <w:tr w:rsidR="00ED4C2D" w:rsidRPr="00F60460" w14:paraId="1C8436FC" w14:textId="77777777" w:rsidTr="003C1003">
        <w:tc>
          <w:tcPr>
            <w:tcW w:w="2898" w:type="dxa"/>
            <w:tcBorders>
              <w:top w:val="nil"/>
              <w:left w:val="single" w:sz="4" w:space="0" w:color="auto"/>
              <w:bottom w:val="nil"/>
              <w:right w:val="single" w:sz="4" w:space="0" w:color="auto"/>
            </w:tcBorders>
            <w:shd w:val="clear" w:color="auto" w:fill="auto"/>
          </w:tcPr>
          <w:p w14:paraId="28B65B66" w14:textId="77777777" w:rsidR="00ED4C2D" w:rsidRPr="00381DC2" w:rsidRDefault="00ED4C2D" w:rsidP="003C1003">
            <w:pPr>
              <w:pStyle w:val="Default"/>
              <w:rPr>
                <w:rFonts w:eastAsia="Times New Roman"/>
                <w:sz w:val="22"/>
                <w:szCs w:val="22"/>
              </w:rPr>
            </w:pPr>
            <w:r w:rsidRPr="00381DC2">
              <w:rPr>
                <w:sz w:val="22"/>
                <w:szCs w:val="22"/>
              </w:rPr>
              <w:t>Poměr rizik</w:t>
            </w:r>
            <w:r w:rsidRPr="00381DC2">
              <w:rPr>
                <w:sz w:val="22"/>
                <w:szCs w:val="20"/>
              </w:rPr>
              <w:t xml:space="preserve"> (95% </w:t>
            </w:r>
            <w:r w:rsidRPr="00381DC2">
              <w:rPr>
                <w:sz w:val="22"/>
                <w:szCs w:val="22"/>
              </w:rPr>
              <w:t>interval spolehlivosti</w:t>
            </w:r>
            <w:r w:rsidRPr="00381DC2">
              <w:rPr>
                <w:sz w:val="22"/>
                <w:szCs w:val="20"/>
              </w:rPr>
              <w:t xml:space="preserve">) </w:t>
            </w:r>
            <w:r w:rsidRPr="00381DC2">
              <w:rPr>
                <w:sz w:val="22"/>
                <w:szCs w:val="20"/>
                <w:vertAlign w:val="superscript"/>
              </w:rPr>
              <w:t xml:space="preserve">4 </w:t>
            </w:r>
          </w:p>
        </w:tc>
        <w:tc>
          <w:tcPr>
            <w:tcW w:w="3006" w:type="dxa"/>
            <w:tcBorders>
              <w:top w:val="nil"/>
              <w:left w:val="single" w:sz="4" w:space="0" w:color="auto"/>
              <w:bottom w:val="nil"/>
              <w:right w:val="single" w:sz="4" w:space="0" w:color="auto"/>
            </w:tcBorders>
            <w:shd w:val="clear" w:color="auto" w:fill="auto"/>
          </w:tcPr>
          <w:p w14:paraId="76DD2D9F" w14:textId="77777777" w:rsidR="00ED4C2D" w:rsidRPr="00381DC2" w:rsidRDefault="00ED4C2D" w:rsidP="003C1003">
            <w:pPr>
              <w:pStyle w:val="Default"/>
              <w:jc w:val="center"/>
              <w:rPr>
                <w:sz w:val="22"/>
                <w:szCs w:val="22"/>
              </w:rPr>
            </w:pPr>
          </w:p>
        </w:tc>
        <w:tc>
          <w:tcPr>
            <w:tcW w:w="3006" w:type="dxa"/>
            <w:tcBorders>
              <w:top w:val="nil"/>
              <w:left w:val="single" w:sz="4" w:space="0" w:color="auto"/>
              <w:bottom w:val="nil"/>
              <w:right w:val="single" w:sz="4" w:space="0" w:color="auto"/>
            </w:tcBorders>
            <w:shd w:val="clear" w:color="auto" w:fill="auto"/>
          </w:tcPr>
          <w:p w14:paraId="1E2C173D" w14:textId="77777777" w:rsidR="00ED4C2D" w:rsidRPr="00381DC2" w:rsidRDefault="00ED4C2D" w:rsidP="003C1003">
            <w:pPr>
              <w:pStyle w:val="Default"/>
              <w:jc w:val="center"/>
              <w:rPr>
                <w:sz w:val="22"/>
                <w:szCs w:val="22"/>
              </w:rPr>
            </w:pPr>
            <w:r w:rsidRPr="00381DC2">
              <w:rPr>
                <w:sz w:val="22"/>
                <w:szCs w:val="22"/>
              </w:rPr>
              <w:t xml:space="preserve">0,67 </w:t>
            </w:r>
          </w:p>
        </w:tc>
      </w:tr>
      <w:tr w:rsidR="00ED4C2D" w:rsidRPr="00F60460" w14:paraId="06F2062D" w14:textId="77777777" w:rsidTr="003C1003">
        <w:tc>
          <w:tcPr>
            <w:tcW w:w="2898" w:type="dxa"/>
            <w:tcBorders>
              <w:top w:val="nil"/>
              <w:left w:val="single" w:sz="4" w:space="0" w:color="auto"/>
              <w:bottom w:val="single" w:sz="4" w:space="0" w:color="auto"/>
            </w:tcBorders>
            <w:shd w:val="clear" w:color="auto" w:fill="auto"/>
          </w:tcPr>
          <w:p w14:paraId="173E2163" w14:textId="77777777" w:rsidR="00ED4C2D" w:rsidRPr="00381DC2" w:rsidRDefault="00ED4C2D" w:rsidP="003C1003">
            <w:pPr>
              <w:pStyle w:val="Default"/>
              <w:rPr>
                <w:rFonts w:eastAsia="Times New Roman"/>
                <w:sz w:val="22"/>
                <w:szCs w:val="22"/>
              </w:rPr>
            </w:pPr>
          </w:p>
        </w:tc>
        <w:tc>
          <w:tcPr>
            <w:tcW w:w="3006" w:type="dxa"/>
            <w:tcBorders>
              <w:top w:val="nil"/>
              <w:bottom w:val="single" w:sz="4" w:space="0" w:color="auto"/>
            </w:tcBorders>
            <w:shd w:val="clear" w:color="auto" w:fill="auto"/>
          </w:tcPr>
          <w:p w14:paraId="4593A383" w14:textId="77777777" w:rsidR="00ED4C2D" w:rsidRPr="00381DC2" w:rsidRDefault="00ED4C2D" w:rsidP="003C1003">
            <w:pPr>
              <w:pStyle w:val="Default"/>
              <w:jc w:val="center"/>
              <w:rPr>
                <w:sz w:val="22"/>
                <w:szCs w:val="22"/>
              </w:rPr>
            </w:pPr>
          </w:p>
        </w:tc>
        <w:tc>
          <w:tcPr>
            <w:tcW w:w="3006" w:type="dxa"/>
            <w:tcBorders>
              <w:top w:val="nil"/>
              <w:bottom w:val="single" w:sz="4" w:space="0" w:color="auto"/>
            </w:tcBorders>
            <w:shd w:val="clear" w:color="auto" w:fill="auto"/>
          </w:tcPr>
          <w:p w14:paraId="4BF4BC8B" w14:textId="77777777" w:rsidR="00ED4C2D" w:rsidRPr="00381DC2" w:rsidRDefault="00ED4C2D" w:rsidP="003C1003">
            <w:pPr>
              <w:pStyle w:val="Default"/>
              <w:jc w:val="center"/>
              <w:rPr>
                <w:sz w:val="22"/>
                <w:szCs w:val="22"/>
              </w:rPr>
            </w:pPr>
            <w:r w:rsidRPr="00381DC2">
              <w:rPr>
                <w:sz w:val="22"/>
                <w:szCs w:val="22"/>
              </w:rPr>
              <w:t xml:space="preserve">(0,52, 0,87) </w:t>
            </w:r>
          </w:p>
        </w:tc>
      </w:tr>
      <w:tr w:rsidR="00ED4C2D" w:rsidRPr="00F60460" w14:paraId="7342F31F" w14:textId="77777777" w:rsidTr="003C1003">
        <w:tc>
          <w:tcPr>
            <w:tcW w:w="8910" w:type="dxa"/>
            <w:gridSpan w:val="3"/>
            <w:tcBorders>
              <w:top w:val="single" w:sz="4" w:space="0" w:color="auto"/>
              <w:left w:val="single" w:sz="4" w:space="0" w:color="auto"/>
              <w:bottom w:val="nil"/>
            </w:tcBorders>
            <w:shd w:val="clear" w:color="auto" w:fill="auto"/>
          </w:tcPr>
          <w:p w14:paraId="0DE3B27C" w14:textId="77777777" w:rsidR="00ED4C2D" w:rsidRPr="00381DC2" w:rsidRDefault="00ED4C2D" w:rsidP="003C1003">
            <w:pPr>
              <w:pStyle w:val="Default"/>
              <w:keepNext/>
              <w:rPr>
                <w:sz w:val="22"/>
                <w:szCs w:val="22"/>
              </w:rPr>
            </w:pPr>
            <w:r w:rsidRPr="00381DC2">
              <w:rPr>
                <w:sz w:val="22"/>
                <w:szCs w:val="22"/>
              </w:rPr>
              <w:t xml:space="preserve">Randomizované pacientky s onemocněním stádia IV </w:t>
            </w:r>
          </w:p>
        </w:tc>
      </w:tr>
      <w:tr w:rsidR="00ED4C2D" w:rsidRPr="00F60460" w14:paraId="5EE3C6D4" w14:textId="77777777" w:rsidTr="003C1003">
        <w:tc>
          <w:tcPr>
            <w:tcW w:w="2898" w:type="dxa"/>
            <w:tcBorders>
              <w:left w:val="single" w:sz="4" w:space="0" w:color="auto"/>
              <w:bottom w:val="nil"/>
            </w:tcBorders>
            <w:shd w:val="clear" w:color="auto" w:fill="auto"/>
          </w:tcPr>
          <w:p w14:paraId="6A75CF51" w14:textId="77777777" w:rsidR="00ED4C2D" w:rsidRPr="00381DC2" w:rsidRDefault="00ED4C2D" w:rsidP="003C1003">
            <w:pPr>
              <w:pStyle w:val="Default"/>
              <w:keepNext/>
              <w:rPr>
                <w:sz w:val="22"/>
                <w:szCs w:val="22"/>
              </w:rPr>
            </w:pPr>
          </w:p>
        </w:tc>
        <w:tc>
          <w:tcPr>
            <w:tcW w:w="3006" w:type="dxa"/>
            <w:tcBorders>
              <w:bottom w:val="nil"/>
            </w:tcBorders>
            <w:shd w:val="clear" w:color="auto" w:fill="auto"/>
          </w:tcPr>
          <w:p w14:paraId="449F355C" w14:textId="77777777" w:rsidR="00ED4C2D" w:rsidRPr="00381DC2" w:rsidRDefault="00ED4C2D" w:rsidP="003C1003">
            <w:pPr>
              <w:pStyle w:val="Default"/>
              <w:keepNext/>
              <w:jc w:val="center"/>
              <w:rPr>
                <w:sz w:val="22"/>
                <w:szCs w:val="22"/>
              </w:rPr>
            </w:pPr>
            <w:r w:rsidRPr="00381DC2">
              <w:rPr>
                <w:sz w:val="22"/>
                <w:szCs w:val="22"/>
              </w:rPr>
              <w:t xml:space="preserve">CP </w:t>
            </w:r>
          </w:p>
        </w:tc>
        <w:tc>
          <w:tcPr>
            <w:tcW w:w="3006" w:type="dxa"/>
            <w:tcBorders>
              <w:bottom w:val="nil"/>
            </w:tcBorders>
            <w:shd w:val="clear" w:color="auto" w:fill="auto"/>
          </w:tcPr>
          <w:p w14:paraId="2ACEE995" w14:textId="77777777" w:rsidR="00ED4C2D" w:rsidRPr="00381DC2" w:rsidRDefault="00ED4C2D" w:rsidP="003C1003">
            <w:pPr>
              <w:pStyle w:val="Default"/>
              <w:keepNext/>
              <w:jc w:val="center"/>
              <w:rPr>
                <w:sz w:val="22"/>
                <w:szCs w:val="22"/>
              </w:rPr>
            </w:pPr>
            <w:r w:rsidRPr="00381DC2">
              <w:rPr>
                <w:sz w:val="22"/>
                <w:szCs w:val="22"/>
              </w:rPr>
              <w:t xml:space="preserve">CPB7.5+ </w:t>
            </w:r>
          </w:p>
        </w:tc>
      </w:tr>
      <w:tr w:rsidR="00ED4C2D" w:rsidRPr="00F60460" w14:paraId="2B6D098A" w14:textId="77777777" w:rsidTr="003C1003">
        <w:tc>
          <w:tcPr>
            <w:tcW w:w="2898" w:type="dxa"/>
            <w:tcBorders>
              <w:top w:val="nil"/>
              <w:left w:val="single" w:sz="4" w:space="0" w:color="auto"/>
              <w:bottom w:val="nil"/>
            </w:tcBorders>
            <w:shd w:val="clear" w:color="auto" w:fill="auto"/>
          </w:tcPr>
          <w:p w14:paraId="634F9AB7" w14:textId="77777777" w:rsidR="00ED4C2D" w:rsidRPr="00381DC2" w:rsidRDefault="00ED4C2D" w:rsidP="003C1003">
            <w:pPr>
              <w:keepNext/>
              <w:rPr>
                <w:rFonts w:ascii="Times New Roman" w:eastAsia="Times New Roman" w:hAnsi="Times New Roman"/>
                <w:color w:val="000000"/>
              </w:rPr>
            </w:pPr>
          </w:p>
        </w:tc>
        <w:tc>
          <w:tcPr>
            <w:tcW w:w="3006" w:type="dxa"/>
            <w:tcBorders>
              <w:top w:val="nil"/>
              <w:bottom w:val="nil"/>
            </w:tcBorders>
            <w:shd w:val="clear" w:color="auto" w:fill="auto"/>
          </w:tcPr>
          <w:p w14:paraId="7FEF474D"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(n = 97) </w:t>
            </w:r>
          </w:p>
        </w:tc>
        <w:tc>
          <w:tcPr>
            <w:tcW w:w="3006" w:type="dxa"/>
            <w:tcBorders>
              <w:top w:val="nil"/>
              <w:bottom w:val="nil"/>
            </w:tcBorders>
            <w:shd w:val="clear" w:color="auto" w:fill="auto"/>
          </w:tcPr>
          <w:p w14:paraId="198F5999"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(n = 104) </w:t>
            </w:r>
          </w:p>
        </w:tc>
      </w:tr>
      <w:tr w:rsidR="00ED4C2D" w:rsidRPr="00F60460" w14:paraId="5803F5E2" w14:textId="77777777" w:rsidTr="003C1003">
        <w:tc>
          <w:tcPr>
            <w:tcW w:w="2898" w:type="dxa"/>
            <w:tcBorders>
              <w:top w:val="nil"/>
              <w:left w:val="single" w:sz="4" w:space="0" w:color="auto"/>
              <w:bottom w:val="nil"/>
            </w:tcBorders>
            <w:shd w:val="clear" w:color="auto" w:fill="auto"/>
          </w:tcPr>
          <w:p w14:paraId="1113CD80" w14:textId="77777777" w:rsidR="00ED4C2D" w:rsidRPr="00381DC2" w:rsidRDefault="00ED4C2D" w:rsidP="003C1003">
            <w:pPr>
              <w:pStyle w:val="Default"/>
              <w:keepNext/>
              <w:rPr>
                <w:rFonts w:eastAsia="Times New Roman"/>
                <w:sz w:val="22"/>
                <w:szCs w:val="22"/>
              </w:rPr>
            </w:pPr>
            <w:r w:rsidRPr="00381DC2">
              <w:rPr>
                <w:sz w:val="22"/>
                <w:szCs w:val="20"/>
              </w:rPr>
              <w:t>Střední přežití bez progrese (měsíce)</w:t>
            </w:r>
            <w:r w:rsidRPr="00381DC2">
              <w:rPr>
                <w:sz w:val="22"/>
                <w:szCs w:val="22"/>
              </w:rPr>
              <w:t xml:space="preserve"> </w:t>
            </w:r>
          </w:p>
        </w:tc>
        <w:tc>
          <w:tcPr>
            <w:tcW w:w="3006" w:type="dxa"/>
            <w:tcBorders>
              <w:top w:val="nil"/>
              <w:bottom w:val="nil"/>
            </w:tcBorders>
            <w:shd w:val="clear" w:color="auto" w:fill="auto"/>
          </w:tcPr>
          <w:p w14:paraId="3FBF5D39"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10,1 </w:t>
            </w:r>
          </w:p>
        </w:tc>
        <w:tc>
          <w:tcPr>
            <w:tcW w:w="3006" w:type="dxa"/>
            <w:tcBorders>
              <w:top w:val="nil"/>
              <w:bottom w:val="nil"/>
            </w:tcBorders>
            <w:shd w:val="clear" w:color="auto" w:fill="auto"/>
          </w:tcPr>
          <w:p w14:paraId="2B68369D" w14:textId="77777777" w:rsidR="00ED4C2D" w:rsidRPr="00381DC2" w:rsidRDefault="00ED4C2D" w:rsidP="003C1003">
            <w:pPr>
              <w:pStyle w:val="Default"/>
              <w:keepNext/>
              <w:jc w:val="center"/>
              <w:rPr>
                <w:rFonts w:eastAsia="Times New Roman"/>
                <w:sz w:val="22"/>
                <w:szCs w:val="22"/>
              </w:rPr>
            </w:pPr>
            <w:r w:rsidRPr="00381DC2">
              <w:rPr>
                <w:sz w:val="22"/>
                <w:szCs w:val="22"/>
              </w:rPr>
              <w:t xml:space="preserve">13,5 </w:t>
            </w:r>
          </w:p>
        </w:tc>
      </w:tr>
      <w:tr w:rsidR="00ED4C2D" w:rsidRPr="00F60460" w14:paraId="47BE8F4B" w14:textId="77777777" w:rsidTr="003C1003">
        <w:tc>
          <w:tcPr>
            <w:tcW w:w="2898" w:type="dxa"/>
            <w:tcBorders>
              <w:top w:val="nil"/>
              <w:left w:val="single" w:sz="4" w:space="0" w:color="auto"/>
              <w:bottom w:val="nil"/>
            </w:tcBorders>
            <w:shd w:val="clear" w:color="auto" w:fill="auto"/>
          </w:tcPr>
          <w:p w14:paraId="2AFCB891" w14:textId="77777777" w:rsidR="00ED4C2D" w:rsidRPr="00381DC2" w:rsidRDefault="00ED4C2D" w:rsidP="003C1003">
            <w:pPr>
              <w:rPr>
                <w:rFonts w:ascii="Times New Roman" w:eastAsia="Times New Roman" w:hAnsi="Times New Roman"/>
                <w:color w:val="000000"/>
              </w:rPr>
            </w:pPr>
          </w:p>
        </w:tc>
        <w:tc>
          <w:tcPr>
            <w:tcW w:w="3006" w:type="dxa"/>
            <w:tcBorders>
              <w:top w:val="nil"/>
              <w:bottom w:val="nil"/>
            </w:tcBorders>
            <w:shd w:val="clear" w:color="auto" w:fill="auto"/>
          </w:tcPr>
          <w:p w14:paraId="3C4167DF" w14:textId="77777777" w:rsidR="00ED4C2D" w:rsidRPr="00381DC2" w:rsidRDefault="00ED4C2D" w:rsidP="003C1003">
            <w:pPr>
              <w:pStyle w:val="Default"/>
              <w:jc w:val="center"/>
              <w:rPr>
                <w:rFonts w:eastAsia="Times New Roman"/>
                <w:sz w:val="22"/>
                <w:szCs w:val="22"/>
              </w:rPr>
            </w:pPr>
          </w:p>
        </w:tc>
        <w:tc>
          <w:tcPr>
            <w:tcW w:w="3006" w:type="dxa"/>
            <w:tcBorders>
              <w:top w:val="nil"/>
              <w:bottom w:val="nil"/>
            </w:tcBorders>
            <w:shd w:val="clear" w:color="auto" w:fill="auto"/>
          </w:tcPr>
          <w:p w14:paraId="343A9DA5" w14:textId="77777777" w:rsidR="00ED4C2D" w:rsidRPr="00381DC2" w:rsidRDefault="00ED4C2D" w:rsidP="003C1003">
            <w:pPr>
              <w:pStyle w:val="Default"/>
              <w:jc w:val="center"/>
              <w:rPr>
                <w:rFonts w:eastAsia="Times New Roman"/>
                <w:sz w:val="22"/>
                <w:szCs w:val="22"/>
              </w:rPr>
            </w:pPr>
            <w:r w:rsidRPr="00381DC2">
              <w:rPr>
                <w:sz w:val="22"/>
                <w:szCs w:val="22"/>
              </w:rPr>
              <w:t xml:space="preserve">0,74 </w:t>
            </w:r>
          </w:p>
        </w:tc>
      </w:tr>
      <w:tr w:rsidR="00ED4C2D" w:rsidRPr="00F60460" w14:paraId="77F2376D" w14:textId="77777777" w:rsidTr="003C1003">
        <w:tc>
          <w:tcPr>
            <w:tcW w:w="2898" w:type="dxa"/>
            <w:tcBorders>
              <w:top w:val="nil"/>
              <w:left w:val="single" w:sz="4" w:space="0" w:color="auto"/>
              <w:bottom w:val="single" w:sz="4" w:space="0" w:color="auto"/>
            </w:tcBorders>
            <w:shd w:val="clear" w:color="auto" w:fill="auto"/>
          </w:tcPr>
          <w:p w14:paraId="748C0D9B" w14:textId="77777777" w:rsidR="00ED4C2D" w:rsidRPr="00381DC2" w:rsidRDefault="00ED4C2D" w:rsidP="003C1003">
            <w:pPr>
              <w:pStyle w:val="Default"/>
              <w:rPr>
                <w:rFonts w:eastAsia="Times New Roman"/>
                <w:sz w:val="22"/>
                <w:szCs w:val="22"/>
              </w:rPr>
            </w:pPr>
            <w:r w:rsidRPr="00381DC2">
              <w:rPr>
                <w:sz w:val="22"/>
                <w:szCs w:val="22"/>
              </w:rPr>
              <w:t xml:space="preserve">Poměr rizik (95% interval spolehlivosti) </w:t>
            </w:r>
            <w:r w:rsidRPr="00381DC2">
              <w:rPr>
                <w:sz w:val="22"/>
                <w:szCs w:val="22"/>
                <w:vertAlign w:val="superscript"/>
              </w:rPr>
              <w:t>4</w:t>
            </w:r>
            <w:r w:rsidRPr="00381DC2">
              <w:rPr>
                <w:sz w:val="22"/>
                <w:szCs w:val="22"/>
              </w:rPr>
              <w:t xml:space="preserve"> </w:t>
            </w:r>
          </w:p>
        </w:tc>
        <w:tc>
          <w:tcPr>
            <w:tcW w:w="3006" w:type="dxa"/>
            <w:tcBorders>
              <w:top w:val="nil"/>
              <w:bottom w:val="single" w:sz="4" w:space="0" w:color="auto"/>
            </w:tcBorders>
            <w:shd w:val="clear" w:color="auto" w:fill="auto"/>
          </w:tcPr>
          <w:p w14:paraId="3BF2D996" w14:textId="77777777" w:rsidR="00ED4C2D" w:rsidRPr="00381DC2" w:rsidRDefault="00ED4C2D" w:rsidP="003C1003">
            <w:pPr>
              <w:pStyle w:val="Default"/>
              <w:jc w:val="center"/>
              <w:rPr>
                <w:rFonts w:eastAsia="Times New Roman"/>
                <w:sz w:val="22"/>
                <w:szCs w:val="22"/>
              </w:rPr>
            </w:pPr>
          </w:p>
        </w:tc>
        <w:tc>
          <w:tcPr>
            <w:tcW w:w="3006" w:type="dxa"/>
            <w:tcBorders>
              <w:top w:val="nil"/>
              <w:bottom w:val="single" w:sz="4" w:space="0" w:color="auto"/>
            </w:tcBorders>
            <w:shd w:val="clear" w:color="auto" w:fill="auto"/>
          </w:tcPr>
          <w:p w14:paraId="6E922715" w14:textId="77777777" w:rsidR="00ED4C2D" w:rsidRPr="00381DC2" w:rsidRDefault="00ED4C2D" w:rsidP="003C1003">
            <w:pPr>
              <w:pStyle w:val="Default"/>
              <w:jc w:val="center"/>
              <w:rPr>
                <w:rFonts w:eastAsia="Times New Roman"/>
                <w:sz w:val="22"/>
                <w:szCs w:val="22"/>
              </w:rPr>
            </w:pPr>
            <w:r w:rsidRPr="00381DC2">
              <w:rPr>
                <w:sz w:val="22"/>
                <w:szCs w:val="22"/>
              </w:rPr>
              <w:t xml:space="preserve">(0,55, 1,01) </w:t>
            </w:r>
          </w:p>
        </w:tc>
      </w:tr>
    </w:tbl>
    <w:p w14:paraId="224558E5" w14:textId="77777777" w:rsidR="00CD1DCD" w:rsidRPr="00F60460" w:rsidRDefault="00ED4C2D" w:rsidP="0053019B">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(1)</w:t>
      </w:r>
      <w:r w:rsidRPr="00F60460">
        <w:rPr>
          <w:rFonts w:ascii="Times New Roman" w:eastAsia="Times New Roman" w:hAnsi="Times New Roman"/>
          <w:color w:val="000000"/>
          <w:sz w:val="20"/>
          <w:szCs w:val="20"/>
          <w:lang w:bidi="ar-SA"/>
        </w:rPr>
        <w:t xml:space="preserve"> </w:t>
      </w:r>
      <w:r w:rsidR="0053019B"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Přežití bez progrese hodnocené řešiteli s daty k 30. listopadu 2010.</w:t>
      </w:r>
    </w:p>
    <w:p w14:paraId="59700C40" w14:textId="77777777" w:rsidR="00CD1DCD" w:rsidRPr="00F60460" w:rsidRDefault="00ED4C2D" w:rsidP="0053019B">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(2)</w:t>
      </w:r>
      <w:r w:rsidRPr="00F60460">
        <w:rPr>
          <w:rFonts w:ascii="Times New Roman" w:eastAsia="Times New Roman" w:hAnsi="Times New Roman"/>
          <w:color w:val="000000"/>
          <w:sz w:val="20"/>
          <w:szCs w:val="20"/>
          <w:lang w:bidi="ar-SA"/>
        </w:rPr>
        <w:t xml:space="preserve"> </w:t>
      </w:r>
      <w:r w:rsidR="0053019B"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S nebo bez makroskopické reziduální nemoci.</w:t>
      </w:r>
    </w:p>
    <w:p w14:paraId="3A92E2E5" w14:textId="77777777" w:rsidR="00CD1DCD" w:rsidRPr="00F60460" w:rsidRDefault="00ED4C2D" w:rsidP="0053019B">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(3)</w:t>
      </w:r>
      <w:r w:rsidRPr="00F60460">
        <w:rPr>
          <w:rFonts w:ascii="Times New Roman" w:eastAsia="Times New Roman" w:hAnsi="Times New Roman"/>
          <w:color w:val="000000"/>
          <w:sz w:val="20"/>
          <w:szCs w:val="20"/>
          <w:lang w:bidi="ar-SA"/>
        </w:rPr>
        <w:t xml:space="preserve"> </w:t>
      </w:r>
      <w:r w:rsidR="0053019B"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5,8% ze všech randomizovaných pacientek mělo onemocnění stádia IIIB.</w:t>
      </w:r>
    </w:p>
    <w:p w14:paraId="30173765" w14:textId="77777777" w:rsidR="00ED4C2D" w:rsidRPr="00F60460" w:rsidRDefault="00ED4C2D" w:rsidP="00D23770">
      <w:pPr>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(4)</w:t>
      </w:r>
      <w:r w:rsidRPr="00F60460">
        <w:rPr>
          <w:rFonts w:ascii="Times New Roman" w:eastAsia="Times New Roman" w:hAnsi="Times New Roman"/>
          <w:color w:val="000000"/>
          <w:sz w:val="20"/>
          <w:szCs w:val="20"/>
          <w:lang w:bidi="ar-SA"/>
        </w:rPr>
        <w:t xml:space="preserve"> </w:t>
      </w:r>
      <w:r w:rsidR="0053019B"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Ve vztahu ke kontrolnímu rameni.</w:t>
      </w:r>
    </w:p>
    <w:p w14:paraId="05B4ED1F" w14:textId="77777777" w:rsidR="00ED4C2D" w:rsidRPr="00381DC2" w:rsidRDefault="00ED4C2D" w:rsidP="00ED4C2D">
      <w:pPr>
        <w:rPr>
          <w:rFonts w:ascii="Times New Roman" w:eastAsia="Times New Roman" w:hAnsi="Times New Roman"/>
          <w:color w:val="000000"/>
        </w:rPr>
      </w:pPr>
    </w:p>
    <w:p w14:paraId="08F9600F" w14:textId="77777777" w:rsidR="00ED4C2D" w:rsidRPr="00381DC2" w:rsidRDefault="00ED4C2D" w:rsidP="00ED4C2D">
      <w:pPr>
        <w:widowControl/>
        <w:rPr>
          <w:rFonts w:ascii="Times New Roman" w:eastAsia="Times New Roman" w:hAnsi="Times New Roman"/>
          <w:i/>
          <w:color w:val="000000"/>
          <w:u w:val="single"/>
          <w:lang w:bidi="ar-SA"/>
        </w:rPr>
      </w:pPr>
      <w:r w:rsidRPr="00381DC2">
        <w:rPr>
          <w:rFonts w:ascii="Times New Roman" w:eastAsia="Times New Roman" w:hAnsi="Times New Roman"/>
          <w:bCs/>
          <w:i/>
          <w:color w:val="000000"/>
          <w:u w:val="single"/>
          <w:lang w:bidi="ar-SA"/>
        </w:rPr>
        <w:t>Rekurentní karcinom vaječníků</w:t>
      </w:r>
    </w:p>
    <w:p w14:paraId="61E6CFDA" w14:textId="77777777" w:rsidR="00ED4C2D" w:rsidRPr="00381DC2" w:rsidRDefault="00ED4C2D" w:rsidP="00ED4C2D">
      <w:pPr>
        <w:widowControl/>
        <w:rPr>
          <w:rFonts w:ascii="Times New Roman" w:eastAsia="Times New Roman" w:hAnsi="Times New Roman"/>
          <w:color w:val="000000"/>
          <w:lang w:bidi="ar-SA"/>
        </w:rPr>
      </w:pPr>
    </w:p>
    <w:p w14:paraId="6EC0C512"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Bezpečnost a účinnost bevacizumabu při léčbě rekurence epitelového nádoru vaječníků, vejcovodů nebo primárního nádoru pobřišnice byly studovány ve třech klinických studiích fáze III (AVF4095g, MO22224 a GOG-0213) u různých populací pacientek a s odlišnými režimy chemoterapie.</w:t>
      </w:r>
    </w:p>
    <w:p w14:paraId="74552C70" w14:textId="77777777" w:rsidR="00ED4C2D" w:rsidRPr="00381DC2" w:rsidRDefault="00ED4C2D" w:rsidP="00ED4C2D">
      <w:pPr>
        <w:widowControl/>
        <w:rPr>
          <w:rFonts w:ascii="Times New Roman" w:eastAsia="Times New Roman" w:hAnsi="Times New Roman"/>
          <w:color w:val="000000"/>
          <w:lang w:bidi="ar-SA"/>
        </w:rPr>
      </w:pPr>
    </w:p>
    <w:p w14:paraId="0296A9EB" w14:textId="77777777" w:rsidR="00ED4C2D" w:rsidRPr="00381DC2" w:rsidRDefault="00ED4C2D" w:rsidP="008378F9">
      <w:pPr>
        <w:widowControl/>
        <w:numPr>
          <w:ilvl w:val="0"/>
          <w:numId w:val="39"/>
        </w:numPr>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Studie AVF4095g hodnotila účinnost a bezpečnost bevacizumabu v kombinaci s karboplatinou a gemcitabinem s následnou monoterapií bevacizumabem u pacientek s rekurencí epitelového nádoru vaječníků, vejcovodů nebo primárního nádoru pobřišnice citlivého k platině. </w:t>
      </w:r>
    </w:p>
    <w:p w14:paraId="69015F21" w14:textId="77777777" w:rsidR="00ED4C2D" w:rsidRPr="00381DC2" w:rsidRDefault="00ED4C2D" w:rsidP="008378F9">
      <w:pPr>
        <w:widowControl/>
        <w:ind w:left="720"/>
        <w:rPr>
          <w:rFonts w:ascii="Times New Roman" w:eastAsia="Times New Roman" w:hAnsi="Times New Roman"/>
          <w:color w:val="000000"/>
          <w:lang w:bidi="ar-SA"/>
        </w:rPr>
      </w:pPr>
    </w:p>
    <w:p w14:paraId="74AB6F1F" w14:textId="77777777" w:rsidR="00ED4C2D" w:rsidRPr="00381DC2" w:rsidRDefault="00ED4C2D" w:rsidP="008378F9">
      <w:pPr>
        <w:widowControl/>
        <w:numPr>
          <w:ilvl w:val="0"/>
          <w:numId w:val="39"/>
        </w:numPr>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Studie GOG-0213 hodnotila účinnost a bezpečnost bevacizumabu v kombinaci s karboplatinou a paklitaxelem s následnou monoterapií bevacizumabem u pacientek s rekurencí epitelového nádoru vaječníků, vejcovodů nebo primárního nádoru pobřišnice citlivého k platině. </w:t>
      </w:r>
    </w:p>
    <w:p w14:paraId="6FD2EBF3" w14:textId="77777777" w:rsidR="00ED4C2D" w:rsidRPr="00381DC2" w:rsidRDefault="00ED4C2D" w:rsidP="008378F9">
      <w:pPr>
        <w:widowControl/>
        <w:ind w:left="720"/>
        <w:rPr>
          <w:rFonts w:ascii="Times New Roman" w:eastAsia="Times New Roman" w:hAnsi="Times New Roman"/>
          <w:color w:val="000000"/>
          <w:lang w:bidi="ar-SA"/>
        </w:rPr>
      </w:pPr>
    </w:p>
    <w:p w14:paraId="09B2B481" w14:textId="77777777" w:rsidR="00ED4C2D" w:rsidRPr="00381DC2" w:rsidRDefault="00ED4C2D" w:rsidP="008378F9">
      <w:pPr>
        <w:widowControl/>
        <w:numPr>
          <w:ilvl w:val="0"/>
          <w:numId w:val="39"/>
        </w:numPr>
        <w:rPr>
          <w:rFonts w:ascii="Times New Roman" w:eastAsia="Times New Roman" w:hAnsi="Times New Roman"/>
          <w:color w:val="000000"/>
          <w:lang w:bidi="ar-SA"/>
        </w:rPr>
      </w:pPr>
      <w:r w:rsidRPr="00381DC2">
        <w:rPr>
          <w:rFonts w:ascii="Times New Roman" w:eastAsia="Times New Roman" w:hAnsi="Times New Roman"/>
          <w:color w:val="000000"/>
          <w:lang w:bidi="ar-SA"/>
        </w:rPr>
        <w:lastRenderedPageBreak/>
        <w:t>Studie MO22224 hodnotila účinnost a bezpečnost bevacizumabu v kombinaci s paklitaxelem, topotekanem nebo pegylovaným liposomálním doxorubicinem u pacientek s rekurencí epitelového nádoru vaječníků, vejcovodů nebo primárního nádoru pobřišnice rezistentního k platině.</w:t>
      </w:r>
    </w:p>
    <w:p w14:paraId="27C369A5" w14:textId="77777777" w:rsidR="00ED4C2D" w:rsidRPr="00381DC2" w:rsidRDefault="00ED4C2D" w:rsidP="00ED4C2D">
      <w:pPr>
        <w:widowControl/>
        <w:rPr>
          <w:rFonts w:ascii="Times New Roman" w:eastAsia="Times New Roman" w:hAnsi="Times New Roman"/>
          <w:i/>
          <w:iCs/>
          <w:color w:val="000000"/>
          <w:lang w:bidi="ar-SA"/>
        </w:rPr>
      </w:pPr>
    </w:p>
    <w:p w14:paraId="0EB89BF0"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i/>
          <w:iCs/>
          <w:color w:val="000000"/>
          <w:lang w:bidi="ar-SA"/>
        </w:rPr>
        <w:t>AVF4095g</w:t>
      </w:r>
    </w:p>
    <w:p w14:paraId="5B42F41E"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V randomizované, dvojitě zaslepené, placebem kontrolované studii fáze III (AVF4095g) byla hodnocena bezpečnost a účinnost bevacizumabu v léčbě pacientek s rekurentním epitelovým nádorem vaječníků, vejcovodů nebo primárním nádorem pobřišnice citlivým k platině, které dosud nebyly léčeny chemoterapií pro rekurentní onemocnění nebo bevacizumabem. Studie porovnávala účinek přidání bevacizumabu ke karboplatině a gemcitabinu a následného podávání bavacizumabu samotného až do progrese oproti samotné chemoterapii karboplatina a gemcitabin.</w:t>
      </w:r>
    </w:p>
    <w:p w14:paraId="329C0A00" w14:textId="77777777" w:rsidR="00ED4C2D" w:rsidRPr="00381DC2" w:rsidRDefault="00ED4C2D" w:rsidP="00ED4C2D">
      <w:pPr>
        <w:widowControl/>
        <w:rPr>
          <w:rFonts w:ascii="Times New Roman" w:eastAsia="Times New Roman" w:hAnsi="Times New Roman"/>
          <w:color w:val="000000"/>
          <w:lang w:bidi="ar-SA"/>
        </w:rPr>
      </w:pPr>
    </w:p>
    <w:p w14:paraId="27387971"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Do studie byly zařazeny pouze pacientky s histologicky potvrzeným rekurentním epitelovým nádorem vaječníků, vejcovodů nebo primárním nádorem pobřišnice, pokud došlo k rekurenci v odstupu &gt; 6 měsíců po léčbě režimem chemoterapie s platinou, a které dosud nebyly léčeny chemoterapií pro rekurenci a nebyly dosud léčeny bevacizumabem nebo jiným inhibitorem růstového faktoru cévního endotelu (VEGF) nebo receptoru VEGF.</w:t>
      </w:r>
    </w:p>
    <w:p w14:paraId="3C97BCEB" w14:textId="77777777" w:rsidR="00ED4C2D" w:rsidRPr="00381DC2" w:rsidRDefault="00ED4C2D" w:rsidP="00ED4C2D">
      <w:pPr>
        <w:widowControl/>
        <w:rPr>
          <w:rFonts w:ascii="Times New Roman" w:eastAsia="Times New Roman" w:hAnsi="Times New Roman"/>
          <w:color w:val="000000"/>
          <w:lang w:bidi="ar-SA"/>
        </w:rPr>
      </w:pPr>
    </w:p>
    <w:p w14:paraId="2437472F"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Celkem 484 pacientek s měřitelným onemocněním bylo randomizováno v poměru 1:1 do jednoho z ramen:</w:t>
      </w:r>
    </w:p>
    <w:p w14:paraId="77B2984F" w14:textId="77777777" w:rsidR="00ED4C2D" w:rsidRPr="00381DC2" w:rsidRDefault="00ED4C2D" w:rsidP="00BE7168">
      <w:pPr>
        <w:widowControl/>
        <w:numPr>
          <w:ilvl w:val="0"/>
          <w:numId w:val="40"/>
        </w:numPr>
        <w:rPr>
          <w:rFonts w:ascii="Times New Roman" w:eastAsia="Times New Roman" w:hAnsi="Times New Roman"/>
          <w:color w:val="000000"/>
          <w:lang w:bidi="ar-SA"/>
        </w:rPr>
      </w:pPr>
      <w:r w:rsidRPr="00381DC2">
        <w:rPr>
          <w:rFonts w:ascii="Times New Roman" w:eastAsia="Times New Roman" w:hAnsi="Times New Roman"/>
          <w:color w:val="000000"/>
          <w:lang w:bidi="ar-SA"/>
        </w:rPr>
        <w:t>Karboplatina (AUC 4, den 1) a gemcitabin (1000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xml:space="preserve">, den 1 a 8) a souběžně placebo každé 3 týdny 6 nebo až 10 cyklů a následně placebo (každé 3 týdny) samotné do progrese nemoci nebo nepřijatelné toxicity </w:t>
      </w:r>
    </w:p>
    <w:p w14:paraId="1989FE6C" w14:textId="77777777" w:rsidR="00ED4C2D" w:rsidRPr="00381DC2" w:rsidRDefault="00ED4C2D" w:rsidP="00BE7168">
      <w:pPr>
        <w:widowControl/>
        <w:numPr>
          <w:ilvl w:val="0"/>
          <w:numId w:val="40"/>
        </w:numPr>
        <w:rPr>
          <w:rFonts w:ascii="Times New Roman" w:eastAsia="Times New Roman" w:hAnsi="Times New Roman"/>
          <w:color w:val="000000"/>
          <w:lang w:bidi="ar-SA"/>
        </w:rPr>
      </w:pPr>
      <w:r w:rsidRPr="00381DC2">
        <w:rPr>
          <w:rFonts w:ascii="Times New Roman" w:eastAsia="Times New Roman" w:hAnsi="Times New Roman"/>
          <w:color w:val="000000"/>
          <w:lang w:bidi="ar-SA"/>
        </w:rPr>
        <w:t>Karboplatina (AUC 4, den 1) a gemcitabin (1000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den 1 a 8) a souběžně bevacizumab (15 mg/kg, den 1) každé 3 týdny 6 nebo až 10 cyklů a následně bevacizumab (15 mg/kg každé 3 týdny) samotný do progrese nemoci nebo nepřijatelné toxicity</w:t>
      </w:r>
    </w:p>
    <w:p w14:paraId="5DF2221D" w14:textId="77777777" w:rsidR="00ED4C2D" w:rsidRPr="00381DC2" w:rsidRDefault="00ED4C2D" w:rsidP="00ED4C2D">
      <w:pPr>
        <w:widowControl/>
        <w:rPr>
          <w:rFonts w:ascii="Times New Roman" w:eastAsia="Times New Roman" w:hAnsi="Times New Roman"/>
          <w:color w:val="000000"/>
          <w:lang w:bidi="ar-SA"/>
        </w:rPr>
      </w:pPr>
    </w:p>
    <w:p w14:paraId="2D13AB2C"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Primárním cílovým parametrem účinnosti bylo zhodnocení přežití bez progrese stanovené řešiteli za použití modifikovaného RECIST 1.0. Další parametry zahrnovaly objektivní odpověď, trvání odpovědi, celkové přežití a bezpečnost. Bylo provedeno rovněž nezávislé hodnocení primárního parametru.</w:t>
      </w:r>
    </w:p>
    <w:p w14:paraId="669A7B64" w14:textId="77777777" w:rsidR="00ED4C2D" w:rsidRPr="00381DC2" w:rsidRDefault="00ED4C2D" w:rsidP="00ED4C2D">
      <w:pPr>
        <w:widowControl/>
        <w:rPr>
          <w:rFonts w:ascii="Times New Roman" w:eastAsia="Times New Roman" w:hAnsi="Times New Roman"/>
          <w:color w:val="000000"/>
          <w:lang w:bidi="ar-SA"/>
        </w:rPr>
      </w:pPr>
    </w:p>
    <w:p w14:paraId="4F7CA550"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Výsledky této studie jsou shrnuty v Tabulce </w:t>
      </w:r>
      <w:r w:rsidR="0053019B" w:rsidRPr="00381DC2">
        <w:rPr>
          <w:rFonts w:ascii="Times New Roman" w:eastAsia="Times New Roman" w:hAnsi="Times New Roman"/>
          <w:color w:val="000000"/>
          <w:lang w:bidi="ar-SA"/>
        </w:rPr>
        <w:t>20</w:t>
      </w:r>
      <w:r w:rsidRPr="00381DC2">
        <w:rPr>
          <w:rFonts w:ascii="Times New Roman" w:eastAsia="Times New Roman" w:hAnsi="Times New Roman"/>
          <w:color w:val="000000"/>
          <w:lang w:bidi="ar-SA"/>
        </w:rPr>
        <w:t xml:space="preserve">. </w:t>
      </w:r>
    </w:p>
    <w:p w14:paraId="7BDEBCCF" w14:textId="77777777" w:rsidR="00ED4C2D" w:rsidRPr="00381DC2" w:rsidRDefault="00ED4C2D" w:rsidP="00ED4C2D">
      <w:pPr>
        <w:widowControl/>
        <w:rPr>
          <w:rFonts w:ascii="Times New Roman" w:eastAsia="Times New Roman" w:hAnsi="Times New Roman"/>
          <w:color w:val="000000"/>
          <w:lang w:bidi="ar-SA"/>
        </w:rPr>
      </w:pPr>
    </w:p>
    <w:p w14:paraId="2AFE4DBB" w14:textId="77777777" w:rsidR="00ED4C2D" w:rsidRPr="00381DC2" w:rsidRDefault="00ED4C2D" w:rsidP="00FF564D">
      <w:pPr>
        <w:keepNext/>
        <w:keepLines/>
        <w:widowControl/>
        <w:rPr>
          <w:rFonts w:ascii="Times New Roman" w:eastAsia="Times New Roman" w:hAnsi="Times New Roman"/>
          <w:b/>
          <w:color w:val="000000"/>
          <w:lang w:bidi="ar-SA"/>
        </w:rPr>
      </w:pPr>
      <w:r w:rsidRPr="00381DC2">
        <w:rPr>
          <w:rFonts w:ascii="Times New Roman" w:eastAsia="Times New Roman" w:hAnsi="Times New Roman"/>
          <w:b/>
          <w:color w:val="000000"/>
          <w:lang w:bidi="ar-SA"/>
        </w:rPr>
        <w:lastRenderedPageBreak/>
        <w:t xml:space="preserve">Tabulka </w:t>
      </w:r>
      <w:r w:rsidR="0053019B" w:rsidRPr="00381DC2">
        <w:rPr>
          <w:rFonts w:ascii="Times New Roman" w:eastAsia="Times New Roman" w:hAnsi="Times New Roman"/>
          <w:b/>
          <w:color w:val="000000"/>
          <w:lang w:bidi="ar-SA"/>
        </w:rPr>
        <w:t>20</w:t>
      </w:r>
      <w:r w:rsidR="005D48D1" w:rsidRPr="00381DC2">
        <w:rPr>
          <w:rFonts w:ascii="Times New Roman" w:eastAsia="Times New Roman" w:hAnsi="Times New Roman"/>
          <w:b/>
          <w:color w:val="000000"/>
          <w:lang w:bidi="ar-SA"/>
        </w:rPr>
        <w:tab/>
      </w:r>
      <w:r w:rsidRPr="00381DC2">
        <w:rPr>
          <w:rFonts w:ascii="Times New Roman" w:eastAsia="Times New Roman" w:hAnsi="Times New Roman"/>
          <w:b/>
          <w:color w:val="000000"/>
          <w:lang w:bidi="ar-SA"/>
        </w:rPr>
        <w:t>Výsledky účinnosti ve studii AVF4095</w:t>
      </w:r>
    </w:p>
    <w:p w14:paraId="78F8D493" w14:textId="77777777" w:rsidR="00ED4C2D" w:rsidRPr="00381DC2" w:rsidRDefault="00ED4C2D" w:rsidP="00FF564D">
      <w:pPr>
        <w:keepNext/>
        <w:keepLines/>
        <w:widowControl/>
        <w:rPr>
          <w:rFonts w:ascii="Times New Roman" w:eastAsia="Times New Roman" w:hAnsi="Times New Roman"/>
          <w:color w:val="000000"/>
          <w:lang w:bidi="ar-SA"/>
        </w:rPr>
      </w:pPr>
    </w:p>
    <w:tbl>
      <w:tblPr>
        <w:tblW w:w="9386" w:type="dxa"/>
        <w:tblInd w:w="6" w:type="dxa"/>
        <w:tblLayout w:type="fixed"/>
        <w:tblCellMar>
          <w:left w:w="0" w:type="dxa"/>
          <w:right w:w="0" w:type="dxa"/>
        </w:tblCellMar>
        <w:tblLook w:val="01E0" w:firstRow="1" w:lastRow="1" w:firstColumn="1" w:lastColumn="1" w:noHBand="0" w:noVBand="0"/>
      </w:tblPr>
      <w:tblGrid>
        <w:gridCol w:w="2433"/>
        <w:gridCol w:w="1685"/>
        <w:gridCol w:w="1873"/>
        <w:gridCol w:w="11"/>
        <w:gridCol w:w="360"/>
        <w:gridCol w:w="1198"/>
        <w:gridCol w:w="69"/>
        <w:gridCol w:w="1757"/>
      </w:tblGrid>
      <w:tr w:rsidR="00ED4C2D" w:rsidRPr="00F60460" w14:paraId="0393C49D" w14:textId="77777777" w:rsidTr="006A2145">
        <w:tc>
          <w:tcPr>
            <w:tcW w:w="9386" w:type="dxa"/>
            <w:gridSpan w:val="8"/>
            <w:tcBorders>
              <w:top w:val="single" w:sz="5" w:space="0" w:color="000000"/>
              <w:left w:val="single" w:sz="5" w:space="0" w:color="000000"/>
              <w:bottom w:val="single" w:sz="5" w:space="0" w:color="000000"/>
              <w:right w:val="single" w:sz="5" w:space="0" w:color="000000"/>
            </w:tcBorders>
          </w:tcPr>
          <w:p w14:paraId="7CFFFCD7" w14:textId="77777777" w:rsidR="00ED4C2D" w:rsidRPr="00E27EB6" w:rsidRDefault="00ED4C2D" w:rsidP="00FF564D">
            <w:pPr>
              <w:pStyle w:val="TableParagraph"/>
              <w:keepNext/>
              <w:keepLines/>
              <w:spacing w:line="246" w:lineRule="exact"/>
              <w:ind w:left="102"/>
              <w:rPr>
                <w:rFonts w:ascii="Times New Roman" w:eastAsia="Times New Roman" w:hAnsi="Times New Roman"/>
                <w:color w:val="000000"/>
              </w:rPr>
            </w:pPr>
            <w:r w:rsidRPr="00B8634B">
              <w:rPr>
                <w:rFonts w:ascii="Times New Roman" w:hAnsi="Times New Roman"/>
                <w:color w:val="000000"/>
                <w:spacing w:val="-1"/>
              </w:rPr>
              <w:t>Doba přežití bez progrese</w:t>
            </w:r>
          </w:p>
        </w:tc>
      </w:tr>
      <w:tr w:rsidR="00ED4C2D" w:rsidRPr="00F60460" w14:paraId="372309F3"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56EA5BED" w14:textId="77777777" w:rsidR="00ED4C2D" w:rsidRPr="00381DC2" w:rsidRDefault="00ED4C2D" w:rsidP="00FF564D">
            <w:pPr>
              <w:keepNext/>
              <w:keepLines/>
              <w:rPr>
                <w:rFonts w:ascii="Times New Roman" w:hAnsi="Times New Roman"/>
                <w:color w:val="000000"/>
              </w:rPr>
            </w:pPr>
          </w:p>
        </w:tc>
        <w:tc>
          <w:tcPr>
            <w:tcW w:w="3569" w:type="dxa"/>
            <w:gridSpan w:val="3"/>
            <w:tcBorders>
              <w:top w:val="single" w:sz="5" w:space="0" w:color="000000"/>
              <w:left w:val="single" w:sz="5" w:space="0" w:color="000000"/>
              <w:bottom w:val="single" w:sz="5" w:space="0" w:color="000000"/>
              <w:right w:val="single" w:sz="5" w:space="0" w:color="000000"/>
            </w:tcBorders>
          </w:tcPr>
          <w:p w14:paraId="77D58955" w14:textId="77777777" w:rsidR="00ED4C2D" w:rsidRPr="00381DC2" w:rsidRDefault="00ED4C2D" w:rsidP="00FF564D">
            <w:pPr>
              <w:pStyle w:val="TableParagraph"/>
              <w:keepNext/>
              <w:keepLines/>
              <w:spacing w:line="246" w:lineRule="exact"/>
              <w:ind w:left="704"/>
              <w:rPr>
                <w:rFonts w:ascii="Times New Roman" w:eastAsia="Times New Roman" w:hAnsi="Times New Roman"/>
                <w:color w:val="000000"/>
              </w:rPr>
            </w:pPr>
            <w:r w:rsidRPr="00381DC2">
              <w:rPr>
                <w:rFonts w:ascii="Times New Roman" w:hAnsi="Times New Roman"/>
                <w:color w:val="000000"/>
                <w:spacing w:val="-1"/>
              </w:rPr>
              <w:t>Hodnocení řešiteli</w:t>
            </w:r>
          </w:p>
        </w:tc>
        <w:tc>
          <w:tcPr>
            <w:tcW w:w="3384" w:type="dxa"/>
            <w:gridSpan w:val="4"/>
            <w:tcBorders>
              <w:top w:val="single" w:sz="5" w:space="0" w:color="000000"/>
              <w:left w:val="single" w:sz="5" w:space="0" w:color="000000"/>
              <w:bottom w:val="single" w:sz="5" w:space="0" w:color="000000"/>
              <w:right w:val="single" w:sz="5" w:space="0" w:color="000000"/>
            </w:tcBorders>
          </w:tcPr>
          <w:p w14:paraId="560273D8" w14:textId="77777777" w:rsidR="00ED4C2D" w:rsidRPr="00381DC2" w:rsidRDefault="00ED4C2D" w:rsidP="00FF564D">
            <w:pPr>
              <w:pStyle w:val="TableParagraph"/>
              <w:keepNext/>
              <w:keepLines/>
              <w:spacing w:line="246" w:lineRule="exact"/>
              <w:ind w:left="954"/>
              <w:rPr>
                <w:rFonts w:ascii="Times New Roman" w:eastAsia="Times New Roman" w:hAnsi="Times New Roman"/>
                <w:color w:val="000000"/>
              </w:rPr>
            </w:pPr>
            <w:r w:rsidRPr="00381DC2">
              <w:rPr>
                <w:rFonts w:ascii="Times New Roman" w:hAnsi="Times New Roman"/>
                <w:color w:val="000000"/>
                <w:spacing w:val="-1"/>
                <w:u w:val="single" w:color="000000"/>
              </w:rPr>
              <w:t>Nezávislé hodnocení</w:t>
            </w:r>
          </w:p>
        </w:tc>
      </w:tr>
      <w:tr w:rsidR="00ED4C2D" w:rsidRPr="00F60460" w14:paraId="5B3BBCE4"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56417901" w14:textId="77777777" w:rsidR="00ED4C2D" w:rsidRPr="00381DC2" w:rsidRDefault="00ED4C2D" w:rsidP="00FF564D">
            <w:pPr>
              <w:keepNext/>
              <w:keepLines/>
              <w:rPr>
                <w:rFonts w:ascii="Times New Roman" w:hAnsi="Times New Roman"/>
                <w:color w:val="000000"/>
              </w:rPr>
            </w:pPr>
          </w:p>
        </w:tc>
        <w:tc>
          <w:tcPr>
            <w:tcW w:w="1685" w:type="dxa"/>
            <w:tcBorders>
              <w:top w:val="single" w:sz="5" w:space="0" w:color="000000"/>
              <w:left w:val="single" w:sz="5" w:space="0" w:color="000000"/>
              <w:bottom w:val="single" w:sz="5" w:space="0" w:color="000000"/>
              <w:right w:val="single" w:sz="5" w:space="0" w:color="000000"/>
            </w:tcBorders>
          </w:tcPr>
          <w:p w14:paraId="28CC1161" w14:textId="4EDE3B61" w:rsidR="00ED4C2D" w:rsidRPr="00381DC2" w:rsidRDefault="00ED4C2D" w:rsidP="00FF564D">
            <w:pPr>
              <w:pStyle w:val="TableParagraph"/>
              <w:keepNext/>
              <w:keepLines/>
              <w:spacing w:line="241" w:lineRule="auto"/>
              <w:ind w:left="124" w:right="214"/>
              <w:rPr>
                <w:rFonts w:ascii="Times New Roman" w:eastAsia="Times New Roman" w:hAnsi="Times New Roman"/>
                <w:color w:val="000000"/>
              </w:rPr>
            </w:pPr>
            <w:r w:rsidRPr="00381DC2">
              <w:rPr>
                <w:rFonts w:ascii="Times New Roman" w:hAnsi="Times New Roman"/>
                <w:color w:val="000000"/>
                <w:spacing w:val="-1"/>
              </w:rPr>
              <w:t>Placebo +</w:t>
            </w:r>
            <w:r w:rsidRPr="00381DC2">
              <w:rPr>
                <w:rFonts w:ascii="Times New Roman" w:hAnsi="Times New Roman"/>
                <w:color w:val="000000"/>
              </w:rPr>
              <w:t xml:space="preserve"> </w:t>
            </w:r>
            <w:r w:rsidRPr="00381DC2">
              <w:rPr>
                <w:rFonts w:ascii="Times New Roman" w:hAnsi="Times New Roman"/>
                <w:color w:val="000000"/>
                <w:spacing w:val="-1"/>
              </w:rPr>
              <w:t>karboplatina/gemcitabin (n</w:t>
            </w:r>
            <w:r w:rsidR="00C34ACD">
              <w:rPr>
                <w:rFonts w:ascii="Times New Roman" w:hAnsi="Times New Roman"/>
                <w:color w:val="000000"/>
                <w:spacing w:val="-1"/>
              </w:rPr>
              <w:t xml:space="preserve"> </w:t>
            </w:r>
            <w:r w:rsidRPr="00381DC2">
              <w:rPr>
                <w:rFonts w:ascii="Times New Roman" w:hAnsi="Times New Roman"/>
                <w:color w:val="000000"/>
                <w:spacing w:val="-1"/>
              </w:rPr>
              <w:t>=</w:t>
            </w:r>
            <w:r w:rsidR="00C34ACD">
              <w:rPr>
                <w:rFonts w:ascii="Times New Roman" w:hAnsi="Times New Roman"/>
                <w:color w:val="000000"/>
                <w:spacing w:val="-1"/>
              </w:rPr>
              <w:t xml:space="preserve"> </w:t>
            </w:r>
            <w:r w:rsidRPr="00381DC2">
              <w:rPr>
                <w:rFonts w:ascii="Times New Roman" w:hAnsi="Times New Roman"/>
                <w:color w:val="000000"/>
                <w:spacing w:val="-1"/>
              </w:rPr>
              <w:t>242)</w:t>
            </w:r>
          </w:p>
        </w:tc>
        <w:tc>
          <w:tcPr>
            <w:tcW w:w="1884" w:type="dxa"/>
            <w:gridSpan w:val="2"/>
            <w:tcBorders>
              <w:top w:val="single" w:sz="5" w:space="0" w:color="000000"/>
              <w:left w:val="single" w:sz="5" w:space="0" w:color="000000"/>
              <w:bottom w:val="single" w:sz="5" w:space="0" w:color="000000"/>
              <w:right w:val="single" w:sz="5" w:space="0" w:color="000000"/>
            </w:tcBorders>
          </w:tcPr>
          <w:p w14:paraId="37C36CF0" w14:textId="7B271A7C" w:rsidR="00ED4C2D" w:rsidRPr="00381DC2" w:rsidRDefault="00ED4C2D" w:rsidP="00FF564D">
            <w:pPr>
              <w:pStyle w:val="TableParagraph"/>
              <w:keepNext/>
              <w:keepLines/>
              <w:spacing w:before="19"/>
              <w:ind w:left="134" w:right="289"/>
              <w:rPr>
                <w:rFonts w:ascii="Times New Roman" w:eastAsia="Times New Roman" w:hAnsi="Times New Roman"/>
                <w:color w:val="000000"/>
              </w:rPr>
            </w:pPr>
            <w:r w:rsidRPr="00381DC2">
              <w:rPr>
                <w:rFonts w:ascii="Times New Roman" w:hAnsi="Times New Roman"/>
                <w:color w:val="000000"/>
                <w:spacing w:val="-1"/>
              </w:rPr>
              <w:t xml:space="preserve">Bevacizumab </w:t>
            </w:r>
            <w:r w:rsidRPr="00381DC2">
              <w:rPr>
                <w:rFonts w:ascii="Times New Roman" w:hAnsi="Times New Roman"/>
                <w:color w:val="000000"/>
              </w:rPr>
              <w:t xml:space="preserve">+ </w:t>
            </w:r>
            <w:r w:rsidRPr="00381DC2">
              <w:rPr>
                <w:rFonts w:ascii="Times New Roman" w:hAnsi="Times New Roman"/>
                <w:color w:val="000000"/>
                <w:spacing w:val="-1"/>
              </w:rPr>
              <w:t>karboplatina/gemcitabin (n</w:t>
            </w:r>
            <w:r w:rsidR="00C34ACD">
              <w:rPr>
                <w:rFonts w:ascii="Times New Roman" w:hAnsi="Times New Roman"/>
                <w:color w:val="000000"/>
                <w:spacing w:val="-1"/>
              </w:rPr>
              <w:t xml:space="preserve"> </w:t>
            </w:r>
            <w:r w:rsidRPr="00381DC2">
              <w:rPr>
                <w:rFonts w:ascii="Times New Roman" w:hAnsi="Times New Roman"/>
                <w:color w:val="000000"/>
                <w:spacing w:val="-1"/>
              </w:rPr>
              <w:t>=</w:t>
            </w:r>
            <w:r w:rsidR="00C34ACD">
              <w:rPr>
                <w:rFonts w:ascii="Times New Roman" w:hAnsi="Times New Roman"/>
                <w:color w:val="000000"/>
                <w:spacing w:val="-1"/>
              </w:rPr>
              <w:t xml:space="preserve"> </w:t>
            </w:r>
            <w:r w:rsidRPr="00381DC2">
              <w:rPr>
                <w:rFonts w:ascii="Times New Roman" w:hAnsi="Times New Roman"/>
                <w:color w:val="000000"/>
                <w:spacing w:val="-1"/>
              </w:rPr>
              <w:t>242)</w:t>
            </w:r>
          </w:p>
        </w:tc>
        <w:tc>
          <w:tcPr>
            <w:tcW w:w="1558" w:type="dxa"/>
            <w:gridSpan w:val="2"/>
            <w:tcBorders>
              <w:top w:val="single" w:sz="5" w:space="0" w:color="000000"/>
              <w:left w:val="single" w:sz="5" w:space="0" w:color="000000"/>
              <w:bottom w:val="single" w:sz="5" w:space="0" w:color="000000"/>
              <w:right w:val="single" w:sz="5" w:space="0" w:color="000000"/>
            </w:tcBorders>
          </w:tcPr>
          <w:p w14:paraId="5F36FD97" w14:textId="002B7790" w:rsidR="00ED4C2D" w:rsidRPr="00381DC2" w:rsidRDefault="00ED4C2D" w:rsidP="00FF564D">
            <w:pPr>
              <w:pStyle w:val="TableParagraph"/>
              <w:keepNext/>
              <w:keepLines/>
              <w:spacing w:line="241" w:lineRule="auto"/>
              <w:ind w:left="102" w:right="149"/>
              <w:rPr>
                <w:rFonts w:ascii="Times New Roman" w:eastAsia="Times New Roman" w:hAnsi="Times New Roman"/>
                <w:color w:val="000000"/>
              </w:rPr>
            </w:pPr>
            <w:r w:rsidRPr="00381DC2">
              <w:rPr>
                <w:rFonts w:ascii="Times New Roman" w:hAnsi="Times New Roman"/>
                <w:color w:val="000000"/>
                <w:spacing w:val="-1"/>
              </w:rPr>
              <w:t>Placebo +</w:t>
            </w:r>
            <w:r w:rsidRPr="00381DC2">
              <w:rPr>
                <w:rFonts w:ascii="Times New Roman" w:hAnsi="Times New Roman"/>
                <w:color w:val="000000"/>
              </w:rPr>
              <w:t xml:space="preserve"> </w:t>
            </w:r>
            <w:r w:rsidRPr="00381DC2">
              <w:rPr>
                <w:rFonts w:ascii="Times New Roman" w:hAnsi="Times New Roman"/>
                <w:color w:val="000000"/>
                <w:spacing w:val="-1"/>
              </w:rPr>
              <w:t>karboplatina/gemcitabin (n</w:t>
            </w:r>
            <w:r w:rsidR="00C34ACD">
              <w:rPr>
                <w:rFonts w:ascii="Times New Roman" w:hAnsi="Times New Roman"/>
                <w:color w:val="000000"/>
                <w:spacing w:val="-1"/>
              </w:rPr>
              <w:t xml:space="preserve"> </w:t>
            </w:r>
            <w:r w:rsidRPr="00381DC2">
              <w:rPr>
                <w:rFonts w:ascii="Times New Roman" w:hAnsi="Times New Roman"/>
                <w:color w:val="000000"/>
                <w:spacing w:val="-1"/>
              </w:rPr>
              <w:t>=</w:t>
            </w:r>
            <w:r w:rsidR="00C34ACD">
              <w:rPr>
                <w:rFonts w:ascii="Times New Roman" w:hAnsi="Times New Roman"/>
                <w:color w:val="000000"/>
                <w:spacing w:val="-1"/>
              </w:rPr>
              <w:t xml:space="preserve"> </w:t>
            </w:r>
            <w:r w:rsidRPr="00381DC2">
              <w:rPr>
                <w:rFonts w:ascii="Times New Roman" w:hAnsi="Times New Roman"/>
                <w:color w:val="000000"/>
                <w:spacing w:val="-1"/>
              </w:rPr>
              <w:t>242)</w:t>
            </w:r>
          </w:p>
        </w:tc>
        <w:tc>
          <w:tcPr>
            <w:tcW w:w="1826" w:type="dxa"/>
            <w:gridSpan w:val="2"/>
            <w:tcBorders>
              <w:top w:val="single" w:sz="5" w:space="0" w:color="000000"/>
              <w:left w:val="single" w:sz="5" w:space="0" w:color="000000"/>
              <w:bottom w:val="single" w:sz="5" w:space="0" w:color="000000"/>
              <w:right w:val="single" w:sz="5" w:space="0" w:color="000000"/>
            </w:tcBorders>
          </w:tcPr>
          <w:p w14:paraId="5BAB71DB" w14:textId="59C2DB4C" w:rsidR="00ED4C2D" w:rsidRPr="00381DC2" w:rsidRDefault="00ED4C2D" w:rsidP="00FF564D">
            <w:pPr>
              <w:pStyle w:val="TableParagraph"/>
              <w:keepNext/>
              <w:keepLines/>
              <w:spacing w:before="19"/>
              <w:ind w:left="229" w:right="258"/>
              <w:rPr>
                <w:rFonts w:ascii="Times New Roman" w:eastAsia="Times New Roman" w:hAnsi="Times New Roman"/>
                <w:color w:val="000000"/>
              </w:rPr>
            </w:pPr>
            <w:r w:rsidRPr="00381DC2">
              <w:rPr>
                <w:rFonts w:ascii="Times New Roman" w:hAnsi="Times New Roman"/>
                <w:color w:val="000000"/>
                <w:spacing w:val="-1"/>
              </w:rPr>
              <w:t xml:space="preserve">Bevacizumab </w:t>
            </w:r>
            <w:r w:rsidRPr="00381DC2">
              <w:rPr>
                <w:rFonts w:ascii="Times New Roman" w:hAnsi="Times New Roman"/>
                <w:color w:val="000000"/>
              </w:rPr>
              <w:t xml:space="preserve">+ </w:t>
            </w:r>
            <w:r w:rsidRPr="00381DC2">
              <w:rPr>
                <w:rFonts w:ascii="Times New Roman" w:hAnsi="Times New Roman"/>
                <w:color w:val="000000"/>
                <w:spacing w:val="-1"/>
              </w:rPr>
              <w:t>karboplatina/gemcitabin (n</w:t>
            </w:r>
            <w:r w:rsidR="00C34ACD">
              <w:rPr>
                <w:rFonts w:ascii="Times New Roman" w:hAnsi="Times New Roman"/>
                <w:color w:val="000000"/>
                <w:spacing w:val="-1"/>
              </w:rPr>
              <w:t xml:space="preserve"> </w:t>
            </w:r>
            <w:r w:rsidRPr="00381DC2">
              <w:rPr>
                <w:rFonts w:ascii="Times New Roman" w:hAnsi="Times New Roman"/>
                <w:color w:val="000000"/>
                <w:spacing w:val="-1"/>
              </w:rPr>
              <w:t>=</w:t>
            </w:r>
            <w:r w:rsidR="00C34ACD">
              <w:rPr>
                <w:rFonts w:ascii="Times New Roman" w:hAnsi="Times New Roman"/>
                <w:color w:val="000000"/>
                <w:spacing w:val="-1"/>
              </w:rPr>
              <w:t xml:space="preserve"> </w:t>
            </w:r>
            <w:r w:rsidRPr="00381DC2">
              <w:rPr>
                <w:rFonts w:ascii="Times New Roman" w:hAnsi="Times New Roman"/>
                <w:color w:val="000000"/>
                <w:spacing w:val="-1"/>
              </w:rPr>
              <w:t>242)</w:t>
            </w:r>
          </w:p>
        </w:tc>
      </w:tr>
      <w:tr w:rsidR="00ED4C2D" w:rsidRPr="00F60460" w14:paraId="505C51C2"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1DCA6AF8" w14:textId="77777777" w:rsidR="00ED4C2D" w:rsidRPr="00381DC2" w:rsidRDefault="00ED4C2D" w:rsidP="00FF564D">
            <w:pPr>
              <w:pStyle w:val="TableParagraph"/>
              <w:keepNext/>
              <w:keepLines/>
              <w:spacing w:line="248" w:lineRule="exact"/>
              <w:ind w:left="102"/>
              <w:rPr>
                <w:rFonts w:ascii="Times New Roman" w:eastAsia="Times New Roman" w:hAnsi="Times New Roman"/>
                <w:color w:val="000000"/>
              </w:rPr>
            </w:pPr>
            <w:r w:rsidRPr="00381DC2">
              <w:rPr>
                <w:rFonts w:ascii="Times New Roman" w:hAnsi="Times New Roman"/>
                <w:i/>
                <w:color w:val="000000"/>
                <w:spacing w:val="-1"/>
              </w:rPr>
              <w:t>Bez</w:t>
            </w:r>
            <w:r w:rsidRPr="00381DC2">
              <w:rPr>
                <w:rFonts w:ascii="Times New Roman" w:hAnsi="Times New Roman"/>
                <w:i/>
                <w:color w:val="000000"/>
                <w:spacing w:val="1"/>
              </w:rPr>
              <w:t xml:space="preserve"> </w:t>
            </w:r>
            <w:r w:rsidRPr="00381DC2">
              <w:rPr>
                <w:rFonts w:ascii="Times New Roman" w:hAnsi="Times New Roman"/>
                <w:i/>
                <w:color w:val="000000"/>
                <w:spacing w:val="-1"/>
              </w:rPr>
              <w:t>cenzury při léčbě mimo protokol</w:t>
            </w:r>
          </w:p>
        </w:tc>
        <w:tc>
          <w:tcPr>
            <w:tcW w:w="6953" w:type="dxa"/>
            <w:gridSpan w:val="7"/>
            <w:tcBorders>
              <w:top w:val="single" w:sz="5" w:space="0" w:color="000000"/>
              <w:left w:val="single" w:sz="5" w:space="0" w:color="000000"/>
              <w:bottom w:val="single" w:sz="5" w:space="0" w:color="000000"/>
              <w:right w:val="single" w:sz="5" w:space="0" w:color="000000"/>
            </w:tcBorders>
          </w:tcPr>
          <w:p w14:paraId="79767465" w14:textId="77777777" w:rsidR="00ED4C2D" w:rsidRPr="00381DC2" w:rsidRDefault="00ED4C2D" w:rsidP="00FF564D">
            <w:pPr>
              <w:keepNext/>
              <w:keepLines/>
              <w:rPr>
                <w:rFonts w:ascii="Times New Roman" w:hAnsi="Times New Roman"/>
                <w:color w:val="000000"/>
              </w:rPr>
            </w:pPr>
          </w:p>
        </w:tc>
      </w:tr>
      <w:tr w:rsidR="00ED4C2D" w:rsidRPr="00F60460" w14:paraId="6E3F2446"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00B95E1D" w14:textId="77777777" w:rsidR="00ED4C2D" w:rsidRPr="00381DC2" w:rsidRDefault="00ED4C2D" w:rsidP="00FF564D">
            <w:pPr>
              <w:pStyle w:val="TableParagraph"/>
              <w:keepNext/>
              <w:keepLines/>
              <w:spacing w:line="246" w:lineRule="exact"/>
              <w:ind w:left="102"/>
              <w:rPr>
                <w:rFonts w:ascii="Times New Roman" w:eastAsia="Times New Roman" w:hAnsi="Times New Roman"/>
                <w:color w:val="000000"/>
              </w:rPr>
            </w:pPr>
            <w:r w:rsidRPr="00381DC2">
              <w:rPr>
                <w:rFonts w:ascii="Times New Roman" w:hAnsi="Times New Roman"/>
                <w:color w:val="000000"/>
                <w:spacing w:val="-1"/>
              </w:rPr>
              <w:t>Střední přežití bez progrese (měsíce)</w:t>
            </w:r>
          </w:p>
        </w:tc>
        <w:tc>
          <w:tcPr>
            <w:tcW w:w="1685" w:type="dxa"/>
            <w:tcBorders>
              <w:top w:val="single" w:sz="5" w:space="0" w:color="000000"/>
              <w:left w:val="single" w:sz="5" w:space="0" w:color="000000"/>
              <w:bottom w:val="single" w:sz="5" w:space="0" w:color="000000"/>
              <w:right w:val="single" w:sz="5" w:space="0" w:color="000000"/>
            </w:tcBorders>
          </w:tcPr>
          <w:p w14:paraId="625C41D2" w14:textId="77777777" w:rsidR="00ED4C2D" w:rsidRPr="00381DC2" w:rsidRDefault="00ED4C2D" w:rsidP="00FF564D">
            <w:pPr>
              <w:pStyle w:val="TableParagraph"/>
              <w:keepNext/>
              <w:keepLines/>
              <w:spacing w:line="246" w:lineRule="exact"/>
              <w:ind w:right="5"/>
              <w:jc w:val="center"/>
              <w:rPr>
                <w:rFonts w:ascii="Times New Roman" w:eastAsia="Times New Roman" w:hAnsi="Times New Roman"/>
                <w:color w:val="000000"/>
              </w:rPr>
            </w:pPr>
            <w:r w:rsidRPr="00381DC2">
              <w:rPr>
                <w:rFonts w:ascii="Times New Roman" w:hAnsi="Times New Roman"/>
                <w:color w:val="000000"/>
              </w:rPr>
              <w:t>8,4</w:t>
            </w:r>
          </w:p>
        </w:tc>
        <w:tc>
          <w:tcPr>
            <w:tcW w:w="1884" w:type="dxa"/>
            <w:gridSpan w:val="2"/>
            <w:tcBorders>
              <w:top w:val="single" w:sz="5" w:space="0" w:color="000000"/>
              <w:left w:val="single" w:sz="5" w:space="0" w:color="000000"/>
              <w:bottom w:val="single" w:sz="5" w:space="0" w:color="000000"/>
              <w:right w:val="single" w:sz="5" w:space="0" w:color="000000"/>
            </w:tcBorders>
          </w:tcPr>
          <w:p w14:paraId="0855F37B" w14:textId="77777777" w:rsidR="00ED4C2D" w:rsidRPr="00381DC2" w:rsidRDefault="00ED4C2D" w:rsidP="00FF564D">
            <w:pPr>
              <w:pStyle w:val="TableParagraph"/>
              <w:keepNext/>
              <w:keepLines/>
              <w:spacing w:line="246" w:lineRule="exact"/>
              <w:jc w:val="center"/>
              <w:rPr>
                <w:rFonts w:ascii="Times New Roman" w:eastAsia="Times New Roman" w:hAnsi="Times New Roman"/>
                <w:color w:val="000000"/>
              </w:rPr>
            </w:pPr>
            <w:r w:rsidRPr="00381DC2">
              <w:rPr>
                <w:rFonts w:ascii="Times New Roman" w:hAnsi="Times New Roman"/>
                <w:color w:val="000000"/>
              </w:rPr>
              <w:t>1,4</w:t>
            </w:r>
          </w:p>
        </w:tc>
        <w:tc>
          <w:tcPr>
            <w:tcW w:w="1558" w:type="dxa"/>
            <w:gridSpan w:val="2"/>
            <w:tcBorders>
              <w:top w:val="single" w:sz="5" w:space="0" w:color="000000"/>
              <w:left w:val="single" w:sz="5" w:space="0" w:color="000000"/>
              <w:bottom w:val="single" w:sz="5" w:space="0" w:color="000000"/>
              <w:right w:val="single" w:sz="5" w:space="0" w:color="000000"/>
            </w:tcBorders>
          </w:tcPr>
          <w:p w14:paraId="646A5A9F" w14:textId="77777777" w:rsidR="00ED4C2D" w:rsidRPr="00381DC2" w:rsidRDefault="00ED4C2D" w:rsidP="00FF564D">
            <w:pPr>
              <w:pStyle w:val="TableParagraph"/>
              <w:keepNext/>
              <w:keepLines/>
              <w:spacing w:line="246" w:lineRule="exact"/>
              <w:ind w:right="2"/>
              <w:jc w:val="center"/>
              <w:rPr>
                <w:rFonts w:ascii="Times New Roman" w:eastAsia="Times New Roman" w:hAnsi="Times New Roman"/>
                <w:color w:val="000000"/>
              </w:rPr>
            </w:pPr>
            <w:r w:rsidRPr="00381DC2">
              <w:rPr>
                <w:rFonts w:ascii="Times New Roman" w:hAnsi="Times New Roman"/>
                <w:color w:val="000000"/>
              </w:rPr>
              <w:t>8,6</w:t>
            </w:r>
          </w:p>
        </w:tc>
        <w:tc>
          <w:tcPr>
            <w:tcW w:w="1826" w:type="dxa"/>
            <w:gridSpan w:val="2"/>
            <w:tcBorders>
              <w:top w:val="single" w:sz="5" w:space="0" w:color="000000"/>
              <w:left w:val="single" w:sz="5" w:space="0" w:color="000000"/>
              <w:bottom w:val="single" w:sz="5" w:space="0" w:color="000000"/>
              <w:right w:val="single" w:sz="5" w:space="0" w:color="000000"/>
            </w:tcBorders>
          </w:tcPr>
          <w:p w14:paraId="5F2374A7" w14:textId="77777777" w:rsidR="00ED4C2D" w:rsidRPr="00381DC2" w:rsidRDefault="00ED4C2D" w:rsidP="00FF564D">
            <w:pPr>
              <w:pStyle w:val="TableParagraph"/>
              <w:keepNext/>
              <w:keepLines/>
              <w:spacing w:line="246" w:lineRule="exact"/>
              <w:ind w:left="4"/>
              <w:jc w:val="center"/>
              <w:rPr>
                <w:rFonts w:ascii="Times New Roman" w:eastAsia="Times New Roman" w:hAnsi="Times New Roman"/>
                <w:color w:val="000000"/>
              </w:rPr>
            </w:pPr>
            <w:r w:rsidRPr="00381DC2">
              <w:rPr>
                <w:rFonts w:ascii="Times New Roman" w:hAnsi="Times New Roman"/>
                <w:color w:val="000000"/>
              </w:rPr>
              <w:t>12,3</w:t>
            </w:r>
          </w:p>
        </w:tc>
      </w:tr>
      <w:tr w:rsidR="00ED4C2D" w:rsidRPr="00F60460" w14:paraId="54C8D337"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075F8A11" w14:textId="77777777" w:rsidR="00ED4C2D" w:rsidRPr="00381DC2" w:rsidRDefault="00ED4C2D" w:rsidP="00FF564D">
            <w:pPr>
              <w:pStyle w:val="TableParagraph"/>
              <w:keepNext/>
              <w:keepLines/>
              <w:spacing w:line="239" w:lineRule="auto"/>
              <w:ind w:left="102" w:right="1122"/>
              <w:rPr>
                <w:rFonts w:ascii="Times New Roman" w:eastAsia="Times New Roman" w:hAnsi="Times New Roman"/>
                <w:color w:val="000000"/>
              </w:rPr>
            </w:pPr>
            <w:r w:rsidRPr="00381DC2">
              <w:rPr>
                <w:rFonts w:ascii="Times New Roman" w:hAnsi="Times New Roman"/>
                <w:color w:val="000000"/>
              </w:rPr>
              <w:t>Poměr rizik (95% interval spolehlivosti</w:t>
            </w:r>
          </w:p>
        </w:tc>
        <w:tc>
          <w:tcPr>
            <w:tcW w:w="3569" w:type="dxa"/>
            <w:gridSpan w:val="3"/>
            <w:tcBorders>
              <w:top w:val="single" w:sz="5" w:space="0" w:color="000000"/>
              <w:left w:val="single" w:sz="5" w:space="0" w:color="000000"/>
              <w:bottom w:val="single" w:sz="5" w:space="0" w:color="000000"/>
              <w:right w:val="single" w:sz="5" w:space="0" w:color="000000"/>
            </w:tcBorders>
          </w:tcPr>
          <w:p w14:paraId="774072BB" w14:textId="77777777" w:rsidR="00ED4C2D" w:rsidRPr="00381DC2" w:rsidRDefault="00ED4C2D" w:rsidP="00FF564D">
            <w:pPr>
              <w:pStyle w:val="TableParagraph"/>
              <w:keepNext/>
              <w:keepLines/>
              <w:spacing w:before="117"/>
              <w:ind w:left="877"/>
              <w:rPr>
                <w:rFonts w:ascii="Times New Roman" w:eastAsia="Times New Roman" w:hAnsi="Times New Roman"/>
                <w:color w:val="000000"/>
              </w:rPr>
            </w:pPr>
            <w:r w:rsidRPr="00381DC2">
              <w:rPr>
                <w:rFonts w:ascii="Times New Roman" w:hAnsi="Times New Roman"/>
                <w:color w:val="000000"/>
              </w:rPr>
              <w:t xml:space="preserve">0,524 </w:t>
            </w:r>
            <w:r w:rsidRPr="00381DC2">
              <w:rPr>
                <w:rFonts w:ascii="Times New Roman" w:hAnsi="Times New Roman"/>
                <w:color w:val="000000"/>
                <w:spacing w:val="-1"/>
              </w:rPr>
              <w:t>[0,425,</w:t>
            </w:r>
            <w:r w:rsidRPr="00381DC2">
              <w:rPr>
                <w:rFonts w:ascii="Times New Roman" w:hAnsi="Times New Roman"/>
                <w:color w:val="000000"/>
              </w:rPr>
              <w:t xml:space="preserve"> </w:t>
            </w:r>
            <w:r w:rsidRPr="00381DC2">
              <w:rPr>
                <w:rFonts w:ascii="Times New Roman" w:hAnsi="Times New Roman"/>
                <w:color w:val="000000"/>
                <w:spacing w:val="-1"/>
              </w:rPr>
              <w:t>0,645]</w:t>
            </w:r>
          </w:p>
        </w:tc>
        <w:tc>
          <w:tcPr>
            <w:tcW w:w="3384" w:type="dxa"/>
            <w:gridSpan w:val="4"/>
            <w:tcBorders>
              <w:top w:val="single" w:sz="5" w:space="0" w:color="000000"/>
              <w:left w:val="single" w:sz="5" w:space="0" w:color="000000"/>
              <w:bottom w:val="single" w:sz="5" w:space="0" w:color="000000"/>
              <w:right w:val="single" w:sz="5" w:space="0" w:color="000000"/>
            </w:tcBorders>
          </w:tcPr>
          <w:p w14:paraId="7E7E77DA" w14:textId="77777777" w:rsidR="00ED4C2D" w:rsidRPr="00381DC2" w:rsidRDefault="00ED4C2D" w:rsidP="00FF564D">
            <w:pPr>
              <w:pStyle w:val="TableParagraph"/>
              <w:keepNext/>
              <w:keepLines/>
              <w:spacing w:before="117"/>
              <w:ind w:left="786"/>
              <w:rPr>
                <w:rFonts w:ascii="Times New Roman" w:eastAsia="Times New Roman" w:hAnsi="Times New Roman"/>
                <w:color w:val="000000"/>
              </w:rPr>
            </w:pPr>
            <w:r w:rsidRPr="00381DC2">
              <w:rPr>
                <w:rFonts w:ascii="Times New Roman" w:hAnsi="Times New Roman"/>
                <w:color w:val="000000"/>
              </w:rPr>
              <w:t xml:space="preserve">0,480 </w:t>
            </w:r>
            <w:r w:rsidRPr="00381DC2">
              <w:rPr>
                <w:rFonts w:ascii="Times New Roman" w:hAnsi="Times New Roman"/>
                <w:color w:val="000000"/>
                <w:spacing w:val="-1"/>
              </w:rPr>
              <w:t>[0,377,</w:t>
            </w:r>
            <w:r w:rsidRPr="00381DC2">
              <w:rPr>
                <w:rFonts w:ascii="Times New Roman" w:hAnsi="Times New Roman"/>
                <w:color w:val="000000"/>
              </w:rPr>
              <w:t xml:space="preserve"> </w:t>
            </w:r>
            <w:r w:rsidRPr="00381DC2">
              <w:rPr>
                <w:rFonts w:ascii="Times New Roman" w:hAnsi="Times New Roman"/>
                <w:color w:val="000000"/>
                <w:spacing w:val="-1"/>
              </w:rPr>
              <w:t>0,613]</w:t>
            </w:r>
          </w:p>
        </w:tc>
      </w:tr>
      <w:tr w:rsidR="00ED4C2D" w:rsidRPr="00F60460" w14:paraId="1F4063B7"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375BC9E9" w14:textId="77777777" w:rsidR="00ED4C2D" w:rsidRPr="00381DC2" w:rsidRDefault="00ED4C2D" w:rsidP="00FF564D">
            <w:pPr>
              <w:pStyle w:val="TableParagraph"/>
              <w:keepNext/>
              <w:keepLines/>
              <w:spacing w:line="246" w:lineRule="exact"/>
              <w:ind w:left="102"/>
              <w:rPr>
                <w:rFonts w:ascii="Times New Roman" w:eastAsia="Times New Roman" w:hAnsi="Times New Roman"/>
                <w:color w:val="000000"/>
              </w:rPr>
            </w:pPr>
            <w:r w:rsidRPr="00381DC2">
              <w:rPr>
                <w:rFonts w:ascii="Times New Roman" w:eastAsia="Times New Roman" w:hAnsi="Times New Roman"/>
                <w:color w:val="000000"/>
              </w:rPr>
              <w:t>p-hodnota</w:t>
            </w:r>
          </w:p>
        </w:tc>
        <w:tc>
          <w:tcPr>
            <w:tcW w:w="3569" w:type="dxa"/>
            <w:gridSpan w:val="3"/>
            <w:tcBorders>
              <w:top w:val="single" w:sz="5" w:space="0" w:color="000000"/>
              <w:left w:val="single" w:sz="5" w:space="0" w:color="000000"/>
              <w:bottom w:val="single" w:sz="5" w:space="0" w:color="000000"/>
              <w:right w:val="single" w:sz="5" w:space="0" w:color="000000"/>
            </w:tcBorders>
          </w:tcPr>
          <w:p w14:paraId="575DBCD2" w14:textId="77777777" w:rsidR="00ED4C2D" w:rsidRPr="00381DC2" w:rsidRDefault="00ED4C2D" w:rsidP="00FF564D">
            <w:pPr>
              <w:pStyle w:val="TableParagraph"/>
              <w:keepNext/>
              <w:keepLines/>
              <w:spacing w:line="246" w:lineRule="exact"/>
              <w:ind w:left="52"/>
              <w:jc w:val="center"/>
              <w:rPr>
                <w:rFonts w:ascii="Times New Roman" w:eastAsia="Times New Roman" w:hAnsi="Times New Roman"/>
                <w:color w:val="000000"/>
              </w:rPr>
            </w:pPr>
            <w:r w:rsidRPr="00381DC2">
              <w:rPr>
                <w:rFonts w:ascii="Times New Roman" w:hAnsi="Times New Roman"/>
                <w:color w:val="000000"/>
              </w:rPr>
              <w:t>&lt;0,0001</w:t>
            </w:r>
          </w:p>
        </w:tc>
        <w:tc>
          <w:tcPr>
            <w:tcW w:w="3384" w:type="dxa"/>
            <w:gridSpan w:val="4"/>
            <w:tcBorders>
              <w:top w:val="single" w:sz="5" w:space="0" w:color="000000"/>
              <w:left w:val="single" w:sz="5" w:space="0" w:color="000000"/>
              <w:bottom w:val="single" w:sz="5" w:space="0" w:color="000000"/>
              <w:right w:val="single" w:sz="5" w:space="0" w:color="000000"/>
            </w:tcBorders>
          </w:tcPr>
          <w:p w14:paraId="4221A193" w14:textId="77777777" w:rsidR="00ED4C2D" w:rsidRPr="00381DC2" w:rsidRDefault="00ED4C2D" w:rsidP="00FF564D">
            <w:pPr>
              <w:pStyle w:val="TableParagraph"/>
              <w:keepNext/>
              <w:keepLines/>
              <w:spacing w:line="246" w:lineRule="exact"/>
              <w:ind w:left="2"/>
              <w:jc w:val="center"/>
              <w:rPr>
                <w:rFonts w:ascii="Times New Roman" w:eastAsia="Times New Roman" w:hAnsi="Times New Roman"/>
                <w:color w:val="000000"/>
              </w:rPr>
            </w:pPr>
            <w:r w:rsidRPr="00381DC2">
              <w:rPr>
                <w:rFonts w:ascii="Times New Roman" w:hAnsi="Times New Roman"/>
                <w:color w:val="000000"/>
              </w:rPr>
              <w:t>&lt;0,0001</w:t>
            </w:r>
          </w:p>
        </w:tc>
      </w:tr>
      <w:tr w:rsidR="00ED4C2D" w:rsidRPr="00F60460" w14:paraId="41EC619D"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043E18C2" w14:textId="77777777" w:rsidR="00ED4C2D" w:rsidRPr="00381DC2" w:rsidRDefault="00ED4C2D" w:rsidP="00FF564D">
            <w:pPr>
              <w:pStyle w:val="TableParagraph"/>
              <w:keepNext/>
              <w:keepLines/>
              <w:spacing w:line="246" w:lineRule="exact"/>
              <w:ind w:left="102"/>
              <w:rPr>
                <w:rFonts w:ascii="Times New Roman" w:eastAsia="Times New Roman" w:hAnsi="Times New Roman"/>
                <w:color w:val="000000"/>
              </w:rPr>
            </w:pPr>
            <w:r w:rsidRPr="00381DC2">
              <w:rPr>
                <w:rFonts w:ascii="Times New Roman" w:hAnsi="Times New Roman"/>
                <w:i/>
                <w:color w:val="000000"/>
                <w:spacing w:val="-1"/>
              </w:rPr>
              <w:t>S cenzurou při léčbě mimo protokol</w:t>
            </w:r>
          </w:p>
        </w:tc>
        <w:tc>
          <w:tcPr>
            <w:tcW w:w="6953" w:type="dxa"/>
            <w:gridSpan w:val="7"/>
            <w:tcBorders>
              <w:top w:val="single" w:sz="5" w:space="0" w:color="000000"/>
              <w:left w:val="single" w:sz="5" w:space="0" w:color="000000"/>
              <w:bottom w:val="single" w:sz="5" w:space="0" w:color="000000"/>
              <w:right w:val="single" w:sz="5" w:space="0" w:color="000000"/>
            </w:tcBorders>
          </w:tcPr>
          <w:p w14:paraId="5D488392" w14:textId="77777777" w:rsidR="00ED4C2D" w:rsidRPr="00381DC2" w:rsidRDefault="00ED4C2D" w:rsidP="00FF564D">
            <w:pPr>
              <w:keepNext/>
              <w:keepLines/>
              <w:rPr>
                <w:rFonts w:ascii="Times New Roman" w:hAnsi="Times New Roman"/>
                <w:color w:val="000000"/>
              </w:rPr>
            </w:pPr>
          </w:p>
        </w:tc>
      </w:tr>
      <w:tr w:rsidR="00ED4C2D" w:rsidRPr="00F60460" w14:paraId="6ECAEFF3"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24699B41" w14:textId="77777777" w:rsidR="00ED4C2D" w:rsidRPr="00381DC2" w:rsidRDefault="00ED4C2D" w:rsidP="00FF564D">
            <w:pPr>
              <w:pStyle w:val="TableParagraph"/>
              <w:keepNext/>
              <w:keepLines/>
              <w:spacing w:line="246" w:lineRule="exact"/>
              <w:ind w:left="102"/>
              <w:rPr>
                <w:rFonts w:ascii="Times New Roman" w:eastAsia="Times New Roman" w:hAnsi="Times New Roman"/>
                <w:color w:val="000000"/>
              </w:rPr>
            </w:pPr>
            <w:r w:rsidRPr="00381DC2">
              <w:rPr>
                <w:rFonts w:ascii="Times New Roman" w:hAnsi="Times New Roman"/>
                <w:color w:val="000000"/>
                <w:spacing w:val="-1"/>
              </w:rPr>
              <w:t>Střední přežití bez progrese (měsíce)</w:t>
            </w:r>
          </w:p>
        </w:tc>
        <w:tc>
          <w:tcPr>
            <w:tcW w:w="1685" w:type="dxa"/>
            <w:tcBorders>
              <w:top w:val="single" w:sz="5" w:space="0" w:color="000000"/>
              <w:left w:val="single" w:sz="5" w:space="0" w:color="000000"/>
              <w:bottom w:val="single" w:sz="5" w:space="0" w:color="000000"/>
              <w:right w:val="single" w:sz="5" w:space="0" w:color="000000"/>
            </w:tcBorders>
          </w:tcPr>
          <w:p w14:paraId="0275D094" w14:textId="77777777" w:rsidR="00ED4C2D" w:rsidRPr="00381DC2" w:rsidRDefault="00ED4C2D" w:rsidP="00FF564D">
            <w:pPr>
              <w:pStyle w:val="TableParagraph"/>
              <w:keepNext/>
              <w:keepLines/>
              <w:spacing w:line="246" w:lineRule="exact"/>
              <w:ind w:right="5"/>
              <w:jc w:val="center"/>
              <w:rPr>
                <w:rFonts w:ascii="Times New Roman" w:eastAsia="Times New Roman" w:hAnsi="Times New Roman"/>
                <w:color w:val="000000"/>
              </w:rPr>
            </w:pPr>
            <w:r w:rsidRPr="00381DC2">
              <w:rPr>
                <w:rFonts w:ascii="Times New Roman" w:hAnsi="Times New Roman"/>
                <w:color w:val="000000"/>
              </w:rPr>
              <w:t>8,4</w:t>
            </w:r>
          </w:p>
        </w:tc>
        <w:tc>
          <w:tcPr>
            <w:tcW w:w="1884" w:type="dxa"/>
            <w:gridSpan w:val="2"/>
            <w:tcBorders>
              <w:top w:val="single" w:sz="5" w:space="0" w:color="000000"/>
              <w:left w:val="single" w:sz="5" w:space="0" w:color="000000"/>
              <w:bottom w:val="single" w:sz="5" w:space="0" w:color="000000"/>
              <w:right w:val="single" w:sz="5" w:space="0" w:color="000000"/>
            </w:tcBorders>
          </w:tcPr>
          <w:p w14:paraId="7CCF6792" w14:textId="77777777" w:rsidR="00ED4C2D" w:rsidRPr="00381DC2" w:rsidRDefault="00ED4C2D" w:rsidP="00FF564D">
            <w:pPr>
              <w:pStyle w:val="TableParagraph"/>
              <w:keepNext/>
              <w:keepLines/>
              <w:spacing w:line="246" w:lineRule="exact"/>
              <w:jc w:val="center"/>
              <w:rPr>
                <w:rFonts w:ascii="Times New Roman" w:eastAsia="Times New Roman" w:hAnsi="Times New Roman"/>
                <w:color w:val="000000"/>
              </w:rPr>
            </w:pPr>
            <w:r w:rsidRPr="00381DC2">
              <w:rPr>
                <w:rFonts w:ascii="Times New Roman" w:hAnsi="Times New Roman"/>
                <w:color w:val="000000"/>
              </w:rPr>
              <w:t>12,4</w:t>
            </w:r>
          </w:p>
        </w:tc>
        <w:tc>
          <w:tcPr>
            <w:tcW w:w="1558" w:type="dxa"/>
            <w:gridSpan w:val="2"/>
            <w:tcBorders>
              <w:top w:val="single" w:sz="5" w:space="0" w:color="000000"/>
              <w:left w:val="single" w:sz="5" w:space="0" w:color="000000"/>
              <w:bottom w:val="single" w:sz="5" w:space="0" w:color="000000"/>
              <w:right w:val="single" w:sz="5" w:space="0" w:color="000000"/>
            </w:tcBorders>
          </w:tcPr>
          <w:p w14:paraId="3BC559E2" w14:textId="77777777" w:rsidR="00ED4C2D" w:rsidRPr="00381DC2" w:rsidRDefault="00ED4C2D" w:rsidP="00FF564D">
            <w:pPr>
              <w:pStyle w:val="TableParagraph"/>
              <w:keepNext/>
              <w:keepLines/>
              <w:spacing w:line="246" w:lineRule="exact"/>
              <w:ind w:right="2"/>
              <w:jc w:val="center"/>
              <w:rPr>
                <w:rFonts w:ascii="Times New Roman" w:eastAsia="Times New Roman" w:hAnsi="Times New Roman"/>
                <w:color w:val="000000"/>
              </w:rPr>
            </w:pPr>
            <w:r w:rsidRPr="00381DC2">
              <w:rPr>
                <w:rFonts w:ascii="Times New Roman" w:hAnsi="Times New Roman"/>
                <w:color w:val="000000"/>
              </w:rPr>
              <w:t>8,6</w:t>
            </w:r>
          </w:p>
        </w:tc>
        <w:tc>
          <w:tcPr>
            <w:tcW w:w="1826" w:type="dxa"/>
            <w:gridSpan w:val="2"/>
            <w:tcBorders>
              <w:top w:val="single" w:sz="5" w:space="0" w:color="000000"/>
              <w:left w:val="single" w:sz="5" w:space="0" w:color="000000"/>
              <w:bottom w:val="single" w:sz="5" w:space="0" w:color="000000"/>
              <w:right w:val="single" w:sz="5" w:space="0" w:color="000000"/>
            </w:tcBorders>
          </w:tcPr>
          <w:p w14:paraId="1D15F7AA" w14:textId="77777777" w:rsidR="00ED4C2D" w:rsidRPr="00381DC2" w:rsidRDefault="00ED4C2D" w:rsidP="00FF564D">
            <w:pPr>
              <w:pStyle w:val="TableParagraph"/>
              <w:keepNext/>
              <w:keepLines/>
              <w:spacing w:line="246" w:lineRule="exact"/>
              <w:ind w:left="4"/>
              <w:jc w:val="center"/>
              <w:rPr>
                <w:rFonts w:ascii="Times New Roman" w:eastAsia="Times New Roman" w:hAnsi="Times New Roman"/>
                <w:color w:val="000000"/>
              </w:rPr>
            </w:pPr>
            <w:r w:rsidRPr="00381DC2">
              <w:rPr>
                <w:rFonts w:ascii="Times New Roman" w:hAnsi="Times New Roman"/>
                <w:color w:val="000000"/>
              </w:rPr>
              <w:t>12,3</w:t>
            </w:r>
          </w:p>
        </w:tc>
      </w:tr>
      <w:tr w:rsidR="00ED4C2D" w:rsidRPr="00F60460" w14:paraId="15EBFC87"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7A642A25" w14:textId="77777777" w:rsidR="00ED4C2D" w:rsidRPr="00381DC2" w:rsidRDefault="00ED4C2D" w:rsidP="00FF564D">
            <w:pPr>
              <w:pStyle w:val="TableParagraph"/>
              <w:keepNext/>
              <w:keepLines/>
              <w:spacing w:line="241" w:lineRule="auto"/>
              <w:ind w:left="102" w:right="1122"/>
              <w:rPr>
                <w:rFonts w:ascii="Times New Roman" w:eastAsia="Times New Roman" w:hAnsi="Times New Roman"/>
                <w:color w:val="000000"/>
              </w:rPr>
            </w:pPr>
            <w:r w:rsidRPr="00381DC2">
              <w:rPr>
                <w:rFonts w:ascii="Times New Roman" w:hAnsi="Times New Roman"/>
                <w:color w:val="000000"/>
              </w:rPr>
              <w:t>Poměr rizik (95% interval polehlivosti)</w:t>
            </w:r>
          </w:p>
        </w:tc>
        <w:tc>
          <w:tcPr>
            <w:tcW w:w="3569" w:type="dxa"/>
            <w:gridSpan w:val="3"/>
            <w:tcBorders>
              <w:top w:val="single" w:sz="5" w:space="0" w:color="000000"/>
              <w:left w:val="single" w:sz="5" w:space="0" w:color="000000"/>
              <w:bottom w:val="single" w:sz="5" w:space="0" w:color="000000"/>
              <w:right w:val="single" w:sz="5" w:space="0" w:color="000000"/>
            </w:tcBorders>
          </w:tcPr>
          <w:p w14:paraId="6FB1CACB" w14:textId="77777777" w:rsidR="00ED4C2D" w:rsidRPr="00381DC2" w:rsidRDefault="00ED4C2D" w:rsidP="00FF564D">
            <w:pPr>
              <w:pStyle w:val="TableParagraph"/>
              <w:keepNext/>
              <w:keepLines/>
              <w:spacing w:before="120"/>
              <w:ind w:left="877"/>
              <w:rPr>
                <w:rFonts w:ascii="Times New Roman" w:eastAsia="Times New Roman" w:hAnsi="Times New Roman"/>
                <w:color w:val="000000"/>
              </w:rPr>
            </w:pPr>
            <w:r w:rsidRPr="00381DC2">
              <w:rPr>
                <w:rFonts w:ascii="Times New Roman" w:hAnsi="Times New Roman"/>
                <w:color w:val="000000"/>
              </w:rPr>
              <w:t xml:space="preserve">0,484 </w:t>
            </w:r>
            <w:r w:rsidRPr="00381DC2">
              <w:rPr>
                <w:rFonts w:ascii="Times New Roman" w:hAnsi="Times New Roman"/>
                <w:color w:val="000000"/>
                <w:spacing w:val="-1"/>
              </w:rPr>
              <w:t>[0,388,</w:t>
            </w:r>
            <w:r w:rsidRPr="00381DC2">
              <w:rPr>
                <w:rFonts w:ascii="Times New Roman" w:hAnsi="Times New Roman"/>
                <w:color w:val="000000"/>
              </w:rPr>
              <w:t xml:space="preserve"> </w:t>
            </w:r>
            <w:r w:rsidRPr="00381DC2">
              <w:rPr>
                <w:rFonts w:ascii="Times New Roman" w:hAnsi="Times New Roman"/>
                <w:color w:val="000000"/>
                <w:spacing w:val="-1"/>
              </w:rPr>
              <w:t>0,605]</w:t>
            </w:r>
          </w:p>
        </w:tc>
        <w:tc>
          <w:tcPr>
            <w:tcW w:w="3384" w:type="dxa"/>
            <w:gridSpan w:val="4"/>
            <w:tcBorders>
              <w:top w:val="single" w:sz="5" w:space="0" w:color="000000"/>
              <w:left w:val="single" w:sz="5" w:space="0" w:color="000000"/>
              <w:bottom w:val="single" w:sz="5" w:space="0" w:color="000000"/>
              <w:right w:val="single" w:sz="5" w:space="0" w:color="000000"/>
            </w:tcBorders>
          </w:tcPr>
          <w:p w14:paraId="12BDC99B" w14:textId="77777777" w:rsidR="00ED4C2D" w:rsidRPr="00381DC2" w:rsidRDefault="00ED4C2D" w:rsidP="00FF564D">
            <w:pPr>
              <w:pStyle w:val="TableParagraph"/>
              <w:keepNext/>
              <w:keepLines/>
              <w:spacing w:before="120"/>
              <w:ind w:left="786"/>
              <w:rPr>
                <w:rFonts w:ascii="Times New Roman" w:eastAsia="Times New Roman" w:hAnsi="Times New Roman"/>
                <w:color w:val="000000"/>
              </w:rPr>
            </w:pPr>
            <w:r w:rsidRPr="00381DC2">
              <w:rPr>
                <w:rFonts w:ascii="Times New Roman" w:hAnsi="Times New Roman"/>
                <w:color w:val="000000"/>
              </w:rPr>
              <w:t xml:space="preserve">0,451 </w:t>
            </w:r>
            <w:r w:rsidRPr="00381DC2">
              <w:rPr>
                <w:rFonts w:ascii="Times New Roman" w:hAnsi="Times New Roman"/>
                <w:color w:val="000000"/>
                <w:spacing w:val="-1"/>
              </w:rPr>
              <w:t>[0,351,</w:t>
            </w:r>
            <w:r w:rsidRPr="00381DC2">
              <w:rPr>
                <w:rFonts w:ascii="Times New Roman" w:hAnsi="Times New Roman"/>
                <w:color w:val="000000"/>
              </w:rPr>
              <w:t xml:space="preserve"> </w:t>
            </w:r>
            <w:r w:rsidRPr="00381DC2">
              <w:rPr>
                <w:rFonts w:ascii="Times New Roman" w:hAnsi="Times New Roman"/>
                <w:color w:val="000000"/>
                <w:spacing w:val="-1"/>
              </w:rPr>
              <w:t>0,580]</w:t>
            </w:r>
          </w:p>
        </w:tc>
      </w:tr>
      <w:tr w:rsidR="00ED4C2D" w:rsidRPr="00F60460" w14:paraId="67F1C1C3"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194389E2" w14:textId="77777777" w:rsidR="00ED4C2D" w:rsidRPr="00381DC2" w:rsidRDefault="00ED4C2D" w:rsidP="00FF564D">
            <w:pPr>
              <w:pStyle w:val="TableParagraph"/>
              <w:keepNext/>
              <w:keepLines/>
              <w:spacing w:line="246" w:lineRule="exact"/>
              <w:ind w:left="102"/>
              <w:rPr>
                <w:rFonts w:ascii="Times New Roman" w:eastAsia="Times New Roman" w:hAnsi="Times New Roman"/>
                <w:color w:val="000000"/>
              </w:rPr>
            </w:pPr>
            <w:r w:rsidRPr="00381DC2">
              <w:rPr>
                <w:rFonts w:ascii="Times New Roman" w:eastAsia="Times New Roman" w:hAnsi="Times New Roman"/>
                <w:color w:val="000000"/>
              </w:rPr>
              <w:t>p-hodnota</w:t>
            </w:r>
          </w:p>
        </w:tc>
        <w:tc>
          <w:tcPr>
            <w:tcW w:w="3569" w:type="dxa"/>
            <w:gridSpan w:val="3"/>
            <w:tcBorders>
              <w:top w:val="single" w:sz="5" w:space="0" w:color="000000"/>
              <w:left w:val="single" w:sz="5" w:space="0" w:color="000000"/>
              <w:bottom w:val="single" w:sz="5" w:space="0" w:color="000000"/>
              <w:right w:val="single" w:sz="5" w:space="0" w:color="000000"/>
            </w:tcBorders>
          </w:tcPr>
          <w:p w14:paraId="4F0D577A" w14:textId="77777777" w:rsidR="00ED4C2D" w:rsidRPr="00381DC2" w:rsidRDefault="00ED4C2D" w:rsidP="00FF564D">
            <w:pPr>
              <w:pStyle w:val="TableParagraph"/>
              <w:keepNext/>
              <w:keepLines/>
              <w:spacing w:line="246" w:lineRule="exact"/>
              <w:ind w:left="55"/>
              <w:jc w:val="center"/>
              <w:rPr>
                <w:rFonts w:ascii="Times New Roman" w:eastAsia="Times New Roman" w:hAnsi="Times New Roman"/>
                <w:color w:val="000000"/>
              </w:rPr>
            </w:pPr>
            <w:r w:rsidRPr="00381DC2">
              <w:rPr>
                <w:rFonts w:ascii="Times New Roman" w:hAnsi="Times New Roman"/>
                <w:color w:val="000000"/>
              </w:rPr>
              <w:t>&lt; 0,0001</w:t>
            </w:r>
          </w:p>
        </w:tc>
        <w:tc>
          <w:tcPr>
            <w:tcW w:w="3384" w:type="dxa"/>
            <w:gridSpan w:val="4"/>
            <w:tcBorders>
              <w:top w:val="single" w:sz="5" w:space="0" w:color="000000"/>
              <w:left w:val="single" w:sz="5" w:space="0" w:color="000000"/>
              <w:bottom w:val="single" w:sz="5" w:space="0" w:color="000000"/>
              <w:right w:val="single" w:sz="5" w:space="0" w:color="000000"/>
            </w:tcBorders>
          </w:tcPr>
          <w:p w14:paraId="4DE1BBE3" w14:textId="77777777" w:rsidR="00ED4C2D" w:rsidRPr="00381DC2" w:rsidRDefault="00ED4C2D" w:rsidP="00FF564D">
            <w:pPr>
              <w:pStyle w:val="TableParagraph"/>
              <w:keepNext/>
              <w:keepLines/>
              <w:spacing w:line="246" w:lineRule="exact"/>
              <w:ind w:left="2"/>
              <w:jc w:val="center"/>
              <w:rPr>
                <w:rFonts w:ascii="Times New Roman" w:eastAsia="Times New Roman" w:hAnsi="Times New Roman"/>
                <w:color w:val="000000"/>
              </w:rPr>
            </w:pPr>
            <w:r w:rsidRPr="00381DC2">
              <w:rPr>
                <w:rFonts w:ascii="Times New Roman" w:hAnsi="Times New Roman"/>
                <w:color w:val="000000"/>
              </w:rPr>
              <w:t>&lt;0,0001</w:t>
            </w:r>
          </w:p>
        </w:tc>
      </w:tr>
      <w:tr w:rsidR="00ED4C2D" w:rsidRPr="00F60460" w14:paraId="5417A1F4" w14:textId="77777777" w:rsidTr="006A2145">
        <w:tc>
          <w:tcPr>
            <w:tcW w:w="9386" w:type="dxa"/>
            <w:gridSpan w:val="8"/>
            <w:tcBorders>
              <w:top w:val="single" w:sz="5" w:space="0" w:color="000000"/>
              <w:left w:val="single" w:sz="5" w:space="0" w:color="000000"/>
              <w:bottom w:val="single" w:sz="5" w:space="0" w:color="000000"/>
              <w:right w:val="single" w:sz="5" w:space="0" w:color="000000"/>
            </w:tcBorders>
          </w:tcPr>
          <w:p w14:paraId="40A34EED" w14:textId="77777777" w:rsidR="00ED4C2D" w:rsidRPr="00381DC2" w:rsidRDefault="00ED4C2D" w:rsidP="00FF564D">
            <w:pPr>
              <w:pStyle w:val="TableParagraph"/>
              <w:keepNext/>
              <w:keepLines/>
              <w:spacing w:line="246" w:lineRule="exact"/>
              <w:ind w:left="102"/>
              <w:rPr>
                <w:rFonts w:ascii="Times New Roman" w:eastAsia="Times New Roman" w:hAnsi="Times New Roman"/>
                <w:color w:val="000000"/>
              </w:rPr>
            </w:pPr>
            <w:r w:rsidRPr="00381DC2">
              <w:rPr>
                <w:rFonts w:ascii="Times New Roman" w:hAnsi="Times New Roman"/>
                <w:color w:val="000000"/>
                <w:spacing w:val="-1"/>
              </w:rPr>
              <w:t>Četnost objektivních odpovědí</w:t>
            </w:r>
          </w:p>
        </w:tc>
      </w:tr>
      <w:tr w:rsidR="00ED4C2D" w:rsidRPr="00F60460" w14:paraId="1049DD14"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29ACEEE6" w14:textId="77777777" w:rsidR="00ED4C2D" w:rsidRPr="00381DC2" w:rsidRDefault="00ED4C2D" w:rsidP="00FF564D">
            <w:pPr>
              <w:keepNext/>
              <w:keepLines/>
              <w:rPr>
                <w:rFonts w:ascii="Times New Roman" w:hAnsi="Times New Roman"/>
                <w:color w:val="000000"/>
              </w:rPr>
            </w:pPr>
          </w:p>
        </w:tc>
        <w:tc>
          <w:tcPr>
            <w:tcW w:w="3569" w:type="dxa"/>
            <w:gridSpan w:val="3"/>
            <w:tcBorders>
              <w:top w:val="single" w:sz="5" w:space="0" w:color="000000"/>
              <w:left w:val="single" w:sz="5" w:space="0" w:color="000000"/>
              <w:bottom w:val="single" w:sz="5" w:space="0" w:color="000000"/>
              <w:right w:val="single" w:sz="5" w:space="0" w:color="000000"/>
            </w:tcBorders>
          </w:tcPr>
          <w:p w14:paraId="6A55BE8D" w14:textId="77777777" w:rsidR="00ED4C2D" w:rsidRPr="00381DC2" w:rsidRDefault="00ED4C2D" w:rsidP="00FF564D">
            <w:pPr>
              <w:pStyle w:val="TableParagraph"/>
              <w:keepNext/>
              <w:keepLines/>
              <w:spacing w:line="248" w:lineRule="exact"/>
              <w:ind w:left="704"/>
              <w:rPr>
                <w:rFonts w:ascii="Times New Roman" w:eastAsia="Times New Roman" w:hAnsi="Times New Roman"/>
                <w:color w:val="000000"/>
              </w:rPr>
            </w:pPr>
            <w:r w:rsidRPr="00381DC2">
              <w:rPr>
                <w:rFonts w:ascii="Times New Roman" w:hAnsi="Times New Roman"/>
                <w:color w:val="000000"/>
                <w:spacing w:val="-1"/>
              </w:rPr>
              <w:t>Hodnocení řešiteli</w:t>
            </w:r>
          </w:p>
        </w:tc>
        <w:tc>
          <w:tcPr>
            <w:tcW w:w="3384" w:type="dxa"/>
            <w:gridSpan w:val="4"/>
            <w:tcBorders>
              <w:top w:val="single" w:sz="5" w:space="0" w:color="000000"/>
              <w:left w:val="single" w:sz="5" w:space="0" w:color="000000"/>
              <w:bottom w:val="single" w:sz="5" w:space="0" w:color="000000"/>
              <w:right w:val="single" w:sz="5" w:space="0" w:color="000000"/>
            </w:tcBorders>
          </w:tcPr>
          <w:p w14:paraId="767C0E9F" w14:textId="77777777" w:rsidR="00ED4C2D" w:rsidRPr="00381DC2" w:rsidRDefault="00ED4C2D" w:rsidP="00FF564D">
            <w:pPr>
              <w:pStyle w:val="TableParagraph"/>
              <w:keepNext/>
              <w:keepLines/>
              <w:spacing w:line="248" w:lineRule="exact"/>
              <w:ind w:left="954"/>
              <w:rPr>
                <w:rFonts w:ascii="Times New Roman" w:eastAsia="Times New Roman" w:hAnsi="Times New Roman"/>
                <w:color w:val="000000"/>
              </w:rPr>
            </w:pPr>
            <w:r w:rsidRPr="00381DC2">
              <w:rPr>
                <w:rFonts w:ascii="Times New Roman" w:hAnsi="Times New Roman"/>
                <w:color w:val="000000"/>
                <w:spacing w:val="-1"/>
                <w:u w:val="single" w:color="000000"/>
              </w:rPr>
              <w:t>Nezávislé hodnocení</w:t>
            </w:r>
          </w:p>
        </w:tc>
      </w:tr>
      <w:tr w:rsidR="00ED4C2D" w:rsidRPr="00F60460" w14:paraId="4DE0F5A4"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7CB310B8" w14:textId="77777777" w:rsidR="00ED4C2D" w:rsidRPr="00381DC2" w:rsidRDefault="00ED4C2D" w:rsidP="00FF564D">
            <w:pPr>
              <w:keepNext/>
              <w:keepLines/>
              <w:rPr>
                <w:rFonts w:ascii="Times New Roman" w:hAnsi="Times New Roman"/>
                <w:color w:val="000000"/>
              </w:rPr>
            </w:pPr>
          </w:p>
        </w:tc>
        <w:tc>
          <w:tcPr>
            <w:tcW w:w="1685" w:type="dxa"/>
            <w:tcBorders>
              <w:top w:val="single" w:sz="5" w:space="0" w:color="000000"/>
              <w:left w:val="single" w:sz="5" w:space="0" w:color="000000"/>
              <w:bottom w:val="single" w:sz="5" w:space="0" w:color="000000"/>
              <w:right w:val="single" w:sz="5" w:space="0" w:color="000000"/>
            </w:tcBorders>
          </w:tcPr>
          <w:p w14:paraId="7C95557B" w14:textId="77777777" w:rsidR="00ED4C2D" w:rsidRPr="00381DC2" w:rsidRDefault="00ED4C2D" w:rsidP="00FF564D">
            <w:pPr>
              <w:pStyle w:val="TableParagraph"/>
              <w:keepNext/>
              <w:keepLines/>
              <w:spacing w:before="19"/>
              <w:ind w:left="124" w:right="214"/>
              <w:jc w:val="center"/>
              <w:rPr>
                <w:rFonts w:ascii="Times New Roman" w:eastAsia="Times New Roman" w:hAnsi="Times New Roman"/>
                <w:color w:val="000000"/>
              </w:rPr>
            </w:pPr>
            <w:r w:rsidRPr="00381DC2">
              <w:rPr>
                <w:rFonts w:ascii="Times New Roman" w:hAnsi="Times New Roman"/>
                <w:color w:val="000000"/>
                <w:spacing w:val="-1"/>
              </w:rPr>
              <w:t>Placebo+</w:t>
            </w:r>
            <w:r w:rsidRPr="00381DC2">
              <w:rPr>
                <w:rFonts w:ascii="Times New Roman" w:hAnsi="Times New Roman"/>
                <w:color w:val="000000"/>
              </w:rPr>
              <w:t xml:space="preserve"> </w:t>
            </w:r>
            <w:r w:rsidRPr="00381DC2">
              <w:rPr>
                <w:rFonts w:ascii="Times New Roman" w:hAnsi="Times New Roman"/>
                <w:color w:val="000000"/>
                <w:spacing w:val="-1"/>
              </w:rPr>
              <w:t>karboplatina/gemcitabin</w:t>
            </w:r>
            <w:r w:rsidRPr="00381DC2">
              <w:rPr>
                <w:rFonts w:ascii="Times New Roman" w:hAnsi="Times New Roman"/>
                <w:color w:val="000000"/>
              </w:rPr>
              <w:t xml:space="preserve"> (n = </w:t>
            </w:r>
            <w:r w:rsidRPr="00381DC2">
              <w:rPr>
                <w:rFonts w:ascii="Times New Roman" w:hAnsi="Times New Roman"/>
                <w:color w:val="000000"/>
                <w:spacing w:val="-1"/>
              </w:rPr>
              <w:t>242)</w:t>
            </w:r>
          </w:p>
        </w:tc>
        <w:tc>
          <w:tcPr>
            <w:tcW w:w="1884" w:type="dxa"/>
            <w:gridSpan w:val="2"/>
            <w:tcBorders>
              <w:top w:val="single" w:sz="5" w:space="0" w:color="000000"/>
              <w:left w:val="single" w:sz="5" w:space="0" w:color="000000"/>
              <w:bottom w:val="single" w:sz="5" w:space="0" w:color="000000"/>
              <w:right w:val="single" w:sz="5" w:space="0" w:color="000000"/>
            </w:tcBorders>
          </w:tcPr>
          <w:p w14:paraId="07FD4C98" w14:textId="77777777" w:rsidR="00ED4C2D" w:rsidRPr="00381DC2" w:rsidRDefault="00ED4C2D" w:rsidP="00FF564D">
            <w:pPr>
              <w:pStyle w:val="TableParagraph"/>
              <w:keepNext/>
              <w:keepLines/>
              <w:spacing w:before="33"/>
              <w:ind w:left="124" w:right="289"/>
              <w:jc w:val="center"/>
              <w:rPr>
                <w:rFonts w:ascii="Times New Roman" w:hAnsi="Times New Roman"/>
                <w:color w:val="000000"/>
                <w:spacing w:val="26"/>
              </w:rPr>
            </w:pPr>
            <w:r w:rsidRPr="00381DC2">
              <w:rPr>
                <w:rFonts w:ascii="Times New Roman" w:hAnsi="Times New Roman"/>
                <w:color w:val="000000"/>
                <w:spacing w:val="-1"/>
              </w:rPr>
              <w:t>Bevacizumab</w:t>
            </w:r>
            <w:r w:rsidRPr="00381DC2">
              <w:rPr>
                <w:rFonts w:ascii="Times New Roman" w:hAnsi="Times New Roman"/>
                <w:color w:val="000000"/>
              </w:rPr>
              <w:t xml:space="preserve">+ </w:t>
            </w:r>
            <w:r w:rsidRPr="00381DC2">
              <w:rPr>
                <w:rFonts w:ascii="Times New Roman" w:hAnsi="Times New Roman"/>
                <w:color w:val="000000"/>
                <w:spacing w:val="-1"/>
              </w:rPr>
              <w:t>karboplatina/gemcitabin</w:t>
            </w:r>
          </w:p>
          <w:p w14:paraId="1B700EE8" w14:textId="77777777" w:rsidR="00ED4C2D" w:rsidRPr="00381DC2" w:rsidRDefault="00ED4C2D" w:rsidP="00FF564D">
            <w:pPr>
              <w:pStyle w:val="TableParagraph"/>
              <w:keepNext/>
              <w:keepLines/>
              <w:spacing w:before="33"/>
              <w:ind w:left="124" w:right="289"/>
              <w:jc w:val="center"/>
              <w:rPr>
                <w:rFonts w:ascii="Times New Roman" w:eastAsia="Times New Roman" w:hAnsi="Times New Roman"/>
                <w:color w:val="000000"/>
              </w:rPr>
            </w:pPr>
            <w:r w:rsidRPr="00381DC2">
              <w:rPr>
                <w:rFonts w:ascii="Times New Roman" w:hAnsi="Times New Roman"/>
                <w:color w:val="000000"/>
              </w:rPr>
              <w:t xml:space="preserve">(n = </w:t>
            </w:r>
            <w:r w:rsidRPr="00381DC2">
              <w:rPr>
                <w:rFonts w:ascii="Times New Roman" w:hAnsi="Times New Roman"/>
                <w:color w:val="000000"/>
                <w:spacing w:val="-1"/>
              </w:rPr>
              <w:t>242)</w:t>
            </w:r>
          </w:p>
        </w:tc>
        <w:tc>
          <w:tcPr>
            <w:tcW w:w="1627" w:type="dxa"/>
            <w:gridSpan w:val="3"/>
            <w:tcBorders>
              <w:top w:val="single" w:sz="5" w:space="0" w:color="000000"/>
              <w:left w:val="single" w:sz="5" w:space="0" w:color="000000"/>
              <w:bottom w:val="single" w:sz="5" w:space="0" w:color="000000"/>
              <w:right w:val="single" w:sz="5" w:space="0" w:color="000000"/>
            </w:tcBorders>
          </w:tcPr>
          <w:p w14:paraId="34F889C9" w14:textId="77777777" w:rsidR="00ED4C2D" w:rsidRPr="00381DC2" w:rsidRDefault="00ED4C2D" w:rsidP="00FF564D">
            <w:pPr>
              <w:pStyle w:val="TableParagraph"/>
              <w:keepNext/>
              <w:keepLines/>
              <w:spacing w:line="241" w:lineRule="auto"/>
              <w:ind w:left="124" w:right="182"/>
              <w:jc w:val="center"/>
              <w:rPr>
                <w:rFonts w:ascii="Times New Roman" w:eastAsia="Times New Roman" w:hAnsi="Times New Roman"/>
                <w:color w:val="000000"/>
              </w:rPr>
            </w:pPr>
            <w:r w:rsidRPr="00381DC2">
              <w:rPr>
                <w:rFonts w:ascii="Times New Roman" w:hAnsi="Times New Roman"/>
                <w:color w:val="000000"/>
                <w:spacing w:val="-1"/>
              </w:rPr>
              <w:t>Placebo+</w:t>
            </w:r>
            <w:r w:rsidRPr="00381DC2">
              <w:rPr>
                <w:rFonts w:ascii="Times New Roman" w:hAnsi="Times New Roman"/>
                <w:color w:val="000000"/>
              </w:rPr>
              <w:t xml:space="preserve"> </w:t>
            </w:r>
            <w:r w:rsidRPr="00381DC2">
              <w:rPr>
                <w:rFonts w:ascii="Times New Roman" w:hAnsi="Times New Roman"/>
                <w:color w:val="000000"/>
                <w:spacing w:val="-1"/>
              </w:rPr>
              <w:t>karboplatina/gemcitabin</w:t>
            </w:r>
            <w:r w:rsidRPr="00381DC2">
              <w:rPr>
                <w:rFonts w:ascii="Times New Roman" w:hAnsi="Times New Roman"/>
                <w:color w:val="000000"/>
              </w:rPr>
              <w:t xml:space="preserve"> (n = </w:t>
            </w:r>
            <w:r w:rsidRPr="00381DC2">
              <w:rPr>
                <w:rFonts w:ascii="Times New Roman" w:hAnsi="Times New Roman"/>
                <w:color w:val="000000"/>
                <w:spacing w:val="-1"/>
              </w:rPr>
              <w:t>242)</w:t>
            </w:r>
          </w:p>
        </w:tc>
        <w:tc>
          <w:tcPr>
            <w:tcW w:w="1757" w:type="dxa"/>
            <w:tcBorders>
              <w:top w:val="single" w:sz="5" w:space="0" w:color="000000"/>
              <w:left w:val="single" w:sz="5" w:space="0" w:color="000000"/>
              <w:bottom w:val="single" w:sz="5" w:space="0" w:color="000000"/>
              <w:right w:val="single" w:sz="5" w:space="0" w:color="000000"/>
            </w:tcBorders>
          </w:tcPr>
          <w:p w14:paraId="3DCAC401" w14:textId="77777777" w:rsidR="00ED4C2D" w:rsidRPr="00381DC2" w:rsidRDefault="00ED4C2D" w:rsidP="00FF564D">
            <w:pPr>
              <w:pStyle w:val="TableParagraph"/>
              <w:keepNext/>
              <w:keepLines/>
              <w:spacing w:before="19" w:line="266" w:lineRule="auto"/>
              <w:ind w:left="124" w:right="225"/>
              <w:jc w:val="center"/>
              <w:rPr>
                <w:rFonts w:ascii="Times New Roman" w:hAnsi="Times New Roman"/>
                <w:color w:val="000000"/>
                <w:spacing w:val="26"/>
              </w:rPr>
            </w:pPr>
            <w:r w:rsidRPr="00381DC2">
              <w:rPr>
                <w:rFonts w:ascii="Times New Roman" w:hAnsi="Times New Roman"/>
                <w:color w:val="000000"/>
                <w:spacing w:val="-1"/>
              </w:rPr>
              <w:t>Bevacizumab</w:t>
            </w:r>
            <w:r w:rsidRPr="00381DC2">
              <w:rPr>
                <w:rFonts w:ascii="Times New Roman" w:hAnsi="Times New Roman"/>
                <w:color w:val="000000"/>
              </w:rPr>
              <w:t xml:space="preserve">+ </w:t>
            </w:r>
            <w:r w:rsidRPr="00381DC2">
              <w:rPr>
                <w:rFonts w:ascii="Times New Roman" w:hAnsi="Times New Roman"/>
                <w:color w:val="000000"/>
                <w:spacing w:val="-1"/>
              </w:rPr>
              <w:t>karboplatina/gemcitabin</w:t>
            </w:r>
          </w:p>
          <w:p w14:paraId="26CE27FE" w14:textId="77777777" w:rsidR="00ED4C2D" w:rsidRPr="00381DC2" w:rsidRDefault="00ED4C2D" w:rsidP="00FF564D">
            <w:pPr>
              <w:pStyle w:val="TableParagraph"/>
              <w:keepNext/>
              <w:keepLines/>
              <w:spacing w:before="19" w:line="266" w:lineRule="auto"/>
              <w:ind w:left="124" w:right="225"/>
              <w:jc w:val="center"/>
              <w:rPr>
                <w:rFonts w:ascii="Times New Roman" w:eastAsia="Times New Roman" w:hAnsi="Times New Roman"/>
                <w:color w:val="000000"/>
              </w:rPr>
            </w:pPr>
            <w:r w:rsidRPr="00381DC2">
              <w:rPr>
                <w:rFonts w:ascii="Times New Roman" w:hAnsi="Times New Roman"/>
                <w:color w:val="000000"/>
              </w:rPr>
              <w:t xml:space="preserve">(n = </w:t>
            </w:r>
            <w:r w:rsidRPr="00381DC2">
              <w:rPr>
                <w:rFonts w:ascii="Times New Roman" w:hAnsi="Times New Roman"/>
                <w:color w:val="000000"/>
                <w:spacing w:val="-1"/>
              </w:rPr>
              <w:t>242)</w:t>
            </w:r>
          </w:p>
        </w:tc>
      </w:tr>
      <w:tr w:rsidR="00ED4C2D" w:rsidRPr="00F60460" w14:paraId="4DFB6735"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4A3C8186" w14:textId="77777777" w:rsidR="00ED4C2D" w:rsidRPr="00381DC2" w:rsidRDefault="00ED4C2D" w:rsidP="003C1003">
            <w:pPr>
              <w:pStyle w:val="TableParagraph"/>
              <w:spacing w:line="239" w:lineRule="auto"/>
              <w:ind w:left="102" w:right="414"/>
              <w:rPr>
                <w:rFonts w:ascii="Times New Roman" w:eastAsia="Times New Roman" w:hAnsi="Times New Roman"/>
                <w:color w:val="000000"/>
              </w:rPr>
            </w:pPr>
            <w:r w:rsidRPr="00381DC2">
              <w:rPr>
                <w:rFonts w:ascii="Times New Roman" w:hAnsi="Times New Roman"/>
                <w:color w:val="000000"/>
              </w:rPr>
              <w:t>%</w:t>
            </w:r>
            <w:r w:rsidRPr="00381DC2">
              <w:rPr>
                <w:rFonts w:ascii="Times New Roman" w:hAnsi="Times New Roman"/>
                <w:color w:val="000000"/>
                <w:spacing w:val="1"/>
              </w:rPr>
              <w:t xml:space="preserve"> </w:t>
            </w:r>
            <w:r w:rsidRPr="00381DC2">
              <w:rPr>
                <w:rFonts w:ascii="Times New Roman" w:hAnsi="Times New Roman"/>
                <w:color w:val="000000"/>
                <w:spacing w:val="-1"/>
              </w:rPr>
              <w:t>pacientek</w:t>
            </w:r>
            <w:r w:rsidRPr="00381DC2">
              <w:rPr>
                <w:rFonts w:ascii="Times New Roman" w:hAnsi="Times New Roman"/>
                <w:color w:val="000000"/>
              </w:rPr>
              <w:t xml:space="preserve"> s </w:t>
            </w:r>
            <w:r w:rsidRPr="00381DC2">
              <w:rPr>
                <w:rFonts w:ascii="Times New Roman" w:hAnsi="Times New Roman"/>
                <w:color w:val="000000"/>
                <w:spacing w:val="-1"/>
              </w:rPr>
              <w:t>objektivní odpovědí</w:t>
            </w:r>
          </w:p>
        </w:tc>
        <w:tc>
          <w:tcPr>
            <w:tcW w:w="1685" w:type="dxa"/>
            <w:tcBorders>
              <w:top w:val="single" w:sz="5" w:space="0" w:color="000000"/>
              <w:left w:val="single" w:sz="5" w:space="0" w:color="000000"/>
              <w:bottom w:val="single" w:sz="5" w:space="0" w:color="000000"/>
              <w:right w:val="single" w:sz="5" w:space="0" w:color="000000"/>
            </w:tcBorders>
          </w:tcPr>
          <w:p w14:paraId="0E41CF91" w14:textId="77777777" w:rsidR="00ED4C2D" w:rsidRPr="00381DC2" w:rsidRDefault="00ED4C2D" w:rsidP="003C1003">
            <w:pPr>
              <w:pStyle w:val="TableParagraph"/>
              <w:spacing w:before="120"/>
              <w:ind w:left="548"/>
              <w:rPr>
                <w:rFonts w:ascii="Times New Roman" w:eastAsia="Times New Roman" w:hAnsi="Times New Roman"/>
                <w:color w:val="000000"/>
              </w:rPr>
            </w:pPr>
            <w:r w:rsidRPr="00381DC2">
              <w:rPr>
                <w:rFonts w:ascii="Times New Roman" w:hAnsi="Times New Roman"/>
                <w:color w:val="000000"/>
              </w:rPr>
              <w:t>57,4%</w:t>
            </w:r>
          </w:p>
        </w:tc>
        <w:tc>
          <w:tcPr>
            <w:tcW w:w="1884" w:type="dxa"/>
            <w:gridSpan w:val="2"/>
            <w:tcBorders>
              <w:top w:val="single" w:sz="5" w:space="0" w:color="000000"/>
              <w:left w:val="single" w:sz="5" w:space="0" w:color="000000"/>
              <w:bottom w:val="single" w:sz="5" w:space="0" w:color="000000"/>
              <w:right w:val="single" w:sz="5" w:space="0" w:color="000000"/>
            </w:tcBorders>
          </w:tcPr>
          <w:p w14:paraId="0DC4B802" w14:textId="77777777" w:rsidR="00ED4C2D" w:rsidRPr="00381DC2" w:rsidRDefault="00ED4C2D" w:rsidP="003C1003">
            <w:pPr>
              <w:pStyle w:val="TableParagraph"/>
              <w:spacing w:before="120"/>
              <w:ind w:right="1"/>
              <w:jc w:val="center"/>
              <w:rPr>
                <w:rFonts w:ascii="Times New Roman" w:eastAsia="Times New Roman" w:hAnsi="Times New Roman"/>
                <w:color w:val="000000"/>
              </w:rPr>
            </w:pPr>
            <w:r w:rsidRPr="00381DC2">
              <w:rPr>
                <w:rFonts w:ascii="Times New Roman" w:hAnsi="Times New Roman"/>
                <w:color w:val="000000"/>
              </w:rPr>
              <w:t>78,5%</w:t>
            </w:r>
          </w:p>
        </w:tc>
        <w:tc>
          <w:tcPr>
            <w:tcW w:w="1627" w:type="dxa"/>
            <w:gridSpan w:val="3"/>
            <w:tcBorders>
              <w:top w:val="single" w:sz="5" w:space="0" w:color="000000"/>
              <w:left w:val="single" w:sz="5" w:space="0" w:color="000000"/>
              <w:bottom w:val="single" w:sz="5" w:space="0" w:color="000000"/>
              <w:right w:val="single" w:sz="5" w:space="0" w:color="000000"/>
            </w:tcBorders>
          </w:tcPr>
          <w:p w14:paraId="4ED3DF65" w14:textId="77777777" w:rsidR="00ED4C2D" w:rsidRPr="00381DC2" w:rsidRDefault="00ED4C2D" w:rsidP="003C1003">
            <w:pPr>
              <w:pStyle w:val="TableParagraph"/>
              <w:spacing w:before="120"/>
              <w:ind w:left="522"/>
              <w:rPr>
                <w:rFonts w:ascii="Times New Roman" w:eastAsia="Times New Roman" w:hAnsi="Times New Roman"/>
                <w:color w:val="000000"/>
              </w:rPr>
            </w:pPr>
            <w:r w:rsidRPr="00381DC2">
              <w:rPr>
                <w:rFonts w:ascii="Times New Roman" w:hAnsi="Times New Roman"/>
                <w:color w:val="000000"/>
              </w:rPr>
              <w:t>53,7%</w:t>
            </w:r>
          </w:p>
        </w:tc>
        <w:tc>
          <w:tcPr>
            <w:tcW w:w="1757" w:type="dxa"/>
            <w:tcBorders>
              <w:top w:val="single" w:sz="5" w:space="0" w:color="000000"/>
              <w:left w:val="single" w:sz="5" w:space="0" w:color="000000"/>
              <w:bottom w:val="single" w:sz="5" w:space="0" w:color="000000"/>
              <w:right w:val="single" w:sz="5" w:space="0" w:color="000000"/>
            </w:tcBorders>
          </w:tcPr>
          <w:p w14:paraId="312E0826" w14:textId="77777777" w:rsidR="00ED4C2D" w:rsidRPr="00381DC2" w:rsidRDefault="00ED4C2D" w:rsidP="003C1003">
            <w:pPr>
              <w:pStyle w:val="TableParagraph"/>
              <w:spacing w:before="120"/>
              <w:ind w:right="1"/>
              <w:jc w:val="center"/>
              <w:rPr>
                <w:rFonts w:ascii="Times New Roman" w:eastAsia="Times New Roman" w:hAnsi="Times New Roman"/>
                <w:color w:val="000000"/>
              </w:rPr>
            </w:pPr>
            <w:r w:rsidRPr="00381DC2">
              <w:rPr>
                <w:rFonts w:ascii="Times New Roman" w:hAnsi="Times New Roman"/>
                <w:color w:val="000000"/>
              </w:rPr>
              <w:t>74,8%</w:t>
            </w:r>
          </w:p>
        </w:tc>
      </w:tr>
      <w:tr w:rsidR="00ED4C2D" w:rsidRPr="00F60460" w14:paraId="68F97426"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40B32815" w14:textId="77777777" w:rsidR="00ED4C2D" w:rsidRPr="00381DC2" w:rsidRDefault="00ED4C2D" w:rsidP="003C1003">
            <w:pPr>
              <w:pStyle w:val="TableParagraph"/>
              <w:spacing w:line="248" w:lineRule="exact"/>
              <w:ind w:left="102"/>
              <w:rPr>
                <w:rFonts w:ascii="Times New Roman" w:eastAsia="Times New Roman" w:hAnsi="Times New Roman"/>
                <w:color w:val="000000"/>
              </w:rPr>
            </w:pPr>
            <w:r w:rsidRPr="00381DC2">
              <w:rPr>
                <w:rFonts w:ascii="Times New Roman" w:eastAsia="Times New Roman" w:hAnsi="Times New Roman"/>
                <w:color w:val="000000"/>
              </w:rPr>
              <w:t xml:space="preserve">p-hodnota </w:t>
            </w:r>
          </w:p>
        </w:tc>
        <w:tc>
          <w:tcPr>
            <w:tcW w:w="3569" w:type="dxa"/>
            <w:gridSpan w:val="3"/>
            <w:tcBorders>
              <w:top w:val="single" w:sz="5" w:space="0" w:color="000000"/>
              <w:left w:val="single" w:sz="5" w:space="0" w:color="000000"/>
              <w:bottom w:val="single" w:sz="5" w:space="0" w:color="000000"/>
              <w:right w:val="single" w:sz="5" w:space="0" w:color="000000"/>
            </w:tcBorders>
          </w:tcPr>
          <w:p w14:paraId="34158093" w14:textId="77777777" w:rsidR="00ED4C2D" w:rsidRPr="00381DC2" w:rsidRDefault="00ED4C2D" w:rsidP="003C1003">
            <w:pPr>
              <w:pStyle w:val="TableParagraph"/>
              <w:spacing w:line="248" w:lineRule="exact"/>
              <w:jc w:val="center"/>
              <w:rPr>
                <w:rFonts w:ascii="Times New Roman" w:eastAsia="Times New Roman" w:hAnsi="Times New Roman"/>
                <w:color w:val="000000"/>
              </w:rPr>
            </w:pPr>
            <w:r w:rsidRPr="00381DC2">
              <w:rPr>
                <w:rFonts w:ascii="Times New Roman" w:hAnsi="Times New Roman"/>
                <w:color w:val="000000"/>
              </w:rPr>
              <w:t>&lt; 0,0001</w:t>
            </w:r>
          </w:p>
        </w:tc>
        <w:tc>
          <w:tcPr>
            <w:tcW w:w="3384" w:type="dxa"/>
            <w:gridSpan w:val="4"/>
            <w:tcBorders>
              <w:top w:val="single" w:sz="5" w:space="0" w:color="000000"/>
              <w:left w:val="single" w:sz="5" w:space="0" w:color="000000"/>
              <w:bottom w:val="single" w:sz="5" w:space="0" w:color="000000"/>
              <w:right w:val="single" w:sz="5" w:space="0" w:color="000000"/>
            </w:tcBorders>
          </w:tcPr>
          <w:p w14:paraId="37F2642A" w14:textId="77777777" w:rsidR="00ED4C2D" w:rsidRPr="00381DC2" w:rsidRDefault="00ED4C2D" w:rsidP="003C1003">
            <w:pPr>
              <w:pStyle w:val="TableParagraph"/>
              <w:spacing w:line="248" w:lineRule="exact"/>
              <w:jc w:val="center"/>
              <w:rPr>
                <w:rFonts w:ascii="Times New Roman" w:eastAsia="Times New Roman" w:hAnsi="Times New Roman"/>
                <w:color w:val="000000"/>
              </w:rPr>
            </w:pPr>
            <w:r w:rsidRPr="00381DC2">
              <w:rPr>
                <w:rFonts w:ascii="Times New Roman" w:hAnsi="Times New Roman"/>
                <w:color w:val="000000"/>
              </w:rPr>
              <w:t>&lt; 0,0001</w:t>
            </w:r>
          </w:p>
        </w:tc>
      </w:tr>
      <w:tr w:rsidR="00ED4C2D" w:rsidRPr="00F60460" w14:paraId="589BC9B8" w14:textId="77777777" w:rsidTr="006A2145">
        <w:tc>
          <w:tcPr>
            <w:tcW w:w="9386" w:type="dxa"/>
            <w:gridSpan w:val="8"/>
            <w:tcBorders>
              <w:top w:val="single" w:sz="5" w:space="0" w:color="000000"/>
              <w:left w:val="single" w:sz="5" w:space="0" w:color="000000"/>
              <w:bottom w:val="single" w:sz="5" w:space="0" w:color="000000"/>
              <w:right w:val="single" w:sz="5" w:space="0" w:color="000000"/>
            </w:tcBorders>
          </w:tcPr>
          <w:p w14:paraId="44E9CE4A" w14:textId="77777777" w:rsidR="00ED4C2D" w:rsidRPr="00381DC2" w:rsidRDefault="00ED4C2D" w:rsidP="003C1003">
            <w:pPr>
              <w:pStyle w:val="TableParagraph"/>
              <w:spacing w:line="246" w:lineRule="exact"/>
              <w:ind w:left="102"/>
              <w:rPr>
                <w:rFonts w:ascii="Times New Roman" w:eastAsia="Times New Roman" w:hAnsi="Times New Roman"/>
                <w:color w:val="000000"/>
              </w:rPr>
            </w:pPr>
            <w:r w:rsidRPr="00381DC2">
              <w:rPr>
                <w:rFonts w:ascii="Times New Roman" w:hAnsi="Times New Roman"/>
                <w:color w:val="000000"/>
                <w:spacing w:val="-1"/>
              </w:rPr>
              <w:t>Celkové přežití</w:t>
            </w:r>
          </w:p>
        </w:tc>
      </w:tr>
      <w:tr w:rsidR="00ED4C2D" w:rsidRPr="00F60460" w14:paraId="4D2716B1"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6B9673B4" w14:textId="77777777" w:rsidR="00ED4C2D" w:rsidRPr="00381DC2" w:rsidRDefault="00ED4C2D" w:rsidP="003C1003">
            <w:pPr>
              <w:jc w:val="center"/>
              <w:rPr>
                <w:rFonts w:ascii="Times New Roman" w:hAnsi="Times New Roman"/>
                <w:color w:val="000000"/>
              </w:rPr>
            </w:pPr>
          </w:p>
        </w:tc>
        <w:tc>
          <w:tcPr>
            <w:tcW w:w="3558" w:type="dxa"/>
            <w:gridSpan w:val="2"/>
            <w:tcBorders>
              <w:top w:val="single" w:sz="5" w:space="0" w:color="000000"/>
              <w:left w:val="single" w:sz="5" w:space="0" w:color="000000"/>
              <w:bottom w:val="single" w:sz="5" w:space="0" w:color="000000"/>
              <w:right w:val="single" w:sz="5" w:space="0" w:color="000000"/>
            </w:tcBorders>
          </w:tcPr>
          <w:p w14:paraId="05E1B4C2" w14:textId="77777777" w:rsidR="00ED4C2D" w:rsidRPr="00381DC2" w:rsidRDefault="00ED4C2D" w:rsidP="003C1003">
            <w:pPr>
              <w:pStyle w:val="TableParagraph"/>
              <w:spacing w:before="5"/>
              <w:ind w:left="124" w:right="166"/>
              <w:jc w:val="center"/>
              <w:rPr>
                <w:rFonts w:ascii="Times New Roman" w:hAnsi="Times New Roman"/>
                <w:color w:val="000000"/>
              </w:rPr>
            </w:pPr>
            <w:r w:rsidRPr="00381DC2">
              <w:rPr>
                <w:rFonts w:ascii="Times New Roman" w:hAnsi="Times New Roman"/>
                <w:color w:val="000000"/>
                <w:spacing w:val="-1"/>
              </w:rPr>
              <w:t>Placebo+</w:t>
            </w:r>
            <w:r w:rsidRPr="00381DC2">
              <w:rPr>
                <w:rFonts w:ascii="Times New Roman" w:hAnsi="Times New Roman"/>
                <w:color w:val="000000"/>
              </w:rPr>
              <w:t xml:space="preserve"> </w:t>
            </w:r>
            <w:r w:rsidRPr="00381DC2">
              <w:rPr>
                <w:rFonts w:ascii="Times New Roman" w:hAnsi="Times New Roman"/>
                <w:color w:val="000000"/>
                <w:spacing w:val="-1"/>
              </w:rPr>
              <w:t>karboplatina/gemcitabin</w:t>
            </w:r>
          </w:p>
          <w:p w14:paraId="3EE02D66" w14:textId="77777777" w:rsidR="00ED4C2D" w:rsidRPr="00381DC2" w:rsidRDefault="00ED4C2D" w:rsidP="003C1003">
            <w:pPr>
              <w:pStyle w:val="TableParagraph"/>
              <w:spacing w:before="5"/>
              <w:ind w:left="407" w:right="166"/>
              <w:jc w:val="center"/>
              <w:rPr>
                <w:rFonts w:ascii="Times New Roman" w:eastAsia="Times New Roman" w:hAnsi="Times New Roman"/>
                <w:color w:val="000000"/>
              </w:rPr>
            </w:pPr>
            <w:r w:rsidRPr="00381DC2">
              <w:rPr>
                <w:rFonts w:ascii="Times New Roman" w:hAnsi="Times New Roman"/>
                <w:color w:val="000000"/>
              </w:rPr>
              <w:t xml:space="preserve">(n = </w:t>
            </w:r>
            <w:r w:rsidRPr="00381DC2">
              <w:rPr>
                <w:rFonts w:ascii="Times New Roman" w:hAnsi="Times New Roman"/>
                <w:color w:val="000000"/>
                <w:spacing w:val="-1"/>
              </w:rPr>
              <w:t>242)</w:t>
            </w:r>
          </w:p>
        </w:tc>
        <w:tc>
          <w:tcPr>
            <w:tcW w:w="3395" w:type="dxa"/>
            <w:gridSpan w:val="5"/>
            <w:tcBorders>
              <w:top w:val="single" w:sz="5" w:space="0" w:color="000000"/>
              <w:left w:val="single" w:sz="5" w:space="0" w:color="000000"/>
              <w:bottom w:val="single" w:sz="5" w:space="0" w:color="000000"/>
              <w:right w:val="single" w:sz="5" w:space="0" w:color="000000"/>
            </w:tcBorders>
          </w:tcPr>
          <w:p w14:paraId="393A815D" w14:textId="77777777" w:rsidR="00ED4C2D" w:rsidRPr="00381DC2" w:rsidRDefault="00ED4C2D" w:rsidP="003C1003">
            <w:pPr>
              <w:pStyle w:val="TableParagraph"/>
              <w:spacing w:before="19"/>
              <w:ind w:left="243" w:right="163"/>
              <w:jc w:val="center"/>
              <w:rPr>
                <w:rFonts w:ascii="Times New Roman" w:hAnsi="Times New Roman"/>
                <w:color w:val="000000"/>
                <w:spacing w:val="26"/>
              </w:rPr>
            </w:pPr>
            <w:r w:rsidRPr="00381DC2">
              <w:rPr>
                <w:rFonts w:ascii="Times New Roman" w:hAnsi="Times New Roman"/>
                <w:color w:val="000000"/>
                <w:spacing w:val="-1"/>
              </w:rPr>
              <w:t>Bevacizumab</w:t>
            </w:r>
            <w:r w:rsidRPr="00381DC2">
              <w:rPr>
                <w:rFonts w:ascii="Times New Roman" w:hAnsi="Times New Roman"/>
                <w:color w:val="000000"/>
              </w:rPr>
              <w:t xml:space="preserve">+ </w:t>
            </w:r>
            <w:r w:rsidRPr="00381DC2">
              <w:rPr>
                <w:rFonts w:ascii="Times New Roman" w:hAnsi="Times New Roman"/>
                <w:color w:val="000000"/>
                <w:spacing w:val="-1"/>
              </w:rPr>
              <w:t>karboplatina/gemcitabin</w:t>
            </w:r>
          </w:p>
          <w:p w14:paraId="1481A86D" w14:textId="77777777" w:rsidR="00ED4C2D" w:rsidRPr="00381DC2" w:rsidRDefault="00ED4C2D" w:rsidP="003C1003">
            <w:pPr>
              <w:pStyle w:val="TableParagraph"/>
              <w:spacing w:before="19"/>
              <w:ind w:left="407" w:right="858"/>
              <w:jc w:val="center"/>
              <w:rPr>
                <w:rFonts w:ascii="Times New Roman" w:eastAsia="Times New Roman" w:hAnsi="Times New Roman"/>
                <w:color w:val="000000"/>
              </w:rPr>
            </w:pPr>
            <w:r w:rsidRPr="00381DC2">
              <w:rPr>
                <w:rFonts w:ascii="Times New Roman" w:hAnsi="Times New Roman"/>
                <w:color w:val="000000"/>
              </w:rPr>
              <w:t xml:space="preserve">(n = </w:t>
            </w:r>
            <w:r w:rsidRPr="00381DC2">
              <w:rPr>
                <w:rFonts w:ascii="Times New Roman" w:hAnsi="Times New Roman"/>
                <w:color w:val="000000"/>
                <w:spacing w:val="-1"/>
              </w:rPr>
              <w:t>242)</w:t>
            </w:r>
          </w:p>
        </w:tc>
      </w:tr>
      <w:tr w:rsidR="00ED4C2D" w:rsidRPr="00F60460" w14:paraId="3A16FCE3"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6F9E6DDF" w14:textId="77777777" w:rsidR="00ED4C2D" w:rsidRPr="00381DC2" w:rsidRDefault="00ED4C2D" w:rsidP="003C1003">
            <w:pPr>
              <w:pStyle w:val="TableParagraph"/>
              <w:spacing w:line="246" w:lineRule="exact"/>
              <w:ind w:left="102"/>
              <w:rPr>
                <w:rFonts w:ascii="Times New Roman" w:eastAsia="Times New Roman" w:hAnsi="Times New Roman"/>
                <w:color w:val="000000"/>
              </w:rPr>
            </w:pPr>
            <w:r w:rsidRPr="00381DC2">
              <w:rPr>
                <w:rFonts w:ascii="Times New Roman" w:hAnsi="Times New Roman"/>
                <w:color w:val="000000"/>
                <w:spacing w:val="-1"/>
              </w:rPr>
              <w:t>Střední celkové přežití (měsíce)</w:t>
            </w:r>
          </w:p>
        </w:tc>
        <w:tc>
          <w:tcPr>
            <w:tcW w:w="3929" w:type="dxa"/>
            <w:gridSpan w:val="4"/>
            <w:tcBorders>
              <w:top w:val="single" w:sz="5" w:space="0" w:color="000000"/>
              <w:left w:val="single" w:sz="5" w:space="0" w:color="000000"/>
              <w:bottom w:val="single" w:sz="5" w:space="0" w:color="000000"/>
              <w:right w:val="single" w:sz="5" w:space="0" w:color="000000"/>
            </w:tcBorders>
          </w:tcPr>
          <w:p w14:paraId="2BEA0198" w14:textId="77777777" w:rsidR="00ED4C2D" w:rsidRPr="00381DC2" w:rsidRDefault="00ED4C2D" w:rsidP="003C1003">
            <w:pPr>
              <w:pStyle w:val="TableParagraph"/>
              <w:spacing w:line="246" w:lineRule="exact"/>
              <w:jc w:val="center"/>
              <w:rPr>
                <w:rFonts w:ascii="Times New Roman" w:eastAsia="Times New Roman" w:hAnsi="Times New Roman"/>
                <w:color w:val="000000"/>
              </w:rPr>
            </w:pPr>
            <w:r w:rsidRPr="00381DC2">
              <w:rPr>
                <w:rFonts w:ascii="Times New Roman" w:hAnsi="Times New Roman"/>
                <w:color w:val="000000"/>
              </w:rPr>
              <w:t>32,9</w:t>
            </w:r>
          </w:p>
        </w:tc>
        <w:tc>
          <w:tcPr>
            <w:tcW w:w="3024" w:type="dxa"/>
            <w:gridSpan w:val="3"/>
            <w:tcBorders>
              <w:top w:val="single" w:sz="5" w:space="0" w:color="000000"/>
              <w:left w:val="single" w:sz="5" w:space="0" w:color="000000"/>
              <w:bottom w:val="single" w:sz="5" w:space="0" w:color="000000"/>
              <w:right w:val="single" w:sz="5" w:space="0" w:color="000000"/>
            </w:tcBorders>
          </w:tcPr>
          <w:p w14:paraId="4B4BE82E" w14:textId="77777777" w:rsidR="00ED4C2D" w:rsidRPr="00381DC2" w:rsidRDefault="00ED4C2D" w:rsidP="003C1003">
            <w:pPr>
              <w:pStyle w:val="TableParagraph"/>
              <w:spacing w:line="246" w:lineRule="exact"/>
              <w:ind w:left="2"/>
              <w:jc w:val="center"/>
              <w:rPr>
                <w:rFonts w:ascii="Times New Roman" w:eastAsia="Times New Roman" w:hAnsi="Times New Roman"/>
                <w:color w:val="000000"/>
              </w:rPr>
            </w:pPr>
            <w:r w:rsidRPr="00381DC2">
              <w:rPr>
                <w:rFonts w:ascii="Times New Roman" w:hAnsi="Times New Roman"/>
                <w:color w:val="000000"/>
              </w:rPr>
              <w:t>33,6</w:t>
            </w:r>
          </w:p>
        </w:tc>
      </w:tr>
      <w:tr w:rsidR="00ED4C2D" w:rsidRPr="00F60460" w14:paraId="4E811A32"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1EF05194" w14:textId="77777777" w:rsidR="00ED4C2D" w:rsidRPr="00381DC2" w:rsidRDefault="00ED4C2D" w:rsidP="003C1003">
            <w:pPr>
              <w:pStyle w:val="TableParagraph"/>
              <w:spacing w:line="239" w:lineRule="auto"/>
              <w:ind w:left="142" w:right="301" w:hanging="41"/>
              <w:rPr>
                <w:rFonts w:ascii="Times New Roman" w:eastAsia="Times New Roman" w:hAnsi="Times New Roman"/>
                <w:color w:val="000000"/>
              </w:rPr>
            </w:pPr>
            <w:r w:rsidRPr="00381DC2">
              <w:rPr>
                <w:rFonts w:ascii="Times New Roman" w:hAnsi="Times New Roman"/>
                <w:color w:val="000000"/>
              </w:rPr>
              <w:t>Poměr rizik (95% interval spolehlivosti)</w:t>
            </w:r>
          </w:p>
        </w:tc>
        <w:tc>
          <w:tcPr>
            <w:tcW w:w="6953" w:type="dxa"/>
            <w:gridSpan w:val="7"/>
            <w:tcBorders>
              <w:top w:val="single" w:sz="5" w:space="0" w:color="000000"/>
              <w:left w:val="single" w:sz="5" w:space="0" w:color="000000"/>
              <w:bottom w:val="single" w:sz="5" w:space="0" w:color="000000"/>
              <w:right w:val="single" w:sz="5" w:space="0" w:color="000000"/>
            </w:tcBorders>
          </w:tcPr>
          <w:p w14:paraId="04766EB0" w14:textId="77777777" w:rsidR="00ED4C2D" w:rsidRPr="00381DC2" w:rsidRDefault="00ED4C2D" w:rsidP="003C1003">
            <w:pPr>
              <w:pStyle w:val="TableParagraph"/>
              <w:spacing w:before="131"/>
              <w:ind w:left="49"/>
              <w:jc w:val="center"/>
              <w:rPr>
                <w:rFonts w:ascii="Times New Roman" w:eastAsia="Times New Roman" w:hAnsi="Times New Roman"/>
                <w:color w:val="000000"/>
              </w:rPr>
            </w:pPr>
            <w:r w:rsidRPr="00381DC2">
              <w:rPr>
                <w:rFonts w:ascii="Times New Roman" w:hAnsi="Times New Roman"/>
                <w:color w:val="000000"/>
              </w:rPr>
              <w:t>0,952</w:t>
            </w:r>
            <w:r w:rsidRPr="00381DC2">
              <w:rPr>
                <w:rFonts w:ascii="Times New Roman" w:hAnsi="Times New Roman"/>
                <w:color w:val="000000"/>
                <w:spacing w:val="41"/>
              </w:rPr>
              <w:t xml:space="preserve"> </w:t>
            </w:r>
            <w:r w:rsidRPr="00381DC2">
              <w:rPr>
                <w:rFonts w:ascii="Times New Roman" w:hAnsi="Times New Roman"/>
                <w:color w:val="000000"/>
                <w:spacing w:val="-1"/>
              </w:rPr>
              <w:t>[0,771,</w:t>
            </w:r>
            <w:r w:rsidRPr="00381DC2">
              <w:rPr>
                <w:rFonts w:ascii="Times New Roman" w:hAnsi="Times New Roman"/>
                <w:color w:val="000000"/>
                <w:spacing w:val="-4"/>
              </w:rPr>
              <w:t xml:space="preserve"> </w:t>
            </w:r>
            <w:r w:rsidRPr="00381DC2">
              <w:rPr>
                <w:rFonts w:ascii="Times New Roman" w:hAnsi="Times New Roman"/>
                <w:color w:val="000000"/>
                <w:spacing w:val="-1"/>
              </w:rPr>
              <w:t>1,176]</w:t>
            </w:r>
          </w:p>
        </w:tc>
      </w:tr>
      <w:tr w:rsidR="00ED4C2D" w:rsidRPr="00F60460" w14:paraId="4B316817" w14:textId="77777777" w:rsidTr="006A2145">
        <w:tc>
          <w:tcPr>
            <w:tcW w:w="2433" w:type="dxa"/>
            <w:tcBorders>
              <w:top w:val="single" w:sz="5" w:space="0" w:color="000000"/>
              <w:left w:val="single" w:sz="5" w:space="0" w:color="000000"/>
              <w:bottom w:val="single" w:sz="5" w:space="0" w:color="000000"/>
              <w:right w:val="single" w:sz="5" w:space="0" w:color="000000"/>
            </w:tcBorders>
          </w:tcPr>
          <w:p w14:paraId="49D6DC36" w14:textId="77777777" w:rsidR="00ED4C2D" w:rsidRPr="00381DC2" w:rsidRDefault="00ED4C2D" w:rsidP="003C1003">
            <w:pPr>
              <w:pStyle w:val="TableParagraph"/>
              <w:spacing w:line="248" w:lineRule="exact"/>
              <w:ind w:left="142"/>
              <w:rPr>
                <w:rFonts w:ascii="Times New Roman" w:eastAsia="Times New Roman" w:hAnsi="Times New Roman"/>
                <w:color w:val="000000"/>
              </w:rPr>
            </w:pPr>
            <w:r w:rsidRPr="00381DC2">
              <w:rPr>
                <w:rFonts w:ascii="Times New Roman" w:hAnsi="Times New Roman"/>
                <w:color w:val="000000"/>
                <w:spacing w:val="-1"/>
              </w:rPr>
              <w:t>p-hHodnota</w:t>
            </w:r>
          </w:p>
        </w:tc>
        <w:tc>
          <w:tcPr>
            <w:tcW w:w="6953" w:type="dxa"/>
            <w:gridSpan w:val="7"/>
            <w:tcBorders>
              <w:top w:val="single" w:sz="5" w:space="0" w:color="000000"/>
              <w:left w:val="single" w:sz="5" w:space="0" w:color="000000"/>
              <w:bottom w:val="single" w:sz="5" w:space="0" w:color="000000"/>
              <w:right w:val="single" w:sz="5" w:space="0" w:color="000000"/>
            </w:tcBorders>
          </w:tcPr>
          <w:p w14:paraId="52CADA9C" w14:textId="77777777" w:rsidR="00ED4C2D" w:rsidRPr="00381DC2" w:rsidRDefault="00ED4C2D" w:rsidP="003C1003">
            <w:pPr>
              <w:pStyle w:val="TableParagraph"/>
              <w:spacing w:line="248" w:lineRule="exact"/>
              <w:jc w:val="center"/>
              <w:rPr>
                <w:rFonts w:ascii="Times New Roman" w:eastAsia="Times New Roman" w:hAnsi="Times New Roman"/>
                <w:color w:val="000000"/>
              </w:rPr>
            </w:pPr>
            <w:r w:rsidRPr="00381DC2">
              <w:rPr>
                <w:rFonts w:ascii="Times New Roman" w:hAnsi="Times New Roman"/>
                <w:color w:val="000000"/>
              </w:rPr>
              <w:t>0,6479</w:t>
            </w:r>
          </w:p>
        </w:tc>
      </w:tr>
    </w:tbl>
    <w:p w14:paraId="417316E4" w14:textId="77777777" w:rsidR="00ED4C2D" w:rsidRPr="00381DC2" w:rsidRDefault="00ED4C2D" w:rsidP="00ED4C2D">
      <w:pPr>
        <w:widowControl/>
        <w:rPr>
          <w:rFonts w:ascii="Times New Roman" w:eastAsia="Times New Roman" w:hAnsi="Times New Roman"/>
          <w:color w:val="000000"/>
          <w:lang w:bidi="ar-SA"/>
        </w:rPr>
      </w:pPr>
    </w:p>
    <w:p w14:paraId="77420F2D"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Analýza přežití bez progrese v podskupinách dle doby mezi posledním podáním platiny a rekurencí je shrnuta v tabulce </w:t>
      </w:r>
      <w:r w:rsidR="008C3418" w:rsidRPr="00381DC2">
        <w:rPr>
          <w:rFonts w:ascii="Times New Roman" w:eastAsia="Times New Roman" w:hAnsi="Times New Roman"/>
          <w:color w:val="000000"/>
          <w:lang w:bidi="ar-SA"/>
        </w:rPr>
        <w:t>21</w:t>
      </w:r>
      <w:r w:rsidRPr="00381DC2">
        <w:rPr>
          <w:rFonts w:ascii="Times New Roman" w:eastAsia="Times New Roman" w:hAnsi="Times New Roman"/>
          <w:color w:val="000000"/>
          <w:lang w:bidi="ar-SA"/>
        </w:rPr>
        <w:t>.</w:t>
      </w:r>
    </w:p>
    <w:p w14:paraId="3C4D3632" w14:textId="77777777" w:rsidR="00ED4C2D" w:rsidRPr="00381DC2" w:rsidRDefault="00ED4C2D" w:rsidP="00ED4C2D">
      <w:pPr>
        <w:widowControl/>
        <w:rPr>
          <w:rFonts w:ascii="Times New Roman" w:eastAsia="Times New Roman" w:hAnsi="Times New Roman"/>
          <w:color w:val="000000"/>
          <w:lang w:bidi="ar-SA"/>
        </w:rPr>
      </w:pPr>
    </w:p>
    <w:p w14:paraId="7924F7F3" w14:textId="77777777" w:rsidR="00ED4C2D" w:rsidRPr="00381DC2" w:rsidRDefault="00ED4C2D" w:rsidP="00FF564D">
      <w:pPr>
        <w:keepNext/>
        <w:keepLines/>
        <w:widowControl/>
        <w:rPr>
          <w:rFonts w:ascii="Times New Roman" w:eastAsia="Times New Roman" w:hAnsi="Times New Roman"/>
          <w:color w:val="000000"/>
          <w:lang w:bidi="ar-SA"/>
        </w:rPr>
      </w:pPr>
      <w:r w:rsidRPr="00381DC2">
        <w:rPr>
          <w:rFonts w:ascii="Times New Roman" w:eastAsia="Times New Roman" w:hAnsi="Times New Roman"/>
          <w:b/>
          <w:color w:val="000000"/>
          <w:lang w:bidi="ar-SA"/>
        </w:rPr>
        <w:lastRenderedPageBreak/>
        <w:t xml:space="preserve">Tabulka </w:t>
      </w:r>
      <w:r w:rsidR="008C3418" w:rsidRPr="00381DC2">
        <w:rPr>
          <w:rFonts w:ascii="Times New Roman" w:eastAsia="Times New Roman" w:hAnsi="Times New Roman"/>
          <w:b/>
          <w:color w:val="000000"/>
          <w:lang w:bidi="ar-SA"/>
        </w:rPr>
        <w:t>21</w:t>
      </w:r>
      <w:r w:rsidR="005D48D1" w:rsidRPr="00381DC2">
        <w:rPr>
          <w:rFonts w:ascii="Times New Roman" w:eastAsia="Times New Roman" w:hAnsi="Times New Roman"/>
          <w:b/>
          <w:color w:val="000000"/>
          <w:lang w:bidi="ar-SA"/>
        </w:rPr>
        <w:tab/>
      </w:r>
      <w:r w:rsidRPr="00381DC2">
        <w:rPr>
          <w:rFonts w:ascii="Times New Roman" w:eastAsia="Times New Roman" w:hAnsi="Times New Roman"/>
          <w:b/>
          <w:color w:val="000000"/>
          <w:lang w:bidi="ar-SA"/>
        </w:rPr>
        <w:t>Přežití bez progrese dle doby od poslední léčby platinou do rekurence</w:t>
      </w:r>
    </w:p>
    <w:p w14:paraId="1A4912AD" w14:textId="77777777" w:rsidR="00ED4C2D" w:rsidRPr="00381DC2" w:rsidRDefault="00ED4C2D" w:rsidP="00FF564D">
      <w:pPr>
        <w:keepNext/>
        <w:keepLines/>
        <w:widowControl/>
        <w:rPr>
          <w:rFonts w:ascii="Times New Roman" w:eastAsia="Times New Roman" w:hAnsi="Times New Roman"/>
          <w:color w:val="000000"/>
          <w:lang w:bidi="ar-SA"/>
        </w:rPr>
      </w:pPr>
    </w:p>
    <w:tbl>
      <w:tblPr>
        <w:tblW w:w="9386" w:type="dxa"/>
        <w:tblInd w:w="6" w:type="dxa"/>
        <w:tblLayout w:type="fixed"/>
        <w:tblCellMar>
          <w:left w:w="0" w:type="dxa"/>
          <w:right w:w="0" w:type="dxa"/>
        </w:tblCellMar>
        <w:tblLook w:val="01E0" w:firstRow="1" w:lastRow="1" w:firstColumn="1" w:lastColumn="1" w:noHBand="0" w:noVBand="0"/>
      </w:tblPr>
      <w:tblGrid>
        <w:gridCol w:w="3194"/>
        <w:gridCol w:w="3096"/>
        <w:gridCol w:w="3096"/>
      </w:tblGrid>
      <w:tr w:rsidR="00ED4C2D" w:rsidRPr="00F60460" w14:paraId="6B716C1B" w14:textId="77777777" w:rsidTr="003C1003">
        <w:trPr>
          <w:trHeight w:hRule="exact" w:val="264"/>
        </w:trPr>
        <w:tc>
          <w:tcPr>
            <w:tcW w:w="3194" w:type="dxa"/>
            <w:tcBorders>
              <w:top w:val="single" w:sz="5" w:space="0" w:color="000000"/>
              <w:left w:val="single" w:sz="5" w:space="0" w:color="000000"/>
              <w:bottom w:val="single" w:sz="5" w:space="0" w:color="000000"/>
              <w:right w:val="single" w:sz="5" w:space="0" w:color="000000"/>
            </w:tcBorders>
          </w:tcPr>
          <w:p w14:paraId="005E31D2" w14:textId="77777777" w:rsidR="00ED4C2D" w:rsidRPr="00381DC2" w:rsidRDefault="00ED4C2D" w:rsidP="00FF564D">
            <w:pPr>
              <w:keepNext/>
              <w:keepLines/>
              <w:rPr>
                <w:rFonts w:ascii="Times New Roman" w:hAnsi="Times New Roman"/>
                <w:color w:val="000000"/>
              </w:rPr>
            </w:pPr>
          </w:p>
        </w:tc>
        <w:tc>
          <w:tcPr>
            <w:tcW w:w="6192" w:type="dxa"/>
            <w:gridSpan w:val="2"/>
            <w:tcBorders>
              <w:top w:val="single" w:sz="5" w:space="0" w:color="000000"/>
              <w:left w:val="single" w:sz="5" w:space="0" w:color="000000"/>
              <w:bottom w:val="single" w:sz="5" w:space="0" w:color="000000"/>
              <w:right w:val="single" w:sz="5" w:space="0" w:color="000000"/>
            </w:tcBorders>
          </w:tcPr>
          <w:p w14:paraId="38A9F6E4" w14:textId="77777777" w:rsidR="00ED4C2D" w:rsidRPr="00381DC2" w:rsidRDefault="00ED4C2D" w:rsidP="00FF564D">
            <w:pPr>
              <w:pStyle w:val="TableParagraph"/>
              <w:keepNext/>
              <w:keepLines/>
              <w:spacing w:line="246" w:lineRule="exact"/>
              <w:ind w:left="2014"/>
              <w:rPr>
                <w:rFonts w:ascii="Times New Roman" w:eastAsia="Times New Roman" w:hAnsi="Times New Roman"/>
                <w:color w:val="000000"/>
              </w:rPr>
            </w:pPr>
            <w:r w:rsidRPr="00381DC2">
              <w:rPr>
                <w:rFonts w:ascii="Times New Roman" w:hAnsi="Times New Roman"/>
                <w:color w:val="000000"/>
                <w:spacing w:val="-1"/>
              </w:rPr>
              <w:t>Hodnocení řešiteli</w:t>
            </w:r>
          </w:p>
        </w:tc>
      </w:tr>
      <w:tr w:rsidR="00ED4C2D" w:rsidRPr="00F60460" w14:paraId="1E40C044" w14:textId="77777777" w:rsidTr="003C1003">
        <w:trPr>
          <w:trHeight w:hRule="exact" w:val="1107"/>
        </w:trPr>
        <w:tc>
          <w:tcPr>
            <w:tcW w:w="3194" w:type="dxa"/>
            <w:tcBorders>
              <w:top w:val="single" w:sz="5" w:space="0" w:color="000000"/>
              <w:left w:val="single" w:sz="5" w:space="0" w:color="000000"/>
              <w:bottom w:val="single" w:sz="5" w:space="0" w:color="000000"/>
              <w:right w:val="single" w:sz="5" w:space="0" w:color="000000"/>
            </w:tcBorders>
          </w:tcPr>
          <w:p w14:paraId="794D49E2" w14:textId="77777777" w:rsidR="00ED4C2D" w:rsidRPr="00381DC2" w:rsidRDefault="00ED4C2D" w:rsidP="00FF564D">
            <w:pPr>
              <w:pStyle w:val="TableParagraph"/>
              <w:keepNext/>
              <w:keepLines/>
              <w:spacing w:line="239" w:lineRule="auto"/>
              <w:ind w:left="102" w:right="117"/>
              <w:rPr>
                <w:rFonts w:ascii="Times New Roman" w:eastAsia="Times New Roman" w:hAnsi="Times New Roman"/>
                <w:color w:val="000000"/>
              </w:rPr>
            </w:pPr>
            <w:r w:rsidRPr="00381DC2">
              <w:rPr>
                <w:rFonts w:ascii="Times New Roman" w:hAnsi="Times New Roman"/>
                <w:color w:val="000000"/>
                <w:spacing w:val="-1"/>
              </w:rPr>
              <w:t>Doba od poslední léčby</w:t>
            </w:r>
            <w:r w:rsidRPr="00381DC2">
              <w:rPr>
                <w:rFonts w:ascii="Times New Roman" w:hAnsi="Times New Roman"/>
                <w:color w:val="000000"/>
                <w:spacing w:val="1"/>
              </w:rPr>
              <w:t xml:space="preserve"> </w:t>
            </w:r>
            <w:r w:rsidRPr="00381DC2">
              <w:rPr>
                <w:rFonts w:ascii="Times New Roman" w:hAnsi="Times New Roman"/>
                <w:color w:val="000000"/>
                <w:spacing w:val="-1"/>
              </w:rPr>
              <w:t>platinou do</w:t>
            </w:r>
            <w:r w:rsidRPr="00381DC2">
              <w:rPr>
                <w:rFonts w:ascii="Times New Roman" w:hAnsi="Times New Roman"/>
                <w:color w:val="000000"/>
              </w:rPr>
              <w:t xml:space="preserve"> </w:t>
            </w:r>
            <w:r w:rsidRPr="00381DC2">
              <w:rPr>
                <w:rFonts w:ascii="Times New Roman" w:hAnsi="Times New Roman"/>
                <w:color w:val="000000"/>
                <w:spacing w:val="-1"/>
              </w:rPr>
              <w:t>rekurence</w:t>
            </w:r>
          </w:p>
        </w:tc>
        <w:tc>
          <w:tcPr>
            <w:tcW w:w="3096" w:type="dxa"/>
            <w:tcBorders>
              <w:top w:val="single" w:sz="5" w:space="0" w:color="000000"/>
              <w:left w:val="single" w:sz="5" w:space="0" w:color="000000"/>
              <w:bottom w:val="single" w:sz="5" w:space="0" w:color="000000"/>
              <w:right w:val="single" w:sz="5" w:space="0" w:color="000000"/>
            </w:tcBorders>
          </w:tcPr>
          <w:p w14:paraId="25184988" w14:textId="77777777" w:rsidR="00ED4C2D" w:rsidRPr="00381DC2" w:rsidRDefault="00ED4C2D" w:rsidP="00FF564D">
            <w:pPr>
              <w:pStyle w:val="TableParagraph"/>
              <w:keepNext/>
              <w:keepLines/>
              <w:spacing w:before="19"/>
              <w:ind w:left="205" w:right="325"/>
              <w:jc w:val="center"/>
              <w:rPr>
                <w:rFonts w:ascii="Times New Roman" w:eastAsia="Times New Roman" w:hAnsi="Times New Roman"/>
                <w:color w:val="000000"/>
              </w:rPr>
            </w:pPr>
            <w:r w:rsidRPr="00381DC2">
              <w:rPr>
                <w:rFonts w:ascii="Times New Roman" w:hAnsi="Times New Roman"/>
                <w:color w:val="000000"/>
                <w:spacing w:val="-1"/>
              </w:rPr>
              <w:t>Placebo</w:t>
            </w:r>
            <w:r w:rsidRPr="00381DC2">
              <w:rPr>
                <w:rFonts w:ascii="Times New Roman" w:hAnsi="Times New Roman"/>
                <w:color w:val="000000"/>
              </w:rPr>
              <w:t xml:space="preserve"> + </w:t>
            </w:r>
            <w:r w:rsidRPr="00381DC2">
              <w:rPr>
                <w:rFonts w:ascii="Times New Roman" w:hAnsi="Times New Roman"/>
                <w:color w:val="000000"/>
                <w:spacing w:val="-1"/>
              </w:rPr>
              <w:t>karboplatina/gemcitabin</w:t>
            </w:r>
            <w:r w:rsidRPr="00381DC2">
              <w:rPr>
                <w:rFonts w:ascii="Times New Roman" w:hAnsi="Times New Roman"/>
                <w:color w:val="000000"/>
              </w:rPr>
              <w:t xml:space="preserve"> (n = </w:t>
            </w:r>
            <w:r w:rsidRPr="00381DC2">
              <w:rPr>
                <w:rFonts w:ascii="Times New Roman" w:hAnsi="Times New Roman"/>
                <w:color w:val="000000"/>
                <w:spacing w:val="-1"/>
              </w:rPr>
              <w:t>242)</w:t>
            </w:r>
          </w:p>
        </w:tc>
        <w:tc>
          <w:tcPr>
            <w:tcW w:w="3096" w:type="dxa"/>
            <w:tcBorders>
              <w:top w:val="single" w:sz="5" w:space="0" w:color="000000"/>
              <w:left w:val="single" w:sz="5" w:space="0" w:color="000000"/>
              <w:bottom w:val="single" w:sz="5" w:space="0" w:color="000000"/>
              <w:right w:val="single" w:sz="5" w:space="0" w:color="000000"/>
            </w:tcBorders>
          </w:tcPr>
          <w:p w14:paraId="2FC9A592" w14:textId="77777777" w:rsidR="00ED4C2D" w:rsidRPr="00381DC2" w:rsidRDefault="00ED4C2D" w:rsidP="00FF564D">
            <w:pPr>
              <w:pStyle w:val="TableParagraph"/>
              <w:keepNext/>
              <w:keepLines/>
              <w:spacing w:before="17" w:line="243" w:lineRule="auto"/>
              <w:ind w:left="205" w:right="325"/>
              <w:jc w:val="center"/>
              <w:rPr>
                <w:rFonts w:ascii="Times New Roman" w:hAnsi="Times New Roman"/>
                <w:color w:val="000000"/>
                <w:spacing w:val="26"/>
              </w:rPr>
            </w:pPr>
            <w:r w:rsidRPr="00381DC2">
              <w:rPr>
                <w:rFonts w:ascii="Times New Roman" w:hAnsi="Times New Roman"/>
                <w:color w:val="000000"/>
                <w:spacing w:val="-1"/>
              </w:rPr>
              <w:t>Bevacizumab</w:t>
            </w:r>
            <w:r w:rsidRPr="00381DC2">
              <w:rPr>
                <w:rFonts w:ascii="Times New Roman" w:hAnsi="Times New Roman"/>
                <w:color w:val="000000"/>
              </w:rPr>
              <w:t xml:space="preserve">+ </w:t>
            </w:r>
            <w:r w:rsidRPr="00381DC2">
              <w:rPr>
                <w:rFonts w:ascii="Times New Roman" w:hAnsi="Times New Roman"/>
                <w:color w:val="000000"/>
                <w:spacing w:val="-1"/>
              </w:rPr>
              <w:t>karboplatina/gemcitabin</w:t>
            </w:r>
          </w:p>
          <w:p w14:paraId="65E1B099" w14:textId="77777777" w:rsidR="00ED4C2D" w:rsidRPr="00381DC2" w:rsidRDefault="00ED4C2D" w:rsidP="00FF564D">
            <w:pPr>
              <w:pStyle w:val="TableParagraph"/>
              <w:keepNext/>
              <w:keepLines/>
              <w:spacing w:before="17" w:line="243" w:lineRule="auto"/>
              <w:ind w:left="205" w:right="325"/>
              <w:jc w:val="center"/>
              <w:rPr>
                <w:rFonts w:ascii="Times New Roman" w:eastAsia="Times New Roman" w:hAnsi="Times New Roman"/>
                <w:color w:val="000000"/>
              </w:rPr>
            </w:pPr>
            <w:r w:rsidRPr="00381DC2">
              <w:rPr>
                <w:rFonts w:ascii="Times New Roman" w:hAnsi="Times New Roman"/>
                <w:color w:val="000000"/>
              </w:rPr>
              <w:t xml:space="preserve">(n = </w:t>
            </w:r>
            <w:r w:rsidRPr="00381DC2">
              <w:rPr>
                <w:rFonts w:ascii="Times New Roman" w:hAnsi="Times New Roman"/>
                <w:color w:val="000000"/>
                <w:spacing w:val="-1"/>
              </w:rPr>
              <w:t>242)</w:t>
            </w:r>
          </w:p>
        </w:tc>
      </w:tr>
      <w:tr w:rsidR="00ED4C2D" w:rsidRPr="00F60460" w14:paraId="2E99C76A" w14:textId="77777777" w:rsidTr="003C1003">
        <w:trPr>
          <w:trHeight w:hRule="exact" w:val="264"/>
        </w:trPr>
        <w:tc>
          <w:tcPr>
            <w:tcW w:w="3194" w:type="dxa"/>
            <w:tcBorders>
              <w:top w:val="single" w:sz="5" w:space="0" w:color="000000"/>
              <w:left w:val="single" w:sz="5" w:space="0" w:color="000000"/>
              <w:bottom w:val="single" w:sz="5" w:space="0" w:color="000000"/>
              <w:right w:val="single" w:sz="5" w:space="0" w:color="000000"/>
            </w:tcBorders>
          </w:tcPr>
          <w:p w14:paraId="351CACA6" w14:textId="77777777" w:rsidR="00ED4C2D" w:rsidRPr="00381DC2" w:rsidRDefault="00ED4C2D" w:rsidP="003C1003">
            <w:pPr>
              <w:pStyle w:val="TableParagraph"/>
              <w:spacing w:line="251" w:lineRule="exact"/>
              <w:ind w:left="102"/>
              <w:rPr>
                <w:rFonts w:ascii="Times New Roman" w:eastAsia="Times New Roman" w:hAnsi="Times New Roman"/>
                <w:color w:val="000000"/>
              </w:rPr>
            </w:pPr>
            <w:r w:rsidRPr="00381DC2">
              <w:rPr>
                <w:rFonts w:ascii="Times New Roman" w:hAnsi="Times New Roman"/>
                <w:b/>
                <w:color w:val="000000"/>
              </w:rPr>
              <w:t>6 -</w:t>
            </w:r>
            <w:r w:rsidRPr="00381DC2">
              <w:rPr>
                <w:rFonts w:ascii="Times New Roman" w:hAnsi="Times New Roman"/>
                <w:b/>
                <w:color w:val="000000"/>
                <w:spacing w:val="1"/>
              </w:rPr>
              <w:t xml:space="preserve"> </w:t>
            </w:r>
            <w:r w:rsidRPr="00381DC2">
              <w:rPr>
                <w:rFonts w:ascii="Times New Roman" w:hAnsi="Times New Roman"/>
                <w:b/>
                <w:color w:val="000000"/>
              </w:rPr>
              <w:t>12</w:t>
            </w:r>
            <w:r w:rsidRPr="00381DC2">
              <w:rPr>
                <w:rFonts w:ascii="Times New Roman" w:hAnsi="Times New Roman"/>
                <w:b/>
                <w:color w:val="000000"/>
                <w:spacing w:val="-3"/>
              </w:rPr>
              <w:t xml:space="preserve"> </w:t>
            </w:r>
            <w:r w:rsidRPr="00381DC2">
              <w:rPr>
                <w:rFonts w:ascii="Times New Roman" w:hAnsi="Times New Roman"/>
                <w:b/>
                <w:color w:val="000000"/>
                <w:spacing w:val="-1"/>
              </w:rPr>
              <w:t>měsíců</w:t>
            </w:r>
            <w:r w:rsidRPr="00381DC2">
              <w:rPr>
                <w:rFonts w:ascii="Times New Roman" w:hAnsi="Times New Roman"/>
                <w:b/>
                <w:color w:val="000000"/>
              </w:rPr>
              <w:t xml:space="preserve"> </w:t>
            </w:r>
            <w:r w:rsidRPr="00381DC2">
              <w:rPr>
                <w:rFonts w:ascii="Times New Roman" w:hAnsi="Times New Roman"/>
                <w:b/>
                <w:color w:val="000000"/>
                <w:spacing w:val="-1"/>
              </w:rPr>
              <w:t>(n=202)</w:t>
            </w:r>
          </w:p>
        </w:tc>
        <w:tc>
          <w:tcPr>
            <w:tcW w:w="3096" w:type="dxa"/>
            <w:tcBorders>
              <w:top w:val="single" w:sz="5" w:space="0" w:color="000000"/>
              <w:left w:val="single" w:sz="5" w:space="0" w:color="000000"/>
              <w:bottom w:val="single" w:sz="5" w:space="0" w:color="000000"/>
              <w:right w:val="single" w:sz="5" w:space="0" w:color="000000"/>
            </w:tcBorders>
          </w:tcPr>
          <w:p w14:paraId="28181BC5" w14:textId="77777777" w:rsidR="00ED4C2D" w:rsidRPr="00381DC2" w:rsidRDefault="00ED4C2D" w:rsidP="003C1003">
            <w:pPr>
              <w:rPr>
                <w:rFonts w:ascii="Times New Roman" w:hAnsi="Times New Roman"/>
                <w:color w:val="000000"/>
              </w:rPr>
            </w:pPr>
          </w:p>
        </w:tc>
        <w:tc>
          <w:tcPr>
            <w:tcW w:w="3096" w:type="dxa"/>
            <w:tcBorders>
              <w:top w:val="single" w:sz="5" w:space="0" w:color="000000"/>
              <w:left w:val="single" w:sz="5" w:space="0" w:color="000000"/>
              <w:bottom w:val="single" w:sz="5" w:space="0" w:color="000000"/>
              <w:right w:val="single" w:sz="5" w:space="0" w:color="000000"/>
            </w:tcBorders>
          </w:tcPr>
          <w:p w14:paraId="3FEE28A3" w14:textId="77777777" w:rsidR="00ED4C2D" w:rsidRPr="00381DC2" w:rsidRDefault="00ED4C2D" w:rsidP="003C1003">
            <w:pPr>
              <w:rPr>
                <w:rFonts w:ascii="Times New Roman" w:hAnsi="Times New Roman"/>
                <w:color w:val="000000"/>
              </w:rPr>
            </w:pPr>
          </w:p>
        </w:tc>
      </w:tr>
      <w:tr w:rsidR="00ED4C2D" w:rsidRPr="00F60460" w14:paraId="22DF2B7E" w14:textId="77777777" w:rsidTr="003C1003">
        <w:trPr>
          <w:trHeight w:hRule="exact" w:val="262"/>
        </w:trPr>
        <w:tc>
          <w:tcPr>
            <w:tcW w:w="3194" w:type="dxa"/>
            <w:tcBorders>
              <w:top w:val="single" w:sz="5" w:space="0" w:color="000000"/>
              <w:left w:val="single" w:sz="5" w:space="0" w:color="000000"/>
              <w:bottom w:val="single" w:sz="5" w:space="0" w:color="000000"/>
              <w:right w:val="single" w:sz="5" w:space="0" w:color="000000"/>
            </w:tcBorders>
          </w:tcPr>
          <w:p w14:paraId="5C83EAF3" w14:textId="77777777" w:rsidR="00ED4C2D" w:rsidRPr="00381DC2" w:rsidRDefault="00ED4C2D" w:rsidP="003C1003">
            <w:pPr>
              <w:pStyle w:val="TableParagraph"/>
              <w:spacing w:line="250" w:lineRule="exact"/>
              <w:ind w:left="373"/>
              <w:rPr>
                <w:rFonts w:ascii="Times New Roman" w:eastAsia="Times New Roman" w:hAnsi="Times New Roman"/>
                <w:color w:val="000000"/>
              </w:rPr>
            </w:pPr>
            <w:r w:rsidRPr="00381DC2">
              <w:rPr>
                <w:rFonts w:ascii="Times New Roman" w:hAnsi="Times New Roman"/>
                <w:b/>
                <w:color w:val="000000"/>
                <w:spacing w:val="-1"/>
              </w:rPr>
              <w:t>Medián</w:t>
            </w:r>
          </w:p>
        </w:tc>
        <w:tc>
          <w:tcPr>
            <w:tcW w:w="3096" w:type="dxa"/>
            <w:tcBorders>
              <w:top w:val="single" w:sz="5" w:space="0" w:color="000000"/>
              <w:left w:val="single" w:sz="5" w:space="0" w:color="000000"/>
              <w:bottom w:val="single" w:sz="5" w:space="0" w:color="000000"/>
              <w:right w:val="single" w:sz="5" w:space="0" w:color="000000"/>
            </w:tcBorders>
          </w:tcPr>
          <w:p w14:paraId="4BD94405" w14:textId="77777777" w:rsidR="00ED4C2D" w:rsidRPr="00381DC2" w:rsidRDefault="00ED4C2D" w:rsidP="003C1003">
            <w:pPr>
              <w:pStyle w:val="TableParagraph"/>
              <w:spacing w:line="246" w:lineRule="exact"/>
              <w:ind w:right="5"/>
              <w:jc w:val="center"/>
              <w:rPr>
                <w:rFonts w:ascii="Times New Roman" w:eastAsia="Times New Roman" w:hAnsi="Times New Roman"/>
                <w:color w:val="000000"/>
              </w:rPr>
            </w:pPr>
            <w:r w:rsidRPr="00381DC2">
              <w:rPr>
                <w:rFonts w:ascii="Times New Roman" w:hAnsi="Times New Roman"/>
                <w:color w:val="000000"/>
              </w:rPr>
              <w:t>8,0</w:t>
            </w:r>
          </w:p>
        </w:tc>
        <w:tc>
          <w:tcPr>
            <w:tcW w:w="3096" w:type="dxa"/>
            <w:tcBorders>
              <w:top w:val="single" w:sz="5" w:space="0" w:color="000000"/>
              <w:left w:val="single" w:sz="5" w:space="0" w:color="000000"/>
              <w:bottom w:val="single" w:sz="5" w:space="0" w:color="000000"/>
              <w:right w:val="single" w:sz="5" w:space="0" w:color="000000"/>
            </w:tcBorders>
          </w:tcPr>
          <w:p w14:paraId="69134230" w14:textId="77777777" w:rsidR="00ED4C2D" w:rsidRPr="00381DC2" w:rsidRDefault="00ED4C2D" w:rsidP="003C1003">
            <w:pPr>
              <w:pStyle w:val="TableParagraph"/>
              <w:spacing w:line="246" w:lineRule="exact"/>
              <w:jc w:val="center"/>
              <w:rPr>
                <w:rFonts w:ascii="Times New Roman" w:eastAsia="Times New Roman" w:hAnsi="Times New Roman"/>
                <w:color w:val="000000"/>
              </w:rPr>
            </w:pPr>
            <w:r w:rsidRPr="00381DC2">
              <w:rPr>
                <w:rFonts w:ascii="Times New Roman" w:hAnsi="Times New Roman"/>
                <w:color w:val="000000"/>
              </w:rPr>
              <w:t>11,9</w:t>
            </w:r>
          </w:p>
        </w:tc>
      </w:tr>
      <w:tr w:rsidR="00ED4C2D" w:rsidRPr="00F60460" w14:paraId="00349567" w14:textId="77777777" w:rsidTr="003C1003">
        <w:trPr>
          <w:trHeight w:hRule="exact" w:val="563"/>
        </w:trPr>
        <w:tc>
          <w:tcPr>
            <w:tcW w:w="3194" w:type="dxa"/>
            <w:tcBorders>
              <w:top w:val="single" w:sz="5" w:space="0" w:color="000000"/>
              <w:left w:val="single" w:sz="5" w:space="0" w:color="000000"/>
              <w:bottom w:val="single" w:sz="5" w:space="0" w:color="000000"/>
              <w:right w:val="single" w:sz="5" w:space="0" w:color="000000"/>
            </w:tcBorders>
          </w:tcPr>
          <w:p w14:paraId="66944482" w14:textId="77777777" w:rsidR="00ED4C2D" w:rsidRPr="00381DC2" w:rsidRDefault="00ED4C2D" w:rsidP="003C1003">
            <w:pPr>
              <w:pStyle w:val="TableParagraph"/>
              <w:spacing w:line="246" w:lineRule="exact"/>
              <w:ind w:left="373"/>
              <w:rPr>
                <w:rFonts w:ascii="Times New Roman" w:eastAsia="Times New Roman" w:hAnsi="Times New Roman"/>
                <w:color w:val="000000"/>
              </w:rPr>
            </w:pPr>
            <w:r w:rsidRPr="00381DC2">
              <w:rPr>
                <w:rFonts w:ascii="Times New Roman" w:hAnsi="Times New Roman"/>
                <w:color w:val="000000"/>
              </w:rPr>
              <w:t>Poměr rizik (95% interval spolehlivosti)</w:t>
            </w:r>
          </w:p>
        </w:tc>
        <w:tc>
          <w:tcPr>
            <w:tcW w:w="6192" w:type="dxa"/>
            <w:gridSpan w:val="2"/>
            <w:tcBorders>
              <w:top w:val="single" w:sz="5" w:space="0" w:color="000000"/>
              <w:left w:val="single" w:sz="5" w:space="0" w:color="000000"/>
              <w:bottom w:val="single" w:sz="5" w:space="0" w:color="000000"/>
              <w:right w:val="single" w:sz="5" w:space="0" w:color="000000"/>
            </w:tcBorders>
          </w:tcPr>
          <w:p w14:paraId="611510DB" w14:textId="77777777" w:rsidR="00ED4C2D" w:rsidRPr="00381DC2" w:rsidRDefault="00ED4C2D" w:rsidP="003C1003">
            <w:pPr>
              <w:pStyle w:val="TableParagraph"/>
              <w:spacing w:line="246" w:lineRule="exact"/>
              <w:ind w:right="3"/>
              <w:jc w:val="center"/>
              <w:rPr>
                <w:rFonts w:ascii="Times New Roman" w:eastAsia="Times New Roman" w:hAnsi="Times New Roman"/>
                <w:color w:val="000000"/>
              </w:rPr>
            </w:pPr>
            <w:r w:rsidRPr="00381DC2">
              <w:rPr>
                <w:rFonts w:ascii="Times New Roman" w:hAnsi="Times New Roman"/>
                <w:color w:val="000000"/>
              </w:rPr>
              <w:t xml:space="preserve">0,41 </w:t>
            </w:r>
            <w:r w:rsidRPr="00381DC2">
              <w:rPr>
                <w:rFonts w:ascii="Times New Roman" w:hAnsi="Times New Roman"/>
                <w:color w:val="000000"/>
                <w:spacing w:val="-1"/>
              </w:rPr>
              <w:t>(0,29</w:t>
            </w:r>
            <w:r w:rsidRPr="00381DC2">
              <w:rPr>
                <w:rFonts w:ascii="Times New Roman" w:hAnsi="Times New Roman"/>
                <w:color w:val="000000"/>
              </w:rPr>
              <w:t xml:space="preserve"> –</w:t>
            </w:r>
            <w:r w:rsidRPr="00381DC2">
              <w:rPr>
                <w:rFonts w:ascii="Times New Roman" w:hAnsi="Times New Roman"/>
                <w:color w:val="000000"/>
                <w:spacing w:val="-4"/>
              </w:rPr>
              <w:t xml:space="preserve"> </w:t>
            </w:r>
            <w:r w:rsidRPr="00381DC2">
              <w:rPr>
                <w:rFonts w:ascii="Times New Roman" w:hAnsi="Times New Roman"/>
                <w:color w:val="000000"/>
              </w:rPr>
              <w:t>0,58)</w:t>
            </w:r>
          </w:p>
        </w:tc>
      </w:tr>
      <w:tr w:rsidR="00ED4C2D" w:rsidRPr="00F60460" w14:paraId="16BEEB2F" w14:textId="77777777" w:rsidTr="003C1003">
        <w:trPr>
          <w:trHeight w:hRule="exact" w:val="262"/>
        </w:trPr>
        <w:tc>
          <w:tcPr>
            <w:tcW w:w="3194" w:type="dxa"/>
            <w:tcBorders>
              <w:top w:val="single" w:sz="5" w:space="0" w:color="000000"/>
              <w:left w:val="single" w:sz="5" w:space="0" w:color="000000"/>
              <w:bottom w:val="single" w:sz="5" w:space="0" w:color="000000"/>
              <w:right w:val="single" w:sz="5" w:space="0" w:color="000000"/>
            </w:tcBorders>
          </w:tcPr>
          <w:p w14:paraId="7C543CD9" w14:textId="77777777" w:rsidR="00ED4C2D" w:rsidRPr="00381DC2" w:rsidRDefault="00ED4C2D" w:rsidP="003C1003">
            <w:pPr>
              <w:pStyle w:val="TableParagraph"/>
              <w:spacing w:line="250" w:lineRule="exact"/>
              <w:ind w:left="102"/>
              <w:rPr>
                <w:rFonts w:ascii="Times New Roman" w:eastAsia="Times New Roman" w:hAnsi="Times New Roman"/>
                <w:color w:val="000000"/>
              </w:rPr>
            </w:pPr>
            <w:r w:rsidRPr="00381DC2">
              <w:rPr>
                <w:rFonts w:ascii="Times New Roman" w:hAnsi="Times New Roman"/>
                <w:b/>
                <w:color w:val="000000"/>
              </w:rPr>
              <w:t>&gt;</w:t>
            </w:r>
            <w:r w:rsidRPr="00381DC2">
              <w:rPr>
                <w:rFonts w:ascii="Times New Roman" w:hAnsi="Times New Roman"/>
                <w:b/>
                <w:color w:val="000000"/>
                <w:spacing w:val="-1"/>
              </w:rPr>
              <w:t xml:space="preserve"> </w:t>
            </w:r>
            <w:r w:rsidRPr="00381DC2">
              <w:rPr>
                <w:rFonts w:ascii="Times New Roman" w:hAnsi="Times New Roman"/>
                <w:b/>
                <w:color w:val="000000"/>
              </w:rPr>
              <w:t xml:space="preserve">12 </w:t>
            </w:r>
            <w:r w:rsidRPr="00381DC2">
              <w:rPr>
                <w:rFonts w:ascii="Times New Roman" w:hAnsi="Times New Roman"/>
                <w:b/>
                <w:color w:val="000000"/>
                <w:spacing w:val="-1"/>
              </w:rPr>
              <w:t>měsíců</w:t>
            </w:r>
            <w:r w:rsidRPr="00381DC2">
              <w:rPr>
                <w:rFonts w:ascii="Times New Roman" w:hAnsi="Times New Roman"/>
                <w:b/>
                <w:color w:val="000000"/>
              </w:rPr>
              <w:t xml:space="preserve"> </w:t>
            </w:r>
            <w:r w:rsidRPr="00381DC2">
              <w:rPr>
                <w:rFonts w:ascii="Times New Roman" w:hAnsi="Times New Roman"/>
                <w:b/>
                <w:color w:val="000000"/>
                <w:spacing w:val="-1"/>
              </w:rPr>
              <w:t>(n=282)</w:t>
            </w:r>
          </w:p>
        </w:tc>
        <w:tc>
          <w:tcPr>
            <w:tcW w:w="3096" w:type="dxa"/>
            <w:tcBorders>
              <w:top w:val="single" w:sz="5" w:space="0" w:color="000000"/>
              <w:left w:val="single" w:sz="5" w:space="0" w:color="000000"/>
              <w:bottom w:val="single" w:sz="5" w:space="0" w:color="000000"/>
              <w:right w:val="single" w:sz="5" w:space="0" w:color="000000"/>
            </w:tcBorders>
          </w:tcPr>
          <w:p w14:paraId="46AF4605" w14:textId="77777777" w:rsidR="00ED4C2D" w:rsidRPr="00381DC2" w:rsidRDefault="00ED4C2D" w:rsidP="003C1003">
            <w:pPr>
              <w:rPr>
                <w:rFonts w:ascii="Times New Roman" w:hAnsi="Times New Roman"/>
                <w:color w:val="000000"/>
              </w:rPr>
            </w:pPr>
          </w:p>
        </w:tc>
        <w:tc>
          <w:tcPr>
            <w:tcW w:w="3096" w:type="dxa"/>
            <w:tcBorders>
              <w:top w:val="single" w:sz="5" w:space="0" w:color="000000"/>
              <w:left w:val="single" w:sz="5" w:space="0" w:color="000000"/>
              <w:bottom w:val="single" w:sz="5" w:space="0" w:color="000000"/>
              <w:right w:val="single" w:sz="5" w:space="0" w:color="000000"/>
            </w:tcBorders>
          </w:tcPr>
          <w:p w14:paraId="4D1E1957" w14:textId="77777777" w:rsidR="00ED4C2D" w:rsidRPr="00381DC2" w:rsidRDefault="00ED4C2D" w:rsidP="003C1003">
            <w:pPr>
              <w:rPr>
                <w:rFonts w:ascii="Times New Roman" w:hAnsi="Times New Roman"/>
                <w:color w:val="000000"/>
              </w:rPr>
            </w:pPr>
          </w:p>
        </w:tc>
      </w:tr>
      <w:tr w:rsidR="00ED4C2D" w:rsidRPr="00F60460" w14:paraId="6A3E1974" w14:textId="77777777" w:rsidTr="003C1003">
        <w:trPr>
          <w:trHeight w:hRule="exact" w:val="264"/>
        </w:trPr>
        <w:tc>
          <w:tcPr>
            <w:tcW w:w="3194" w:type="dxa"/>
            <w:tcBorders>
              <w:top w:val="single" w:sz="5" w:space="0" w:color="000000"/>
              <w:left w:val="single" w:sz="5" w:space="0" w:color="000000"/>
              <w:bottom w:val="single" w:sz="5" w:space="0" w:color="000000"/>
              <w:right w:val="single" w:sz="5" w:space="0" w:color="000000"/>
            </w:tcBorders>
          </w:tcPr>
          <w:p w14:paraId="355135FA" w14:textId="77777777" w:rsidR="00ED4C2D" w:rsidRPr="00381DC2" w:rsidRDefault="00ED4C2D" w:rsidP="003C1003">
            <w:pPr>
              <w:pStyle w:val="TableParagraph"/>
              <w:spacing w:line="252" w:lineRule="exact"/>
              <w:ind w:left="373"/>
              <w:rPr>
                <w:rFonts w:ascii="Times New Roman" w:eastAsia="Times New Roman" w:hAnsi="Times New Roman"/>
                <w:color w:val="000000"/>
              </w:rPr>
            </w:pPr>
            <w:r w:rsidRPr="00381DC2">
              <w:rPr>
                <w:rFonts w:ascii="Times New Roman" w:hAnsi="Times New Roman"/>
                <w:b/>
                <w:color w:val="000000"/>
                <w:spacing w:val="-1"/>
              </w:rPr>
              <w:t>Medián</w:t>
            </w:r>
          </w:p>
        </w:tc>
        <w:tc>
          <w:tcPr>
            <w:tcW w:w="3096" w:type="dxa"/>
            <w:tcBorders>
              <w:top w:val="single" w:sz="5" w:space="0" w:color="000000"/>
              <w:left w:val="single" w:sz="5" w:space="0" w:color="000000"/>
              <w:bottom w:val="single" w:sz="5" w:space="0" w:color="000000"/>
              <w:right w:val="single" w:sz="5" w:space="0" w:color="000000"/>
            </w:tcBorders>
          </w:tcPr>
          <w:p w14:paraId="079091BD" w14:textId="77777777" w:rsidR="00ED4C2D" w:rsidRPr="00381DC2" w:rsidRDefault="00ED4C2D" w:rsidP="003C1003">
            <w:pPr>
              <w:pStyle w:val="TableParagraph"/>
              <w:spacing w:line="248" w:lineRule="exact"/>
              <w:ind w:right="5"/>
              <w:jc w:val="center"/>
              <w:rPr>
                <w:rFonts w:ascii="Times New Roman" w:eastAsia="Times New Roman" w:hAnsi="Times New Roman"/>
                <w:color w:val="000000"/>
              </w:rPr>
            </w:pPr>
            <w:r w:rsidRPr="00381DC2">
              <w:rPr>
                <w:rFonts w:ascii="Times New Roman" w:hAnsi="Times New Roman"/>
                <w:color w:val="000000"/>
              </w:rPr>
              <w:t>9,7</w:t>
            </w:r>
          </w:p>
        </w:tc>
        <w:tc>
          <w:tcPr>
            <w:tcW w:w="3096" w:type="dxa"/>
            <w:tcBorders>
              <w:top w:val="single" w:sz="5" w:space="0" w:color="000000"/>
              <w:left w:val="single" w:sz="5" w:space="0" w:color="000000"/>
              <w:bottom w:val="single" w:sz="5" w:space="0" w:color="000000"/>
              <w:right w:val="single" w:sz="5" w:space="0" w:color="000000"/>
            </w:tcBorders>
          </w:tcPr>
          <w:p w14:paraId="5033B1F0" w14:textId="77777777" w:rsidR="00ED4C2D" w:rsidRPr="00381DC2" w:rsidRDefault="00ED4C2D" w:rsidP="003C1003">
            <w:pPr>
              <w:pStyle w:val="TableParagraph"/>
              <w:spacing w:line="248" w:lineRule="exact"/>
              <w:jc w:val="center"/>
              <w:rPr>
                <w:rFonts w:ascii="Times New Roman" w:eastAsia="Times New Roman" w:hAnsi="Times New Roman"/>
                <w:color w:val="000000"/>
              </w:rPr>
            </w:pPr>
            <w:r w:rsidRPr="00381DC2">
              <w:rPr>
                <w:rFonts w:ascii="Times New Roman" w:hAnsi="Times New Roman"/>
                <w:color w:val="000000"/>
              </w:rPr>
              <w:t>12,4</w:t>
            </w:r>
          </w:p>
        </w:tc>
      </w:tr>
      <w:tr w:rsidR="00ED4C2D" w:rsidRPr="00F60460" w14:paraId="3B6F2D5E" w14:textId="77777777" w:rsidTr="003C1003">
        <w:trPr>
          <w:trHeight w:hRule="exact" w:val="607"/>
        </w:trPr>
        <w:tc>
          <w:tcPr>
            <w:tcW w:w="3194" w:type="dxa"/>
            <w:tcBorders>
              <w:top w:val="single" w:sz="5" w:space="0" w:color="000000"/>
              <w:left w:val="single" w:sz="5" w:space="0" w:color="000000"/>
              <w:bottom w:val="single" w:sz="5" w:space="0" w:color="000000"/>
              <w:right w:val="single" w:sz="5" w:space="0" w:color="000000"/>
            </w:tcBorders>
          </w:tcPr>
          <w:p w14:paraId="6B636C1A" w14:textId="77777777" w:rsidR="00ED4C2D" w:rsidRPr="00381DC2" w:rsidRDefault="00ED4C2D" w:rsidP="003C1003">
            <w:pPr>
              <w:pStyle w:val="TableParagraph"/>
              <w:spacing w:line="246" w:lineRule="exact"/>
              <w:ind w:left="373"/>
              <w:rPr>
                <w:rFonts w:ascii="Times New Roman" w:eastAsia="Times New Roman" w:hAnsi="Times New Roman"/>
                <w:color w:val="000000"/>
              </w:rPr>
            </w:pPr>
            <w:r w:rsidRPr="00381DC2">
              <w:rPr>
                <w:rFonts w:ascii="Times New Roman" w:hAnsi="Times New Roman"/>
                <w:color w:val="000000"/>
              </w:rPr>
              <w:t>Poměr rizik (95% interval spolehlivosti)</w:t>
            </w:r>
          </w:p>
        </w:tc>
        <w:tc>
          <w:tcPr>
            <w:tcW w:w="6192" w:type="dxa"/>
            <w:gridSpan w:val="2"/>
            <w:tcBorders>
              <w:top w:val="single" w:sz="5" w:space="0" w:color="000000"/>
              <w:left w:val="single" w:sz="5" w:space="0" w:color="000000"/>
              <w:bottom w:val="single" w:sz="5" w:space="0" w:color="000000"/>
              <w:right w:val="single" w:sz="5" w:space="0" w:color="000000"/>
            </w:tcBorders>
          </w:tcPr>
          <w:p w14:paraId="6037100A" w14:textId="77777777" w:rsidR="00ED4C2D" w:rsidRPr="00381DC2" w:rsidRDefault="00ED4C2D" w:rsidP="003C1003">
            <w:pPr>
              <w:pStyle w:val="TableParagraph"/>
              <w:spacing w:line="246" w:lineRule="exact"/>
              <w:ind w:right="3"/>
              <w:jc w:val="center"/>
              <w:rPr>
                <w:rFonts w:ascii="Times New Roman" w:eastAsia="Times New Roman" w:hAnsi="Times New Roman"/>
                <w:color w:val="000000"/>
              </w:rPr>
            </w:pPr>
            <w:r w:rsidRPr="00381DC2">
              <w:rPr>
                <w:rFonts w:ascii="Times New Roman" w:eastAsia="Times New Roman" w:hAnsi="Times New Roman"/>
                <w:color w:val="000000"/>
              </w:rPr>
              <w:t xml:space="preserve">0,55 </w:t>
            </w:r>
            <w:r w:rsidRPr="00381DC2">
              <w:rPr>
                <w:rFonts w:ascii="Times New Roman" w:eastAsia="Times New Roman" w:hAnsi="Times New Roman"/>
                <w:color w:val="000000"/>
                <w:spacing w:val="-1"/>
              </w:rPr>
              <w:t>(0,41</w:t>
            </w:r>
            <w:r w:rsidRPr="00381DC2">
              <w:rPr>
                <w:rFonts w:ascii="Times New Roman" w:eastAsia="Times New Roman" w:hAnsi="Times New Roman"/>
                <w:color w:val="000000"/>
              </w:rPr>
              <w:t xml:space="preserve"> – </w:t>
            </w:r>
            <w:r w:rsidRPr="00381DC2">
              <w:rPr>
                <w:rFonts w:ascii="Times New Roman" w:eastAsia="Times New Roman" w:hAnsi="Times New Roman"/>
                <w:color w:val="000000"/>
                <w:spacing w:val="-1"/>
              </w:rPr>
              <w:t>0,73)</w:t>
            </w:r>
          </w:p>
        </w:tc>
      </w:tr>
    </w:tbl>
    <w:p w14:paraId="332C51E8" w14:textId="77777777" w:rsidR="00ED4C2D" w:rsidRPr="00381DC2" w:rsidRDefault="00ED4C2D" w:rsidP="00ED4C2D">
      <w:pPr>
        <w:widowControl/>
        <w:rPr>
          <w:rFonts w:ascii="Times New Roman" w:eastAsia="Times New Roman" w:hAnsi="Times New Roman"/>
          <w:color w:val="000000"/>
          <w:lang w:bidi="ar-SA"/>
        </w:rPr>
      </w:pPr>
    </w:p>
    <w:p w14:paraId="464EF431"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i/>
          <w:iCs/>
          <w:color w:val="000000"/>
          <w:lang w:bidi="ar-SA"/>
        </w:rPr>
        <w:t>GOG-0213</w:t>
      </w:r>
    </w:p>
    <w:p w14:paraId="5DFADD81"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Randomizovaná, kontrolovaná, otevřená studie fáze III GOG-0213 hodnotila bezpečnost a účinnost bevacizumab v léčbě pacientek s rekurencí epitelového nádoru vaječníků, vejcovodů nebo primárního nádoru pobřišnice citlivého k platině bez předchozí chemoterapie po rekurenci. Předchozí anti-angiogenní terapie nebyla kritériem pro vyřazení. Studie hodnotila účinek přidání bevacizumabu ke kombinaci karboplatiny a paklitaxelu s následnou monoterapií bevacizumabem do progrese onemocnění nebo nepřijatelné toxicity ve srovnání se samotnou kombinací karboplatiny a paklitaxelu.</w:t>
      </w:r>
    </w:p>
    <w:p w14:paraId="7C1098AB" w14:textId="77777777" w:rsidR="00ED4C2D" w:rsidRPr="00381DC2" w:rsidRDefault="00ED4C2D" w:rsidP="00ED4C2D">
      <w:pPr>
        <w:widowControl/>
        <w:rPr>
          <w:rFonts w:ascii="Times New Roman" w:eastAsia="Times New Roman" w:hAnsi="Times New Roman"/>
          <w:color w:val="000000"/>
          <w:lang w:bidi="ar-SA"/>
        </w:rPr>
      </w:pPr>
    </w:p>
    <w:p w14:paraId="23BDCD29" w14:textId="77777777" w:rsidR="00ED4C2D" w:rsidRPr="00381DC2" w:rsidRDefault="00ED4C2D" w:rsidP="008378F9">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Celkem bylo randomizováno 673 pacientek ve stejném poměru do následujících dvou léčebných ramen:</w:t>
      </w:r>
    </w:p>
    <w:p w14:paraId="43746D3E" w14:textId="77777777" w:rsidR="00ED4C2D" w:rsidRPr="00381DC2" w:rsidRDefault="00ED4C2D" w:rsidP="008378F9">
      <w:pPr>
        <w:widowControl/>
        <w:numPr>
          <w:ilvl w:val="0"/>
          <w:numId w:val="41"/>
        </w:numPr>
        <w:rPr>
          <w:rFonts w:ascii="Times New Roman" w:eastAsia="Times New Roman" w:hAnsi="Times New Roman"/>
          <w:color w:val="000000"/>
          <w:lang w:bidi="ar-SA"/>
        </w:rPr>
      </w:pPr>
      <w:r w:rsidRPr="00381DC2">
        <w:rPr>
          <w:rFonts w:ascii="Times New Roman" w:eastAsia="Times New Roman" w:hAnsi="Times New Roman"/>
          <w:color w:val="000000"/>
          <w:lang w:bidi="ar-SA"/>
        </w:rPr>
        <w:t>Rameno KP: Karboplatina (AUC5) a paklitaxel (175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xml:space="preserve"> </w:t>
      </w:r>
      <w:r w:rsidR="006F7098" w:rsidRPr="00381DC2">
        <w:rPr>
          <w:rFonts w:ascii="Times New Roman" w:eastAsia="Times New Roman" w:hAnsi="Times New Roman"/>
          <w:color w:val="000000"/>
          <w:lang w:bidi="ar-SA"/>
        </w:rPr>
        <w:t>intravenózně</w:t>
      </w:r>
      <w:r w:rsidRPr="00381DC2">
        <w:rPr>
          <w:rFonts w:ascii="Times New Roman" w:eastAsia="Times New Roman" w:hAnsi="Times New Roman"/>
          <w:color w:val="000000"/>
          <w:lang w:bidi="ar-SA"/>
        </w:rPr>
        <w:t xml:space="preserve">) každé 3 týdny v 6 až 8 cyklech. </w:t>
      </w:r>
    </w:p>
    <w:p w14:paraId="648FCB13" w14:textId="77777777" w:rsidR="00ED4C2D" w:rsidRPr="00381DC2" w:rsidRDefault="00ED4C2D" w:rsidP="008378F9">
      <w:pPr>
        <w:widowControl/>
        <w:numPr>
          <w:ilvl w:val="0"/>
          <w:numId w:val="41"/>
        </w:numPr>
        <w:rPr>
          <w:rFonts w:ascii="Times New Roman" w:eastAsia="Times New Roman" w:hAnsi="Times New Roman"/>
          <w:color w:val="000000"/>
          <w:lang w:bidi="ar-SA"/>
        </w:rPr>
      </w:pPr>
      <w:r w:rsidRPr="00381DC2">
        <w:rPr>
          <w:rFonts w:ascii="Times New Roman" w:eastAsia="Times New Roman" w:hAnsi="Times New Roman"/>
          <w:color w:val="000000"/>
          <w:lang w:bidi="ar-SA"/>
        </w:rPr>
        <w:t>Rameno KPB: Karboplatina (AUC5) a paklitaxel (175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xml:space="preserve"> </w:t>
      </w:r>
      <w:r w:rsidR="006F7098" w:rsidRPr="00381DC2">
        <w:rPr>
          <w:rFonts w:ascii="Times New Roman" w:eastAsia="Times New Roman" w:hAnsi="Times New Roman"/>
          <w:color w:val="000000"/>
          <w:lang w:bidi="ar-SA"/>
        </w:rPr>
        <w:t>intravenózně</w:t>
      </w:r>
      <w:r w:rsidRPr="00381DC2">
        <w:rPr>
          <w:rFonts w:ascii="Times New Roman" w:eastAsia="Times New Roman" w:hAnsi="Times New Roman"/>
          <w:color w:val="000000"/>
          <w:lang w:bidi="ar-SA"/>
        </w:rPr>
        <w:t>) a souběžně bevacizumab (15 mg/kg) každé 3 týdny v 6 až 8 cyklech a následně monoterapie bavacizumabem (15 mg/kg každé 3 týdny) do progrese onemocnění nebo nepřijatelné toxicity.</w:t>
      </w:r>
    </w:p>
    <w:p w14:paraId="7B6E72C9" w14:textId="77777777" w:rsidR="00ED4C2D" w:rsidRPr="00381DC2" w:rsidRDefault="00ED4C2D" w:rsidP="00ED4C2D">
      <w:pPr>
        <w:widowControl/>
        <w:rPr>
          <w:rFonts w:ascii="Times New Roman" w:eastAsia="Times New Roman" w:hAnsi="Times New Roman"/>
          <w:color w:val="000000"/>
          <w:lang w:bidi="ar-SA"/>
        </w:rPr>
      </w:pPr>
    </w:p>
    <w:p w14:paraId="573695E2"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Většina pacientek v ramenu KP (80,4%) a ramenu KPB (78,9%) byly bělošky. Medián věku byl 60,0 let v ramenu KP a 59,0 let v ramenu KPB. Většina pacientek (KP: 64,6%; KPB: 68,8%) spadala do věkové kategorie &lt; 65 let. Výchozí GOG PS byl u většiny pacientek v obou léčebných ramenech 0 (KP: 82,4%; KPB: 80,7%) nebo 1 (KP: 16,7%; KPB: 18,1%). Výchozí GOG PS 2 byl hlášen u 0,9% pacientek v ramenu KP a u 1,2% pacientek v ramenu KPB.</w:t>
      </w:r>
    </w:p>
    <w:p w14:paraId="6420EB85" w14:textId="77777777" w:rsidR="00ED4C2D" w:rsidRPr="00381DC2" w:rsidRDefault="00ED4C2D" w:rsidP="00ED4C2D">
      <w:pPr>
        <w:widowControl/>
        <w:rPr>
          <w:rFonts w:ascii="Times New Roman" w:eastAsia="Times New Roman" w:hAnsi="Times New Roman"/>
          <w:color w:val="000000"/>
          <w:lang w:bidi="ar-SA"/>
        </w:rPr>
      </w:pPr>
    </w:p>
    <w:p w14:paraId="5DF84726"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Primárním cílovým parametrem účinnosti bylo celkové přežití (OS). Hlavním sekundárním cílovým parametrem účinnosti bylo přežití bez progrese onemocnění (PFS). Výsledky jsou uvedeny v tabulce </w:t>
      </w:r>
      <w:r w:rsidR="00FA7CCD" w:rsidRPr="00381DC2">
        <w:rPr>
          <w:rFonts w:ascii="Times New Roman" w:eastAsia="Times New Roman" w:hAnsi="Times New Roman"/>
          <w:color w:val="000000"/>
          <w:lang w:bidi="ar-SA"/>
        </w:rPr>
        <w:t>22</w:t>
      </w:r>
      <w:r w:rsidRPr="00381DC2">
        <w:rPr>
          <w:rFonts w:ascii="Times New Roman" w:eastAsia="Times New Roman" w:hAnsi="Times New Roman"/>
          <w:color w:val="000000"/>
          <w:lang w:bidi="ar-SA"/>
        </w:rPr>
        <w:t>.</w:t>
      </w:r>
    </w:p>
    <w:p w14:paraId="18CE63FC" w14:textId="77777777" w:rsidR="00ED4C2D" w:rsidRPr="00381DC2" w:rsidRDefault="00ED4C2D" w:rsidP="00ED4C2D">
      <w:pPr>
        <w:widowControl/>
        <w:rPr>
          <w:rFonts w:ascii="Times New Roman" w:eastAsia="Times New Roman" w:hAnsi="Times New Roman"/>
          <w:color w:val="000000"/>
          <w:lang w:bidi="ar-SA"/>
        </w:rPr>
      </w:pPr>
    </w:p>
    <w:p w14:paraId="40DE7298" w14:textId="77777777" w:rsidR="00ED4C2D" w:rsidRPr="00381DC2" w:rsidRDefault="00ED4C2D" w:rsidP="00FF564D">
      <w:pPr>
        <w:keepNext/>
        <w:keepLines/>
        <w:widowControl/>
        <w:rPr>
          <w:rFonts w:ascii="Times New Roman" w:eastAsia="Times New Roman" w:hAnsi="Times New Roman"/>
          <w:color w:val="000000"/>
          <w:lang w:bidi="ar-SA"/>
        </w:rPr>
      </w:pPr>
      <w:r w:rsidRPr="00381DC2">
        <w:rPr>
          <w:rFonts w:ascii="Times New Roman" w:eastAsia="Times New Roman" w:hAnsi="Times New Roman"/>
          <w:b/>
          <w:bCs/>
          <w:color w:val="000000"/>
          <w:lang w:bidi="ar-SA"/>
        </w:rPr>
        <w:lastRenderedPageBreak/>
        <w:t xml:space="preserve">Tabulka </w:t>
      </w:r>
      <w:r w:rsidR="00CD1DCD" w:rsidRPr="00381DC2">
        <w:rPr>
          <w:rFonts w:ascii="Times New Roman" w:eastAsia="Times New Roman" w:hAnsi="Times New Roman"/>
          <w:b/>
          <w:bCs/>
          <w:color w:val="000000"/>
          <w:lang w:bidi="ar-SA"/>
        </w:rPr>
        <w:t>22</w:t>
      </w:r>
      <w:r w:rsidR="005D48D1" w:rsidRPr="00381DC2">
        <w:rPr>
          <w:rFonts w:ascii="Times New Roman" w:eastAsia="Times New Roman" w:hAnsi="Times New Roman"/>
          <w:b/>
          <w:bCs/>
          <w:color w:val="000000"/>
          <w:lang w:bidi="ar-SA"/>
        </w:rPr>
        <w:tab/>
      </w:r>
      <w:r w:rsidRPr="00381DC2">
        <w:rPr>
          <w:rFonts w:ascii="Times New Roman" w:eastAsia="Times New Roman" w:hAnsi="Times New Roman"/>
          <w:b/>
          <w:color w:val="000000"/>
          <w:lang w:bidi="ar-SA"/>
        </w:rPr>
        <w:t>Výsledné údaje o účinnosti</w:t>
      </w:r>
      <w:r w:rsidRPr="00381DC2">
        <w:rPr>
          <w:rFonts w:ascii="Times New Roman" w:eastAsia="Times New Roman" w:hAnsi="Times New Roman"/>
          <w:b/>
          <w:color w:val="000000"/>
          <w:vertAlign w:val="superscript"/>
          <w:lang w:bidi="ar-SA"/>
        </w:rPr>
        <w:t>(1,2)</w:t>
      </w:r>
      <w:r w:rsidRPr="00381DC2">
        <w:rPr>
          <w:rFonts w:ascii="Times New Roman" w:eastAsia="Times New Roman" w:hAnsi="Times New Roman"/>
          <w:b/>
          <w:color w:val="000000"/>
          <w:lang w:bidi="ar-SA"/>
        </w:rPr>
        <w:t xml:space="preserve"> ze studie GOG-0213</w:t>
      </w:r>
      <w:r w:rsidRPr="00381DC2">
        <w:rPr>
          <w:rFonts w:ascii="Times New Roman" w:eastAsia="Times New Roman" w:hAnsi="Times New Roman"/>
          <w:color w:val="000000"/>
          <w:lang w:bidi="ar-SA"/>
        </w:rPr>
        <w:t xml:space="preserve"> </w:t>
      </w:r>
    </w:p>
    <w:p w14:paraId="30DF05F7" w14:textId="77777777" w:rsidR="00ED4C2D" w:rsidRPr="00381DC2" w:rsidRDefault="00ED4C2D" w:rsidP="00FF564D">
      <w:pPr>
        <w:keepNext/>
        <w:keepLines/>
        <w:widowControl/>
        <w:rPr>
          <w:rFonts w:ascii="Times New Roman" w:eastAsia="Times New Roman" w:hAnsi="Times New Roman"/>
          <w:color w:val="000000"/>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1"/>
        <w:gridCol w:w="2561"/>
        <w:gridCol w:w="2563"/>
      </w:tblGrid>
      <w:tr w:rsidR="00ED4C2D" w:rsidRPr="00F60460" w14:paraId="209B2E17" w14:textId="77777777" w:rsidTr="003C1003">
        <w:tc>
          <w:tcPr>
            <w:tcW w:w="9278" w:type="dxa"/>
            <w:gridSpan w:val="3"/>
            <w:shd w:val="clear" w:color="auto" w:fill="auto"/>
          </w:tcPr>
          <w:p w14:paraId="76F498EA" w14:textId="77777777" w:rsidR="00ED4C2D" w:rsidRPr="00381DC2" w:rsidRDefault="00ED4C2D" w:rsidP="00FF564D">
            <w:pPr>
              <w:keepNext/>
              <w:keepLines/>
              <w:rPr>
                <w:rFonts w:ascii="Times New Roman" w:eastAsia="Times New Roman" w:hAnsi="Times New Roman"/>
                <w:color w:val="000000"/>
              </w:rPr>
            </w:pPr>
            <w:r w:rsidRPr="00381DC2">
              <w:rPr>
                <w:rFonts w:ascii="Times New Roman" w:hAnsi="Times New Roman"/>
                <w:b/>
                <w:bCs/>
                <w:color w:val="000000"/>
              </w:rPr>
              <w:t xml:space="preserve">Primární cílový parametr </w:t>
            </w:r>
          </w:p>
        </w:tc>
      </w:tr>
      <w:tr w:rsidR="00ED4C2D" w:rsidRPr="00F60460" w14:paraId="549B5941" w14:textId="77777777" w:rsidTr="003C1003">
        <w:tc>
          <w:tcPr>
            <w:tcW w:w="3960" w:type="dxa"/>
            <w:shd w:val="clear" w:color="auto" w:fill="auto"/>
          </w:tcPr>
          <w:p w14:paraId="7C43DD2D" w14:textId="77777777" w:rsidR="00ED4C2D" w:rsidRPr="00381DC2" w:rsidRDefault="00ED4C2D" w:rsidP="00FF564D">
            <w:pPr>
              <w:pStyle w:val="Default"/>
              <w:keepNext/>
              <w:keepLines/>
              <w:rPr>
                <w:rFonts w:eastAsia="Times New Roman"/>
                <w:sz w:val="22"/>
                <w:szCs w:val="22"/>
              </w:rPr>
            </w:pPr>
            <w:r w:rsidRPr="00381DC2">
              <w:rPr>
                <w:b/>
                <w:bCs/>
                <w:sz w:val="22"/>
                <w:szCs w:val="22"/>
              </w:rPr>
              <w:t xml:space="preserve">Celkové přežití (OS) </w:t>
            </w:r>
          </w:p>
        </w:tc>
        <w:tc>
          <w:tcPr>
            <w:tcW w:w="2659" w:type="dxa"/>
            <w:shd w:val="clear" w:color="auto" w:fill="auto"/>
          </w:tcPr>
          <w:p w14:paraId="528909B9" w14:textId="77777777" w:rsidR="00ED4C2D" w:rsidRPr="00381DC2" w:rsidRDefault="00ED4C2D" w:rsidP="00FF564D">
            <w:pPr>
              <w:pStyle w:val="Default"/>
              <w:keepNext/>
              <w:keepLines/>
              <w:jc w:val="center"/>
              <w:rPr>
                <w:sz w:val="22"/>
                <w:szCs w:val="22"/>
              </w:rPr>
            </w:pPr>
            <w:r w:rsidRPr="00381DC2">
              <w:rPr>
                <w:sz w:val="22"/>
                <w:szCs w:val="22"/>
              </w:rPr>
              <w:t>KP</w:t>
            </w:r>
          </w:p>
          <w:p w14:paraId="6E46DA24" w14:textId="56FBEF99" w:rsidR="00ED4C2D" w:rsidRPr="00381DC2" w:rsidRDefault="00ED4C2D" w:rsidP="00FF564D">
            <w:pPr>
              <w:keepNext/>
              <w:keepLines/>
              <w:jc w:val="center"/>
              <w:rPr>
                <w:rFonts w:ascii="Times New Roman" w:eastAsia="Times New Roman" w:hAnsi="Times New Roman"/>
                <w:color w:val="000000"/>
              </w:rPr>
            </w:pPr>
            <w:r w:rsidRPr="00381DC2">
              <w:rPr>
                <w:rFonts w:ascii="Times New Roman" w:hAnsi="Times New Roman"/>
                <w:color w:val="000000"/>
              </w:rPr>
              <w:t>(n</w:t>
            </w:r>
            <w:r w:rsidR="00C34ACD">
              <w:rPr>
                <w:rFonts w:ascii="Times New Roman" w:hAnsi="Times New Roman"/>
                <w:color w:val="000000"/>
              </w:rPr>
              <w:t xml:space="preserve"> </w:t>
            </w:r>
            <w:r w:rsidRPr="00381DC2">
              <w:rPr>
                <w:rFonts w:ascii="Times New Roman" w:hAnsi="Times New Roman"/>
                <w:color w:val="000000"/>
              </w:rPr>
              <w:t>=</w:t>
            </w:r>
            <w:r w:rsidR="00C34ACD">
              <w:rPr>
                <w:rFonts w:ascii="Times New Roman" w:hAnsi="Times New Roman"/>
                <w:color w:val="000000"/>
              </w:rPr>
              <w:t xml:space="preserve"> </w:t>
            </w:r>
            <w:r w:rsidRPr="00381DC2">
              <w:rPr>
                <w:rFonts w:ascii="Times New Roman" w:hAnsi="Times New Roman"/>
                <w:color w:val="000000"/>
              </w:rPr>
              <w:t>336)</w:t>
            </w:r>
          </w:p>
        </w:tc>
        <w:tc>
          <w:tcPr>
            <w:tcW w:w="2659" w:type="dxa"/>
            <w:shd w:val="clear" w:color="auto" w:fill="auto"/>
          </w:tcPr>
          <w:p w14:paraId="2F2B9269" w14:textId="77777777" w:rsidR="00ED4C2D" w:rsidRPr="00381DC2" w:rsidRDefault="00ED4C2D" w:rsidP="00FF564D">
            <w:pPr>
              <w:pStyle w:val="Default"/>
              <w:keepNext/>
              <w:keepLines/>
              <w:jc w:val="center"/>
              <w:rPr>
                <w:sz w:val="22"/>
                <w:szCs w:val="22"/>
              </w:rPr>
            </w:pPr>
            <w:r w:rsidRPr="00381DC2">
              <w:rPr>
                <w:sz w:val="22"/>
                <w:szCs w:val="22"/>
              </w:rPr>
              <w:t>KPB</w:t>
            </w:r>
          </w:p>
          <w:p w14:paraId="359C9F63" w14:textId="75871B48" w:rsidR="00ED4C2D" w:rsidRPr="00381DC2" w:rsidRDefault="00ED4C2D" w:rsidP="00FF564D">
            <w:pPr>
              <w:keepNext/>
              <w:keepLines/>
              <w:jc w:val="center"/>
              <w:rPr>
                <w:rFonts w:ascii="Times New Roman" w:eastAsia="Times New Roman" w:hAnsi="Times New Roman"/>
                <w:color w:val="000000"/>
              </w:rPr>
            </w:pPr>
            <w:r w:rsidRPr="00381DC2">
              <w:rPr>
                <w:rFonts w:ascii="Times New Roman" w:hAnsi="Times New Roman"/>
                <w:color w:val="000000"/>
              </w:rPr>
              <w:t>(n</w:t>
            </w:r>
            <w:r w:rsidR="00C34ACD">
              <w:rPr>
                <w:rFonts w:ascii="Times New Roman" w:hAnsi="Times New Roman"/>
                <w:color w:val="000000"/>
              </w:rPr>
              <w:t xml:space="preserve"> </w:t>
            </w:r>
            <w:r w:rsidRPr="00381DC2">
              <w:rPr>
                <w:rFonts w:ascii="Times New Roman" w:hAnsi="Times New Roman"/>
                <w:color w:val="000000"/>
              </w:rPr>
              <w:t>=</w:t>
            </w:r>
            <w:r w:rsidR="00C34ACD">
              <w:rPr>
                <w:rFonts w:ascii="Times New Roman" w:hAnsi="Times New Roman"/>
                <w:color w:val="000000"/>
              </w:rPr>
              <w:t xml:space="preserve"> </w:t>
            </w:r>
            <w:r w:rsidRPr="00381DC2">
              <w:rPr>
                <w:rFonts w:ascii="Times New Roman" w:hAnsi="Times New Roman"/>
                <w:color w:val="000000"/>
              </w:rPr>
              <w:t>337)</w:t>
            </w:r>
          </w:p>
        </w:tc>
      </w:tr>
      <w:tr w:rsidR="00ED4C2D" w:rsidRPr="00F60460" w14:paraId="7AEF0A0C" w14:textId="77777777" w:rsidTr="003C1003">
        <w:tc>
          <w:tcPr>
            <w:tcW w:w="3960" w:type="dxa"/>
            <w:shd w:val="clear" w:color="auto" w:fill="auto"/>
          </w:tcPr>
          <w:p w14:paraId="66BBE69B" w14:textId="77777777" w:rsidR="00ED4C2D" w:rsidRPr="00381DC2" w:rsidRDefault="00ED4C2D" w:rsidP="00FF564D">
            <w:pPr>
              <w:pStyle w:val="Default"/>
              <w:keepNext/>
              <w:keepLines/>
              <w:rPr>
                <w:rFonts w:eastAsia="Times New Roman"/>
                <w:sz w:val="22"/>
                <w:szCs w:val="22"/>
              </w:rPr>
            </w:pPr>
            <w:r w:rsidRPr="00381DC2">
              <w:rPr>
                <w:sz w:val="22"/>
                <w:szCs w:val="22"/>
              </w:rPr>
              <w:t xml:space="preserve">Medián OS (měsíce) </w:t>
            </w:r>
          </w:p>
        </w:tc>
        <w:tc>
          <w:tcPr>
            <w:tcW w:w="2659" w:type="dxa"/>
            <w:shd w:val="clear" w:color="auto" w:fill="auto"/>
          </w:tcPr>
          <w:p w14:paraId="518AB9E6" w14:textId="77777777" w:rsidR="00ED4C2D" w:rsidRPr="00381DC2" w:rsidRDefault="00ED4C2D" w:rsidP="00FF564D">
            <w:pPr>
              <w:pStyle w:val="Default"/>
              <w:keepNext/>
              <w:keepLines/>
              <w:jc w:val="center"/>
              <w:rPr>
                <w:rFonts w:eastAsia="Times New Roman"/>
                <w:sz w:val="22"/>
                <w:szCs w:val="22"/>
              </w:rPr>
            </w:pPr>
            <w:r w:rsidRPr="00381DC2">
              <w:rPr>
                <w:sz w:val="22"/>
                <w:szCs w:val="22"/>
              </w:rPr>
              <w:t>37,3</w:t>
            </w:r>
          </w:p>
        </w:tc>
        <w:tc>
          <w:tcPr>
            <w:tcW w:w="2659" w:type="dxa"/>
            <w:shd w:val="clear" w:color="auto" w:fill="auto"/>
          </w:tcPr>
          <w:p w14:paraId="520A947B" w14:textId="77777777" w:rsidR="00ED4C2D" w:rsidRPr="00381DC2" w:rsidRDefault="00ED4C2D" w:rsidP="00FF564D">
            <w:pPr>
              <w:pStyle w:val="Default"/>
              <w:keepNext/>
              <w:keepLines/>
              <w:jc w:val="center"/>
              <w:rPr>
                <w:rFonts w:eastAsia="Times New Roman"/>
                <w:sz w:val="22"/>
                <w:szCs w:val="22"/>
              </w:rPr>
            </w:pPr>
            <w:r w:rsidRPr="00381DC2">
              <w:rPr>
                <w:sz w:val="22"/>
                <w:szCs w:val="22"/>
              </w:rPr>
              <w:t>42,6</w:t>
            </w:r>
          </w:p>
        </w:tc>
      </w:tr>
      <w:tr w:rsidR="00ED4C2D" w:rsidRPr="00F60460" w14:paraId="2C3FB366" w14:textId="77777777" w:rsidTr="003C1003">
        <w:tc>
          <w:tcPr>
            <w:tcW w:w="3960" w:type="dxa"/>
            <w:shd w:val="clear" w:color="auto" w:fill="auto"/>
          </w:tcPr>
          <w:p w14:paraId="3F61669F" w14:textId="77777777" w:rsidR="00ED4C2D" w:rsidRPr="00381DC2" w:rsidRDefault="00ED4C2D" w:rsidP="00FF564D">
            <w:pPr>
              <w:pStyle w:val="Default"/>
              <w:keepNext/>
              <w:keepLines/>
              <w:rPr>
                <w:rFonts w:eastAsia="Times New Roman"/>
                <w:sz w:val="22"/>
                <w:szCs w:val="22"/>
              </w:rPr>
            </w:pPr>
            <w:r w:rsidRPr="00381DC2">
              <w:rPr>
                <w:sz w:val="22"/>
                <w:szCs w:val="22"/>
              </w:rPr>
              <w:t>Poměr rizik (95% CI) (eCRF)</w:t>
            </w:r>
            <w:r w:rsidRPr="00381DC2">
              <w:rPr>
                <w:sz w:val="22"/>
                <w:szCs w:val="22"/>
                <w:vertAlign w:val="superscript"/>
              </w:rPr>
              <w:t>a</w:t>
            </w:r>
            <w:r w:rsidRPr="00381DC2">
              <w:rPr>
                <w:sz w:val="22"/>
                <w:szCs w:val="22"/>
              </w:rPr>
              <w:t xml:space="preserve"> </w:t>
            </w:r>
          </w:p>
        </w:tc>
        <w:tc>
          <w:tcPr>
            <w:tcW w:w="5318" w:type="dxa"/>
            <w:gridSpan w:val="2"/>
            <w:shd w:val="clear" w:color="auto" w:fill="auto"/>
          </w:tcPr>
          <w:p w14:paraId="16AAA9C5" w14:textId="77777777" w:rsidR="00ED4C2D" w:rsidRPr="00381DC2" w:rsidRDefault="00ED4C2D" w:rsidP="00FF564D">
            <w:pPr>
              <w:keepNext/>
              <w:keepLines/>
              <w:jc w:val="center"/>
              <w:rPr>
                <w:rFonts w:ascii="Times New Roman" w:eastAsia="Times New Roman" w:hAnsi="Times New Roman"/>
                <w:color w:val="000000"/>
              </w:rPr>
            </w:pPr>
            <w:r w:rsidRPr="00381DC2">
              <w:rPr>
                <w:rFonts w:ascii="Times New Roman" w:hAnsi="Times New Roman"/>
                <w:color w:val="000000"/>
              </w:rPr>
              <w:t>0,823 [CI: 0,680, 0,996]</w:t>
            </w:r>
          </w:p>
        </w:tc>
      </w:tr>
      <w:tr w:rsidR="00ED4C2D" w:rsidRPr="00F60460" w14:paraId="59EA339A" w14:textId="77777777" w:rsidTr="003C1003">
        <w:tc>
          <w:tcPr>
            <w:tcW w:w="3960" w:type="dxa"/>
            <w:shd w:val="clear" w:color="auto" w:fill="auto"/>
          </w:tcPr>
          <w:p w14:paraId="22D218D0" w14:textId="77777777" w:rsidR="00ED4C2D" w:rsidRPr="00381DC2" w:rsidRDefault="00ED4C2D" w:rsidP="00FF564D">
            <w:pPr>
              <w:pStyle w:val="Default"/>
              <w:keepNext/>
              <w:keepLines/>
              <w:rPr>
                <w:rFonts w:eastAsia="Times New Roman"/>
                <w:sz w:val="22"/>
                <w:szCs w:val="22"/>
              </w:rPr>
            </w:pPr>
            <w:r w:rsidRPr="00381DC2">
              <w:rPr>
                <w:sz w:val="22"/>
                <w:szCs w:val="22"/>
              </w:rPr>
              <w:t xml:space="preserve">p-hodnota </w:t>
            </w:r>
          </w:p>
        </w:tc>
        <w:tc>
          <w:tcPr>
            <w:tcW w:w="5318" w:type="dxa"/>
            <w:gridSpan w:val="2"/>
            <w:shd w:val="clear" w:color="auto" w:fill="auto"/>
          </w:tcPr>
          <w:p w14:paraId="710EA559" w14:textId="77777777" w:rsidR="00ED4C2D" w:rsidRPr="00381DC2" w:rsidRDefault="00ED4C2D" w:rsidP="00FF564D">
            <w:pPr>
              <w:keepNext/>
              <w:keepLines/>
              <w:jc w:val="center"/>
              <w:rPr>
                <w:rFonts w:ascii="Times New Roman" w:eastAsia="Times New Roman" w:hAnsi="Times New Roman"/>
                <w:color w:val="000000"/>
              </w:rPr>
            </w:pPr>
            <w:r w:rsidRPr="00381DC2">
              <w:rPr>
                <w:rFonts w:ascii="Times New Roman" w:hAnsi="Times New Roman"/>
                <w:color w:val="000000"/>
              </w:rPr>
              <w:t>0,0447</w:t>
            </w:r>
          </w:p>
        </w:tc>
      </w:tr>
      <w:tr w:rsidR="00ED4C2D" w:rsidRPr="00F60460" w14:paraId="0289BD3C" w14:textId="77777777" w:rsidTr="003C1003">
        <w:tc>
          <w:tcPr>
            <w:tcW w:w="3960" w:type="dxa"/>
            <w:shd w:val="clear" w:color="auto" w:fill="auto"/>
          </w:tcPr>
          <w:p w14:paraId="08CA86EC" w14:textId="77777777" w:rsidR="00ED4C2D" w:rsidRPr="00381DC2" w:rsidRDefault="00ED4C2D" w:rsidP="00FF564D">
            <w:pPr>
              <w:pStyle w:val="Default"/>
              <w:keepNext/>
              <w:keepLines/>
              <w:rPr>
                <w:rFonts w:eastAsia="Times New Roman"/>
                <w:sz w:val="22"/>
                <w:szCs w:val="22"/>
              </w:rPr>
            </w:pPr>
            <w:r w:rsidRPr="00381DC2">
              <w:rPr>
                <w:sz w:val="22"/>
                <w:szCs w:val="22"/>
              </w:rPr>
              <w:t>Poměr rizik (95% CI) (registračný formulár)</w:t>
            </w:r>
            <w:r w:rsidRPr="00381DC2">
              <w:rPr>
                <w:sz w:val="22"/>
                <w:szCs w:val="22"/>
                <w:vertAlign w:val="superscript"/>
              </w:rPr>
              <w:t xml:space="preserve">b </w:t>
            </w:r>
          </w:p>
        </w:tc>
        <w:tc>
          <w:tcPr>
            <w:tcW w:w="5318" w:type="dxa"/>
            <w:gridSpan w:val="2"/>
            <w:shd w:val="clear" w:color="auto" w:fill="auto"/>
          </w:tcPr>
          <w:p w14:paraId="5CA6B565" w14:textId="77777777" w:rsidR="00ED4C2D" w:rsidRPr="00381DC2" w:rsidRDefault="00ED4C2D" w:rsidP="00FF564D">
            <w:pPr>
              <w:keepNext/>
              <w:keepLines/>
              <w:jc w:val="center"/>
              <w:rPr>
                <w:rFonts w:ascii="Times New Roman" w:eastAsia="Times New Roman" w:hAnsi="Times New Roman"/>
                <w:color w:val="000000"/>
              </w:rPr>
            </w:pPr>
            <w:r w:rsidRPr="00381DC2">
              <w:rPr>
                <w:rFonts w:ascii="Times New Roman" w:hAnsi="Times New Roman"/>
                <w:color w:val="000000"/>
              </w:rPr>
              <w:t>0,838 [CI: 0,693, 1,014]</w:t>
            </w:r>
          </w:p>
        </w:tc>
      </w:tr>
      <w:tr w:rsidR="00ED4C2D" w:rsidRPr="00F60460" w14:paraId="08D70574" w14:textId="77777777" w:rsidTr="003C1003">
        <w:tc>
          <w:tcPr>
            <w:tcW w:w="3960" w:type="dxa"/>
            <w:shd w:val="clear" w:color="auto" w:fill="auto"/>
          </w:tcPr>
          <w:p w14:paraId="792D5C98" w14:textId="77777777" w:rsidR="00ED4C2D" w:rsidRPr="00381DC2" w:rsidRDefault="00ED4C2D" w:rsidP="00FF564D">
            <w:pPr>
              <w:pStyle w:val="Default"/>
              <w:keepNext/>
              <w:keepLines/>
              <w:rPr>
                <w:rFonts w:eastAsia="Times New Roman"/>
                <w:sz w:val="22"/>
                <w:szCs w:val="22"/>
              </w:rPr>
            </w:pPr>
            <w:r w:rsidRPr="00381DC2">
              <w:rPr>
                <w:sz w:val="22"/>
                <w:szCs w:val="22"/>
              </w:rPr>
              <w:t xml:space="preserve">p-hodnota </w:t>
            </w:r>
          </w:p>
        </w:tc>
        <w:tc>
          <w:tcPr>
            <w:tcW w:w="5318" w:type="dxa"/>
            <w:gridSpan w:val="2"/>
            <w:shd w:val="clear" w:color="auto" w:fill="auto"/>
          </w:tcPr>
          <w:p w14:paraId="5C461D18" w14:textId="77777777" w:rsidR="00ED4C2D" w:rsidRPr="00381DC2" w:rsidRDefault="00ED4C2D" w:rsidP="00FF564D">
            <w:pPr>
              <w:keepNext/>
              <w:keepLines/>
              <w:jc w:val="center"/>
              <w:rPr>
                <w:rFonts w:ascii="Times New Roman" w:eastAsia="Times New Roman" w:hAnsi="Times New Roman"/>
                <w:color w:val="000000"/>
              </w:rPr>
            </w:pPr>
            <w:r w:rsidRPr="00381DC2">
              <w:rPr>
                <w:rFonts w:ascii="Times New Roman" w:hAnsi="Times New Roman"/>
                <w:color w:val="000000"/>
              </w:rPr>
              <w:t>0,0683</w:t>
            </w:r>
          </w:p>
        </w:tc>
      </w:tr>
      <w:tr w:rsidR="00ED4C2D" w:rsidRPr="00F60460" w14:paraId="55583CB8" w14:textId="77777777" w:rsidTr="003C1003">
        <w:tc>
          <w:tcPr>
            <w:tcW w:w="9278" w:type="dxa"/>
            <w:gridSpan w:val="3"/>
            <w:shd w:val="clear" w:color="auto" w:fill="auto"/>
          </w:tcPr>
          <w:p w14:paraId="3BF8DD8D" w14:textId="77777777" w:rsidR="00ED4C2D" w:rsidRPr="00381DC2" w:rsidRDefault="00ED4C2D" w:rsidP="00FF564D">
            <w:pPr>
              <w:keepNext/>
              <w:keepLines/>
              <w:rPr>
                <w:rFonts w:ascii="Times New Roman" w:eastAsia="Times New Roman" w:hAnsi="Times New Roman"/>
                <w:color w:val="000000"/>
              </w:rPr>
            </w:pPr>
            <w:r w:rsidRPr="00381DC2">
              <w:rPr>
                <w:rFonts w:ascii="Times New Roman" w:hAnsi="Times New Roman"/>
                <w:b/>
                <w:bCs/>
                <w:color w:val="000000"/>
              </w:rPr>
              <w:t xml:space="preserve">Sekundární cílový parametr </w:t>
            </w:r>
          </w:p>
        </w:tc>
      </w:tr>
      <w:tr w:rsidR="00ED4C2D" w:rsidRPr="00F60460" w14:paraId="371D1EAC" w14:textId="77777777" w:rsidTr="003C1003">
        <w:tc>
          <w:tcPr>
            <w:tcW w:w="3960" w:type="dxa"/>
            <w:shd w:val="clear" w:color="auto" w:fill="auto"/>
          </w:tcPr>
          <w:p w14:paraId="351E3829" w14:textId="77777777" w:rsidR="00ED4C2D" w:rsidRPr="00381DC2" w:rsidRDefault="00ED4C2D" w:rsidP="00FF564D">
            <w:pPr>
              <w:pStyle w:val="Default"/>
              <w:keepNext/>
              <w:keepLines/>
              <w:rPr>
                <w:rFonts w:eastAsia="Times New Roman"/>
                <w:sz w:val="22"/>
                <w:szCs w:val="22"/>
              </w:rPr>
            </w:pPr>
            <w:r w:rsidRPr="00381DC2">
              <w:rPr>
                <w:b/>
                <w:bCs/>
                <w:sz w:val="22"/>
                <w:szCs w:val="22"/>
              </w:rPr>
              <w:t xml:space="preserve">Doba do progrese (PFS) </w:t>
            </w:r>
          </w:p>
        </w:tc>
        <w:tc>
          <w:tcPr>
            <w:tcW w:w="2659" w:type="dxa"/>
            <w:shd w:val="clear" w:color="auto" w:fill="auto"/>
          </w:tcPr>
          <w:p w14:paraId="635D4426" w14:textId="77777777" w:rsidR="00ED4C2D" w:rsidRPr="00381DC2" w:rsidRDefault="00ED4C2D" w:rsidP="00FF564D">
            <w:pPr>
              <w:pStyle w:val="Default"/>
              <w:keepNext/>
              <w:keepLines/>
              <w:jc w:val="center"/>
              <w:rPr>
                <w:sz w:val="22"/>
                <w:szCs w:val="22"/>
              </w:rPr>
            </w:pPr>
            <w:r w:rsidRPr="00381DC2">
              <w:rPr>
                <w:sz w:val="22"/>
                <w:szCs w:val="22"/>
              </w:rPr>
              <w:t>KP</w:t>
            </w:r>
          </w:p>
          <w:p w14:paraId="0C0C5C0C" w14:textId="7D90807D" w:rsidR="00ED4C2D" w:rsidRPr="00381DC2" w:rsidRDefault="00ED4C2D" w:rsidP="00FF564D">
            <w:pPr>
              <w:keepNext/>
              <w:keepLines/>
              <w:jc w:val="center"/>
              <w:rPr>
                <w:rFonts w:ascii="Times New Roman" w:eastAsia="Times New Roman" w:hAnsi="Times New Roman"/>
                <w:color w:val="000000"/>
              </w:rPr>
            </w:pPr>
            <w:r w:rsidRPr="00381DC2">
              <w:rPr>
                <w:rFonts w:ascii="Times New Roman" w:hAnsi="Times New Roman"/>
                <w:color w:val="000000"/>
              </w:rPr>
              <w:t>(n</w:t>
            </w:r>
            <w:r w:rsidR="00C34ACD">
              <w:rPr>
                <w:rFonts w:ascii="Times New Roman" w:hAnsi="Times New Roman"/>
                <w:color w:val="000000"/>
              </w:rPr>
              <w:t xml:space="preserve"> </w:t>
            </w:r>
            <w:r w:rsidRPr="00381DC2">
              <w:rPr>
                <w:rFonts w:ascii="Times New Roman" w:hAnsi="Times New Roman"/>
                <w:color w:val="000000"/>
              </w:rPr>
              <w:t>=</w:t>
            </w:r>
            <w:r w:rsidR="00C34ACD">
              <w:rPr>
                <w:rFonts w:ascii="Times New Roman" w:hAnsi="Times New Roman"/>
                <w:color w:val="000000"/>
              </w:rPr>
              <w:t xml:space="preserve"> </w:t>
            </w:r>
            <w:r w:rsidRPr="00381DC2">
              <w:rPr>
                <w:rFonts w:ascii="Times New Roman" w:hAnsi="Times New Roman"/>
                <w:color w:val="000000"/>
              </w:rPr>
              <w:t>336)</w:t>
            </w:r>
          </w:p>
        </w:tc>
        <w:tc>
          <w:tcPr>
            <w:tcW w:w="2659" w:type="dxa"/>
            <w:shd w:val="clear" w:color="auto" w:fill="auto"/>
          </w:tcPr>
          <w:p w14:paraId="5133DD99" w14:textId="77777777" w:rsidR="00ED4C2D" w:rsidRPr="00381DC2" w:rsidRDefault="00ED4C2D" w:rsidP="00FF564D">
            <w:pPr>
              <w:pStyle w:val="Default"/>
              <w:keepNext/>
              <w:keepLines/>
              <w:jc w:val="center"/>
              <w:rPr>
                <w:sz w:val="22"/>
                <w:szCs w:val="22"/>
              </w:rPr>
            </w:pPr>
            <w:r w:rsidRPr="00381DC2">
              <w:rPr>
                <w:sz w:val="22"/>
                <w:szCs w:val="22"/>
              </w:rPr>
              <w:t>KPB</w:t>
            </w:r>
          </w:p>
          <w:p w14:paraId="4DC91AFC" w14:textId="559FF897" w:rsidR="00ED4C2D" w:rsidRPr="00381DC2" w:rsidRDefault="00ED4C2D" w:rsidP="00FF564D">
            <w:pPr>
              <w:keepNext/>
              <w:keepLines/>
              <w:jc w:val="center"/>
              <w:rPr>
                <w:rFonts w:ascii="Times New Roman" w:eastAsia="Times New Roman" w:hAnsi="Times New Roman"/>
                <w:color w:val="000000"/>
              </w:rPr>
            </w:pPr>
            <w:r w:rsidRPr="00381DC2">
              <w:rPr>
                <w:rFonts w:ascii="Times New Roman" w:hAnsi="Times New Roman"/>
                <w:color w:val="000000"/>
              </w:rPr>
              <w:t>(n</w:t>
            </w:r>
            <w:r w:rsidR="00C34ACD">
              <w:rPr>
                <w:rFonts w:ascii="Times New Roman" w:hAnsi="Times New Roman"/>
                <w:color w:val="000000"/>
              </w:rPr>
              <w:t xml:space="preserve"> </w:t>
            </w:r>
            <w:r w:rsidRPr="00381DC2">
              <w:rPr>
                <w:rFonts w:ascii="Times New Roman" w:hAnsi="Times New Roman"/>
                <w:color w:val="000000"/>
              </w:rPr>
              <w:t>=</w:t>
            </w:r>
            <w:r w:rsidR="00C34ACD">
              <w:rPr>
                <w:rFonts w:ascii="Times New Roman" w:hAnsi="Times New Roman"/>
                <w:color w:val="000000"/>
              </w:rPr>
              <w:t xml:space="preserve"> </w:t>
            </w:r>
            <w:r w:rsidRPr="00381DC2">
              <w:rPr>
                <w:rFonts w:ascii="Times New Roman" w:hAnsi="Times New Roman"/>
                <w:color w:val="000000"/>
              </w:rPr>
              <w:t>337)</w:t>
            </w:r>
          </w:p>
        </w:tc>
      </w:tr>
      <w:tr w:rsidR="00ED4C2D" w:rsidRPr="00F60460" w14:paraId="7E4D32AA" w14:textId="77777777" w:rsidTr="003C1003">
        <w:tc>
          <w:tcPr>
            <w:tcW w:w="3960" w:type="dxa"/>
            <w:shd w:val="clear" w:color="auto" w:fill="auto"/>
          </w:tcPr>
          <w:p w14:paraId="732E8040" w14:textId="77777777" w:rsidR="00ED4C2D" w:rsidRPr="00381DC2" w:rsidRDefault="00ED4C2D" w:rsidP="00FF564D">
            <w:pPr>
              <w:pStyle w:val="Default"/>
              <w:keepNext/>
              <w:keepLines/>
              <w:rPr>
                <w:rFonts w:eastAsia="Times New Roman"/>
                <w:sz w:val="22"/>
                <w:szCs w:val="22"/>
              </w:rPr>
            </w:pPr>
            <w:r w:rsidRPr="00381DC2">
              <w:rPr>
                <w:sz w:val="22"/>
                <w:szCs w:val="22"/>
              </w:rPr>
              <w:t xml:space="preserve">Medián PFS (měsíce) </w:t>
            </w:r>
          </w:p>
        </w:tc>
        <w:tc>
          <w:tcPr>
            <w:tcW w:w="2659" w:type="dxa"/>
            <w:shd w:val="clear" w:color="auto" w:fill="auto"/>
          </w:tcPr>
          <w:p w14:paraId="59FB1A4C" w14:textId="77777777" w:rsidR="00ED4C2D" w:rsidRPr="00381DC2" w:rsidRDefault="00ED4C2D" w:rsidP="00FF564D">
            <w:pPr>
              <w:pStyle w:val="Default"/>
              <w:keepNext/>
              <w:keepLines/>
              <w:jc w:val="center"/>
              <w:rPr>
                <w:rFonts w:eastAsia="Times New Roman"/>
                <w:sz w:val="22"/>
                <w:szCs w:val="22"/>
              </w:rPr>
            </w:pPr>
            <w:r w:rsidRPr="00381DC2">
              <w:rPr>
                <w:sz w:val="22"/>
                <w:szCs w:val="22"/>
              </w:rPr>
              <w:t>10,2</w:t>
            </w:r>
          </w:p>
        </w:tc>
        <w:tc>
          <w:tcPr>
            <w:tcW w:w="2659" w:type="dxa"/>
            <w:shd w:val="clear" w:color="auto" w:fill="auto"/>
          </w:tcPr>
          <w:p w14:paraId="112CC9FA" w14:textId="77777777" w:rsidR="00ED4C2D" w:rsidRPr="00381DC2" w:rsidRDefault="00ED4C2D" w:rsidP="00FF564D">
            <w:pPr>
              <w:pStyle w:val="Default"/>
              <w:keepNext/>
              <w:keepLines/>
              <w:jc w:val="center"/>
              <w:rPr>
                <w:rFonts w:eastAsia="Times New Roman"/>
                <w:sz w:val="22"/>
                <w:szCs w:val="22"/>
              </w:rPr>
            </w:pPr>
            <w:r w:rsidRPr="00381DC2">
              <w:rPr>
                <w:sz w:val="22"/>
                <w:szCs w:val="22"/>
              </w:rPr>
              <w:t>13,8</w:t>
            </w:r>
          </w:p>
        </w:tc>
      </w:tr>
      <w:tr w:rsidR="00ED4C2D" w:rsidRPr="00F60460" w14:paraId="3AB38128" w14:textId="77777777" w:rsidTr="003C1003">
        <w:tc>
          <w:tcPr>
            <w:tcW w:w="3960" w:type="dxa"/>
            <w:shd w:val="clear" w:color="auto" w:fill="auto"/>
          </w:tcPr>
          <w:p w14:paraId="729DA275" w14:textId="77777777" w:rsidR="00ED4C2D" w:rsidRPr="00381DC2" w:rsidRDefault="00ED4C2D" w:rsidP="00FF564D">
            <w:pPr>
              <w:pStyle w:val="Default"/>
              <w:keepNext/>
              <w:keepLines/>
              <w:rPr>
                <w:rFonts w:eastAsia="Times New Roman"/>
                <w:sz w:val="22"/>
                <w:szCs w:val="22"/>
              </w:rPr>
            </w:pPr>
            <w:r w:rsidRPr="00381DC2">
              <w:rPr>
                <w:sz w:val="22"/>
                <w:szCs w:val="22"/>
              </w:rPr>
              <w:t xml:space="preserve">Poměr rizik (95% CI) </w:t>
            </w:r>
          </w:p>
        </w:tc>
        <w:tc>
          <w:tcPr>
            <w:tcW w:w="5318" w:type="dxa"/>
            <w:gridSpan w:val="2"/>
            <w:shd w:val="clear" w:color="auto" w:fill="auto"/>
          </w:tcPr>
          <w:p w14:paraId="246E68B4" w14:textId="77777777" w:rsidR="00ED4C2D" w:rsidRPr="00381DC2" w:rsidRDefault="00ED4C2D" w:rsidP="00FF564D">
            <w:pPr>
              <w:keepNext/>
              <w:keepLines/>
              <w:jc w:val="center"/>
              <w:rPr>
                <w:rFonts w:ascii="Times New Roman" w:eastAsia="Times New Roman" w:hAnsi="Times New Roman"/>
                <w:color w:val="000000"/>
              </w:rPr>
            </w:pPr>
            <w:r w:rsidRPr="00381DC2">
              <w:rPr>
                <w:rFonts w:ascii="Times New Roman" w:hAnsi="Times New Roman"/>
                <w:color w:val="000000"/>
              </w:rPr>
              <w:t>0,613 [CI: 0,521, 0,721]</w:t>
            </w:r>
          </w:p>
        </w:tc>
      </w:tr>
      <w:tr w:rsidR="00ED4C2D" w:rsidRPr="00F60460" w14:paraId="06D95532" w14:textId="77777777" w:rsidTr="003C1003">
        <w:tc>
          <w:tcPr>
            <w:tcW w:w="3960" w:type="dxa"/>
            <w:shd w:val="clear" w:color="auto" w:fill="auto"/>
          </w:tcPr>
          <w:p w14:paraId="136EA51D" w14:textId="77777777" w:rsidR="00ED4C2D" w:rsidRPr="00381DC2" w:rsidRDefault="00ED4C2D" w:rsidP="00FF564D">
            <w:pPr>
              <w:pStyle w:val="Default"/>
              <w:keepNext/>
              <w:keepLines/>
              <w:rPr>
                <w:rFonts w:eastAsia="Times New Roman"/>
                <w:sz w:val="22"/>
                <w:szCs w:val="22"/>
              </w:rPr>
            </w:pPr>
            <w:r w:rsidRPr="00381DC2">
              <w:rPr>
                <w:sz w:val="22"/>
                <w:szCs w:val="22"/>
              </w:rPr>
              <w:t xml:space="preserve">p-hodnota </w:t>
            </w:r>
          </w:p>
        </w:tc>
        <w:tc>
          <w:tcPr>
            <w:tcW w:w="5318" w:type="dxa"/>
            <w:gridSpan w:val="2"/>
            <w:shd w:val="clear" w:color="auto" w:fill="auto"/>
          </w:tcPr>
          <w:p w14:paraId="16C10B40" w14:textId="77777777" w:rsidR="00ED4C2D" w:rsidRPr="00381DC2" w:rsidRDefault="00ED4C2D" w:rsidP="00FF564D">
            <w:pPr>
              <w:keepNext/>
              <w:keepLines/>
              <w:jc w:val="center"/>
              <w:rPr>
                <w:rFonts w:ascii="Times New Roman" w:eastAsia="Times New Roman" w:hAnsi="Times New Roman"/>
                <w:color w:val="000000"/>
              </w:rPr>
            </w:pPr>
            <w:r w:rsidRPr="00381DC2">
              <w:rPr>
                <w:rFonts w:ascii="Times New Roman" w:hAnsi="Times New Roman"/>
                <w:color w:val="000000"/>
              </w:rPr>
              <w:t>&lt;0,0001</w:t>
            </w:r>
          </w:p>
        </w:tc>
      </w:tr>
    </w:tbl>
    <w:p w14:paraId="5AA60274" w14:textId="77777777" w:rsidR="00CD1DCD" w:rsidRPr="00F60460" w:rsidRDefault="00ED4C2D" w:rsidP="000E6E28">
      <w:pPr>
        <w:keepNext/>
        <w:keepLines/>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(1)</w:t>
      </w:r>
      <w:r w:rsidRPr="00F60460">
        <w:rPr>
          <w:rFonts w:ascii="Times New Roman" w:eastAsia="Times New Roman" w:hAnsi="Times New Roman"/>
          <w:color w:val="000000"/>
          <w:sz w:val="20"/>
          <w:szCs w:val="20"/>
          <w:lang w:bidi="ar-SA"/>
        </w:rPr>
        <w:t xml:space="preserve"> </w:t>
      </w:r>
      <w:r w:rsidR="000E6E28"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Konečná analýza</w:t>
      </w:r>
    </w:p>
    <w:p w14:paraId="2DB90B30" w14:textId="77777777" w:rsidR="00CD1DCD" w:rsidRPr="00F60460" w:rsidRDefault="00ED4C2D" w:rsidP="000E6E28">
      <w:pPr>
        <w:keepNext/>
        <w:keepLines/>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(2)</w:t>
      </w:r>
      <w:r w:rsidRPr="00F60460">
        <w:rPr>
          <w:rFonts w:ascii="Times New Roman" w:eastAsia="Times New Roman" w:hAnsi="Times New Roman"/>
          <w:color w:val="000000"/>
          <w:sz w:val="20"/>
          <w:szCs w:val="20"/>
          <w:lang w:bidi="ar-SA"/>
        </w:rPr>
        <w:t xml:space="preserve"> </w:t>
      </w:r>
      <w:r w:rsidR="000E6E28"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Hodnocení nádoru a hodnocení odpovědi prováděli zkoušející lékaři za pomoci kritérií GOG RECIST (Revised RECIST guideline (version 1.1). Eur J Cancer. 2009;45:228Y247).</w:t>
      </w:r>
    </w:p>
    <w:p w14:paraId="2EEEEB42" w14:textId="77777777" w:rsidR="00CD1DCD" w:rsidRPr="00F60460" w:rsidRDefault="00ED4C2D" w:rsidP="000E6E28">
      <w:pPr>
        <w:keepNext/>
        <w:keepLines/>
        <w:widowControl/>
        <w:ind w:left="284" w:hanging="284"/>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vertAlign w:val="superscript"/>
          <w:lang w:bidi="ar-SA"/>
        </w:rPr>
        <w:t>(a)</w:t>
      </w:r>
      <w:r w:rsidRPr="00F60460">
        <w:rPr>
          <w:rFonts w:ascii="Times New Roman" w:eastAsia="Times New Roman" w:hAnsi="Times New Roman"/>
          <w:color w:val="000000"/>
          <w:sz w:val="20"/>
          <w:szCs w:val="20"/>
          <w:lang w:bidi="ar-SA"/>
        </w:rPr>
        <w:t xml:space="preserve"> </w:t>
      </w:r>
      <w:r w:rsidR="000E6E28"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Poměr rizik byl stanoven odhadem na základě Coxova modelu poměrných rizik stratifikovaného podle délky intervalu bez platiny před zařazením do studie podle elektronického záznamu subjektu hodnocení (eCRF) a sekundárního statusu chirurgické cytoredukce Ano/Ne (Ano = randomizována do skupiny s cytoredukcí nebo randomizována do skupiny bez cytoredukce; Ne = není kandidátka nebo nesouhlasila s cytoredukcí).</w:t>
      </w:r>
    </w:p>
    <w:p w14:paraId="1EC40D02" w14:textId="77777777" w:rsidR="00ED4C2D" w:rsidRPr="00F60460" w:rsidRDefault="00ED4C2D" w:rsidP="00D23770">
      <w:pPr>
        <w:keepNext/>
        <w:keepLines/>
        <w:widowControl/>
        <w:ind w:left="284" w:hanging="284"/>
        <w:rPr>
          <w:rFonts w:ascii="Arial" w:eastAsia="Times New Roman" w:hAnsi="Arial" w:cs="Arial"/>
          <w:color w:val="000000"/>
          <w:sz w:val="18"/>
          <w:szCs w:val="18"/>
          <w:lang w:bidi="ar-SA"/>
        </w:rPr>
      </w:pPr>
      <w:r w:rsidRPr="00F60460">
        <w:rPr>
          <w:rFonts w:ascii="Times New Roman" w:eastAsia="Times New Roman" w:hAnsi="Times New Roman"/>
          <w:color w:val="000000"/>
          <w:sz w:val="20"/>
          <w:szCs w:val="20"/>
          <w:vertAlign w:val="superscript"/>
          <w:lang w:bidi="ar-SA"/>
        </w:rPr>
        <w:t>(b)</w:t>
      </w:r>
      <w:r w:rsidRPr="00F60460">
        <w:rPr>
          <w:rFonts w:ascii="Times New Roman" w:eastAsia="Times New Roman" w:hAnsi="Times New Roman"/>
          <w:color w:val="000000"/>
          <w:sz w:val="20"/>
          <w:szCs w:val="20"/>
          <w:lang w:bidi="ar-SA"/>
        </w:rPr>
        <w:t xml:space="preserve"> </w:t>
      </w:r>
      <w:r w:rsidR="000E6E28" w:rsidRPr="00F60460">
        <w:rPr>
          <w:rFonts w:ascii="Times New Roman" w:eastAsia="Times New Roman" w:hAnsi="Times New Roman"/>
          <w:color w:val="000000"/>
          <w:sz w:val="20"/>
          <w:szCs w:val="20"/>
          <w:lang w:bidi="ar-SA"/>
        </w:rPr>
        <w:tab/>
      </w:r>
      <w:r w:rsidRPr="00F60460">
        <w:rPr>
          <w:rFonts w:ascii="Times New Roman" w:eastAsia="Times New Roman" w:hAnsi="Times New Roman"/>
          <w:color w:val="000000"/>
          <w:sz w:val="20"/>
          <w:szCs w:val="20"/>
          <w:lang w:bidi="ar-SA"/>
        </w:rPr>
        <w:t>Stratifikace podle délky intervalu bez platiny před zařazením do studie podle registračního formuláře a sekundárního statusu chirurgické cytoredukce Ano/Ne.</w:t>
      </w:r>
    </w:p>
    <w:p w14:paraId="6233CAE2" w14:textId="77777777" w:rsidR="008F40C9" w:rsidRPr="00381DC2" w:rsidRDefault="008F40C9" w:rsidP="008F40C9">
      <w:pPr>
        <w:widowControl/>
        <w:rPr>
          <w:rFonts w:ascii="Times New Roman" w:eastAsia="Times New Roman" w:hAnsi="Times New Roman"/>
          <w:color w:val="000000"/>
          <w:lang w:bidi="ar-SA"/>
        </w:rPr>
      </w:pPr>
    </w:p>
    <w:p w14:paraId="77FB330A"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Studie splnila primární cíl zlepšení OS. Léčba bevacizumabem 15 mg/kg každé 3 týdny v kombinaci s chemoterapií (karboplatina a paklitaxel) v 6 až 8 cyklech s následnou monoterapií bevacizumabem do progrese onemocnění nebo nepřijatelné toxicity vedla podle údajů získaných z eCRF ke klinicky smysluplnému a statisticky významnému zlepšení OS ve srovnání s léčbou samotnou kombinací karboplatiny a paklitaxelu.</w:t>
      </w:r>
    </w:p>
    <w:p w14:paraId="7AE1F8E5" w14:textId="77777777" w:rsidR="00ED4C2D" w:rsidRPr="00381DC2" w:rsidRDefault="00ED4C2D" w:rsidP="00ED4C2D">
      <w:pPr>
        <w:widowControl/>
        <w:rPr>
          <w:rFonts w:ascii="Times New Roman" w:eastAsia="Times New Roman" w:hAnsi="Times New Roman"/>
          <w:color w:val="000000"/>
          <w:lang w:bidi="ar-SA"/>
        </w:rPr>
      </w:pPr>
    </w:p>
    <w:p w14:paraId="4A16698B"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i/>
          <w:iCs/>
          <w:color w:val="000000"/>
          <w:lang w:bidi="ar-SA"/>
        </w:rPr>
        <w:t>MO22224</w:t>
      </w:r>
    </w:p>
    <w:p w14:paraId="58DBD92E"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Studie MO22224 hodnotila účinnost a bezpečnost bevacizumabu v kombinaci s chemoterapií u pacientek s rekurencí epitelového nádoru vaječníků, vejcovodů nebo primárního nádoru pobřišnice rezistentního k platině. Tato studie byla navržena jako otevřená, randomizovaná, dvouramenná studie fáze III hodnotící bevacizumab plus chemoterapii (CHT+BV) oproti samotné chemoterapii (CHT). </w:t>
      </w:r>
    </w:p>
    <w:p w14:paraId="052791D5" w14:textId="77777777" w:rsidR="00ED4C2D" w:rsidRPr="00381DC2" w:rsidRDefault="00ED4C2D" w:rsidP="00ED4C2D">
      <w:pPr>
        <w:widowControl/>
        <w:rPr>
          <w:rFonts w:ascii="Times New Roman" w:eastAsia="Times New Roman" w:hAnsi="Times New Roman"/>
          <w:color w:val="000000"/>
          <w:lang w:bidi="ar-SA"/>
        </w:rPr>
      </w:pPr>
    </w:p>
    <w:p w14:paraId="5A123CDE"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Celkem do studie bylo zařazeno 361 pacientek s podáním buď chemoterapie samostatně (paklitaxel, topotekan nebo pegylovaný liposomální doxorubicin (PLD)) nebo v kombinaci s bevacizumabem:</w:t>
      </w:r>
    </w:p>
    <w:p w14:paraId="08B5FC19" w14:textId="77777777" w:rsidR="00ED4C2D" w:rsidRPr="00381DC2" w:rsidRDefault="00ED4C2D" w:rsidP="00BE7168">
      <w:pPr>
        <w:widowControl/>
        <w:numPr>
          <w:ilvl w:val="0"/>
          <w:numId w:val="42"/>
        </w:numPr>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CHT rameno (samotná chemoterapie): </w:t>
      </w:r>
    </w:p>
    <w:p w14:paraId="489510B1" w14:textId="77777777" w:rsidR="00ED4C2D" w:rsidRPr="00381DC2" w:rsidRDefault="00ED4C2D" w:rsidP="00892493">
      <w:pPr>
        <w:widowControl/>
        <w:numPr>
          <w:ilvl w:val="1"/>
          <w:numId w:val="42"/>
        </w:numPr>
        <w:tabs>
          <w:tab w:val="clear" w:pos="1440"/>
          <w:tab w:val="num" w:pos="1276"/>
        </w:tabs>
        <w:ind w:left="1320"/>
        <w:rPr>
          <w:rFonts w:ascii="Times New Roman" w:eastAsia="Times New Roman" w:hAnsi="Times New Roman"/>
          <w:color w:val="000000"/>
          <w:lang w:bidi="ar-SA"/>
        </w:rPr>
      </w:pPr>
      <w:r w:rsidRPr="00381DC2">
        <w:rPr>
          <w:rFonts w:ascii="Times New Roman" w:eastAsia="Times New Roman" w:hAnsi="Times New Roman"/>
          <w:color w:val="000000"/>
          <w:lang w:bidi="ar-SA"/>
        </w:rPr>
        <w:t>Paklitaxel 80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xml:space="preserve"> ve formě 1hodinové intravenózní infuze ve dnech 1, 8, 15 a 22, každé 4 týdny. </w:t>
      </w:r>
    </w:p>
    <w:p w14:paraId="19AE2654" w14:textId="77777777" w:rsidR="00ED4C2D" w:rsidRPr="00381DC2" w:rsidRDefault="00ED4C2D" w:rsidP="00892493">
      <w:pPr>
        <w:widowControl/>
        <w:numPr>
          <w:ilvl w:val="1"/>
          <w:numId w:val="42"/>
        </w:numPr>
        <w:tabs>
          <w:tab w:val="clear" w:pos="1440"/>
          <w:tab w:val="num" w:pos="1276"/>
        </w:tabs>
        <w:ind w:left="1320"/>
        <w:rPr>
          <w:rFonts w:ascii="Times New Roman" w:eastAsia="Times New Roman" w:hAnsi="Times New Roman"/>
          <w:color w:val="000000"/>
          <w:lang w:bidi="ar-SA"/>
        </w:rPr>
      </w:pPr>
      <w:r w:rsidRPr="00381DC2">
        <w:rPr>
          <w:rFonts w:ascii="Times New Roman" w:eastAsia="Times New Roman" w:hAnsi="Times New Roman"/>
          <w:color w:val="000000"/>
          <w:lang w:bidi="ar-SA"/>
        </w:rPr>
        <w:t>Topotekan 4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xml:space="preserve"> ve formě 30minutové intravenózní infuze ve dnech 1, 8 a 15, každé 4 týdny. Případně může být podána dávka 1,25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xml:space="preserve"> po dobu 30 minut ve dnech 1-5 každé 3 týdny. </w:t>
      </w:r>
    </w:p>
    <w:p w14:paraId="490117B1" w14:textId="1CFED05C" w:rsidR="00ED4C2D" w:rsidRPr="00381DC2" w:rsidRDefault="00ED4C2D" w:rsidP="00892493">
      <w:pPr>
        <w:widowControl/>
        <w:numPr>
          <w:ilvl w:val="1"/>
          <w:numId w:val="42"/>
        </w:numPr>
        <w:tabs>
          <w:tab w:val="clear" w:pos="1440"/>
          <w:tab w:val="num" w:pos="1276"/>
        </w:tabs>
        <w:ind w:left="1320"/>
        <w:rPr>
          <w:rFonts w:ascii="Times New Roman" w:eastAsia="Times New Roman" w:hAnsi="Times New Roman"/>
          <w:color w:val="000000"/>
          <w:lang w:bidi="ar-SA"/>
        </w:rPr>
      </w:pPr>
      <w:r w:rsidRPr="00381DC2">
        <w:rPr>
          <w:rFonts w:ascii="Times New Roman" w:eastAsia="Times New Roman" w:hAnsi="Times New Roman"/>
          <w:color w:val="000000"/>
          <w:lang w:bidi="ar-SA"/>
        </w:rPr>
        <w:t>Pegylovaný liposomální doxorubicin 40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xml:space="preserve"> ve formě intravenózní infuze 1 mg/min pouze v den 1, každé 4 týdny. Po cyklu 1 může být léčiv</w:t>
      </w:r>
      <w:r w:rsidR="00E27EB6">
        <w:rPr>
          <w:rFonts w:ascii="Times New Roman" w:eastAsia="Times New Roman" w:hAnsi="Times New Roman"/>
          <w:color w:val="000000"/>
          <w:lang w:bidi="ar-SA"/>
        </w:rPr>
        <w:t>ý přípravek</w:t>
      </w:r>
      <w:r w:rsidRPr="00381DC2">
        <w:rPr>
          <w:rFonts w:ascii="Times New Roman" w:eastAsia="Times New Roman" w:hAnsi="Times New Roman"/>
          <w:color w:val="000000"/>
          <w:lang w:bidi="ar-SA"/>
        </w:rPr>
        <w:t xml:space="preserve"> podán jako 1hodinová infuze.</w:t>
      </w:r>
    </w:p>
    <w:p w14:paraId="49F6BD76" w14:textId="77777777" w:rsidR="00ED4C2D" w:rsidRPr="00381DC2" w:rsidRDefault="00ED4C2D" w:rsidP="008378F9">
      <w:pPr>
        <w:widowControl/>
        <w:numPr>
          <w:ilvl w:val="0"/>
          <w:numId w:val="42"/>
        </w:numPr>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CHT+BV rameno (chemoterapie plus bevacizumab): </w:t>
      </w:r>
    </w:p>
    <w:p w14:paraId="19CF41BE" w14:textId="77777777" w:rsidR="00ED4C2D" w:rsidRPr="00381DC2" w:rsidRDefault="00ED4C2D" w:rsidP="00892493">
      <w:pPr>
        <w:widowControl/>
        <w:numPr>
          <w:ilvl w:val="1"/>
          <w:numId w:val="42"/>
        </w:numPr>
        <w:tabs>
          <w:tab w:val="clear" w:pos="1440"/>
          <w:tab w:val="num" w:pos="1276"/>
        </w:tabs>
        <w:ind w:left="1320"/>
        <w:rPr>
          <w:rFonts w:ascii="Times New Roman" w:eastAsia="Times New Roman" w:hAnsi="Times New Roman"/>
          <w:color w:val="000000"/>
          <w:lang w:bidi="ar-SA"/>
        </w:rPr>
      </w:pPr>
      <w:r w:rsidRPr="00381DC2">
        <w:rPr>
          <w:rFonts w:ascii="Times New Roman" w:eastAsia="Times New Roman" w:hAnsi="Times New Roman"/>
          <w:color w:val="000000"/>
          <w:lang w:bidi="ar-SA"/>
        </w:rPr>
        <w:t>Zvolená chemoterapie byla kombinována s bevacizumabem 10 mg/kg intravenózně každé 2 týdny (nebo bevacizumab 15 mg/kg každé 3 týdny, pokud se jednalo o kombinaci s topotekanem 1,25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xml:space="preserve"> ve dnech 1-5 každé 3 týdny).</w:t>
      </w:r>
    </w:p>
    <w:p w14:paraId="3F19E2C0" w14:textId="77777777" w:rsidR="00ED4C2D" w:rsidRPr="00381DC2" w:rsidRDefault="00ED4C2D" w:rsidP="00ED4C2D">
      <w:pPr>
        <w:widowControl/>
        <w:rPr>
          <w:rFonts w:ascii="Times New Roman" w:eastAsia="Times New Roman" w:hAnsi="Times New Roman"/>
          <w:color w:val="000000"/>
          <w:lang w:bidi="ar-SA"/>
        </w:rPr>
      </w:pPr>
    </w:p>
    <w:p w14:paraId="5F1CB996"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Vhodné pacientky měly epiteliální nádor vaječníků, vejcovodů nebo primární nádor pobřišnice s progresí &lt;6 měsíců po předchozí léčbě platinou sestávající z minimálně 4 cyklů léčby platinou. </w:t>
      </w:r>
      <w:r w:rsidRPr="00381DC2">
        <w:rPr>
          <w:rFonts w:ascii="Times New Roman" w:eastAsia="Times New Roman" w:hAnsi="Times New Roman"/>
          <w:color w:val="000000"/>
          <w:lang w:bidi="ar-SA"/>
        </w:rPr>
        <w:lastRenderedPageBreak/>
        <w:t xml:space="preserve">Pacientky měly mít očekávané přežití </w:t>
      </w:r>
      <w:r w:rsidRPr="00381DC2">
        <w:rPr>
          <w:rFonts w:ascii="Times New Roman" w:hAnsi="Times New Roman"/>
          <w:color w:val="000000"/>
        </w:rPr>
        <w:t>≥</w:t>
      </w:r>
      <w:r w:rsidRPr="00381DC2">
        <w:rPr>
          <w:rFonts w:ascii="Times New Roman" w:eastAsia="Times New Roman" w:hAnsi="Times New Roman"/>
          <w:color w:val="000000"/>
          <w:lang w:bidi="ar-SA"/>
        </w:rPr>
        <w:t xml:space="preserve">12 týdnů a neměly předchozí radioterapii na oblast pánve nebo břicha. Většina pacientek měla onemocnění stádia FIGO IIIc nebo IV. Většina pacientek v obou ramenech měla stav tělesné výkonnosti (performance status - ECOG PS) 0 (CHT: 56,4% versus CHT + BV: 61,2%). Četnost pacientek s ECOG PS 1 byla 38,7% versus 29,8% a ECOG PS </w:t>
      </w:r>
      <w:r w:rsidRPr="00381DC2">
        <w:rPr>
          <w:rFonts w:ascii="Times New Roman" w:hAnsi="Times New Roman"/>
          <w:color w:val="000000"/>
        </w:rPr>
        <w:t>≥</w:t>
      </w:r>
      <w:r w:rsidRPr="00381DC2">
        <w:rPr>
          <w:rFonts w:ascii="Times New Roman" w:eastAsia="Times New Roman" w:hAnsi="Times New Roman"/>
          <w:color w:val="000000"/>
          <w:lang w:bidi="ar-SA"/>
        </w:rPr>
        <w:t xml:space="preserve">2 5,0% versus 9,0% versus ramenech CHT respektive CHT + BV. Informace o rase jsou k dispozici u 29,3% pacientek a téměř všechny jsou bělošky. Střední věk pacientek byl 61,0 roku (rozptyl 25-84 let). Celkem 16 (4,4%) pacientek bylo ve věku &gt;75 let. Četnost ukončení léčby kvůli nežádoucímu účinku byla 8,8% v rameni CHT a 43,6% v rameni CHT + BV (většinou při nežádoucích účincích stupně 2-3) a střední doba do ukončení léčby byla 5,2 měsíce v rameni CHT + BV ve srovnání s 2,4 měsíce v rameni CHT. U pacientek ve věku &gt;65 let byla četnost ukončení léčby kvůli nežádoucímu účinku 8,8% v rameni CHT a 50,0% v rameni CHT + BV. Poměr rizik pro přežití bez progrese (PFS HR) byl 0,47 (95% interval spolehlivosti: 0,35-0,62) v podskupině pacientek ve věku &lt;65 let a 0,45 (95% interval spolehlivosti: 0,31-0,67) v podskupině pacientek ve věku </w:t>
      </w:r>
      <w:r w:rsidRPr="00381DC2">
        <w:rPr>
          <w:rFonts w:ascii="Times New Roman" w:hAnsi="Times New Roman"/>
          <w:color w:val="000000"/>
        </w:rPr>
        <w:t xml:space="preserve">≥ </w:t>
      </w:r>
      <w:r w:rsidRPr="00381DC2">
        <w:rPr>
          <w:rFonts w:ascii="Times New Roman" w:eastAsia="Times New Roman" w:hAnsi="Times New Roman"/>
          <w:color w:val="000000"/>
          <w:lang w:bidi="ar-SA"/>
        </w:rPr>
        <w:t>65 let.</w:t>
      </w:r>
    </w:p>
    <w:p w14:paraId="6C08A786" w14:textId="77777777" w:rsidR="00ED4C2D" w:rsidRPr="00381DC2" w:rsidRDefault="00ED4C2D" w:rsidP="00ED4C2D">
      <w:pPr>
        <w:widowControl/>
        <w:rPr>
          <w:rFonts w:ascii="Times New Roman" w:eastAsia="Times New Roman" w:hAnsi="Times New Roman"/>
          <w:color w:val="000000"/>
          <w:lang w:bidi="ar-SA"/>
        </w:rPr>
      </w:pPr>
    </w:p>
    <w:p w14:paraId="230FBF6F"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Primární cílový parametr účinnosti byla doba přežití bez progrese se sekundárními cílovými parametry účinnosti zahrnujícími četnost objektivní odpovědi a celkové přežití. Výsledky jsou uvedeny v tabulce </w:t>
      </w:r>
      <w:r w:rsidR="008C3418" w:rsidRPr="00381DC2">
        <w:rPr>
          <w:rFonts w:ascii="Times New Roman" w:eastAsia="Times New Roman" w:hAnsi="Times New Roman"/>
          <w:color w:val="000000"/>
          <w:lang w:bidi="ar-SA"/>
        </w:rPr>
        <w:t>23</w:t>
      </w:r>
      <w:r w:rsidRPr="00381DC2">
        <w:rPr>
          <w:rFonts w:ascii="Times New Roman" w:eastAsia="Times New Roman" w:hAnsi="Times New Roman"/>
          <w:color w:val="000000"/>
          <w:lang w:bidi="ar-SA"/>
        </w:rPr>
        <w:t>.</w:t>
      </w:r>
    </w:p>
    <w:p w14:paraId="2E2FD3A0" w14:textId="77777777" w:rsidR="00ED4C2D" w:rsidRPr="00381DC2" w:rsidRDefault="00ED4C2D" w:rsidP="00ED4C2D">
      <w:pPr>
        <w:widowControl/>
        <w:rPr>
          <w:rFonts w:ascii="Times New Roman" w:eastAsia="Times New Roman" w:hAnsi="Times New Roman"/>
          <w:color w:val="000000"/>
          <w:lang w:bidi="ar-SA"/>
        </w:rPr>
      </w:pPr>
    </w:p>
    <w:p w14:paraId="7BD673D8"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b/>
          <w:bCs/>
          <w:color w:val="000000"/>
          <w:lang w:bidi="ar-SA"/>
        </w:rPr>
        <w:t xml:space="preserve">Tabulka </w:t>
      </w:r>
      <w:r w:rsidR="008C3418" w:rsidRPr="00381DC2">
        <w:rPr>
          <w:rFonts w:ascii="Times New Roman" w:eastAsia="Times New Roman" w:hAnsi="Times New Roman"/>
          <w:b/>
          <w:bCs/>
          <w:color w:val="000000"/>
          <w:lang w:bidi="ar-SA"/>
        </w:rPr>
        <w:t>23</w:t>
      </w:r>
      <w:r w:rsidR="005D48D1" w:rsidRPr="00381DC2">
        <w:rPr>
          <w:rFonts w:ascii="Times New Roman" w:eastAsia="Times New Roman" w:hAnsi="Times New Roman"/>
          <w:b/>
          <w:bCs/>
          <w:color w:val="000000"/>
          <w:lang w:bidi="ar-SA"/>
        </w:rPr>
        <w:tab/>
      </w:r>
      <w:r w:rsidRPr="00381DC2">
        <w:rPr>
          <w:rFonts w:ascii="Times New Roman" w:eastAsia="Times New Roman" w:hAnsi="Times New Roman"/>
          <w:b/>
          <w:color w:val="000000"/>
          <w:lang w:bidi="ar-SA"/>
        </w:rPr>
        <w:t>Výsledky účinnosti ve studii MO22224</w:t>
      </w:r>
      <w:r w:rsidRPr="00381DC2">
        <w:rPr>
          <w:rFonts w:ascii="Times New Roman" w:eastAsia="Times New Roman" w:hAnsi="Times New Roman"/>
          <w:color w:val="000000"/>
          <w:lang w:bidi="ar-SA"/>
        </w:rPr>
        <w:t xml:space="preserve"> </w:t>
      </w:r>
    </w:p>
    <w:p w14:paraId="6D2713B0" w14:textId="77777777" w:rsidR="00ED4C2D" w:rsidRPr="00381DC2" w:rsidRDefault="00ED4C2D" w:rsidP="00ED4C2D">
      <w:pPr>
        <w:widowControl/>
        <w:rPr>
          <w:rFonts w:ascii="Times New Roman" w:eastAsia="Times New Roman" w:hAnsi="Times New Roman"/>
          <w:color w:val="000000"/>
          <w:lang w:bidi="ar-SA"/>
        </w:rPr>
      </w:pPr>
    </w:p>
    <w:tbl>
      <w:tblPr>
        <w:tblW w:w="9144" w:type="dxa"/>
        <w:tblInd w:w="6" w:type="dxa"/>
        <w:tblLayout w:type="fixed"/>
        <w:tblCellMar>
          <w:left w:w="0" w:type="dxa"/>
          <w:right w:w="0" w:type="dxa"/>
        </w:tblCellMar>
        <w:tblLook w:val="01E0" w:firstRow="1" w:lastRow="1" w:firstColumn="1" w:lastColumn="1" w:noHBand="0" w:noVBand="0"/>
      </w:tblPr>
      <w:tblGrid>
        <w:gridCol w:w="4500"/>
        <w:gridCol w:w="2093"/>
        <w:gridCol w:w="2551"/>
      </w:tblGrid>
      <w:tr w:rsidR="00ED4C2D" w:rsidRPr="00F60460" w14:paraId="05B4B71C" w14:textId="77777777" w:rsidTr="00FF564D">
        <w:tc>
          <w:tcPr>
            <w:tcW w:w="9144" w:type="dxa"/>
            <w:gridSpan w:val="3"/>
            <w:tcBorders>
              <w:top w:val="single" w:sz="5" w:space="0" w:color="000000"/>
              <w:left w:val="single" w:sz="5" w:space="0" w:color="000000"/>
              <w:bottom w:val="single" w:sz="5" w:space="0" w:color="000000"/>
              <w:right w:val="single" w:sz="5" w:space="0" w:color="000000"/>
            </w:tcBorders>
          </w:tcPr>
          <w:p w14:paraId="0F2B2846" w14:textId="77777777" w:rsidR="00ED4C2D" w:rsidRPr="00381DC2" w:rsidRDefault="00ED4C2D" w:rsidP="003C1003">
            <w:pPr>
              <w:pStyle w:val="TableParagraph"/>
              <w:spacing w:before="45"/>
              <w:ind w:left="1"/>
              <w:jc w:val="center"/>
              <w:rPr>
                <w:rFonts w:ascii="Times New Roman" w:eastAsia="Times New Roman" w:hAnsi="Times New Roman"/>
                <w:color w:val="000000"/>
              </w:rPr>
            </w:pPr>
            <w:r w:rsidRPr="00381DC2">
              <w:rPr>
                <w:rFonts w:ascii="Times New Roman" w:hAnsi="Times New Roman"/>
                <w:color w:val="000000"/>
                <w:spacing w:val="-1"/>
                <w:u w:val="single" w:color="000000"/>
              </w:rPr>
              <w:t>Primární cílový parametr účinnosti</w:t>
            </w:r>
          </w:p>
        </w:tc>
      </w:tr>
      <w:tr w:rsidR="00ED4C2D" w:rsidRPr="00F60460" w14:paraId="63BB15A7" w14:textId="77777777" w:rsidTr="00FF564D">
        <w:tc>
          <w:tcPr>
            <w:tcW w:w="9144" w:type="dxa"/>
            <w:gridSpan w:val="3"/>
            <w:tcBorders>
              <w:top w:val="single" w:sz="5" w:space="0" w:color="000000"/>
              <w:left w:val="single" w:sz="5" w:space="0" w:color="000000"/>
              <w:bottom w:val="single" w:sz="5" w:space="0" w:color="000000"/>
              <w:right w:val="single" w:sz="5" w:space="0" w:color="000000"/>
            </w:tcBorders>
          </w:tcPr>
          <w:p w14:paraId="00E17110" w14:textId="77777777" w:rsidR="00ED4C2D" w:rsidRPr="00381DC2" w:rsidRDefault="00ED4C2D" w:rsidP="003C1003">
            <w:pPr>
              <w:pStyle w:val="TableParagraph"/>
              <w:spacing w:before="19"/>
              <w:ind w:left="102"/>
              <w:rPr>
                <w:rFonts w:ascii="Times New Roman" w:eastAsia="Times New Roman" w:hAnsi="Times New Roman"/>
                <w:color w:val="000000"/>
              </w:rPr>
            </w:pPr>
            <w:r w:rsidRPr="00381DC2">
              <w:rPr>
                <w:rFonts w:ascii="Times New Roman" w:hAnsi="Times New Roman"/>
                <w:color w:val="000000"/>
                <w:spacing w:val="-1"/>
              </w:rPr>
              <w:t>Doba přežití bez progrese*</w:t>
            </w:r>
          </w:p>
        </w:tc>
      </w:tr>
      <w:tr w:rsidR="00ED4C2D" w:rsidRPr="00F60460" w14:paraId="0EC9FAA4" w14:textId="77777777" w:rsidTr="00FF564D">
        <w:tc>
          <w:tcPr>
            <w:tcW w:w="4500" w:type="dxa"/>
            <w:tcBorders>
              <w:top w:val="single" w:sz="5" w:space="0" w:color="000000"/>
              <w:left w:val="single" w:sz="5" w:space="0" w:color="000000"/>
              <w:bottom w:val="single" w:sz="5" w:space="0" w:color="000000"/>
              <w:right w:val="single" w:sz="5" w:space="0" w:color="000000"/>
            </w:tcBorders>
          </w:tcPr>
          <w:p w14:paraId="1B3A9345" w14:textId="77777777" w:rsidR="00ED4C2D" w:rsidRPr="00F60460" w:rsidRDefault="00ED4C2D" w:rsidP="003C1003">
            <w:pPr>
              <w:rPr>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313076B7" w14:textId="77777777" w:rsidR="00ED4C2D" w:rsidRPr="00381DC2" w:rsidRDefault="00ED4C2D" w:rsidP="003C1003">
            <w:pPr>
              <w:pStyle w:val="TableParagraph"/>
              <w:spacing w:before="19" w:line="266" w:lineRule="auto"/>
              <w:ind w:left="232" w:right="160"/>
              <w:jc w:val="center"/>
              <w:rPr>
                <w:rFonts w:ascii="Times New Roman"/>
                <w:color w:val="000000"/>
                <w:spacing w:val="19"/>
              </w:rPr>
            </w:pPr>
            <w:r w:rsidRPr="00381DC2">
              <w:rPr>
                <w:rFonts w:ascii="Times New Roman"/>
                <w:color w:val="000000"/>
                <w:spacing w:val="-1"/>
              </w:rPr>
              <w:t>Chemoterapie</w:t>
            </w:r>
          </w:p>
          <w:p w14:paraId="2B470A3F" w14:textId="027786D1" w:rsidR="00ED4C2D" w:rsidRPr="00381DC2" w:rsidRDefault="00ED4C2D" w:rsidP="003C1003">
            <w:pPr>
              <w:pStyle w:val="TableParagraph"/>
              <w:spacing w:before="19" w:line="266" w:lineRule="auto"/>
              <w:ind w:left="232" w:right="160"/>
              <w:jc w:val="center"/>
              <w:rPr>
                <w:rFonts w:ascii="Times New Roman" w:eastAsia="Times New Roman" w:hAnsi="Times New Roman"/>
                <w:color w:val="000000"/>
              </w:rPr>
            </w:pPr>
            <w:r w:rsidRPr="00381DC2">
              <w:rPr>
                <w:rFonts w:ascii="Times New Roman"/>
                <w:color w:val="000000"/>
                <w:spacing w:val="-1"/>
              </w:rPr>
              <w:t>(n</w:t>
            </w:r>
            <w:r w:rsidR="00C34ACD">
              <w:rPr>
                <w:rFonts w:ascii="Times New Roman"/>
                <w:color w:val="000000"/>
                <w:spacing w:val="-1"/>
              </w:rPr>
              <w:t xml:space="preserve"> </w:t>
            </w:r>
            <w:r w:rsidRPr="00381DC2">
              <w:rPr>
                <w:rFonts w:ascii="Times New Roman"/>
                <w:color w:val="000000"/>
                <w:spacing w:val="-1"/>
              </w:rPr>
              <w:t>=</w:t>
            </w:r>
            <w:r w:rsidR="00C34ACD">
              <w:rPr>
                <w:rFonts w:ascii="Times New Roman"/>
                <w:color w:val="000000"/>
                <w:spacing w:val="-1"/>
              </w:rPr>
              <w:t xml:space="preserve"> </w:t>
            </w:r>
            <w:r w:rsidRPr="00381DC2">
              <w:rPr>
                <w:rFonts w:ascii="Times New Roman"/>
                <w:color w:val="000000"/>
                <w:spacing w:val="-1"/>
              </w:rPr>
              <w:t>182)</w:t>
            </w:r>
          </w:p>
        </w:tc>
        <w:tc>
          <w:tcPr>
            <w:tcW w:w="2551" w:type="dxa"/>
            <w:tcBorders>
              <w:top w:val="single" w:sz="5" w:space="0" w:color="000000"/>
              <w:left w:val="single" w:sz="5" w:space="0" w:color="000000"/>
              <w:bottom w:val="single" w:sz="5" w:space="0" w:color="000000"/>
              <w:right w:val="single" w:sz="5" w:space="0" w:color="000000"/>
            </w:tcBorders>
          </w:tcPr>
          <w:p w14:paraId="5F60DC77" w14:textId="77777777" w:rsidR="00ED4C2D" w:rsidRPr="00381DC2" w:rsidRDefault="00ED4C2D" w:rsidP="003C1003">
            <w:pPr>
              <w:pStyle w:val="TableParagraph"/>
              <w:spacing w:before="19" w:line="266" w:lineRule="auto"/>
              <w:ind w:left="265" w:right="296" w:hanging="4"/>
              <w:jc w:val="center"/>
              <w:rPr>
                <w:rFonts w:ascii="Times New Roman"/>
                <w:color w:val="000000"/>
                <w:spacing w:val="-2"/>
              </w:rPr>
            </w:pPr>
            <w:r w:rsidRPr="00381DC2">
              <w:rPr>
                <w:rFonts w:ascii="Times New Roman"/>
                <w:color w:val="000000"/>
                <w:spacing w:val="-2"/>
              </w:rPr>
              <w:t>Chemoterapie + bevacizumab</w:t>
            </w:r>
          </w:p>
          <w:p w14:paraId="21F6A94F" w14:textId="4A3B28A0" w:rsidR="00ED4C2D" w:rsidRPr="00381DC2" w:rsidRDefault="00ED4C2D" w:rsidP="003C1003">
            <w:pPr>
              <w:pStyle w:val="TableParagraph"/>
              <w:spacing w:before="19" w:line="266" w:lineRule="auto"/>
              <w:ind w:left="265" w:right="296" w:hanging="4"/>
              <w:jc w:val="center"/>
              <w:rPr>
                <w:rFonts w:ascii="Times New Roman" w:eastAsia="Times New Roman" w:hAnsi="Times New Roman"/>
                <w:color w:val="000000"/>
              </w:rPr>
            </w:pPr>
            <w:r w:rsidRPr="00381DC2">
              <w:rPr>
                <w:rFonts w:ascii="Times New Roman"/>
                <w:color w:val="000000"/>
                <w:spacing w:val="-1"/>
              </w:rPr>
              <w:t>(n</w:t>
            </w:r>
            <w:r w:rsidR="00C34ACD">
              <w:rPr>
                <w:rFonts w:ascii="Times New Roman"/>
                <w:color w:val="000000"/>
                <w:spacing w:val="-1"/>
              </w:rPr>
              <w:t xml:space="preserve"> </w:t>
            </w:r>
            <w:r w:rsidRPr="00381DC2">
              <w:rPr>
                <w:rFonts w:ascii="Times New Roman"/>
                <w:color w:val="000000"/>
                <w:spacing w:val="-1"/>
              </w:rPr>
              <w:t>=</w:t>
            </w:r>
            <w:r w:rsidR="00C34ACD">
              <w:rPr>
                <w:rFonts w:ascii="Times New Roman"/>
                <w:color w:val="000000"/>
                <w:spacing w:val="-1"/>
              </w:rPr>
              <w:t xml:space="preserve"> </w:t>
            </w:r>
            <w:r w:rsidRPr="00381DC2">
              <w:rPr>
                <w:rFonts w:ascii="Times New Roman"/>
                <w:color w:val="000000"/>
                <w:spacing w:val="-1"/>
              </w:rPr>
              <w:t>179)</w:t>
            </w:r>
          </w:p>
        </w:tc>
      </w:tr>
      <w:tr w:rsidR="00ED4C2D" w:rsidRPr="00F60460" w14:paraId="1CB224A3" w14:textId="77777777" w:rsidTr="00FF564D">
        <w:tc>
          <w:tcPr>
            <w:tcW w:w="4500" w:type="dxa"/>
            <w:tcBorders>
              <w:top w:val="single" w:sz="5" w:space="0" w:color="000000"/>
              <w:left w:val="single" w:sz="5" w:space="0" w:color="000000"/>
              <w:bottom w:val="single" w:sz="5" w:space="0" w:color="000000"/>
              <w:right w:val="single" w:sz="5" w:space="0" w:color="000000"/>
            </w:tcBorders>
          </w:tcPr>
          <w:p w14:paraId="75A12F3B" w14:textId="77777777" w:rsidR="00ED4C2D" w:rsidRPr="00381DC2" w:rsidRDefault="00ED4C2D" w:rsidP="00892493">
            <w:pPr>
              <w:pStyle w:val="TableParagraph"/>
              <w:spacing w:before="19"/>
              <w:ind w:left="142"/>
              <w:rPr>
                <w:rFonts w:ascii="Times New Roman" w:eastAsia="Times New Roman" w:hAnsi="Times New Roman"/>
                <w:color w:val="000000"/>
              </w:rPr>
            </w:pPr>
            <w:r w:rsidRPr="00381DC2">
              <w:rPr>
                <w:rFonts w:ascii="Times New Roman" w:hAnsi="Times New Roman"/>
                <w:color w:val="000000"/>
                <w:spacing w:val="-1"/>
              </w:rPr>
              <w:t>Medián</w:t>
            </w:r>
            <w:r w:rsidRPr="00381DC2">
              <w:rPr>
                <w:rFonts w:ascii="Times New Roman" w:hAnsi="Times New Roman"/>
                <w:color w:val="000000"/>
                <w:spacing w:val="-3"/>
              </w:rPr>
              <w:t xml:space="preserve"> </w:t>
            </w:r>
            <w:r w:rsidRPr="00381DC2">
              <w:rPr>
                <w:rFonts w:ascii="Times New Roman" w:hAnsi="Times New Roman"/>
                <w:color w:val="000000"/>
                <w:spacing w:val="-1"/>
              </w:rPr>
              <w:t>(měsíce)</w:t>
            </w:r>
          </w:p>
        </w:tc>
        <w:tc>
          <w:tcPr>
            <w:tcW w:w="2093" w:type="dxa"/>
            <w:tcBorders>
              <w:top w:val="single" w:sz="5" w:space="0" w:color="000000"/>
              <w:left w:val="single" w:sz="5" w:space="0" w:color="000000"/>
              <w:bottom w:val="single" w:sz="5" w:space="0" w:color="000000"/>
              <w:right w:val="single" w:sz="5" w:space="0" w:color="000000"/>
            </w:tcBorders>
          </w:tcPr>
          <w:p w14:paraId="439DD97A" w14:textId="77777777" w:rsidR="00ED4C2D" w:rsidRPr="00381DC2" w:rsidRDefault="00ED4C2D" w:rsidP="003C1003">
            <w:pPr>
              <w:pStyle w:val="TableParagraph"/>
              <w:spacing w:before="19"/>
              <w:jc w:val="center"/>
              <w:rPr>
                <w:rFonts w:ascii="Times New Roman" w:eastAsia="Times New Roman" w:hAnsi="Times New Roman"/>
                <w:color w:val="000000"/>
              </w:rPr>
            </w:pPr>
            <w:r w:rsidRPr="00381DC2">
              <w:rPr>
                <w:rFonts w:ascii="Times New Roman"/>
                <w:color w:val="000000"/>
              </w:rPr>
              <w:t>3,4</w:t>
            </w:r>
          </w:p>
        </w:tc>
        <w:tc>
          <w:tcPr>
            <w:tcW w:w="2551" w:type="dxa"/>
            <w:tcBorders>
              <w:top w:val="single" w:sz="5" w:space="0" w:color="000000"/>
              <w:left w:val="single" w:sz="5" w:space="0" w:color="000000"/>
              <w:bottom w:val="single" w:sz="5" w:space="0" w:color="000000"/>
              <w:right w:val="single" w:sz="5" w:space="0" w:color="000000"/>
            </w:tcBorders>
          </w:tcPr>
          <w:p w14:paraId="19ACFEA8" w14:textId="77777777" w:rsidR="00ED4C2D" w:rsidRPr="00381DC2" w:rsidRDefault="00ED4C2D" w:rsidP="003C1003">
            <w:pPr>
              <w:pStyle w:val="TableParagraph"/>
              <w:spacing w:before="19"/>
              <w:jc w:val="center"/>
              <w:rPr>
                <w:rFonts w:ascii="Times New Roman" w:eastAsia="Times New Roman" w:hAnsi="Times New Roman"/>
                <w:color w:val="000000"/>
              </w:rPr>
            </w:pPr>
            <w:r w:rsidRPr="00381DC2">
              <w:rPr>
                <w:rFonts w:ascii="Times New Roman"/>
                <w:color w:val="000000"/>
              </w:rPr>
              <w:t>6,7</w:t>
            </w:r>
          </w:p>
        </w:tc>
      </w:tr>
      <w:tr w:rsidR="00ED4C2D" w:rsidRPr="00F60460" w14:paraId="166FB713" w14:textId="77777777" w:rsidTr="00FF564D">
        <w:tc>
          <w:tcPr>
            <w:tcW w:w="4500" w:type="dxa"/>
            <w:tcBorders>
              <w:top w:val="single" w:sz="5" w:space="0" w:color="000000"/>
              <w:left w:val="single" w:sz="5" w:space="0" w:color="000000"/>
              <w:bottom w:val="single" w:sz="5" w:space="0" w:color="000000"/>
              <w:right w:val="single" w:sz="5" w:space="0" w:color="000000"/>
            </w:tcBorders>
          </w:tcPr>
          <w:p w14:paraId="79343E21" w14:textId="77777777" w:rsidR="00ED4C2D" w:rsidRPr="00381DC2" w:rsidRDefault="00ED4C2D" w:rsidP="00892493">
            <w:pPr>
              <w:pStyle w:val="TableParagraph"/>
              <w:spacing w:before="19" w:line="266" w:lineRule="auto"/>
              <w:ind w:left="142" w:right="193"/>
              <w:rPr>
                <w:rFonts w:ascii="Times New Roman" w:eastAsia="Times New Roman" w:hAnsi="Times New Roman"/>
                <w:color w:val="000000"/>
              </w:rPr>
            </w:pPr>
            <w:r w:rsidRPr="00381DC2">
              <w:rPr>
                <w:rFonts w:ascii="Times New Roman" w:hAnsi="Times New Roman"/>
                <w:color w:val="000000"/>
              </w:rPr>
              <w:t>Poměr rizik (95% interval spolehlivosti)</w:t>
            </w:r>
          </w:p>
        </w:tc>
        <w:tc>
          <w:tcPr>
            <w:tcW w:w="4644" w:type="dxa"/>
            <w:gridSpan w:val="2"/>
            <w:tcBorders>
              <w:top w:val="single" w:sz="5" w:space="0" w:color="000000"/>
              <w:left w:val="single" w:sz="5" w:space="0" w:color="000000"/>
              <w:bottom w:val="single" w:sz="5" w:space="0" w:color="000000"/>
              <w:right w:val="single" w:sz="5" w:space="0" w:color="000000"/>
            </w:tcBorders>
          </w:tcPr>
          <w:p w14:paraId="64406BAD" w14:textId="77777777" w:rsidR="00ED4C2D" w:rsidRPr="00381DC2" w:rsidRDefault="00ED4C2D" w:rsidP="003C1003">
            <w:pPr>
              <w:pStyle w:val="TableParagraph"/>
              <w:spacing w:before="161"/>
              <w:ind w:left="1417"/>
              <w:rPr>
                <w:rFonts w:ascii="Times New Roman" w:eastAsia="Times New Roman" w:hAnsi="Times New Roman"/>
                <w:color w:val="000000"/>
              </w:rPr>
            </w:pPr>
            <w:r w:rsidRPr="00381DC2">
              <w:rPr>
                <w:rFonts w:ascii="Times New Roman"/>
                <w:color w:val="000000"/>
              </w:rPr>
              <w:t xml:space="preserve">0,379 </w:t>
            </w:r>
            <w:r w:rsidRPr="00381DC2">
              <w:rPr>
                <w:rFonts w:ascii="Times New Roman"/>
                <w:color w:val="000000"/>
                <w:spacing w:val="-1"/>
              </w:rPr>
              <w:t>[0,296,</w:t>
            </w:r>
            <w:r w:rsidRPr="00381DC2">
              <w:rPr>
                <w:rFonts w:ascii="Times New Roman"/>
                <w:color w:val="000000"/>
              </w:rPr>
              <w:t xml:space="preserve"> </w:t>
            </w:r>
            <w:r w:rsidRPr="00381DC2">
              <w:rPr>
                <w:rFonts w:ascii="Times New Roman"/>
                <w:color w:val="000000"/>
                <w:spacing w:val="-1"/>
              </w:rPr>
              <w:t>0,485]</w:t>
            </w:r>
          </w:p>
        </w:tc>
      </w:tr>
      <w:tr w:rsidR="00ED4C2D" w:rsidRPr="00F60460" w14:paraId="4D05A714" w14:textId="77777777" w:rsidTr="00FF564D">
        <w:tc>
          <w:tcPr>
            <w:tcW w:w="4500" w:type="dxa"/>
            <w:tcBorders>
              <w:top w:val="single" w:sz="5" w:space="0" w:color="000000"/>
              <w:left w:val="single" w:sz="5" w:space="0" w:color="000000"/>
              <w:bottom w:val="single" w:sz="5" w:space="0" w:color="000000"/>
              <w:right w:val="single" w:sz="5" w:space="0" w:color="000000"/>
            </w:tcBorders>
          </w:tcPr>
          <w:p w14:paraId="56CF049B" w14:textId="77777777" w:rsidR="00ED4C2D" w:rsidRPr="00381DC2" w:rsidRDefault="00ED4C2D" w:rsidP="00892493">
            <w:pPr>
              <w:pStyle w:val="TableParagraph"/>
              <w:spacing w:before="19"/>
              <w:ind w:left="142"/>
              <w:rPr>
                <w:rFonts w:ascii="Times New Roman" w:eastAsia="Times New Roman" w:hAnsi="Times New Roman"/>
                <w:color w:val="000000"/>
              </w:rPr>
            </w:pPr>
            <w:r w:rsidRPr="00381DC2">
              <w:rPr>
                <w:rFonts w:ascii="Times New Roman"/>
                <w:color w:val="000000"/>
                <w:spacing w:val="-1"/>
              </w:rPr>
              <w:t>p-hodnota</w:t>
            </w:r>
          </w:p>
        </w:tc>
        <w:tc>
          <w:tcPr>
            <w:tcW w:w="4644" w:type="dxa"/>
            <w:gridSpan w:val="2"/>
            <w:tcBorders>
              <w:top w:val="single" w:sz="5" w:space="0" w:color="000000"/>
              <w:left w:val="single" w:sz="5" w:space="0" w:color="000000"/>
              <w:bottom w:val="single" w:sz="5" w:space="0" w:color="000000"/>
              <w:right w:val="single" w:sz="5" w:space="0" w:color="000000"/>
            </w:tcBorders>
          </w:tcPr>
          <w:p w14:paraId="5EF08AB2" w14:textId="77777777" w:rsidR="00ED4C2D" w:rsidRPr="00381DC2" w:rsidRDefault="00ED4C2D" w:rsidP="003C1003">
            <w:pPr>
              <w:pStyle w:val="TableParagraph"/>
              <w:spacing w:before="19"/>
              <w:ind w:right="70"/>
              <w:jc w:val="center"/>
              <w:rPr>
                <w:rFonts w:ascii="Times New Roman" w:eastAsia="Times New Roman" w:hAnsi="Times New Roman"/>
                <w:color w:val="000000"/>
              </w:rPr>
            </w:pPr>
            <w:r w:rsidRPr="00381DC2">
              <w:rPr>
                <w:rFonts w:ascii="Times New Roman"/>
                <w:color w:val="000000"/>
              </w:rPr>
              <w:t>&lt;0,0001</w:t>
            </w:r>
          </w:p>
        </w:tc>
      </w:tr>
      <w:tr w:rsidR="00ED4C2D" w:rsidRPr="00F60460" w14:paraId="0AB23B3D" w14:textId="77777777" w:rsidTr="00FF564D">
        <w:tc>
          <w:tcPr>
            <w:tcW w:w="9144" w:type="dxa"/>
            <w:gridSpan w:val="3"/>
            <w:tcBorders>
              <w:top w:val="single" w:sz="5" w:space="0" w:color="000000"/>
              <w:left w:val="single" w:sz="5" w:space="0" w:color="000000"/>
              <w:bottom w:val="single" w:sz="5" w:space="0" w:color="000000"/>
              <w:right w:val="single" w:sz="5" w:space="0" w:color="000000"/>
            </w:tcBorders>
          </w:tcPr>
          <w:p w14:paraId="6CE790FD" w14:textId="77777777" w:rsidR="00ED4C2D" w:rsidRPr="00381DC2" w:rsidRDefault="00ED4C2D" w:rsidP="003C1003">
            <w:pPr>
              <w:pStyle w:val="TableParagraph"/>
              <w:spacing w:before="86"/>
              <w:ind w:left="2"/>
              <w:jc w:val="center"/>
              <w:rPr>
                <w:rFonts w:ascii="Times New Roman" w:eastAsia="Times New Roman" w:hAnsi="Times New Roman"/>
                <w:color w:val="000000"/>
              </w:rPr>
            </w:pPr>
            <w:r w:rsidRPr="00381DC2">
              <w:rPr>
                <w:rFonts w:ascii="Times New Roman" w:hAnsi="Times New Roman"/>
                <w:color w:val="000000"/>
                <w:spacing w:val="-1"/>
                <w:u w:val="single" w:color="000000"/>
              </w:rPr>
              <w:t>Sekundární cílové parametry účinnosti</w:t>
            </w:r>
          </w:p>
        </w:tc>
      </w:tr>
      <w:tr w:rsidR="00ED4C2D" w:rsidRPr="00F60460" w14:paraId="33748ABF" w14:textId="77777777" w:rsidTr="00FF564D">
        <w:tc>
          <w:tcPr>
            <w:tcW w:w="9144" w:type="dxa"/>
            <w:gridSpan w:val="3"/>
            <w:tcBorders>
              <w:top w:val="single" w:sz="5" w:space="0" w:color="000000"/>
              <w:left w:val="single" w:sz="5" w:space="0" w:color="000000"/>
              <w:bottom w:val="single" w:sz="5" w:space="0" w:color="000000"/>
              <w:right w:val="single" w:sz="5" w:space="0" w:color="000000"/>
            </w:tcBorders>
          </w:tcPr>
          <w:p w14:paraId="72975A6A" w14:textId="77777777" w:rsidR="00ED4C2D" w:rsidRPr="00381DC2" w:rsidRDefault="00ED4C2D" w:rsidP="003C1003">
            <w:pPr>
              <w:pStyle w:val="TableParagraph"/>
              <w:spacing w:before="19"/>
              <w:ind w:left="102"/>
              <w:rPr>
                <w:rFonts w:ascii="Times New Roman" w:eastAsia="Times New Roman" w:hAnsi="Times New Roman"/>
                <w:color w:val="000000"/>
              </w:rPr>
            </w:pPr>
            <w:r w:rsidRPr="00381DC2">
              <w:rPr>
                <w:rFonts w:ascii="Times New Roman" w:hAnsi="Times New Roman"/>
                <w:color w:val="000000"/>
                <w:spacing w:val="-1"/>
              </w:rPr>
              <w:t>Četnost objektivní odpovědi</w:t>
            </w:r>
            <w:r w:rsidRPr="00381DC2">
              <w:rPr>
                <w:rFonts w:ascii="Times New Roman"/>
                <w:color w:val="000000"/>
                <w:spacing w:val="-1"/>
              </w:rPr>
              <w:t>**</w:t>
            </w:r>
          </w:p>
        </w:tc>
      </w:tr>
      <w:tr w:rsidR="00ED4C2D" w:rsidRPr="00F60460" w14:paraId="549C1F4A" w14:textId="77777777" w:rsidTr="00FF564D">
        <w:tc>
          <w:tcPr>
            <w:tcW w:w="4500" w:type="dxa"/>
            <w:tcBorders>
              <w:top w:val="single" w:sz="5" w:space="0" w:color="000000"/>
              <w:left w:val="single" w:sz="5" w:space="0" w:color="000000"/>
              <w:bottom w:val="single" w:sz="5" w:space="0" w:color="000000"/>
              <w:right w:val="single" w:sz="5" w:space="0" w:color="000000"/>
            </w:tcBorders>
          </w:tcPr>
          <w:p w14:paraId="18FB8D24" w14:textId="77777777" w:rsidR="00ED4C2D" w:rsidRPr="00F60460" w:rsidRDefault="00ED4C2D" w:rsidP="003C1003">
            <w:pPr>
              <w:rPr>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05626A0F" w14:textId="77777777" w:rsidR="00ED4C2D" w:rsidRPr="00381DC2" w:rsidRDefault="00ED4C2D" w:rsidP="003C1003">
            <w:pPr>
              <w:pStyle w:val="TableParagraph"/>
              <w:spacing w:before="19" w:line="266" w:lineRule="auto"/>
              <w:ind w:left="232" w:right="160"/>
              <w:jc w:val="center"/>
              <w:rPr>
                <w:rFonts w:ascii="Times New Roman"/>
                <w:color w:val="000000"/>
                <w:spacing w:val="19"/>
              </w:rPr>
            </w:pPr>
            <w:r w:rsidRPr="00381DC2">
              <w:rPr>
                <w:rFonts w:ascii="Times New Roman"/>
                <w:color w:val="000000"/>
                <w:spacing w:val="-1"/>
              </w:rPr>
              <w:t>Chemoterapie</w:t>
            </w:r>
          </w:p>
          <w:p w14:paraId="2B8B7BF8" w14:textId="7D8F7995" w:rsidR="00ED4C2D" w:rsidRPr="00381DC2" w:rsidRDefault="00ED4C2D" w:rsidP="003C1003">
            <w:pPr>
              <w:pStyle w:val="TableParagraph"/>
              <w:spacing w:before="19" w:line="264" w:lineRule="auto"/>
              <w:ind w:left="232" w:right="160"/>
              <w:jc w:val="center"/>
              <w:rPr>
                <w:rFonts w:ascii="Times New Roman" w:eastAsia="Times New Roman" w:hAnsi="Times New Roman"/>
                <w:color w:val="000000"/>
              </w:rPr>
            </w:pPr>
            <w:r w:rsidRPr="00381DC2">
              <w:rPr>
                <w:rFonts w:ascii="Times New Roman"/>
                <w:color w:val="000000"/>
                <w:spacing w:val="-1"/>
              </w:rPr>
              <w:t>(n</w:t>
            </w:r>
            <w:r w:rsidR="00C34ACD">
              <w:rPr>
                <w:rFonts w:ascii="Times New Roman"/>
                <w:color w:val="000000"/>
                <w:spacing w:val="-1"/>
              </w:rPr>
              <w:t xml:space="preserve"> </w:t>
            </w:r>
            <w:r w:rsidRPr="00381DC2">
              <w:rPr>
                <w:rFonts w:ascii="Times New Roman"/>
                <w:color w:val="000000"/>
                <w:spacing w:val="-1"/>
              </w:rPr>
              <w:t>=</w:t>
            </w:r>
            <w:r w:rsidR="00C34ACD">
              <w:rPr>
                <w:rFonts w:ascii="Times New Roman"/>
                <w:color w:val="000000"/>
                <w:spacing w:val="-1"/>
              </w:rPr>
              <w:t xml:space="preserve"> </w:t>
            </w:r>
            <w:r w:rsidRPr="00381DC2">
              <w:rPr>
                <w:rFonts w:ascii="Times New Roman"/>
                <w:color w:val="000000"/>
                <w:spacing w:val="-1"/>
              </w:rPr>
              <w:t>144)</w:t>
            </w:r>
          </w:p>
        </w:tc>
        <w:tc>
          <w:tcPr>
            <w:tcW w:w="2551" w:type="dxa"/>
            <w:tcBorders>
              <w:top w:val="single" w:sz="5" w:space="0" w:color="000000"/>
              <w:left w:val="single" w:sz="5" w:space="0" w:color="000000"/>
              <w:bottom w:val="single" w:sz="5" w:space="0" w:color="000000"/>
              <w:right w:val="single" w:sz="5" w:space="0" w:color="000000"/>
            </w:tcBorders>
          </w:tcPr>
          <w:p w14:paraId="211FAD9D" w14:textId="77777777" w:rsidR="00ED4C2D" w:rsidRPr="00381DC2" w:rsidRDefault="00ED4C2D" w:rsidP="003C1003">
            <w:pPr>
              <w:pStyle w:val="TableParagraph"/>
              <w:spacing w:before="19" w:line="266" w:lineRule="auto"/>
              <w:ind w:left="265" w:right="296" w:hanging="4"/>
              <w:jc w:val="center"/>
              <w:rPr>
                <w:rFonts w:ascii="Times New Roman"/>
                <w:color w:val="000000"/>
                <w:spacing w:val="-2"/>
              </w:rPr>
            </w:pPr>
            <w:r w:rsidRPr="00381DC2">
              <w:rPr>
                <w:rFonts w:ascii="Times New Roman"/>
                <w:color w:val="000000"/>
                <w:spacing w:val="-2"/>
              </w:rPr>
              <w:t>Chemoterapie + bevacizumab</w:t>
            </w:r>
          </w:p>
          <w:p w14:paraId="575435AD" w14:textId="54AAF8DF" w:rsidR="00ED4C2D" w:rsidRPr="00381DC2" w:rsidRDefault="00ED4C2D" w:rsidP="003C1003">
            <w:pPr>
              <w:pStyle w:val="TableParagraph"/>
              <w:spacing w:before="19" w:line="264" w:lineRule="auto"/>
              <w:ind w:left="913" w:right="912" w:hanging="4"/>
              <w:jc w:val="center"/>
              <w:rPr>
                <w:rFonts w:ascii="Times New Roman" w:eastAsia="Times New Roman" w:hAnsi="Times New Roman"/>
                <w:color w:val="000000"/>
              </w:rPr>
            </w:pPr>
            <w:r w:rsidRPr="00381DC2">
              <w:rPr>
                <w:rFonts w:ascii="Times New Roman"/>
                <w:color w:val="000000"/>
                <w:spacing w:val="-1"/>
              </w:rPr>
              <w:t>(n</w:t>
            </w:r>
            <w:r w:rsidR="00C34ACD">
              <w:rPr>
                <w:rFonts w:ascii="Times New Roman"/>
                <w:color w:val="000000"/>
                <w:spacing w:val="-1"/>
              </w:rPr>
              <w:t xml:space="preserve"> </w:t>
            </w:r>
            <w:r w:rsidRPr="00381DC2">
              <w:rPr>
                <w:rFonts w:ascii="Times New Roman"/>
                <w:color w:val="000000"/>
                <w:spacing w:val="-1"/>
              </w:rPr>
              <w:t>=</w:t>
            </w:r>
            <w:r w:rsidR="00C34ACD">
              <w:rPr>
                <w:rFonts w:ascii="Times New Roman"/>
                <w:color w:val="000000"/>
                <w:spacing w:val="-1"/>
              </w:rPr>
              <w:t xml:space="preserve"> </w:t>
            </w:r>
            <w:r w:rsidRPr="00381DC2">
              <w:rPr>
                <w:rFonts w:ascii="Times New Roman"/>
                <w:color w:val="000000"/>
                <w:spacing w:val="-1"/>
              </w:rPr>
              <w:t>142)</w:t>
            </w:r>
          </w:p>
        </w:tc>
      </w:tr>
      <w:tr w:rsidR="00ED4C2D" w:rsidRPr="00F60460" w14:paraId="70B7669E" w14:textId="77777777" w:rsidTr="00FF564D">
        <w:tc>
          <w:tcPr>
            <w:tcW w:w="4500" w:type="dxa"/>
            <w:tcBorders>
              <w:top w:val="single" w:sz="5" w:space="0" w:color="000000"/>
              <w:left w:val="single" w:sz="5" w:space="0" w:color="000000"/>
              <w:bottom w:val="single" w:sz="5" w:space="0" w:color="000000"/>
              <w:right w:val="single" w:sz="5" w:space="0" w:color="000000"/>
            </w:tcBorders>
          </w:tcPr>
          <w:p w14:paraId="046933E0" w14:textId="77777777" w:rsidR="00ED4C2D" w:rsidRPr="00381DC2" w:rsidRDefault="00ED4C2D" w:rsidP="003C1003">
            <w:pPr>
              <w:pStyle w:val="TableParagraph"/>
              <w:spacing w:before="19"/>
              <w:ind w:left="102"/>
              <w:rPr>
                <w:rFonts w:ascii="Times New Roman" w:eastAsia="Times New Roman" w:hAnsi="Times New Roman"/>
                <w:color w:val="000000"/>
              </w:rPr>
            </w:pPr>
            <w:r w:rsidRPr="00381DC2">
              <w:rPr>
                <w:rFonts w:ascii="Times New Roman"/>
                <w:color w:val="000000"/>
              </w:rPr>
              <w:t>%</w:t>
            </w:r>
            <w:r w:rsidRPr="00381DC2">
              <w:rPr>
                <w:rFonts w:ascii="Times New Roman"/>
                <w:color w:val="000000"/>
                <w:spacing w:val="1"/>
              </w:rPr>
              <w:t xml:space="preserve"> </w:t>
            </w:r>
            <w:r w:rsidRPr="00381DC2">
              <w:rPr>
                <w:rFonts w:ascii="Times New Roman"/>
                <w:color w:val="000000"/>
                <w:spacing w:val="-1"/>
              </w:rPr>
              <w:t>pacientek s</w:t>
            </w:r>
            <w:r w:rsidRPr="001A21C8">
              <w:rPr>
                <w:rFonts w:ascii="Times New Roman" w:hAnsi="Times New Roman"/>
                <w:color w:val="000000"/>
                <w:spacing w:val="-1"/>
              </w:rPr>
              <w:t> </w:t>
            </w:r>
            <w:r w:rsidRPr="00381DC2">
              <w:rPr>
                <w:rFonts w:ascii="Times New Roman"/>
                <w:color w:val="000000"/>
                <w:spacing w:val="-1"/>
              </w:rPr>
              <w:t>objektivn</w:t>
            </w:r>
            <w:r w:rsidRPr="00381DC2">
              <w:rPr>
                <w:rFonts w:ascii="Times New Roman" w:hAnsi="Times New Roman"/>
                <w:color w:val="000000"/>
                <w:spacing w:val="-1"/>
              </w:rPr>
              <w:t>í odpovědí</w:t>
            </w:r>
          </w:p>
        </w:tc>
        <w:tc>
          <w:tcPr>
            <w:tcW w:w="2093" w:type="dxa"/>
            <w:tcBorders>
              <w:top w:val="single" w:sz="5" w:space="0" w:color="000000"/>
              <w:left w:val="single" w:sz="5" w:space="0" w:color="000000"/>
              <w:bottom w:val="single" w:sz="5" w:space="0" w:color="000000"/>
              <w:right w:val="single" w:sz="5" w:space="0" w:color="000000"/>
            </w:tcBorders>
          </w:tcPr>
          <w:p w14:paraId="52F7D19F" w14:textId="77777777" w:rsidR="00ED4C2D" w:rsidRPr="00381DC2" w:rsidRDefault="00ED4C2D" w:rsidP="003C1003">
            <w:pPr>
              <w:pStyle w:val="TableParagraph"/>
              <w:spacing w:before="19"/>
              <w:ind w:left="546"/>
              <w:rPr>
                <w:rFonts w:ascii="Times New Roman" w:eastAsia="Times New Roman" w:hAnsi="Times New Roman"/>
                <w:color w:val="000000"/>
              </w:rPr>
            </w:pPr>
            <w:r w:rsidRPr="00381DC2">
              <w:rPr>
                <w:rFonts w:ascii="Times New Roman"/>
                <w:color w:val="000000"/>
              </w:rPr>
              <w:t xml:space="preserve">18 </w:t>
            </w:r>
            <w:r w:rsidRPr="00381DC2">
              <w:rPr>
                <w:rFonts w:ascii="Times New Roman"/>
                <w:color w:val="000000"/>
                <w:spacing w:val="-1"/>
              </w:rPr>
              <w:t>(12,5%)</w:t>
            </w:r>
          </w:p>
        </w:tc>
        <w:tc>
          <w:tcPr>
            <w:tcW w:w="2551" w:type="dxa"/>
            <w:tcBorders>
              <w:top w:val="single" w:sz="5" w:space="0" w:color="000000"/>
              <w:left w:val="single" w:sz="5" w:space="0" w:color="000000"/>
              <w:bottom w:val="single" w:sz="5" w:space="0" w:color="000000"/>
              <w:right w:val="single" w:sz="5" w:space="0" w:color="000000"/>
            </w:tcBorders>
          </w:tcPr>
          <w:p w14:paraId="083191EA" w14:textId="77777777" w:rsidR="00ED4C2D" w:rsidRPr="00381DC2" w:rsidRDefault="00ED4C2D" w:rsidP="003C1003">
            <w:pPr>
              <w:pStyle w:val="TableParagraph"/>
              <w:spacing w:before="19"/>
              <w:ind w:left="774"/>
              <w:rPr>
                <w:rFonts w:ascii="Times New Roman" w:eastAsia="Times New Roman" w:hAnsi="Times New Roman"/>
                <w:color w:val="000000"/>
              </w:rPr>
            </w:pPr>
            <w:r w:rsidRPr="00381DC2">
              <w:rPr>
                <w:rFonts w:ascii="Times New Roman"/>
                <w:color w:val="000000"/>
              </w:rPr>
              <w:t xml:space="preserve">40 </w:t>
            </w:r>
            <w:r w:rsidRPr="00381DC2">
              <w:rPr>
                <w:rFonts w:ascii="Times New Roman"/>
                <w:color w:val="000000"/>
                <w:spacing w:val="-1"/>
              </w:rPr>
              <w:t>(28,2%)</w:t>
            </w:r>
          </w:p>
        </w:tc>
      </w:tr>
      <w:tr w:rsidR="00ED4C2D" w:rsidRPr="00F60460" w14:paraId="5568C57E" w14:textId="77777777" w:rsidTr="00FF564D">
        <w:tc>
          <w:tcPr>
            <w:tcW w:w="4500" w:type="dxa"/>
            <w:tcBorders>
              <w:top w:val="single" w:sz="5" w:space="0" w:color="000000"/>
              <w:left w:val="single" w:sz="5" w:space="0" w:color="000000"/>
              <w:bottom w:val="single" w:sz="5" w:space="0" w:color="000000"/>
              <w:right w:val="single" w:sz="5" w:space="0" w:color="000000"/>
            </w:tcBorders>
          </w:tcPr>
          <w:p w14:paraId="46E8A679" w14:textId="77777777" w:rsidR="00ED4C2D" w:rsidRPr="00381DC2" w:rsidRDefault="00ED4C2D" w:rsidP="00892493">
            <w:pPr>
              <w:pStyle w:val="TableParagraph"/>
              <w:spacing w:before="19"/>
              <w:ind w:left="142"/>
              <w:rPr>
                <w:rFonts w:ascii="Times New Roman" w:eastAsia="Times New Roman" w:hAnsi="Times New Roman"/>
                <w:color w:val="000000"/>
              </w:rPr>
            </w:pPr>
            <w:r w:rsidRPr="00381DC2">
              <w:rPr>
                <w:rFonts w:ascii="Times New Roman" w:eastAsia="Times New Roman" w:hAnsi="Times New Roman"/>
                <w:color w:val="000000"/>
              </w:rPr>
              <w:t xml:space="preserve">p-hodnota </w:t>
            </w:r>
          </w:p>
        </w:tc>
        <w:tc>
          <w:tcPr>
            <w:tcW w:w="4644" w:type="dxa"/>
            <w:gridSpan w:val="2"/>
            <w:tcBorders>
              <w:top w:val="single" w:sz="5" w:space="0" w:color="000000"/>
              <w:left w:val="single" w:sz="5" w:space="0" w:color="000000"/>
              <w:bottom w:val="single" w:sz="5" w:space="0" w:color="000000"/>
              <w:right w:val="single" w:sz="5" w:space="0" w:color="000000"/>
            </w:tcBorders>
          </w:tcPr>
          <w:p w14:paraId="66473929" w14:textId="77777777" w:rsidR="00ED4C2D" w:rsidRPr="00381DC2" w:rsidRDefault="00ED4C2D" w:rsidP="003C1003">
            <w:pPr>
              <w:pStyle w:val="TableParagraph"/>
              <w:spacing w:before="24"/>
              <w:jc w:val="center"/>
              <w:rPr>
                <w:rFonts w:ascii="Times New Roman" w:eastAsia="Times New Roman" w:hAnsi="Times New Roman"/>
                <w:color w:val="000000"/>
              </w:rPr>
            </w:pPr>
            <w:r w:rsidRPr="00381DC2">
              <w:rPr>
                <w:rFonts w:ascii="Times New Roman"/>
                <w:color w:val="000000"/>
              </w:rPr>
              <w:t>0,0007</w:t>
            </w:r>
          </w:p>
        </w:tc>
      </w:tr>
      <w:tr w:rsidR="00ED4C2D" w:rsidRPr="00F60460" w14:paraId="4F3DDE54" w14:textId="77777777" w:rsidTr="00FF564D">
        <w:tc>
          <w:tcPr>
            <w:tcW w:w="4500" w:type="dxa"/>
            <w:tcBorders>
              <w:top w:val="single" w:sz="5" w:space="0" w:color="000000"/>
              <w:left w:val="single" w:sz="5" w:space="0" w:color="000000"/>
              <w:bottom w:val="single" w:sz="5" w:space="0" w:color="000000"/>
              <w:right w:val="single" w:sz="5" w:space="0" w:color="000000"/>
            </w:tcBorders>
          </w:tcPr>
          <w:p w14:paraId="2F6D4652" w14:textId="77777777" w:rsidR="00ED4C2D" w:rsidRPr="00381DC2" w:rsidRDefault="00ED4C2D" w:rsidP="003C1003">
            <w:pPr>
              <w:pStyle w:val="TableParagraph"/>
              <w:spacing w:before="19"/>
              <w:ind w:left="102"/>
              <w:rPr>
                <w:rFonts w:ascii="Times New Roman" w:eastAsia="Times New Roman" w:hAnsi="Times New Roman"/>
                <w:color w:val="000000"/>
              </w:rPr>
            </w:pPr>
            <w:r w:rsidRPr="00381DC2">
              <w:rPr>
                <w:rFonts w:ascii="Times New Roman" w:hAnsi="Times New Roman"/>
                <w:color w:val="000000"/>
                <w:spacing w:val="-1"/>
              </w:rPr>
              <w:t>Celkové přežití</w:t>
            </w:r>
            <w:r w:rsidRPr="00381DC2">
              <w:rPr>
                <w:rFonts w:ascii="Times New Roman" w:hAnsi="Times New Roman"/>
                <w:color w:val="000000"/>
                <w:spacing w:val="1"/>
              </w:rPr>
              <w:t xml:space="preserve"> </w:t>
            </w:r>
            <w:r w:rsidRPr="00381DC2">
              <w:rPr>
                <w:rFonts w:ascii="Times New Roman" w:hAnsi="Times New Roman"/>
                <w:color w:val="000000"/>
                <w:spacing w:val="-1"/>
              </w:rPr>
              <w:t>(konečná</w:t>
            </w:r>
            <w:r w:rsidRPr="00381DC2">
              <w:rPr>
                <w:rFonts w:ascii="Times New Roman" w:hAnsi="Times New Roman"/>
                <w:color w:val="000000"/>
                <w:spacing w:val="1"/>
              </w:rPr>
              <w:t xml:space="preserve"> </w:t>
            </w:r>
            <w:r w:rsidRPr="00381DC2">
              <w:rPr>
                <w:rFonts w:ascii="Times New Roman" w:hAnsi="Times New Roman"/>
                <w:color w:val="000000"/>
                <w:spacing w:val="-1"/>
              </w:rPr>
              <w:t>analýza</w:t>
            </w:r>
            <w:r w:rsidRPr="00381DC2">
              <w:rPr>
                <w:rFonts w:ascii="Times New Roman"/>
                <w:color w:val="000000"/>
                <w:spacing w:val="-1"/>
              </w:rPr>
              <w:t>)***</w:t>
            </w:r>
          </w:p>
        </w:tc>
        <w:tc>
          <w:tcPr>
            <w:tcW w:w="4644" w:type="dxa"/>
            <w:gridSpan w:val="2"/>
            <w:tcBorders>
              <w:top w:val="single" w:sz="5" w:space="0" w:color="000000"/>
              <w:left w:val="single" w:sz="5" w:space="0" w:color="000000"/>
              <w:bottom w:val="single" w:sz="5" w:space="0" w:color="000000"/>
              <w:right w:val="single" w:sz="5" w:space="0" w:color="000000"/>
            </w:tcBorders>
          </w:tcPr>
          <w:p w14:paraId="0E2F7F93" w14:textId="77777777" w:rsidR="00ED4C2D" w:rsidRPr="00F60460" w:rsidRDefault="00ED4C2D" w:rsidP="003C1003">
            <w:pPr>
              <w:rPr>
                <w:color w:val="000000"/>
              </w:rPr>
            </w:pPr>
          </w:p>
        </w:tc>
      </w:tr>
      <w:tr w:rsidR="00ED4C2D" w:rsidRPr="00F60460" w14:paraId="21860426" w14:textId="77777777" w:rsidTr="00FF564D">
        <w:tc>
          <w:tcPr>
            <w:tcW w:w="4500" w:type="dxa"/>
            <w:tcBorders>
              <w:top w:val="single" w:sz="5" w:space="0" w:color="000000"/>
              <w:left w:val="single" w:sz="5" w:space="0" w:color="000000"/>
              <w:bottom w:val="single" w:sz="5" w:space="0" w:color="000000"/>
              <w:right w:val="single" w:sz="5" w:space="0" w:color="000000"/>
            </w:tcBorders>
          </w:tcPr>
          <w:p w14:paraId="138711A3" w14:textId="77777777" w:rsidR="00ED4C2D" w:rsidRPr="00F60460" w:rsidRDefault="00ED4C2D" w:rsidP="003C1003">
            <w:pPr>
              <w:rPr>
                <w:color w:val="000000"/>
              </w:rPr>
            </w:pPr>
          </w:p>
        </w:tc>
        <w:tc>
          <w:tcPr>
            <w:tcW w:w="2093" w:type="dxa"/>
            <w:tcBorders>
              <w:top w:val="single" w:sz="5" w:space="0" w:color="000000"/>
              <w:left w:val="single" w:sz="5" w:space="0" w:color="000000"/>
              <w:bottom w:val="single" w:sz="5" w:space="0" w:color="000000"/>
              <w:right w:val="single" w:sz="5" w:space="0" w:color="000000"/>
            </w:tcBorders>
          </w:tcPr>
          <w:p w14:paraId="3FBC5AE1" w14:textId="77777777" w:rsidR="00ED4C2D" w:rsidRPr="00381DC2" w:rsidRDefault="00ED4C2D" w:rsidP="003C1003">
            <w:pPr>
              <w:pStyle w:val="TableParagraph"/>
              <w:spacing w:before="19" w:line="266" w:lineRule="auto"/>
              <w:ind w:left="232" w:right="160"/>
              <w:jc w:val="center"/>
              <w:rPr>
                <w:rFonts w:ascii="Times New Roman"/>
                <w:color w:val="000000"/>
                <w:spacing w:val="19"/>
              </w:rPr>
            </w:pPr>
            <w:r w:rsidRPr="00381DC2">
              <w:rPr>
                <w:rFonts w:ascii="Times New Roman"/>
                <w:color w:val="000000"/>
                <w:spacing w:val="-1"/>
              </w:rPr>
              <w:t>Chemoterapie</w:t>
            </w:r>
          </w:p>
          <w:p w14:paraId="37F73A36" w14:textId="62807981" w:rsidR="00ED4C2D" w:rsidRPr="00381DC2" w:rsidRDefault="00ED4C2D" w:rsidP="003C1003">
            <w:pPr>
              <w:pStyle w:val="TableParagraph"/>
              <w:spacing w:before="21" w:line="264" w:lineRule="auto"/>
              <w:ind w:left="232" w:right="160"/>
              <w:jc w:val="center"/>
              <w:rPr>
                <w:rFonts w:ascii="Times New Roman" w:eastAsia="Times New Roman" w:hAnsi="Times New Roman"/>
                <w:color w:val="000000"/>
              </w:rPr>
            </w:pPr>
            <w:r w:rsidRPr="00381DC2">
              <w:rPr>
                <w:rFonts w:ascii="Times New Roman"/>
                <w:color w:val="000000"/>
                <w:spacing w:val="-1"/>
              </w:rPr>
              <w:t>(n</w:t>
            </w:r>
            <w:r w:rsidR="00631993">
              <w:rPr>
                <w:rFonts w:ascii="Times New Roman"/>
                <w:color w:val="000000"/>
                <w:spacing w:val="-1"/>
              </w:rPr>
              <w:t xml:space="preserve"> </w:t>
            </w:r>
            <w:r w:rsidRPr="00381DC2">
              <w:rPr>
                <w:rFonts w:ascii="Times New Roman"/>
                <w:color w:val="000000"/>
                <w:spacing w:val="-1"/>
              </w:rPr>
              <w:t>=</w:t>
            </w:r>
            <w:r w:rsidR="00631993">
              <w:rPr>
                <w:rFonts w:ascii="Times New Roman"/>
                <w:color w:val="000000"/>
                <w:spacing w:val="-1"/>
              </w:rPr>
              <w:t xml:space="preserve"> </w:t>
            </w:r>
            <w:r w:rsidRPr="00381DC2">
              <w:rPr>
                <w:rFonts w:ascii="Times New Roman"/>
                <w:color w:val="000000"/>
                <w:spacing w:val="-1"/>
              </w:rPr>
              <w:t>182)</w:t>
            </w:r>
          </w:p>
        </w:tc>
        <w:tc>
          <w:tcPr>
            <w:tcW w:w="2551" w:type="dxa"/>
            <w:tcBorders>
              <w:top w:val="single" w:sz="5" w:space="0" w:color="000000"/>
              <w:left w:val="single" w:sz="5" w:space="0" w:color="000000"/>
              <w:bottom w:val="single" w:sz="5" w:space="0" w:color="000000"/>
              <w:right w:val="single" w:sz="5" w:space="0" w:color="000000"/>
            </w:tcBorders>
          </w:tcPr>
          <w:p w14:paraId="2281069B" w14:textId="77777777" w:rsidR="00ED4C2D" w:rsidRPr="00381DC2" w:rsidRDefault="00ED4C2D" w:rsidP="003C1003">
            <w:pPr>
              <w:pStyle w:val="TableParagraph"/>
              <w:spacing w:before="19" w:line="266" w:lineRule="auto"/>
              <w:ind w:left="232" w:right="160"/>
              <w:jc w:val="center"/>
              <w:rPr>
                <w:rFonts w:ascii="Times New Roman"/>
                <w:color w:val="000000"/>
                <w:spacing w:val="-2"/>
              </w:rPr>
            </w:pPr>
            <w:r w:rsidRPr="00381DC2">
              <w:rPr>
                <w:rFonts w:ascii="Times New Roman"/>
                <w:color w:val="000000"/>
                <w:spacing w:val="-2"/>
              </w:rPr>
              <w:t>Chemoterapie + bevacizumab</w:t>
            </w:r>
          </w:p>
          <w:p w14:paraId="4AE72BBE" w14:textId="38E2007C" w:rsidR="00ED4C2D" w:rsidRPr="00381DC2" w:rsidRDefault="00ED4C2D" w:rsidP="003C1003">
            <w:pPr>
              <w:pStyle w:val="TableParagraph"/>
              <w:spacing w:before="21" w:line="264" w:lineRule="auto"/>
              <w:ind w:left="232" w:right="160"/>
              <w:jc w:val="center"/>
              <w:rPr>
                <w:rFonts w:ascii="Times New Roman" w:eastAsia="Times New Roman" w:hAnsi="Times New Roman"/>
                <w:color w:val="000000"/>
              </w:rPr>
            </w:pPr>
            <w:r w:rsidRPr="00381DC2">
              <w:rPr>
                <w:rFonts w:ascii="Times New Roman"/>
                <w:color w:val="000000"/>
                <w:spacing w:val="-1"/>
              </w:rPr>
              <w:t>(n</w:t>
            </w:r>
            <w:r w:rsidR="00631993">
              <w:rPr>
                <w:rFonts w:ascii="Times New Roman"/>
                <w:color w:val="000000"/>
                <w:spacing w:val="-1"/>
              </w:rPr>
              <w:t xml:space="preserve"> </w:t>
            </w:r>
            <w:r w:rsidRPr="00381DC2">
              <w:rPr>
                <w:rFonts w:ascii="Times New Roman"/>
                <w:color w:val="000000"/>
                <w:spacing w:val="-1"/>
              </w:rPr>
              <w:t>=</w:t>
            </w:r>
            <w:r w:rsidR="00631993">
              <w:rPr>
                <w:rFonts w:ascii="Times New Roman"/>
                <w:color w:val="000000"/>
                <w:spacing w:val="-1"/>
              </w:rPr>
              <w:t xml:space="preserve"> </w:t>
            </w:r>
            <w:r w:rsidRPr="00381DC2">
              <w:rPr>
                <w:rFonts w:ascii="Times New Roman"/>
                <w:color w:val="000000"/>
                <w:spacing w:val="-1"/>
              </w:rPr>
              <w:t>179)</w:t>
            </w:r>
          </w:p>
        </w:tc>
      </w:tr>
      <w:tr w:rsidR="00ED4C2D" w:rsidRPr="00F60460" w14:paraId="166BF529" w14:textId="77777777" w:rsidTr="00FF564D">
        <w:tc>
          <w:tcPr>
            <w:tcW w:w="4500" w:type="dxa"/>
            <w:tcBorders>
              <w:top w:val="single" w:sz="5" w:space="0" w:color="000000"/>
              <w:left w:val="single" w:sz="5" w:space="0" w:color="000000"/>
              <w:bottom w:val="single" w:sz="5" w:space="0" w:color="000000"/>
              <w:right w:val="single" w:sz="5" w:space="0" w:color="000000"/>
            </w:tcBorders>
          </w:tcPr>
          <w:p w14:paraId="2D59DD67" w14:textId="77777777" w:rsidR="00ED4C2D" w:rsidRPr="00381DC2" w:rsidRDefault="00ED4C2D" w:rsidP="00892493">
            <w:pPr>
              <w:pStyle w:val="TableParagraph"/>
              <w:spacing w:before="19"/>
              <w:ind w:left="142"/>
              <w:rPr>
                <w:rFonts w:ascii="Times New Roman" w:eastAsia="Times New Roman" w:hAnsi="Times New Roman"/>
                <w:color w:val="000000"/>
              </w:rPr>
            </w:pPr>
            <w:r w:rsidRPr="00381DC2">
              <w:rPr>
                <w:rFonts w:ascii="Times New Roman" w:hAnsi="Times New Roman"/>
                <w:color w:val="000000"/>
                <w:spacing w:val="-1"/>
              </w:rPr>
              <w:t>Medián</w:t>
            </w:r>
            <w:r w:rsidRPr="00381DC2">
              <w:rPr>
                <w:rFonts w:ascii="Times New Roman" w:hAnsi="Times New Roman"/>
                <w:color w:val="000000"/>
              </w:rPr>
              <w:t xml:space="preserve"> celkového přežití</w:t>
            </w:r>
            <w:r w:rsidRPr="00381DC2">
              <w:rPr>
                <w:rFonts w:ascii="Times New Roman" w:hAnsi="Times New Roman"/>
                <w:color w:val="000000"/>
                <w:spacing w:val="-1"/>
              </w:rPr>
              <w:t xml:space="preserve"> (měsíce</w:t>
            </w:r>
            <w:r w:rsidRPr="00381DC2">
              <w:rPr>
                <w:rFonts w:ascii="Times New Roman"/>
                <w:color w:val="000000"/>
                <w:spacing w:val="-1"/>
              </w:rPr>
              <w:t>)</w:t>
            </w:r>
          </w:p>
        </w:tc>
        <w:tc>
          <w:tcPr>
            <w:tcW w:w="2093" w:type="dxa"/>
            <w:tcBorders>
              <w:top w:val="single" w:sz="5" w:space="0" w:color="000000"/>
              <w:left w:val="single" w:sz="5" w:space="0" w:color="000000"/>
              <w:bottom w:val="single" w:sz="5" w:space="0" w:color="000000"/>
              <w:right w:val="single" w:sz="5" w:space="0" w:color="000000"/>
            </w:tcBorders>
          </w:tcPr>
          <w:p w14:paraId="6B8F89B6" w14:textId="77777777" w:rsidR="00ED4C2D" w:rsidRPr="00381DC2" w:rsidRDefault="00ED4C2D" w:rsidP="003C1003">
            <w:pPr>
              <w:pStyle w:val="TableParagraph"/>
              <w:spacing w:before="24"/>
              <w:ind w:left="2"/>
              <w:jc w:val="center"/>
              <w:rPr>
                <w:rFonts w:ascii="Times New Roman" w:eastAsia="Times New Roman" w:hAnsi="Times New Roman"/>
                <w:color w:val="000000"/>
              </w:rPr>
            </w:pPr>
            <w:r w:rsidRPr="00381DC2">
              <w:rPr>
                <w:rFonts w:ascii="Times New Roman"/>
                <w:color w:val="000000"/>
              </w:rPr>
              <w:t>13,3</w:t>
            </w:r>
          </w:p>
        </w:tc>
        <w:tc>
          <w:tcPr>
            <w:tcW w:w="2551" w:type="dxa"/>
            <w:tcBorders>
              <w:top w:val="single" w:sz="5" w:space="0" w:color="000000"/>
              <w:left w:val="single" w:sz="5" w:space="0" w:color="000000"/>
              <w:bottom w:val="single" w:sz="5" w:space="0" w:color="000000"/>
              <w:right w:val="single" w:sz="5" w:space="0" w:color="000000"/>
            </w:tcBorders>
          </w:tcPr>
          <w:p w14:paraId="7CA30E63" w14:textId="77777777" w:rsidR="00ED4C2D" w:rsidRPr="00381DC2" w:rsidRDefault="00ED4C2D" w:rsidP="003C1003">
            <w:pPr>
              <w:pStyle w:val="TableParagraph"/>
              <w:spacing w:before="24"/>
              <w:jc w:val="center"/>
              <w:rPr>
                <w:rFonts w:ascii="Times New Roman" w:eastAsia="Times New Roman" w:hAnsi="Times New Roman"/>
                <w:color w:val="000000"/>
              </w:rPr>
            </w:pPr>
            <w:r w:rsidRPr="00381DC2">
              <w:rPr>
                <w:rFonts w:ascii="Times New Roman"/>
                <w:color w:val="000000"/>
              </w:rPr>
              <w:t>16,6</w:t>
            </w:r>
          </w:p>
        </w:tc>
      </w:tr>
      <w:tr w:rsidR="00ED4C2D" w:rsidRPr="00F60460" w14:paraId="3C4772AA" w14:textId="77777777" w:rsidTr="00FF564D">
        <w:tc>
          <w:tcPr>
            <w:tcW w:w="4500" w:type="dxa"/>
            <w:tcBorders>
              <w:top w:val="single" w:sz="5" w:space="0" w:color="000000"/>
              <w:left w:val="single" w:sz="5" w:space="0" w:color="000000"/>
              <w:bottom w:val="single" w:sz="5" w:space="0" w:color="000000"/>
              <w:right w:val="single" w:sz="5" w:space="0" w:color="000000"/>
            </w:tcBorders>
          </w:tcPr>
          <w:p w14:paraId="46A8EFD9" w14:textId="77777777" w:rsidR="00ED4C2D" w:rsidRPr="00381DC2" w:rsidRDefault="00ED4C2D" w:rsidP="00892493">
            <w:pPr>
              <w:pStyle w:val="TableParagraph"/>
              <w:spacing w:before="19" w:line="266" w:lineRule="auto"/>
              <w:ind w:left="142" w:right="193"/>
              <w:rPr>
                <w:rFonts w:ascii="Times New Roman" w:eastAsia="Times New Roman" w:hAnsi="Times New Roman"/>
                <w:color w:val="000000"/>
              </w:rPr>
            </w:pPr>
            <w:r w:rsidRPr="00381DC2">
              <w:rPr>
                <w:rFonts w:ascii="Times New Roman" w:hAnsi="Times New Roman"/>
                <w:color w:val="000000"/>
              </w:rPr>
              <w:t>Poměr rizik (95% interval spolehlivosti)</w:t>
            </w:r>
          </w:p>
        </w:tc>
        <w:tc>
          <w:tcPr>
            <w:tcW w:w="4644" w:type="dxa"/>
            <w:gridSpan w:val="2"/>
            <w:tcBorders>
              <w:top w:val="single" w:sz="5" w:space="0" w:color="000000"/>
              <w:left w:val="single" w:sz="5" w:space="0" w:color="000000"/>
              <w:bottom w:val="single" w:sz="5" w:space="0" w:color="000000"/>
              <w:right w:val="single" w:sz="5" w:space="0" w:color="000000"/>
            </w:tcBorders>
          </w:tcPr>
          <w:p w14:paraId="5A063C62" w14:textId="77777777" w:rsidR="00ED4C2D" w:rsidRPr="00381DC2" w:rsidRDefault="00ED4C2D" w:rsidP="003C1003">
            <w:pPr>
              <w:pStyle w:val="TableParagraph"/>
              <w:spacing w:before="158"/>
              <w:ind w:left="1417"/>
              <w:rPr>
                <w:rFonts w:ascii="Times New Roman" w:eastAsia="Times New Roman" w:hAnsi="Times New Roman"/>
                <w:color w:val="000000"/>
              </w:rPr>
            </w:pPr>
            <w:r w:rsidRPr="00381DC2">
              <w:rPr>
                <w:rFonts w:ascii="Times New Roman"/>
                <w:color w:val="000000"/>
              </w:rPr>
              <w:t xml:space="preserve">0,870 </w:t>
            </w:r>
            <w:r w:rsidRPr="00381DC2">
              <w:rPr>
                <w:rFonts w:ascii="Times New Roman"/>
                <w:color w:val="000000"/>
                <w:spacing w:val="-1"/>
              </w:rPr>
              <w:t>[0,678,</w:t>
            </w:r>
            <w:r w:rsidRPr="00381DC2">
              <w:rPr>
                <w:rFonts w:ascii="Times New Roman"/>
                <w:color w:val="000000"/>
              </w:rPr>
              <w:t xml:space="preserve"> </w:t>
            </w:r>
            <w:r w:rsidRPr="00381DC2">
              <w:rPr>
                <w:rFonts w:ascii="Times New Roman"/>
                <w:color w:val="000000"/>
                <w:spacing w:val="-1"/>
              </w:rPr>
              <w:t>1,116]</w:t>
            </w:r>
          </w:p>
        </w:tc>
      </w:tr>
      <w:tr w:rsidR="00ED4C2D" w:rsidRPr="00F60460" w14:paraId="7CB75DE2" w14:textId="77777777" w:rsidTr="00FF564D">
        <w:tc>
          <w:tcPr>
            <w:tcW w:w="4500" w:type="dxa"/>
            <w:tcBorders>
              <w:top w:val="single" w:sz="5" w:space="0" w:color="000000"/>
              <w:left w:val="single" w:sz="5" w:space="0" w:color="000000"/>
              <w:bottom w:val="single" w:sz="5" w:space="0" w:color="000000"/>
              <w:right w:val="single" w:sz="5" w:space="0" w:color="000000"/>
            </w:tcBorders>
          </w:tcPr>
          <w:p w14:paraId="1C06AF4A" w14:textId="77777777" w:rsidR="00ED4C2D" w:rsidRPr="00381DC2" w:rsidRDefault="00ED4C2D" w:rsidP="00892493">
            <w:pPr>
              <w:pStyle w:val="TableParagraph"/>
              <w:spacing w:before="19"/>
              <w:ind w:left="142"/>
              <w:rPr>
                <w:rFonts w:ascii="Times New Roman" w:eastAsia="Times New Roman" w:hAnsi="Times New Roman"/>
                <w:color w:val="000000"/>
              </w:rPr>
            </w:pPr>
            <w:r w:rsidRPr="00381DC2">
              <w:rPr>
                <w:rFonts w:ascii="Times New Roman"/>
                <w:color w:val="000000"/>
                <w:spacing w:val="-1"/>
              </w:rPr>
              <w:t>p-hodnota p</w:t>
            </w:r>
          </w:p>
        </w:tc>
        <w:tc>
          <w:tcPr>
            <w:tcW w:w="4644" w:type="dxa"/>
            <w:gridSpan w:val="2"/>
            <w:tcBorders>
              <w:top w:val="single" w:sz="5" w:space="0" w:color="000000"/>
              <w:left w:val="single" w:sz="5" w:space="0" w:color="000000"/>
              <w:bottom w:val="single" w:sz="5" w:space="0" w:color="000000"/>
              <w:right w:val="single" w:sz="5" w:space="0" w:color="000000"/>
            </w:tcBorders>
          </w:tcPr>
          <w:p w14:paraId="477F60F4" w14:textId="77777777" w:rsidR="00ED4C2D" w:rsidRPr="00381DC2" w:rsidRDefault="00ED4C2D" w:rsidP="003C1003">
            <w:pPr>
              <w:pStyle w:val="TableParagraph"/>
              <w:spacing w:before="24"/>
              <w:jc w:val="center"/>
              <w:rPr>
                <w:rFonts w:ascii="Times New Roman" w:eastAsia="Times New Roman" w:hAnsi="Times New Roman"/>
                <w:color w:val="000000"/>
              </w:rPr>
            </w:pPr>
            <w:r w:rsidRPr="00381DC2">
              <w:rPr>
                <w:rFonts w:ascii="Times New Roman"/>
                <w:color w:val="000000"/>
              </w:rPr>
              <w:t>0,2711</w:t>
            </w:r>
          </w:p>
        </w:tc>
      </w:tr>
    </w:tbl>
    <w:p w14:paraId="2199A0DD" w14:textId="77777777" w:rsidR="00ED4C2D" w:rsidRPr="00F60460" w:rsidRDefault="00ED4C2D" w:rsidP="00892493">
      <w:pPr>
        <w:widowControl/>
        <w:ind w:left="142"/>
        <w:rPr>
          <w:rFonts w:ascii="Times New Roman" w:eastAsia="Times New Roman" w:hAnsi="Times New Roman"/>
          <w:color w:val="000000"/>
          <w:sz w:val="20"/>
          <w:szCs w:val="20"/>
          <w:lang w:bidi="ar-SA"/>
        </w:rPr>
      </w:pPr>
      <w:r w:rsidRPr="00F60460">
        <w:rPr>
          <w:rFonts w:ascii="Times New Roman" w:eastAsia="Times New Roman" w:hAnsi="Times New Roman"/>
          <w:color w:val="000000"/>
          <w:sz w:val="20"/>
          <w:szCs w:val="20"/>
          <w:lang w:bidi="ar-SA"/>
        </w:rPr>
        <w:t>Všechny analýzy uvedené v této tabulce jsou stratifikované analýzy.</w:t>
      </w:r>
      <w:r w:rsidRPr="00F60460">
        <w:rPr>
          <w:rFonts w:ascii="Times New Roman" w:eastAsia="Times New Roman" w:hAnsi="Times New Roman"/>
          <w:color w:val="000000"/>
          <w:sz w:val="20"/>
          <w:szCs w:val="20"/>
          <w:lang w:bidi="ar-SA"/>
        </w:rPr>
        <w:br/>
        <w:t>* Primární analýza byla provedena s datovou uzávěrkou ze dne 14. listopadu 2011.</w:t>
      </w:r>
      <w:r w:rsidRPr="00F60460">
        <w:rPr>
          <w:rFonts w:ascii="Times New Roman" w:eastAsia="Times New Roman" w:hAnsi="Times New Roman"/>
          <w:color w:val="000000"/>
          <w:sz w:val="20"/>
          <w:szCs w:val="20"/>
          <w:lang w:bidi="ar-SA"/>
        </w:rPr>
        <w:br/>
        <w:t>** Randomizované pacientky s měřitelným onemocněním při vstupu do studie.</w:t>
      </w:r>
      <w:r w:rsidRPr="00F60460">
        <w:rPr>
          <w:rFonts w:ascii="Times New Roman" w:eastAsia="Times New Roman" w:hAnsi="Times New Roman"/>
          <w:color w:val="000000"/>
          <w:sz w:val="20"/>
          <w:szCs w:val="20"/>
          <w:lang w:bidi="ar-SA"/>
        </w:rPr>
        <w:br/>
        <w:t>*** Konečná analýza celkového přežití byla provedena po výskytu 266 úmrtí, což představuje 73,7% zařazených pacientů.</w:t>
      </w:r>
    </w:p>
    <w:p w14:paraId="1DBCF835" w14:textId="77777777" w:rsidR="00ED4C2D" w:rsidRPr="00381DC2" w:rsidRDefault="00ED4C2D" w:rsidP="00ED4C2D">
      <w:pPr>
        <w:widowControl/>
        <w:rPr>
          <w:rFonts w:ascii="Times New Roman" w:eastAsia="Times New Roman" w:hAnsi="Times New Roman"/>
          <w:color w:val="000000"/>
          <w:lang w:bidi="ar-SA"/>
        </w:rPr>
      </w:pPr>
    </w:p>
    <w:p w14:paraId="758ACC63" w14:textId="77777777" w:rsidR="00ED4C2D" w:rsidRPr="00381DC2" w:rsidRDefault="00ED4C2D" w:rsidP="00ED4C2D">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Klinická studie splnila svůj primární cíl zlepšit dobu přežití bez progrese. Ve srovnání s pacientkami léčenými chemoterapií samostatně (paklitaxel, topotekan nebo PLD) pro rekurenci onemocnění rezistentního k platině, měly pacientky, které dostávaly bevacizumab v dávce 10 mg/kg každé 2 týdny (nebo 15 mg/kg každé 3 týdny, pokud se jednalo o kombinaci s topotekanem 1,25 mg/m</w:t>
      </w:r>
      <w:r w:rsidRPr="00381DC2">
        <w:rPr>
          <w:rFonts w:ascii="Times New Roman" w:eastAsia="Times New Roman" w:hAnsi="Times New Roman"/>
          <w:color w:val="000000"/>
          <w:vertAlign w:val="superscript"/>
          <w:lang w:bidi="ar-SA"/>
        </w:rPr>
        <w:t>2</w:t>
      </w:r>
      <w:r w:rsidRPr="00381DC2">
        <w:rPr>
          <w:rFonts w:ascii="Times New Roman" w:eastAsia="Times New Roman" w:hAnsi="Times New Roman"/>
          <w:color w:val="000000"/>
          <w:lang w:bidi="ar-SA"/>
        </w:rPr>
        <w:t xml:space="preserve"> ve dnech 1-5 </w:t>
      </w:r>
      <w:r w:rsidRPr="00381DC2">
        <w:rPr>
          <w:rFonts w:ascii="Times New Roman" w:eastAsia="Times New Roman" w:hAnsi="Times New Roman"/>
          <w:color w:val="000000"/>
          <w:lang w:bidi="ar-SA"/>
        </w:rPr>
        <w:lastRenderedPageBreak/>
        <w:t xml:space="preserve">každé 3 týdny) v kombinaci s chemoterapií a s následným podáváním bevacizumabu do progrese nemoci nebo nepřijatelné toxicity, statisticky významné zlepšení doby přežití bez progrese. Explorativní analýzy doby přežití bez progrese a celkového přežití v jednotlivých kohortách dle chemoterapie (paklitaxel topotekan a pegylovaný liposomální doxorubicin) jsou uvedeny v tabulce </w:t>
      </w:r>
      <w:r w:rsidR="000E6E28" w:rsidRPr="00381DC2">
        <w:rPr>
          <w:rFonts w:ascii="Times New Roman" w:eastAsia="Times New Roman" w:hAnsi="Times New Roman"/>
          <w:color w:val="000000"/>
          <w:lang w:bidi="ar-SA"/>
        </w:rPr>
        <w:t>24</w:t>
      </w:r>
      <w:r w:rsidRPr="00381DC2">
        <w:rPr>
          <w:rFonts w:ascii="Times New Roman" w:eastAsia="Times New Roman" w:hAnsi="Times New Roman"/>
          <w:color w:val="000000"/>
          <w:lang w:bidi="ar-SA"/>
        </w:rPr>
        <w:t>.</w:t>
      </w:r>
    </w:p>
    <w:p w14:paraId="68CFE893" w14:textId="77777777" w:rsidR="00ED4C2D" w:rsidRPr="00381DC2" w:rsidRDefault="00ED4C2D" w:rsidP="00ED4C2D">
      <w:pPr>
        <w:widowControl/>
        <w:rPr>
          <w:rFonts w:ascii="Times New Roman" w:eastAsia="Times New Roman" w:hAnsi="Times New Roman"/>
          <w:b/>
          <w:bCs/>
          <w:color w:val="000000"/>
          <w:lang w:bidi="ar-SA"/>
        </w:rPr>
      </w:pPr>
    </w:p>
    <w:p w14:paraId="0B1A3DED" w14:textId="77777777" w:rsidR="00ED4C2D" w:rsidRPr="00381DC2" w:rsidRDefault="00ED4C2D" w:rsidP="00ED4C2D">
      <w:pPr>
        <w:widowControl/>
        <w:rPr>
          <w:rFonts w:ascii="Times New Roman" w:eastAsia="Times New Roman" w:hAnsi="Times New Roman"/>
          <w:b/>
          <w:color w:val="000000"/>
          <w:lang w:bidi="ar-SA"/>
        </w:rPr>
      </w:pPr>
      <w:r w:rsidRPr="00381DC2">
        <w:rPr>
          <w:rFonts w:ascii="Times New Roman" w:eastAsia="Times New Roman" w:hAnsi="Times New Roman"/>
          <w:b/>
          <w:bCs/>
          <w:color w:val="000000"/>
          <w:lang w:bidi="ar-SA"/>
        </w:rPr>
        <w:t xml:space="preserve">Tabulka </w:t>
      </w:r>
      <w:r w:rsidR="000E6E28" w:rsidRPr="00381DC2">
        <w:rPr>
          <w:rFonts w:ascii="Times New Roman" w:eastAsia="Times New Roman" w:hAnsi="Times New Roman"/>
          <w:b/>
          <w:bCs/>
          <w:color w:val="000000"/>
          <w:lang w:bidi="ar-SA"/>
        </w:rPr>
        <w:t>24</w:t>
      </w:r>
      <w:r w:rsidR="005D48D1" w:rsidRPr="00381DC2">
        <w:rPr>
          <w:rFonts w:ascii="Times New Roman" w:eastAsia="Times New Roman" w:hAnsi="Times New Roman"/>
          <w:b/>
          <w:bCs/>
          <w:color w:val="000000"/>
          <w:lang w:bidi="ar-SA"/>
        </w:rPr>
        <w:tab/>
      </w:r>
      <w:r w:rsidRPr="00381DC2">
        <w:rPr>
          <w:rFonts w:ascii="Times New Roman" w:eastAsia="Times New Roman" w:hAnsi="Times New Roman"/>
          <w:b/>
          <w:color w:val="000000"/>
          <w:lang w:bidi="ar-SA"/>
        </w:rPr>
        <w:t xml:space="preserve">Explorativní analýzy doby přežití bez progrese a celkového přežití v jednotlivých kohortách dle chemoterapie </w:t>
      </w:r>
    </w:p>
    <w:p w14:paraId="08C65D81" w14:textId="77777777" w:rsidR="00ED4C2D" w:rsidRPr="00381DC2" w:rsidRDefault="00ED4C2D" w:rsidP="00ED4C2D">
      <w:pPr>
        <w:widowControl/>
        <w:rPr>
          <w:rFonts w:ascii="Times New Roman" w:eastAsia="Times New Roman" w:hAnsi="Times New Roman"/>
          <w:color w:val="000000"/>
          <w:lang w:bidi="ar-SA"/>
        </w:rPr>
      </w:pPr>
    </w:p>
    <w:tbl>
      <w:tblPr>
        <w:tblW w:w="0" w:type="auto"/>
        <w:tblInd w:w="6" w:type="dxa"/>
        <w:tblLayout w:type="fixed"/>
        <w:tblCellMar>
          <w:left w:w="0" w:type="dxa"/>
          <w:right w:w="0" w:type="dxa"/>
        </w:tblCellMar>
        <w:tblLook w:val="01E0" w:firstRow="1" w:lastRow="1" w:firstColumn="1" w:lastColumn="1" w:noHBand="0" w:noVBand="0"/>
      </w:tblPr>
      <w:tblGrid>
        <w:gridCol w:w="2971"/>
        <w:gridCol w:w="2767"/>
        <w:gridCol w:w="75"/>
        <w:gridCol w:w="2693"/>
      </w:tblGrid>
      <w:tr w:rsidR="00ED4C2D" w:rsidRPr="00F60460" w14:paraId="2F41CDA8" w14:textId="77777777" w:rsidTr="00FF564D">
        <w:tc>
          <w:tcPr>
            <w:tcW w:w="2971" w:type="dxa"/>
            <w:tcBorders>
              <w:top w:val="single" w:sz="5" w:space="0" w:color="000000"/>
              <w:left w:val="single" w:sz="5" w:space="0" w:color="000000"/>
              <w:bottom w:val="single" w:sz="5" w:space="0" w:color="000000"/>
              <w:right w:val="single" w:sz="5" w:space="0" w:color="000000"/>
            </w:tcBorders>
          </w:tcPr>
          <w:p w14:paraId="3CFDDE61" w14:textId="77777777" w:rsidR="00ED4C2D" w:rsidRPr="00F60460" w:rsidRDefault="00ED4C2D" w:rsidP="003C1003">
            <w:pPr>
              <w:keepNext/>
              <w:rPr>
                <w:color w:val="000000"/>
              </w:rPr>
            </w:pPr>
          </w:p>
        </w:tc>
        <w:tc>
          <w:tcPr>
            <w:tcW w:w="2842" w:type="dxa"/>
            <w:gridSpan w:val="2"/>
            <w:tcBorders>
              <w:top w:val="single" w:sz="5" w:space="0" w:color="000000"/>
              <w:left w:val="single" w:sz="5" w:space="0" w:color="000000"/>
              <w:bottom w:val="single" w:sz="5" w:space="0" w:color="000000"/>
              <w:right w:val="single" w:sz="5" w:space="0" w:color="000000"/>
            </w:tcBorders>
          </w:tcPr>
          <w:p w14:paraId="7248F1C6" w14:textId="77777777" w:rsidR="00ED4C2D" w:rsidRPr="00381DC2" w:rsidRDefault="00ED4C2D" w:rsidP="003C1003">
            <w:pPr>
              <w:pStyle w:val="TableParagraph"/>
              <w:keepNext/>
              <w:spacing w:before="19"/>
              <w:jc w:val="center"/>
              <w:rPr>
                <w:rFonts w:ascii="Times New Roman" w:eastAsia="Times New Roman" w:hAnsi="Times New Roman"/>
                <w:color w:val="000000"/>
              </w:rPr>
            </w:pPr>
            <w:r w:rsidRPr="00381DC2">
              <w:rPr>
                <w:rFonts w:ascii="Times New Roman"/>
                <w:color w:val="000000"/>
                <w:spacing w:val="-1"/>
              </w:rPr>
              <w:t>Chemoterapie</w:t>
            </w:r>
          </w:p>
        </w:tc>
        <w:tc>
          <w:tcPr>
            <w:tcW w:w="2693" w:type="dxa"/>
            <w:tcBorders>
              <w:top w:val="single" w:sz="5" w:space="0" w:color="000000"/>
              <w:left w:val="single" w:sz="5" w:space="0" w:color="000000"/>
              <w:bottom w:val="single" w:sz="5" w:space="0" w:color="000000"/>
              <w:right w:val="single" w:sz="5" w:space="0" w:color="000000"/>
            </w:tcBorders>
          </w:tcPr>
          <w:p w14:paraId="73701E28" w14:textId="77777777" w:rsidR="00ED4C2D" w:rsidRPr="00381DC2" w:rsidRDefault="00ED4C2D" w:rsidP="003C1003">
            <w:pPr>
              <w:pStyle w:val="TableParagraph"/>
              <w:keepNext/>
              <w:spacing w:before="19"/>
              <w:ind w:right="5"/>
              <w:jc w:val="center"/>
              <w:rPr>
                <w:rFonts w:ascii="Times New Roman" w:eastAsia="Times New Roman" w:hAnsi="Times New Roman"/>
                <w:color w:val="000000"/>
              </w:rPr>
            </w:pPr>
            <w:r w:rsidRPr="00381DC2">
              <w:rPr>
                <w:rFonts w:ascii="Times New Roman"/>
                <w:color w:val="000000"/>
                <w:spacing w:val="-2"/>
              </w:rPr>
              <w:t>Chemoterapie + bevacizumab</w:t>
            </w:r>
          </w:p>
        </w:tc>
      </w:tr>
      <w:tr w:rsidR="00ED4C2D" w:rsidRPr="00F60460" w14:paraId="0A937EB7" w14:textId="77777777" w:rsidTr="00FF564D">
        <w:trPr>
          <w:trHeight w:hRule="exact" w:val="262"/>
        </w:trPr>
        <w:tc>
          <w:tcPr>
            <w:tcW w:w="2971" w:type="dxa"/>
            <w:tcBorders>
              <w:top w:val="single" w:sz="5" w:space="0" w:color="000000"/>
              <w:left w:val="single" w:sz="5" w:space="0" w:color="000000"/>
              <w:bottom w:val="single" w:sz="5" w:space="0" w:color="000000"/>
              <w:right w:val="single" w:sz="5" w:space="0" w:color="000000"/>
            </w:tcBorders>
          </w:tcPr>
          <w:p w14:paraId="0A7B79E1" w14:textId="77777777" w:rsidR="00ED4C2D" w:rsidRPr="00381DC2" w:rsidRDefault="00ED4C2D" w:rsidP="003C1003">
            <w:pPr>
              <w:pStyle w:val="TableParagraph"/>
              <w:spacing w:line="250" w:lineRule="exact"/>
              <w:ind w:left="1"/>
              <w:jc w:val="center"/>
              <w:rPr>
                <w:rFonts w:ascii="Times New Roman" w:eastAsia="Times New Roman" w:hAnsi="Times New Roman"/>
                <w:color w:val="000000"/>
              </w:rPr>
            </w:pPr>
            <w:r w:rsidRPr="00381DC2">
              <w:rPr>
                <w:rFonts w:ascii="Times New Roman"/>
                <w:b/>
                <w:color w:val="000000"/>
                <w:spacing w:val="-1"/>
              </w:rPr>
              <w:t>Paklitaxel</w:t>
            </w:r>
          </w:p>
        </w:tc>
        <w:tc>
          <w:tcPr>
            <w:tcW w:w="5535" w:type="dxa"/>
            <w:gridSpan w:val="3"/>
            <w:tcBorders>
              <w:top w:val="single" w:sz="5" w:space="0" w:color="000000"/>
              <w:left w:val="single" w:sz="5" w:space="0" w:color="000000"/>
              <w:bottom w:val="single" w:sz="5" w:space="0" w:color="000000"/>
              <w:right w:val="single" w:sz="5" w:space="0" w:color="000000"/>
            </w:tcBorders>
          </w:tcPr>
          <w:p w14:paraId="3DFF6A08" w14:textId="768C2D90" w:rsidR="00ED4C2D" w:rsidRPr="00381DC2" w:rsidRDefault="00631993" w:rsidP="003C1003">
            <w:pPr>
              <w:pStyle w:val="TableParagraph"/>
              <w:spacing w:line="246" w:lineRule="exact"/>
              <w:jc w:val="center"/>
              <w:rPr>
                <w:rFonts w:ascii="Times New Roman" w:eastAsia="Times New Roman" w:hAnsi="Times New Roman"/>
                <w:color w:val="000000"/>
              </w:rPr>
            </w:pPr>
            <w:r>
              <w:rPr>
                <w:rFonts w:ascii="Times New Roman"/>
                <w:color w:val="000000"/>
              </w:rPr>
              <w:t xml:space="preserve">n </w:t>
            </w:r>
            <w:r w:rsidR="00ED4C2D" w:rsidRPr="00381DC2">
              <w:rPr>
                <w:rFonts w:ascii="Times New Roman"/>
                <w:color w:val="000000"/>
              </w:rPr>
              <w:t>=</w:t>
            </w:r>
            <w:r>
              <w:rPr>
                <w:rFonts w:ascii="Times New Roman"/>
                <w:color w:val="000000"/>
              </w:rPr>
              <w:t xml:space="preserve"> </w:t>
            </w:r>
            <w:r w:rsidR="00ED4C2D" w:rsidRPr="00381DC2">
              <w:rPr>
                <w:rFonts w:ascii="Times New Roman"/>
                <w:color w:val="000000"/>
              </w:rPr>
              <w:t>115</w:t>
            </w:r>
          </w:p>
        </w:tc>
      </w:tr>
      <w:tr w:rsidR="00ED4C2D" w:rsidRPr="00F60460" w14:paraId="3626A8AB" w14:textId="77777777" w:rsidTr="00FF564D">
        <w:tc>
          <w:tcPr>
            <w:tcW w:w="2971" w:type="dxa"/>
            <w:tcBorders>
              <w:top w:val="single" w:sz="5" w:space="0" w:color="000000"/>
              <w:left w:val="single" w:sz="5" w:space="0" w:color="000000"/>
              <w:bottom w:val="single" w:sz="5" w:space="0" w:color="000000"/>
              <w:right w:val="single" w:sz="5" w:space="0" w:color="000000"/>
            </w:tcBorders>
          </w:tcPr>
          <w:p w14:paraId="5770E2BC" w14:textId="77777777" w:rsidR="00ED4C2D" w:rsidRPr="00381DC2" w:rsidRDefault="00ED4C2D" w:rsidP="003C1003">
            <w:pPr>
              <w:pStyle w:val="TableParagraph"/>
              <w:spacing w:before="19"/>
              <w:ind w:left="42"/>
              <w:jc w:val="center"/>
              <w:rPr>
                <w:rFonts w:ascii="Times New Roman" w:eastAsia="Times New Roman" w:hAnsi="Times New Roman"/>
                <w:color w:val="000000"/>
              </w:rPr>
            </w:pPr>
            <w:r w:rsidRPr="00381DC2">
              <w:rPr>
                <w:rFonts w:ascii="Times New Roman" w:hAnsi="Times New Roman"/>
                <w:color w:val="000000"/>
                <w:spacing w:val="-1"/>
              </w:rPr>
              <w:t>Střední doba přežití bez progese</w:t>
            </w:r>
            <w:r w:rsidRPr="00381DC2">
              <w:rPr>
                <w:rFonts w:ascii="Times New Roman" w:hAnsi="Times New Roman"/>
                <w:color w:val="000000"/>
                <w:spacing w:val="-3"/>
              </w:rPr>
              <w:t xml:space="preserve"> </w:t>
            </w:r>
            <w:r w:rsidRPr="00381DC2">
              <w:rPr>
                <w:rFonts w:ascii="Times New Roman" w:hAnsi="Times New Roman"/>
                <w:color w:val="000000"/>
                <w:spacing w:val="-1"/>
              </w:rPr>
              <w:t>(měsíce)</w:t>
            </w:r>
          </w:p>
        </w:tc>
        <w:tc>
          <w:tcPr>
            <w:tcW w:w="2842" w:type="dxa"/>
            <w:gridSpan w:val="2"/>
            <w:tcBorders>
              <w:top w:val="single" w:sz="5" w:space="0" w:color="000000"/>
              <w:left w:val="single" w:sz="5" w:space="0" w:color="000000"/>
              <w:bottom w:val="single" w:sz="5" w:space="0" w:color="000000"/>
              <w:right w:val="single" w:sz="5" w:space="0" w:color="000000"/>
            </w:tcBorders>
          </w:tcPr>
          <w:p w14:paraId="20B71F3D" w14:textId="77777777" w:rsidR="00ED4C2D" w:rsidRPr="00381DC2" w:rsidRDefault="00ED4C2D" w:rsidP="003C1003">
            <w:pPr>
              <w:pStyle w:val="TableParagraph"/>
              <w:spacing w:line="246" w:lineRule="exact"/>
              <w:jc w:val="center"/>
              <w:rPr>
                <w:rFonts w:ascii="Times New Roman" w:eastAsia="Times New Roman" w:hAnsi="Times New Roman"/>
                <w:color w:val="000000"/>
              </w:rPr>
            </w:pPr>
            <w:r w:rsidRPr="00381DC2">
              <w:rPr>
                <w:rFonts w:ascii="Times New Roman"/>
                <w:color w:val="000000"/>
              </w:rPr>
              <w:t>3,9</w:t>
            </w:r>
          </w:p>
        </w:tc>
        <w:tc>
          <w:tcPr>
            <w:tcW w:w="2693" w:type="dxa"/>
            <w:tcBorders>
              <w:top w:val="single" w:sz="5" w:space="0" w:color="000000"/>
              <w:left w:val="single" w:sz="5" w:space="0" w:color="000000"/>
              <w:bottom w:val="single" w:sz="5" w:space="0" w:color="000000"/>
              <w:right w:val="single" w:sz="5" w:space="0" w:color="000000"/>
            </w:tcBorders>
          </w:tcPr>
          <w:p w14:paraId="2C3631F1" w14:textId="77777777" w:rsidR="00ED4C2D" w:rsidRPr="00381DC2" w:rsidRDefault="00ED4C2D" w:rsidP="003C1003">
            <w:pPr>
              <w:pStyle w:val="TableParagraph"/>
              <w:spacing w:line="246" w:lineRule="exact"/>
              <w:ind w:right="5"/>
              <w:jc w:val="center"/>
              <w:rPr>
                <w:rFonts w:ascii="Times New Roman" w:eastAsia="Times New Roman" w:hAnsi="Times New Roman"/>
                <w:color w:val="000000"/>
              </w:rPr>
            </w:pPr>
            <w:r w:rsidRPr="00381DC2">
              <w:rPr>
                <w:rFonts w:ascii="Times New Roman"/>
                <w:color w:val="000000"/>
              </w:rPr>
              <w:t>9,2</w:t>
            </w:r>
          </w:p>
        </w:tc>
      </w:tr>
      <w:tr w:rsidR="00ED4C2D" w:rsidRPr="00F60460" w14:paraId="787D4687" w14:textId="77777777" w:rsidTr="00FF564D">
        <w:tc>
          <w:tcPr>
            <w:tcW w:w="2971" w:type="dxa"/>
            <w:tcBorders>
              <w:top w:val="single" w:sz="5" w:space="0" w:color="000000"/>
              <w:left w:val="single" w:sz="5" w:space="0" w:color="000000"/>
              <w:bottom w:val="single" w:sz="5" w:space="0" w:color="000000"/>
              <w:right w:val="single" w:sz="5" w:space="0" w:color="000000"/>
            </w:tcBorders>
          </w:tcPr>
          <w:p w14:paraId="042171DB" w14:textId="77777777" w:rsidR="00ED4C2D" w:rsidRPr="00381DC2" w:rsidRDefault="00ED4C2D" w:rsidP="003C1003">
            <w:pPr>
              <w:pStyle w:val="TableParagraph"/>
              <w:spacing w:before="19"/>
              <w:ind w:left="184"/>
              <w:jc w:val="center"/>
              <w:rPr>
                <w:rFonts w:ascii="Times New Roman" w:eastAsia="Times New Roman" w:hAnsi="Times New Roman"/>
                <w:color w:val="000000"/>
              </w:rPr>
            </w:pPr>
            <w:r w:rsidRPr="00381DC2">
              <w:rPr>
                <w:rFonts w:ascii="Times New Roman" w:hAnsi="Times New Roman"/>
                <w:color w:val="000000"/>
              </w:rPr>
              <w:t>Poměr rizik (95% interval spolehlivosti)</w:t>
            </w:r>
          </w:p>
        </w:tc>
        <w:tc>
          <w:tcPr>
            <w:tcW w:w="5535" w:type="dxa"/>
            <w:gridSpan w:val="3"/>
            <w:tcBorders>
              <w:top w:val="single" w:sz="5" w:space="0" w:color="000000"/>
              <w:left w:val="single" w:sz="5" w:space="0" w:color="000000"/>
              <w:bottom w:val="single" w:sz="5" w:space="0" w:color="000000"/>
              <w:right w:val="single" w:sz="5" w:space="0" w:color="000000"/>
            </w:tcBorders>
          </w:tcPr>
          <w:p w14:paraId="121987D9" w14:textId="77777777" w:rsidR="00ED4C2D" w:rsidRPr="00381DC2" w:rsidRDefault="00ED4C2D" w:rsidP="003C1003">
            <w:pPr>
              <w:pStyle w:val="TableParagraph"/>
              <w:spacing w:line="246" w:lineRule="exact"/>
              <w:jc w:val="center"/>
              <w:rPr>
                <w:rFonts w:ascii="Times New Roman" w:eastAsia="Times New Roman" w:hAnsi="Times New Roman"/>
                <w:color w:val="000000"/>
              </w:rPr>
            </w:pPr>
            <w:r w:rsidRPr="00381DC2">
              <w:rPr>
                <w:rFonts w:ascii="Times New Roman"/>
                <w:color w:val="000000"/>
              </w:rPr>
              <w:t xml:space="preserve">0,47 </w:t>
            </w:r>
            <w:r w:rsidRPr="00381DC2">
              <w:rPr>
                <w:rFonts w:ascii="Times New Roman"/>
                <w:color w:val="000000"/>
                <w:spacing w:val="-1"/>
              </w:rPr>
              <w:t>[0,31,</w:t>
            </w:r>
            <w:r w:rsidRPr="00381DC2">
              <w:rPr>
                <w:rFonts w:ascii="Times New Roman"/>
                <w:color w:val="000000"/>
              </w:rPr>
              <w:t xml:space="preserve"> </w:t>
            </w:r>
            <w:r w:rsidRPr="00381DC2">
              <w:rPr>
                <w:rFonts w:ascii="Times New Roman"/>
                <w:color w:val="000000"/>
                <w:spacing w:val="-1"/>
              </w:rPr>
              <w:t>0,72]</w:t>
            </w:r>
          </w:p>
        </w:tc>
      </w:tr>
      <w:tr w:rsidR="00ED4C2D" w:rsidRPr="00F60460" w14:paraId="695A81D2" w14:textId="77777777" w:rsidTr="00FF564D">
        <w:tc>
          <w:tcPr>
            <w:tcW w:w="2971" w:type="dxa"/>
            <w:tcBorders>
              <w:top w:val="single" w:sz="5" w:space="0" w:color="000000"/>
              <w:left w:val="single" w:sz="5" w:space="0" w:color="000000"/>
              <w:bottom w:val="single" w:sz="5" w:space="0" w:color="000000"/>
              <w:right w:val="single" w:sz="5" w:space="0" w:color="000000"/>
            </w:tcBorders>
          </w:tcPr>
          <w:p w14:paraId="790799CF" w14:textId="77777777" w:rsidR="00ED4C2D" w:rsidRPr="00381DC2" w:rsidRDefault="00ED4C2D" w:rsidP="003C1003">
            <w:pPr>
              <w:pStyle w:val="TableParagraph"/>
              <w:spacing w:line="246" w:lineRule="exact"/>
              <w:ind w:left="184"/>
              <w:jc w:val="center"/>
              <w:rPr>
                <w:rFonts w:ascii="Times New Roman" w:eastAsia="Times New Roman" w:hAnsi="Times New Roman"/>
                <w:color w:val="000000"/>
              </w:rPr>
            </w:pPr>
            <w:r w:rsidRPr="00381DC2">
              <w:rPr>
                <w:rFonts w:ascii="Times New Roman" w:hAnsi="Times New Roman"/>
                <w:color w:val="000000"/>
                <w:spacing w:val="-1"/>
              </w:rPr>
              <w:t>Střední doba celkového přežití (měsíce</w:t>
            </w:r>
            <w:r w:rsidRPr="00381DC2">
              <w:rPr>
                <w:rFonts w:ascii="Times New Roman"/>
                <w:color w:val="000000"/>
                <w:spacing w:val="-1"/>
              </w:rPr>
              <w:t>)</w:t>
            </w:r>
          </w:p>
        </w:tc>
        <w:tc>
          <w:tcPr>
            <w:tcW w:w="2842" w:type="dxa"/>
            <w:gridSpan w:val="2"/>
            <w:tcBorders>
              <w:top w:val="single" w:sz="5" w:space="0" w:color="000000"/>
              <w:left w:val="single" w:sz="5" w:space="0" w:color="000000"/>
              <w:bottom w:val="single" w:sz="5" w:space="0" w:color="000000"/>
              <w:right w:val="single" w:sz="5" w:space="0" w:color="000000"/>
            </w:tcBorders>
          </w:tcPr>
          <w:p w14:paraId="33A48247" w14:textId="77777777" w:rsidR="00ED4C2D" w:rsidRPr="00381DC2" w:rsidRDefault="00ED4C2D" w:rsidP="003C1003">
            <w:pPr>
              <w:pStyle w:val="TableParagraph"/>
              <w:spacing w:line="246" w:lineRule="exact"/>
              <w:jc w:val="center"/>
              <w:rPr>
                <w:rFonts w:ascii="Times New Roman" w:eastAsia="Times New Roman" w:hAnsi="Times New Roman"/>
                <w:color w:val="000000"/>
              </w:rPr>
            </w:pPr>
            <w:r w:rsidRPr="00381DC2">
              <w:rPr>
                <w:rFonts w:ascii="Times New Roman"/>
                <w:color w:val="000000"/>
              </w:rPr>
              <w:t>13,2</w:t>
            </w:r>
          </w:p>
        </w:tc>
        <w:tc>
          <w:tcPr>
            <w:tcW w:w="2693" w:type="dxa"/>
            <w:tcBorders>
              <w:top w:val="single" w:sz="5" w:space="0" w:color="000000"/>
              <w:left w:val="single" w:sz="5" w:space="0" w:color="000000"/>
              <w:bottom w:val="single" w:sz="5" w:space="0" w:color="000000"/>
              <w:right w:val="single" w:sz="5" w:space="0" w:color="000000"/>
            </w:tcBorders>
          </w:tcPr>
          <w:p w14:paraId="49269CCF" w14:textId="77777777" w:rsidR="00ED4C2D" w:rsidRPr="00381DC2" w:rsidRDefault="00ED4C2D" w:rsidP="003C1003">
            <w:pPr>
              <w:pStyle w:val="TableParagraph"/>
              <w:spacing w:line="246" w:lineRule="exact"/>
              <w:jc w:val="center"/>
              <w:rPr>
                <w:rFonts w:ascii="Times New Roman" w:eastAsia="Times New Roman" w:hAnsi="Times New Roman"/>
                <w:color w:val="000000"/>
              </w:rPr>
            </w:pPr>
            <w:r w:rsidRPr="00381DC2">
              <w:rPr>
                <w:rFonts w:ascii="Times New Roman"/>
                <w:color w:val="000000"/>
              </w:rPr>
              <w:t>22,4</w:t>
            </w:r>
          </w:p>
        </w:tc>
      </w:tr>
      <w:tr w:rsidR="00ED4C2D" w:rsidRPr="00F60460" w14:paraId="1D2539DC" w14:textId="77777777" w:rsidTr="00FF564D">
        <w:tc>
          <w:tcPr>
            <w:tcW w:w="2971" w:type="dxa"/>
            <w:tcBorders>
              <w:top w:val="single" w:sz="5" w:space="0" w:color="000000"/>
              <w:left w:val="single" w:sz="5" w:space="0" w:color="000000"/>
              <w:bottom w:val="single" w:sz="12" w:space="0" w:color="000000"/>
              <w:right w:val="single" w:sz="5" w:space="0" w:color="000000"/>
            </w:tcBorders>
          </w:tcPr>
          <w:p w14:paraId="50334036" w14:textId="77777777" w:rsidR="00ED4C2D" w:rsidRPr="00381DC2" w:rsidRDefault="00ED4C2D" w:rsidP="003C1003">
            <w:pPr>
              <w:pStyle w:val="TableParagraph"/>
              <w:spacing w:line="248" w:lineRule="exact"/>
              <w:ind w:left="184"/>
              <w:jc w:val="center"/>
              <w:rPr>
                <w:rFonts w:ascii="Times New Roman" w:eastAsia="Times New Roman" w:hAnsi="Times New Roman"/>
                <w:color w:val="000000"/>
              </w:rPr>
            </w:pPr>
            <w:r w:rsidRPr="00381DC2">
              <w:rPr>
                <w:rFonts w:ascii="Times New Roman" w:hAnsi="Times New Roman"/>
                <w:color w:val="000000"/>
              </w:rPr>
              <w:t>Poměr rizik (95% interval spolehlivosti)</w:t>
            </w:r>
          </w:p>
        </w:tc>
        <w:tc>
          <w:tcPr>
            <w:tcW w:w="5535" w:type="dxa"/>
            <w:gridSpan w:val="3"/>
            <w:tcBorders>
              <w:top w:val="single" w:sz="5" w:space="0" w:color="000000"/>
              <w:left w:val="single" w:sz="5" w:space="0" w:color="000000"/>
              <w:bottom w:val="single" w:sz="13" w:space="0" w:color="000000"/>
              <w:right w:val="single" w:sz="5" w:space="0" w:color="000000"/>
            </w:tcBorders>
          </w:tcPr>
          <w:p w14:paraId="5933392C" w14:textId="77777777" w:rsidR="00ED4C2D" w:rsidRPr="00381DC2" w:rsidRDefault="00ED4C2D" w:rsidP="003C1003">
            <w:pPr>
              <w:pStyle w:val="TableParagraph"/>
              <w:spacing w:line="248" w:lineRule="exact"/>
              <w:jc w:val="center"/>
              <w:rPr>
                <w:rFonts w:ascii="Times New Roman" w:eastAsia="Times New Roman" w:hAnsi="Times New Roman"/>
                <w:color w:val="000000"/>
              </w:rPr>
            </w:pPr>
            <w:r w:rsidRPr="00381DC2">
              <w:rPr>
                <w:rFonts w:ascii="Times New Roman"/>
                <w:color w:val="000000"/>
              </w:rPr>
              <w:t xml:space="preserve">0,64 </w:t>
            </w:r>
            <w:r w:rsidRPr="00381DC2">
              <w:rPr>
                <w:rFonts w:ascii="Times New Roman"/>
                <w:color w:val="000000"/>
                <w:spacing w:val="-1"/>
              </w:rPr>
              <w:t>[0,41,</w:t>
            </w:r>
            <w:r w:rsidRPr="00381DC2">
              <w:rPr>
                <w:rFonts w:ascii="Times New Roman"/>
                <w:color w:val="000000"/>
              </w:rPr>
              <w:t xml:space="preserve"> </w:t>
            </w:r>
            <w:r w:rsidRPr="00381DC2">
              <w:rPr>
                <w:rFonts w:ascii="Times New Roman"/>
                <w:color w:val="000000"/>
                <w:spacing w:val="-1"/>
              </w:rPr>
              <w:t>0,99]</w:t>
            </w:r>
          </w:p>
        </w:tc>
      </w:tr>
      <w:tr w:rsidR="00ED4C2D" w:rsidRPr="00F60460" w14:paraId="17DC693A" w14:textId="77777777" w:rsidTr="00FF564D">
        <w:trPr>
          <w:trHeight w:hRule="exact" w:val="272"/>
        </w:trPr>
        <w:tc>
          <w:tcPr>
            <w:tcW w:w="2971" w:type="dxa"/>
            <w:tcBorders>
              <w:top w:val="single" w:sz="12" w:space="0" w:color="000000"/>
              <w:left w:val="single" w:sz="5" w:space="0" w:color="000000"/>
              <w:bottom w:val="single" w:sz="5" w:space="0" w:color="000000"/>
              <w:right w:val="single" w:sz="5" w:space="0" w:color="000000"/>
            </w:tcBorders>
          </w:tcPr>
          <w:p w14:paraId="38295D7A" w14:textId="77777777" w:rsidR="00ED4C2D" w:rsidRPr="00381DC2" w:rsidRDefault="00ED4C2D" w:rsidP="003C1003">
            <w:pPr>
              <w:pStyle w:val="TableParagraph"/>
              <w:spacing w:line="251" w:lineRule="exact"/>
              <w:ind w:left="982"/>
              <w:rPr>
                <w:rFonts w:ascii="Times New Roman" w:eastAsia="Times New Roman" w:hAnsi="Times New Roman"/>
                <w:color w:val="000000"/>
              </w:rPr>
            </w:pPr>
            <w:r w:rsidRPr="00381DC2">
              <w:rPr>
                <w:rFonts w:ascii="Times New Roman"/>
                <w:b/>
                <w:color w:val="000000"/>
                <w:spacing w:val="-1"/>
              </w:rPr>
              <w:t>Topotekan</w:t>
            </w:r>
          </w:p>
        </w:tc>
        <w:tc>
          <w:tcPr>
            <w:tcW w:w="5535" w:type="dxa"/>
            <w:gridSpan w:val="3"/>
            <w:tcBorders>
              <w:top w:val="single" w:sz="13" w:space="0" w:color="000000"/>
              <w:left w:val="single" w:sz="5" w:space="0" w:color="000000"/>
              <w:bottom w:val="single" w:sz="5" w:space="0" w:color="000000"/>
              <w:right w:val="single" w:sz="5" w:space="0" w:color="000000"/>
            </w:tcBorders>
          </w:tcPr>
          <w:p w14:paraId="25F3DFC6" w14:textId="7ABCECD6" w:rsidR="00ED4C2D" w:rsidRPr="00381DC2" w:rsidRDefault="00631993" w:rsidP="003C1003">
            <w:pPr>
              <w:pStyle w:val="TableParagraph"/>
              <w:spacing w:line="246" w:lineRule="exact"/>
              <w:jc w:val="center"/>
              <w:rPr>
                <w:rFonts w:ascii="Times New Roman" w:eastAsia="Times New Roman" w:hAnsi="Times New Roman"/>
                <w:color w:val="000000"/>
              </w:rPr>
            </w:pPr>
            <w:r>
              <w:rPr>
                <w:rFonts w:ascii="Times New Roman"/>
                <w:color w:val="000000"/>
              </w:rPr>
              <w:t xml:space="preserve">n </w:t>
            </w:r>
            <w:r w:rsidR="00ED4C2D" w:rsidRPr="00381DC2">
              <w:rPr>
                <w:rFonts w:ascii="Times New Roman"/>
                <w:color w:val="000000"/>
              </w:rPr>
              <w:t>=</w:t>
            </w:r>
            <w:r>
              <w:rPr>
                <w:rFonts w:ascii="Times New Roman"/>
                <w:color w:val="000000"/>
              </w:rPr>
              <w:t xml:space="preserve"> </w:t>
            </w:r>
            <w:r w:rsidR="00ED4C2D" w:rsidRPr="00381DC2">
              <w:rPr>
                <w:rFonts w:ascii="Times New Roman"/>
                <w:color w:val="000000"/>
              </w:rPr>
              <w:t>120</w:t>
            </w:r>
          </w:p>
        </w:tc>
      </w:tr>
      <w:tr w:rsidR="00ED4C2D" w:rsidRPr="00F60460" w14:paraId="319E992D" w14:textId="77777777" w:rsidTr="00FF564D">
        <w:trPr>
          <w:trHeight w:hRule="exact" w:val="319"/>
        </w:trPr>
        <w:tc>
          <w:tcPr>
            <w:tcW w:w="2971" w:type="dxa"/>
            <w:tcBorders>
              <w:top w:val="single" w:sz="5" w:space="0" w:color="000000"/>
              <w:left w:val="single" w:sz="5" w:space="0" w:color="000000"/>
              <w:bottom w:val="single" w:sz="5" w:space="0" w:color="000000"/>
              <w:right w:val="single" w:sz="5" w:space="0" w:color="000000"/>
            </w:tcBorders>
          </w:tcPr>
          <w:p w14:paraId="7DBD95AE" w14:textId="77777777" w:rsidR="00ED4C2D" w:rsidRPr="00381DC2" w:rsidRDefault="00ED4C2D" w:rsidP="003C1003">
            <w:pPr>
              <w:pStyle w:val="TableParagraph"/>
              <w:spacing w:before="19"/>
              <w:ind w:left="184" w:right="87"/>
              <w:jc w:val="center"/>
              <w:rPr>
                <w:rFonts w:ascii="Times New Roman" w:eastAsia="Times New Roman" w:hAnsi="Times New Roman"/>
                <w:color w:val="000000"/>
              </w:rPr>
            </w:pPr>
            <w:r w:rsidRPr="00381DC2">
              <w:rPr>
                <w:rFonts w:ascii="Times New Roman" w:hAnsi="Times New Roman"/>
                <w:color w:val="000000"/>
                <w:spacing w:val="-1"/>
              </w:rPr>
              <w:t>Střední doba přežití</w:t>
            </w:r>
            <w:r w:rsidRPr="00381DC2">
              <w:rPr>
                <w:rFonts w:ascii="Times New Roman"/>
                <w:color w:val="000000"/>
                <w:spacing w:val="-1"/>
              </w:rPr>
              <w:t xml:space="preserve"> bez progese</w:t>
            </w:r>
            <w:r w:rsidRPr="00381DC2">
              <w:rPr>
                <w:rFonts w:ascii="Times New Roman"/>
                <w:color w:val="000000"/>
                <w:spacing w:val="-3"/>
              </w:rPr>
              <w:t xml:space="preserve"> </w:t>
            </w:r>
            <w:r w:rsidRPr="00381DC2">
              <w:rPr>
                <w:rFonts w:ascii="Times New Roman"/>
                <w:color w:val="000000"/>
                <w:spacing w:val="-1"/>
              </w:rPr>
              <w:t>(m</w:t>
            </w:r>
            <w:r w:rsidRPr="00F60460">
              <w:rPr>
                <w:rFonts w:ascii="Times New Roman"/>
                <w:color w:val="000000"/>
                <w:spacing w:val="-1"/>
              </w:rPr>
              <w:t>ě</w:t>
            </w:r>
            <w:r w:rsidRPr="00381DC2">
              <w:rPr>
                <w:rFonts w:ascii="Times New Roman"/>
                <w:color w:val="000000"/>
                <w:spacing w:val="-1"/>
              </w:rPr>
              <w:t>s</w:t>
            </w:r>
            <w:r w:rsidRPr="00F60460">
              <w:rPr>
                <w:rFonts w:ascii="Times New Roman"/>
                <w:color w:val="000000"/>
                <w:spacing w:val="-1"/>
              </w:rPr>
              <w:t>í</w:t>
            </w:r>
            <w:r w:rsidRPr="00381DC2">
              <w:rPr>
                <w:rFonts w:ascii="Times New Roman"/>
                <w:color w:val="000000"/>
                <w:spacing w:val="-1"/>
              </w:rPr>
              <w:t>ce)</w:t>
            </w:r>
          </w:p>
        </w:tc>
        <w:tc>
          <w:tcPr>
            <w:tcW w:w="2842" w:type="dxa"/>
            <w:gridSpan w:val="2"/>
            <w:tcBorders>
              <w:top w:val="single" w:sz="5" w:space="0" w:color="000000"/>
              <w:left w:val="single" w:sz="5" w:space="0" w:color="000000"/>
              <w:bottom w:val="single" w:sz="5" w:space="0" w:color="000000"/>
              <w:right w:val="single" w:sz="5" w:space="0" w:color="000000"/>
            </w:tcBorders>
          </w:tcPr>
          <w:p w14:paraId="6D243C94" w14:textId="77777777" w:rsidR="00ED4C2D" w:rsidRPr="00381DC2" w:rsidRDefault="00ED4C2D" w:rsidP="003C1003">
            <w:pPr>
              <w:pStyle w:val="TableParagraph"/>
              <w:spacing w:line="246" w:lineRule="exact"/>
              <w:jc w:val="center"/>
              <w:rPr>
                <w:rFonts w:ascii="Times New Roman"/>
                <w:color w:val="000000"/>
              </w:rPr>
            </w:pPr>
            <w:r w:rsidRPr="00381DC2">
              <w:rPr>
                <w:rFonts w:ascii="Times New Roman"/>
                <w:color w:val="000000"/>
              </w:rPr>
              <w:t>2,1</w:t>
            </w:r>
          </w:p>
          <w:p w14:paraId="2234EA16" w14:textId="77777777" w:rsidR="00ED4C2D" w:rsidRPr="00F60460" w:rsidRDefault="00ED4C2D" w:rsidP="003C1003">
            <w:pPr>
              <w:rPr>
                <w:color w:val="000000"/>
              </w:rPr>
            </w:pPr>
          </w:p>
          <w:p w14:paraId="63050C41" w14:textId="77777777" w:rsidR="00ED4C2D" w:rsidRPr="00F60460" w:rsidRDefault="00ED4C2D" w:rsidP="003C1003">
            <w:pPr>
              <w:rPr>
                <w:color w:val="000000"/>
              </w:rPr>
            </w:pPr>
          </w:p>
          <w:p w14:paraId="53B417A4" w14:textId="77777777" w:rsidR="00ED4C2D" w:rsidRPr="00F60460" w:rsidRDefault="00ED4C2D" w:rsidP="003C1003">
            <w:pPr>
              <w:rPr>
                <w:color w:val="000000"/>
              </w:rPr>
            </w:pPr>
          </w:p>
          <w:p w14:paraId="3EFBDC59" w14:textId="77777777" w:rsidR="00ED4C2D" w:rsidRPr="00F60460" w:rsidRDefault="00ED4C2D" w:rsidP="003C1003">
            <w:pPr>
              <w:rPr>
                <w:color w:val="000000"/>
              </w:rPr>
            </w:pPr>
          </w:p>
          <w:p w14:paraId="5F412024" w14:textId="77777777" w:rsidR="00ED4C2D" w:rsidRPr="00F60460" w:rsidRDefault="00ED4C2D" w:rsidP="003C1003">
            <w:pPr>
              <w:rPr>
                <w:color w:val="000000"/>
              </w:rPr>
            </w:pPr>
          </w:p>
          <w:p w14:paraId="607AEECD" w14:textId="77777777" w:rsidR="00ED4C2D" w:rsidRPr="00F60460" w:rsidRDefault="00ED4C2D" w:rsidP="003C1003">
            <w:pPr>
              <w:rPr>
                <w:color w:val="000000"/>
              </w:rPr>
            </w:pPr>
          </w:p>
          <w:p w14:paraId="672813A0" w14:textId="77777777" w:rsidR="00ED4C2D" w:rsidRPr="00F60460" w:rsidRDefault="00ED4C2D" w:rsidP="003C1003">
            <w:pPr>
              <w:jc w:val="center"/>
              <w:rPr>
                <w:color w:val="000000"/>
              </w:rPr>
            </w:pPr>
          </w:p>
        </w:tc>
        <w:tc>
          <w:tcPr>
            <w:tcW w:w="2693" w:type="dxa"/>
            <w:tcBorders>
              <w:top w:val="single" w:sz="5" w:space="0" w:color="000000"/>
              <w:left w:val="single" w:sz="5" w:space="0" w:color="000000"/>
              <w:bottom w:val="single" w:sz="5" w:space="0" w:color="000000"/>
              <w:right w:val="single" w:sz="5" w:space="0" w:color="000000"/>
            </w:tcBorders>
          </w:tcPr>
          <w:p w14:paraId="0785C336" w14:textId="77777777" w:rsidR="00ED4C2D" w:rsidRPr="00381DC2" w:rsidRDefault="00ED4C2D" w:rsidP="003C1003">
            <w:pPr>
              <w:pStyle w:val="TableParagraph"/>
              <w:spacing w:line="246" w:lineRule="exact"/>
              <w:ind w:right="5"/>
              <w:jc w:val="center"/>
              <w:rPr>
                <w:rFonts w:ascii="Times New Roman" w:eastAsia="Times New Roman" w:hAnsi="Times New Roman"/>
                <w:color w:val="000000"/>
              </w:rPr>
            </w:pPr>
            <w:r w:rsidRPr="00381DC2">
              <w:rPr>
                <w:rFonts w:ascii="Times New Roman"/>
                <w:color w:val="000000"/>
              </w:rPr>
              <w:t>6,2</w:t>
            </w:r>
          </w:p>
        </w:tc>
      </w:tr>
      <w:tr w:rsidR="00ED4C2D" w:rsidRPr="00F60460" w14:paraId="6E37DDF0" w14:textId="77777777" w:rsidTr="00FF564D">
        <w:trPr>
          <w:trHeight w:hRule="exact" w:val="575"/>
        </w:trPr>
        <w:tc>
          <w:tcPr>
            <w:tcW w:w="2971" w:type="dxa"/>
            <w:tcBorders>
              <w:top w:val="single" w:sz="5" w:space="0" w:color="000000"/>
              <w:left w:val="single" w:sz="5" w:space="0" w:color="000000"/>
              <w:bottom w:val="single" w:sz="5" w:space="0" w:color="000000"/>
              <w:right w:val="single" w:sz="5" w:space="0" w:color="000000"/>
            </w:tcBorders>
          </w:tcPr>
          <w:p w14:paraId="2C6733C8" w14:textId="77777777" w:rsidR="00ED4C2D" w:rsidRPr="00381DC2" w:rsidRDefault="00ED4C2D" w:rsidP="003C1003">
            <w:pPr>
              <w:pStyle w:val="TableParagraph"/>
              <w:spacing w:before="19"/>
              <w:ind w:left="184" w:right="87"/>
              <w:jc w:val="center"/>
              <w:rPr>
                <w:rFonts w:ascii="Times New Roman" w:eastAsia="Times New Roman" w:hAnsi="Times New Roman"/>
                <w:color w:val="000000"/>
              </w:rPr>
            </w:pPr>
            <w:r w:rsidRPr="00381DC2">
              <w:rPr>
                <w:rFonts w:ascii="Times New Roman" w:hAnsi="Times New Roman"/>
                <w:color w:val="000000"/>
              </w:rPr>
              <w:t>Poměr rizik (95% interval spolehlivosti)</w:t>
            </w:r>
          </w:p>
        </w:tc>
        <w:tc>
          <w:tcPr>
            <w:tcW w:w="5535" w:type="dxa"/>
            <w:gridSpan w:val="3"/>
            <w:tcBorders>
              <w:top w:val="single" w:sz="5" w:space="0" w:color="000000"/>
              <w:left w:val="single" w:sz="5" w:space="0" w:color="000000"/>
              <w:bottom w:val="single" w:sz="5" w:space="0" w:color="000000"/>
              <w:right w:val="single" w:sz="5" w:space="0" w:color="000000"/>
            </w:tcBorders>
          </w:tcPr>
          <w:p w14:paraId="0E3A50BB" w14:textId="77777777" w:rsidR="00ED4C2D" w:rsidRPr="00381DC2" w:rsidRDefault="00ED4C2D" w:rsidP="003C1003">
            <w:pPr>
              <w:pStyle w:val="TableParagraph"/>
              <w:spacing w:line="246" w:lineRule="exact"/>
              <w:jc w:val="center"/>
              <w:rPr>
                <w:rFonts w:ascii="Times New Roman" w:eastAsia="Times New Roman" w:hAnsi="Times New Roman"/>
                <w:color w:val="000000"/>
              </w:rPr>
            </w:pPr>
            <w:r w:rsidRPr="00381DC2">
              <w:rPr>
                <w:rFonts w:ascii="Times New Roman"/>
                <w:color w:val="000000"/>
              </w:rPr>
              <w:t xml:space="preserve">0,28 </w:t>
            </w:r>
            <w:r w:rsidRPr="00381DC2">
              <w:rPr>
                <w:rFonts w:ascii="Times New Roman"/>
                <w:color w:val="000000"/>
                <w:spacing w:val="-1"/>
              </w:rPr>
              <w:t>[0,18,</w:t>
            </w:r>
            <w:r w:rsidRPr="00381DC2">
              <w:rPr>
                <w:rFonts w:ascii="Times New Roman"/>
                <w:color w:val="000000"/>
              </w:rPr>
              <w:t xml:space="preserve"> </w:t>
            </w:r>
            <w:r w:rsidRPr="00381DC2">
              <w:rPr>
                <w:rFonts w:ascii="Times New Roman"/>
                <w:color w:val="000000"/>
                <w:spacing w:val="-1"/>
              </w:rPr>
              <w:t>0,44]</w:t>
            </w:r>
          </w:p>
        </w:tc>
      </w:tr>
      <w:tr w:rsidR="00ED4C2D" w:rsidRPr="00F60460" w14:paraId="5FB25F65" w14:textId="77777777" w:rsidTr="00FF564D">
        <w:trPr>
          <w:trHeight w:hRule="exact" w:val="572"/>
        </w:trPr>
        <w:tc>
          <w:tcPr>
            <w:tcW w:w="2971" w:type="dxa"/>
            <w:tcBorders>
              <w:top w:val="single" w:sz="5" w:space="0" w:color="000000"/>
              <w:left w:val="single" w:sz="5" w:space="0" w:color="000000"/>
              <w:bottom w:val="single" w:sz="5" w:space="0" w:color="000000"/>
              <w:right w:val="single" w:sz="5" w:space="0" w:color="000000"/>
            </w:tcBorders>
          </w:tcPr>
          <w:p w14:paraId="704A2F61" w14:textId="77777777" w:rsidR="00ED4C2D" w:rsidRPr="00381DC2" w:rsidRDefault="00ED4C2D" w:rsidP="003C1003">
            <w:pPr>
              <w:pStyle w:val="TableParagraph"/>
              <w:spacing w:before="19"/>
              <w:ind w:left="184" w:right="87"/>
              <w:jc w:val="center"/>
              <w:rPr>
                <w:rFonts w:ascii="Times New Roman" w:eastAsia="Times New Roman" w:hAnsi="Times New Roman"/>
                <w:color w:val="000000"/>
              </w:rPr>
            </w:pPr>
            <w:r w:rsidRPr="00381DC2">
              <w:rPr>
                <w:rFonts w:ascii="Times New Roman" w:hAnsi="Times New Roman"/>
                <w:color w:val="000000"/>
                <w:spacing w:val="-1"/>
              </w:rPr>
              <w:t>Střední doba celkového přežití (měsíce</w:t>
            </w:r>
            <w:r w:rsidRPr="00381DC2">
              <w:rPr>
                <w:rFonts w:ascii="Times New Roman"/>
                <w:color w:val="000000"/>
                <w:spacing w:val="-1"/>
              </w:rPr>
              <w:t>)</w:t>
            </w:r>
          </w:p>
        </w:tc>
        <w:tc>
          <w:tcPr>
            <w:tcW w:w="2842" w:type="dxa"/>
            <w:gridSpan w:val="2"/>
            <w:tcBorders>
              <w:top w:val="single" w:sz="5" w:space="0" w:color="000000"/>
              <w:left w:val="single" w:sz="5" w:space="0" w:color="000000"/>
              <w:bottom w:val="single" w:sz="5" w:space="0" w:color="000000"/>
              <w:right w:val="single" w:sz="5" w:space="0" w:color="000000"/>
            </w:tcBorders>
          </w:tcPr>
          <w:p w14:paraId="69088B5B" w14:textId="77777777" w:rsidR="00ED4C2D" w:rsidRPr="00381DC2" w:rsidRDefault="00ED4C2D" w:rsidP="003C1003">
            <w:pPr>
              <w:pStyle w:val="TableParagraph"/>
              <w:spacing w:line="246" w:lineRule="exact"/>
              <w:jc w:val="center"/>
              <w:rPr>
                <w:rFonts w:ascii="Times New Roman" w:eastAsia="Times New Roman" w:hAnsi="Times New Roman"/>
                <w:color w:val="000000"/>
              </w:rPr>
            </w:pPr>
            <w:r w:rsidRPr="00381DC2">
              <w:rPr>
                <w:rFonts w:ascii="Times New Roman"/>
                <w:color w:val="000000"/>
              </w:rPr>
              <w:t>13,3</w:t>
            </w:r>
          </w:p>
        </w:tc>
        <w:tc>
          <w:tcPr>
            <w:tcW w:w="2693" w:type="dxa"/>
            <w:tcBorders>
              <w:top w:val="single" w:sz="5" w:space="0" w:color="000000"/>
              <w:left w:val="single" w:sz="5" w:space="0" w:color="000000"/>
              <w:bottom w:val="single" w:sz="5" w:space="0" w:color="000000"/>
              <w:right w:val="single" w:sz="5" w:space="0" w:color="000000"/>
            </w:tcBorders>
          </w:tcPr>
          <w:p w14:paraId="07D70A4A" w14:textId="77777777" w:rsidR="00ED4C2D" w:rsidRPr="00381DC2" w:rsidRDefault="00ED4C2D" w:rsidP="003C1003">
            <w:pPr>
              <w:pStyle w:val="TableParagraph"/>
              <w:spacing w:line="246" w:lineRule="exact"/>
              <w:jc w:val="center"/>
              <w:rPr>
                <w:rFonts w:ascii="Times New Roman" w:eastAsia="Times New Roman" w:hAnsi="Times New Roman"/>
                <w:color w:val="000000"/>
              </w:rPr>
            </w:pPr>
            <w:r w:rsidRPr="00381DC2">
              <w:rPr>
                <w:rFonts w:ascii="Times New Roman"/>
                <w:color w:val="000000"/>
              </w:rPr>
              <w:t>13,8</w:t>
            </w:r>
          </w:p>
        </w:tc>
      </w:tr>
      <w:tr w:rsidR="00ED4C2D" w:rsidRPr="00F60460" w14:paraId="7E930651" w14:textId="77777777" w:rsidTr="00FF564D">
        <w:trPr>
          <w:trHeight w:hRule="exact" w:val="527"/>
        </w:trPr>
        <w:tc>
          <w:tcPr>
            <w:tcW w:w="2971" w:type="dxa"/>
            <w:tcBorders>
              <w:top w:val="single" w:sz="5" w:space="0" w:color="000000"/>
              <w:left w:val="single" w:sz="5" w:space="0" w:color="000000"/>
              <w:bottom w:val="single" w:sz="12" w:space="0" w:color="000000"/>
              <w:right w:val="single" w:sz="5" w:space="0" w:color="000000"/>
            </w:tcBorders>
          </w:tcPr>
          <w:p w14:paraId="59028D77" w14:textId="77777777" w:rsidR="00ED4C2D" w:rsidRPr="00381DC2" w:rsidRDefault="00ED4C2D" w:rsidP="003C1003">
            <w:pPr>
              <w:pStyle w:val="TableParagraph"/>
              <w:spacing w:before="19"/>
              <w:ind w:left="184" w:right="87"/>
              <w:jc w:val="center"/>
              <w:rPr>
                <w:rFonts w:ascii="Times New Roman" w:eastAsia="Times New Roman" w:hAnsi="Times New Roman"/>
                <w:color w:val="000000"/>
              </w:rPr>
            </w:pPr>
            <w:r w:rsidRPr="00381DC2">
              <w:rPr>
                <w:rFonts w:ascii="Times New Roman" w:hAnsi="Times New Roman"/>
                <w:color w:val="000000"/>
              </w:rPr>
              <w:t>Poměr rizik (95% interval spolehlivosti)</w:t>
            </w:r>
          </w:p>
        </w:tc>
        <w:tc>
          <w:tcPr>
            <w:tcW w:w="5535" w:type="dxa"/>
            <w:gridSpan w:val="3"/>
            <w:tcBorders>
              <w:top w:val="single" w:sz="5" w:space="0" w:color="000000"/>
              <w:left w:val="single" w:sz="5" w:space="0" w:color="000000"/>
              <w:bottom w:val="single" w:sz="13" w:space="0" w:color="000000"/>
              <w:right w:val="single" w:sz="5" w:space="0" w:color="000000"/>
            </w:tcBorders>
          </w:tcPr>
          <w:p w14:paraId="51F9FE06" w14:textId="77777777" w:rsidR="00ED4C2D" w:rsidRPr="00381DC2" w:rsidRDefault="00ED4C2D" w:rsidP="003C1003">
            <w:pPr>
              <w:pStyle w:val="TableParagraph"/>
              <w:spacing w:line="246" w:lineRule="exact"/>
              <w:jc w:val="center"/>
              <w:rPr>
                <w:rFonts w:ascii="Times New Roman" w:eastAsia="Times New Roman" w:hAnsi="Times New Roman"/>
                <w:color w:val="000000"/>
              </w:rPr>
            </w:pPr>
            <w:r w:rsidRPr="00381DC2">
              <w:rPr>
                <w:rFonts w:ascii="Times New Roman"/>
                <w:color w:val="000000"/>
              </w:rPr>
              <w:t xml:space="preserve">1,07 </w:t>
            </w:r>
            <w:r w:rsidRPr="00381DC2">
              <w:rPr>
                <w:rFonts w:ascii="Times New Roman"/>
                <w:color w:val="000000"/>
                <w:spacing w:val="-1"/>
              </w:rPr>
              <w:t>[0,70,</w:t>
            </w:r>
            <w:r w:rsidRPr="00381DC2">
              <w:rPr>
                <w:rFonts w:ascii="Times New Roman"/>
                <w:color w:val="000000"/>
              </w:rPr>
              <w:t xml:space="preserve"> </w:t>
            </w:r>
            <w:r w:rsidRPr="00381DC2">
              <w:rPr>
                <w:rFonts w:ascii="Times New Roman"/>
                <w:color w:val="000000"/>
                <w:spacing w:val="-1"/>
              </w:rPr>
              <w:t>1,63]</w:t>
            </w:r>
          </w:p>
        </w:tc>
      </w:tr>
      <w:tr w:rsidR="00ED4C2D" w:rsidRPr="00F60460" w14:paraId="6B16423F" w14:textId="77777777" w:rsidTr="00FF564D">
        <w:trPr>
          <w:trHeight w:hRule="exact" w:val="299"/>
        </w:trPr>
        <w:tc>
          <w:tcPr>
            <w:tcW w:w="2971" w:type="dxa"/>
            <w:tcBorders>
              <w:top w:val="single" w:sz="12" w:space="0" w:color="000000"/>
              <w:left w:val="single" w:sz="5" w:space="0" w:color="000000"/>
              <w:bottom w:val="single" w:sz="5" w:space="0" w:color="000000"/>
              <w:right w:val="single" w:sz="5" w:space="0" w:color="000000"/>
            </w:tcBorders>
          </w:tcPr>
          <w:p w14:paraId="69663EF8" w14:textId="77777777" w:rsidR="00ED4C2D" w:rsidRPr="00381DC2" w:rsidRDefault="00ED4C2D" w:rsidP="003C1003">
            <w:pPr>
              <w:pStyle w:val="TableParagraph"/>
              <w:spacing w:before="23"/>
              <w:jc w:val="center"/>
              <w:rPr>
                <w:rFonts w:ascii="Times New Roman" w:eastAsia="Times New Roman" w:hAnsi="Times New Roman"/>
                <w:color w:val="000000"/>
              </w:rPr>
            </w:pPr>
            <w:r w:rsidRPr="00381DC2">
              <w:rPr>
                <w:rFonts w:ascii="Times New Roman"/>
                <w:b/>
                <w:color w:val="000000"/>
              </w:rPr>
              <w:t>PLD</w:t>
            </w:r>
          </w:p>
        </w:tc>
        <w:tc>
          <w:tcPr>
            <w:tcW w:w="5535" w:type="dxa"/>
            <w:gridSpan w:val="3"/>
            <w:tcBorders>
              <w:top w:val="single" w:sz="13" w:space="0" w:color="000000"/>
              <w:left w:val="single" w:sz="5" w:space="0" w:color="000000"/>
              <w:bottom w:val="single" w:sz="5" w:space="0" w:color="000000"/>
              <w:right w:val="single" w:sz="5" w:space="0" w:color="000000"/>
            </w:tcBorders>
          </w:tcPr>
          <w:p w14:paraId="128A9F84" w14:textId="3CD6D3F0" w:rsidR="00ED4C2D" w:rsidRPr="00381DC2" w:rsidRDefault="00631993" w:rsidP="003C1003">
            <w:pPr>
              <w:pStyle w:val="TableParagraph"/>
              <w:spacing w:line="243" w:lineRule="exact"/>
              <w:jc w:val="center"/>
              <w:rPr>
                <w:rFonts w:ascii="Times New Roman" w:eastAsia="Times New Roman" w:hAnsi="Times New Roman"/>
                <w:color w:val="000000"/>
              </w:rPr>
            </w:pPr>
            <w:r>
              <w:rPr>
                <w:rFonts w:ascii="Times New Roman"/>
                <w:color w:val="000000"/>
              </w:rPr>
              <w:t xml:space="preserve">n </w:t>
            </w:r>
            <w:r w:rsidR="00ED4C2D" w:rsidRPr="00381DC2">
              <w:rPr>
                <w:rFonts w:ascii="Times New Roman"/>
                <w:color w:val="000000"/>
              </w:rPr>
              <w:t>=</w:t>
            </w:r>
            <w:r>
              <w:rPr>
                <w:rFonts w:ascii="Times New Roman"/>
                <w:color w:val="000000"/>
              </w:rPr>
              <w:t xml:space="preserve"> </w:t>
            </w:r>
            <w:r w:rsidR="00ED4C2D" w:rsidRPr="00381DC2">
              <w:rPr>
                <w:rFonts w:ascii="Times New Roman"/>
                <w:color w:val="000000"/>
              </w:rPr>
              <w:t>126</w:t>
            </w:r>
          </w:p>
        </w:tc>
      </w:tr>
      <w:tr w:rsidR="00ED4C2D" w:rsidRPr="00F60460" w14:paraId="15ACDA37" w14:textId="77777777" w:rsidTr="00FF564D">
        <w:tc>
          <w:tcPr>
            <w:tcW w:w="2971" w:type="dxa"/>
            <w:tcBorders>
              <w:top w:val="single" w:sz="5" w:space="0" w:color="000000"/>
              <w:left w:val="single" w:sz="5" w:space="0" w:color="000000"/>
              <w:bottom w:val="single" w:sz="5" w:space="0" w:color="000000"/>
              <w:right w:val="single" w:sz="5" w:space="0" w:color="000000"/>
            </w:tcBorders>
          </w:tcPr>
          <w:p w14:paraId="4FF86D09" w14:textId="77777777" w:rsidR="00ED4C2D" w:rsidRPr="00381DC2" w:rsidRDefault="00ED4C2D" w:rsidP="003C1003">
            <w:pPr>
              <w:pStyle w:val="TableParagraph"/>
              <w:spacing w:before="19"/>
              <w:ind w:left="42"/>
              <w:jc w:val="center"/>
              <w:rPr>
                <w:rFonts w:ascii="Times New Roman" w:eastAsia="Times New Roman" w:hAnsi="Times New Roman"/>
                <w:color w:val="000000"/>
              </w:rPr>
            </w:pPr>
            <w:r w:rsidRPr="00381DC2">
              <w:rPr>
                <w:rFonts w:ascii="Times New Roman" w:hAnsi="Times New Roman"/>
                <w:color w:val="000000"/>
                <w:spacing w:val="-1"/>
              </w:rPr>
              <w:t>Střední doba přežití bez progese</w:t>
            </w:r>
            <w:r w:rsidRPr="00381DC2">
              <w:rPr>
                <w:rFonts w:ascii="Times New Roman" w:hAnsi="Times New Roman"/>
                <w:color w:val="000000"/>
                <w:spacing w:val="-3"/>
              </w:rPr>
              <w:t xml:space="preserve"> </w:t>
            </w:r>
            <w:r w:rsidRPr="00381DC2">
              <w:rPr>
                <w:rFonts w:ascii="Times New Roman" w:hAnsi="Times New Roman"/>
                <w:color w:val="000000"/>
                <w:spacing w:val="-1"/>
              </w:rPr>
              <w:t>(měsíce</w:t>
            </w:r>
            <w:r w:rsidRPr="00381DC2">
              <w:rPr>
                <w:rFonts w:ascii="Times New Roman"/>
                <w:color w:val="000000"/>
                <w:spacing w:val="-1"/>
              </w:rPr>
              <w:t>)</w:t>
            </w:r>
          </w:p>
        </w:tc>
        <w:tc>
          <w:tcPr>
            <w:tcW w:w="2842" w:type="dxa"/>
            <w:gridSpan w:val="2"/>
            <w:tcBorders>
              <w:top w:val="single" w:sz="5" w:space="0" w:color="000000"/>
              <w:left w:val="single" w:sz="5" w:space="0" w:color="000000"/>
              <w:bottom w:val="single" w:sz="5" w:space="0" w:color="000000"/>
              <w:right w:val="single" w:sz="5" w:space="0" w:color="000000"/>
            </w:tcBorders>
          </w:tcPr>
          <w:p w14:paraId="087BDFBE" w14:textId="77777777" w:rsidR="00ED4C2D" w:rsidRPr="00381DC2" w:rsidRDefault="00ED4C2D" w:rsidP="003C1003">
            <w:pPr>
              <w:pStyle w:val="TableParagraph"/>
              <w:spacing w:line="246" w:lineRule="exact"/>
              <w:jc w:val="center"/>
              <w:rPr>
                <w:rFonts w:ascii="Times New Roman" w:eastAsia="Times New Roman" w:hAnsi="Times New Roman"/>
                <w:color w:val="000000"/>
              </w:rPr>
            </w:pPr>
            <w:r w:rsidRPr="00381DC2">
              <w:rPr>
                <w:rFonts w:ascii="Times New Roman"/>
                <w:color w:val="000000"/>
              </w:rPr>
              <w:t>3,5</w:t>
            </w:r>
          </w:p>
        </w:tc>
        <w:tc>
          <w:tcPr>
            <w:tcW w:w="2693" w:type="dxa"/>
            <w:tcBorders>
              <w:top w:val="single" w:sz="5" w:space="0" w:color="000000"/>
              <w:left w:val="single" w:sz="5" w:space="0" w:color="000000"/>
              <w:bottom w:val="single" w:sz="5" w:space="0" w:color="000000"/>
              <w:right w:val="single" w:sz="5" w:space="0" w:color="000000"/>
            </w:tcBorders>
          </w:tcPr>
          <w:p w14:paraId="13433DF7" w14:textId="77777777" w:rsidR="00ED4C2D" w:rsidRPr="00381DC2" w:rsidRDefault="00ED4C2D" w:rsidP="003C1003">
            <w:pPr>
              <w:pStyle w:val="TableParagraph"/>
              <w:spacing w:line="246" w:lineRule="exact"/>
              <w:ind w:right="5"/>
              <w:jc w:val="center"/>
              <w:rPr>
                <w:rFonts w:ascii="Times New Roman" w:eastAsia="Times New Roman" w:hAnsi="Times New Roman"/>
                <w:color w:val="000000"/>
              </w:rPr>
            </w:pPr>
            <w:r w:rsidRPr="00381DC2">
              <w:rPr>
                <w:rFonts w:ascii="Times New Roman"/>
                <w:color w:val="000000"/>
              </w:rPr>
              <w:t>5,1</w:t>
            </w:r>
          </w:p>
        </w:tc>
      </w:tr>
      <w:tr w:rsidR="00ED4C2D" w:rsidRPr="00F60460" w14:paraId="118CF46B" w14:textId="77777777" w:rsidTr="00FF564D">
        <w:tc>
          <w:tcPr>
            <w:tcW w:w="2971" w:type="dxa"/>
            <w:tcBorders>
              <w:top w:val="single" w:sz="5" w:space="0" w:color="000000"/>
              <w:left w:val="single" w:sz="5" w:space="0" w:color="000000"/>
              <w:bottom w:val="single" w:sz="5" w:space="0" w:color="000000"/>
              <w:right w:val="single" w:sz="5" w:space="0" w:color="000000"/>
            </w:tcBorders>
          </w:tcPr>
          <w:p w14:paraId="233C2D46" w14:textId="77777777" w:rsidR="00ED4C2D" w:rsidRPr="00381DC2" w:rsidRDefault="00ED4C2D" w:rsidP="003C1003">
            <w:pPr>
              <w:pStyle w:val="TableParagraph"/>
              <w:spacing w:before="19"/>
              <w:ind w:left="42"/>
              <w:jc w:val="center"/>
              <w:rPr>
                <w:rFonts w:ascii="Times New Roman" w:eastAsia="Times New Roman" w:hAnsi="Times New Roman"/>
                <w:color w:val="000000"/>
              </w:rPr>
            </w:pPr>
            <w:r w:rsidRPr="00381DC2">
              <w:rPr>
                <w:rFonts w:ascii="Times New Roman" w:hAnsi="Times New Roman"/>
                <w:color w:val="000000"/>
              </w:rPr>
              <w:t>Poměr rizik (95% interval spolehlivosti)</w:t>
            </w:r>
          </w:p>
        </w:tc>
        <w:tc>
          <w:tcPr>
            <w:tcW w:w="5535" w:type="dxa"/>
            <w:gridSpan w:val="3"/>
            <w:tcBorders>
              <w:top w:val="single" w:sz="5" w:space="0" w:color="000000"/>
              <w:left w:val="single" w:sz="5" w:space="0" w:color="000000"/>
              <w:bottom w:val="single" w:sz="5" w:space="0" w:color="000000"/>
              <w:right w:val="single" w:sz="5" w:space="0" w:color="000000"/>
            </w:tcBorders>
          </w:tcPr>
          <w:p w14:paraId="56A1A03C" w14:textId="77777777" w:rsidR="00ED4C2D" w:rsidRPr="00381DC2" w:rsidRDefault="00ED4C2D" w:rsidP="003C1003">
            <w:pPr>
              <w:pStyle w:val="TableParagraph"/>
              <w:spacing w:line="246" w:lineRule="exact"/>
              <w:jc w:val="center"/>
              <w:rPr>
                <w:rFonts w:ascii="Times New Roman" w:eastAsia="Times New Roman" w:hAnsi="Times New Roman"/>
                <w:color w:val="000000"/>
              </w:rPr>
            </w:pPr>
            <w:r w:rsidRPr="00381DC2">
              <w:rPr>
                <w:rFonts w:ascii="Times New Roman"/>
                <w:color w:val="000000"/>
              </w:rPr>
              <w:t xml:space="preserve">0,53 </w:t>
            </w:r>
            <w:r w:rsidRPr="00381DC2">
              <w:rPr>
                <w:rFonts w:ascii="Times New Roman"/>
                <w:color w:val="000000"/>
                <w:spacing w:val="-1"/>
              </w:rPr>
              <w:t>[0,36,</w:t>
            </w:r>
            <w:r w:rsidRPr="00381DC2">
              <w:rPr>
                <w:rFonts w:ascii="Times New Roman"/>
                <w:color w:val="000000"/>
              </w:rPr>
              <w:t xml:space="preserve"> </w:t>
            </w:r>
            <w:r w:rsidRPr="00381DC2">
              <w:rPr>
                <w:rFonts w:ascii="Times New Roman"/>
                <w:color w:val="000000"/>
                <w:spacing w:val="-1"/>
              </w:rPr>
              <w:t>0,77]</w:t>
            </w:r>
          </w:p>
        </w:tc>
      </w:tr>
      <w:tr w:rsidR="00ED4C2D" w:rsidRPr="00F60460" w14:paraId="1CE8E2E8" w14:textId="77777777" w:rsidTr="00FF564D">
        <w:tc>
          <w:tcPr>
            <w:tcW w:w="2971" w:type="dxa"/>
            <w:tcBorders>
              <w:top w:val="single" w:sz="5" w:space="0" w:color="000000"/>
              <w:left w:val="single" w:sz="5" w:space="0" w:color="000000"/>
              <w:bottom w:val="single" w:sz="5" w:space="0" w:color="000000"/>
              <w:right w:val="single" w:sz="5" w:space="0" w:color="000000"/>
            </w:tcBorders>
          </w:tcPr>
          <w:p w14:paraId="67895F72" w14:textId="77777777" w:rsidR="00ED4C2D" w:rsidRPr="00381DC2" w:rsidRDefault="00ED4C2D" w:rsidP="003C1003">
            <w:pPr>
              <w:pStyle w:val="TableParagraph"/>
              <w:spacing w:line="248" w:lineRule="exact"/>
              <w:ind w:left="42"/>
              <w:jc w:val="center"/>
              <w:rPr>
                <w:rFonts w:ascii="Times New Roman" w:eastAsia="Times New Roman" w:hAnsi="Times New Roman"/>
                <w:color w:val="000000"/>
              </w:rPr>
            </w:pPr>
            <w:r w:rsidRPr="00381DC2">
              <w:rPr>
                <w:rFonts w:ascii="Times New Roman" w:hAnsi="Times New Roman"/>
                <w:color w:val="000000"/>
                <w:spacing w:val="-1"/>
              </w:rPr>
              <w:t>Střední doba celkového přežití (měsíce</w:t>
            </w:r>
            <w:r w:rsidRPr="00381DC2">
              <w:rPr>
                <w:rFonts w:ascii="Times New Roman"/>
                <w:color w:val="000000"/>
                <w:spacing w:val="-1"/>
              </w:rPr>
              <w:t>)</w:t>
            </w:r>
          </w:p>
        </w:tc>
        <w:tc>
          <w:tcPr>
            <w:tcW w:w="2767" w:type="dxa"/>
            <w:tcBorders>
              <w:top w:val="single" w:sz="5" w:space="0" w:color="000000"/>
              <w:left w:val="single" w:sz="5" w:space="0" w:color="000000"/>
              <w:bottom w:val="single" w:sz="5" w:space="0" w:color="000000"/>
              <w:right w:val="single" w:sz="5" w:space="0" w:color="000000"/>
            </w:tcBorders>
          </w:tcPr>
          <w:p w14:paraId="1C1F898F" w14:textId="77777777" w:rsidR="00ED4C2D" w:rsidRPr="00381DC2" w:rsidRDefault="00ED4C2D" w:rsidP="003C1003">
            <w:pPr>
              <w:pStyle w:val="TableParagraph"/>
              <w:spacing w:line="248" w:lineRule="exact"/>
              <w:jc w:val="center"/>
              <w:rPr>
                <w:rFonts w:ascii="Times New Roman" w:eastAsia="Times New Roman" w:hAnsi="Times New Roman"/>
                <w:color w:val="000000"/>
              </w:rPr>
            </w:pPr>
            <w:r w:rsidRPr="00381DC2">
              <w:rPr>
                <w:rFonts w:ascii="Times New Roman"/>
                <w:color w:val="000000"/>
              </w:rPr>
              <w:t>14,1</w:t>
            </w:r>
          </w:p>
        </w:tc>
        <w:tc>
          <w:tcPr>
            <w:tcW w:w="2768" w:type="dxa"/>
            <w:gridSpan w:val="2"/>
            <w:tcBorders>
              <w:top w:val="single" w:sz="5" w:space="0" w:color="000000"/>
              <w:left w:val="single" w:sz="5" w:space="0" w:color="000000"/>
              <w:bottom w:val="single" w:sz="5" w:space="0" w:color="000000"/>
              <w:right w:val="single" w:sz="5" w:space="0" w:color="000000"/>
            </w:tcBorders>
          </w:tcPr>
          <w:p w14:paraId="00ECF112" w14:textId="77777777" w:rsidR="00ED4C2D" w:rsidRPr="00381DC2" w:rsidRDefault="00ED4C2D" w:rsidP="003C1003">
            <w:pPr>
              <w:pStyle w:val="TableParagraph"/>
              <w:spacing w:line="248" w:lineRule="exact"/>
              <w:jc w:val="center"/>
              <w:rPr>
                <w:rFonts w:ascii="Times New Roman" w:eastAsia="Times New Roman" w:hAnsi="Times New Roman"/>
                <w:color w:val="000000"/>
              </w:rPr>
            </w:pPr>
            <w:r w:rsidRPr="00381DC2">
              <w:rPr>
                <w:rFonts w:ascii="Times New Roman"/>
                <w:color w:val="000000"/>
              </w:rPr>
              <w:t>13,7</w:t>
            </w:r>
          </w:p>
        </w:tc>
      </w:tr>
      <w:tr w:rsidR="00ED4C2D" w:rsidRPr="00F60460" w14:paraId="1D82FB3C" w14:textId="77777777" w:rsidTr="00FF564D">
        <w:tc>
          <w:tcPr>
            <w:tcW w:w="2971" w:type="dxa"/>
            <w:tcBorders>
              <w:top w:val="single" w:sz="5" w:space="0" w:color="000000"/>
              <w:left w:val="single" w:sz="5" w:space="0" w:color="000000"/>
              <w:bottom w:val="single" w:sz="5" w:space="0" w:color="000000"/>
              <w:right w:val="single" w:sz="5" w:space="0" w:color="000000"/>
            </w:tcBorders>
          </w:tcPr>
          <w:p w14:paraId="2D55ADEF" w14:textId="77777777" w:rsidR="00ED4C2D" w:rsidRPr="00381DC2" w:rsidRDefault="00ED4C2D" w:rsidP="003C1003">
            <w:pPr>
              <w:pStyle w:val="TableParagraph"/>
              <w:spacing w:line="246" w:lineRule="exact"/>
              <w:ind w:left="42"/>
              <w:jc w:val="center"/>
              <w:rPr>
                <w:rFonts w:ascii="Times New Roman" w:eastAsia="Times New Roman" w:hAnsi="Times New Roman"/>
                <w:color w:val="000000"/>
              </w:rPr>
            </w:pPr>
            <w:r w:rsidRPr="00381DC2">
              <w:rPr>
                <w:rFonts w:ascii="Times New Roman" w:hAnsi="Times New Roman"/>
                <w:color w:val="000000"/>
              </w:rPr>
              <w:t>Poměr rizik (95% interval spolehlivosti)</w:t>
            </w:r>
          </w:p>
        </w:tc>
        <w:tc>
          <w:tcPr>
            <w:tcW w:w="5535" w:type="dxa"/>
            <w:gridSpan w:val="3"/>
            <w:tcBorders>
              <w:top w:val="single" w:sz="5" w:space="0" w:color="000000"/>
              <w:left w:val="single" w:sz="5" w:space="0" w:color="000000"/>
              <w:bottom w:val="single" w:sz="5" w:space="0" w:color="000000"/>
              <w:right w:val="single" w:sz="5" w:space="0" w:color="000000"/>
            </w:tcBorders>
          </w:tcPr>
          <w:p w14:paraId="4AFE6C06" w14:textId="77777777" w:rsidR="00ED4C2D" w:rsidRPr="00381DC2" w:rsidRDefault="00ED4C2D" w:rsidP="003C1003">
            <w:pPr>
              <w:pStyle w:val="TableParagraph"/>
              <w:spacing w:line="246" w:lineRule="exact"/>
              <w:jc w:val="center"/>
              <w:rPr>
                <w:rFonts w:ascii="Times New Roman" w:eastAsia="Times New Roman" w:hAnsi="Times New Roman"/>
                <w:color w:val="000000"/>
              </w:rPr>
            </w:pPr>
            <w:r w:rsidRPr="00381DC2">
              <w:rPr>
                <w:rFonts w:ascii="Times New Roman"/>
                <w:color w:val="000000"/>
              </w:rPr>
              <w:t xml:space="preserve">0,91 </w:t>
            </w:r>
            <w:r w:rsidRPr="00381DC2">
              <w:rPr>
                <w:rFonts w:ascii="Times New Roman"/>
                <w:color w:val="000000"/>
                <w:spacing w:val="-1"/>
              </w:rPr>
              <w:t>[0,61,</w:t>
            </w:r>
            <w:r w:rsidRPr="00381DC2">
              <w:rPr>
                <w:rFonts w:ascii="Times New Roman"/>
                <w:color w:val="000000"/>
              </w:rPr>
              <w:t xml:space="preserve"> </w:t>
            </w:r>
            <w:r w:rsidRPr="00381DC2">
              <w:rPr>
                <w:rFonts w:ascii="Times New Roman"/>
                <w:color w:val="000000"/>
                <w:spacing w:val="-1"/>
              </w:rPr>
              <w:t>1,35]</w:t>
            </w:r>
          </w:p>
        </w:tc>
      </w:tr>
    </w:tbl>
    <w:p w14:paraId="44ECEEE2" w14:textId="77777777" w:rsidR="00ED4C2D" w:rsidRPr="00381DC2" w:rsidRDefault="00ED4C2D" w:rsidP="00ED4C2D">
      <w:pPr>
        <w:rPr>
          <w:rFonts w:ascii="Times New Roman" w:eastAsia="Times New Roman" w:hAnsi="Times New Roman"/>
          <w:color w:val="000000"/>
        </w:rPr>
      </w:pPr>
    </w:p>
    <w:p w14:paraId="509535E2" w14:textId="77777777" w:rsidR="00D15122" w:rsidRPr="00381DC2" w:rsidRDefault="00E90464" w:rsidP="00D5294C">
      <w:pPr>
        <w:rPr>
          <w:rFonts w:ascii="Times New Roman" w:eastAsia="Times New Roman" w:hAnsi="Times New Roman"/>
          <w:i/>
          <w:color w:val="000000"/>
        </w:rPr>
      </w:pPr>
      <w:r w:rsidRPr="00381DC2">
        <w:rPr>
          <w:rFonts w:ascii="Times New Roman" w:hAnsi="Times New Roman"/>
          <w:i/>
          <w:color w:val="000000"/>
          <w:u w:val="single" w:color="000000"/>
        </w:rPr>
        <w:t xml:space="preserve">Karcinom děložního </w:t>
      </w:r>
      <w:r w:rsidR="004D45CB" w:rsidRPr="00381DC2">
        <w:rPr>
          <w:rFonts w:ascii="Times New Roman" w:hAnsi="Times New Roman"/>
          <w:i/>
          <w:color w:val="000000"/>
          <w:u w:val="single" w:color="000000"/>
        </w:rPr>
        <w:t>čípku</w:t>
      </w:r>
    </w:p>
    <w:p w14:paraId="0740FA85" w14:textId="77777777" w:rsidR="00D15122" w:rsidRPr="00381DC2" w:rsidRDefault="00D15122" w:rsidP="007F6E1B">
      <w:pPr>
        <w:rPr>
          <w:rFonts w:ascii="Times New Roman" w:eastAsia="Times New Roman" w:hAnsi="Times New Roman"/>
          <w:color w:val="000000"/>
        </w:rPr>
      </w:pPr>
    </w:p>
    <w:p w14:paraId="62D76481" w14:textId="77777777" w:rsidR="00D15122" w:rsidRPr="00381DC2" w:rsidRDefault="009B0756" w:rsidP="007F6E1B">
      <w:pPr>
        <w:spacing w:line="252" w:lineRule="exact"/>
        <w:rPr>
          <w:rFonts w:ascii="Times New Roman" w:eastAsia="Times New Roman" w:hAnsi="Times New Roman"/>
          <w:color w:val="000000"/>
        </w:rPr>
      </w:pPr>
      <w:r w:rsidRPr="00381DC2">
        <w:rPr>
          <w:rFonts w:ascii="Times New Roman" w:hAnsi="Times New Roman"/>
          <w:color w:val="000000"/>
        </w:rPr>
        <w:t>GOG-0240</w:t>
      </w:r>
    </w:p>
    <w:p w14:paraId="7C379ECC" w14:textId="77777777" w:rsidR="00D15122" w:rsidRPr="00381DC2" w:rsidRDefault="009B0756" w:rsidP="007F6E1B">
      <w:pPr>
        <w:pStyle w:val="BodyText"/>
        <w:ind w:left="0" w:right="188"/>
        <w:rPr>
          <w:color w:val="000000"/>
        </w:rPr>
      </w:pPr>
      <w:r w:rsidRPr="00381DC2">
        <w:rPr>
          <w:color w:val="000000"/>
        </w:rPr>
        <w:t>Účinnost a bezpečnost bevacizumabu v kombinaci s chemoterapií (paklitaxel</w:t>
      </w:r>
      <w:r w:rsidR="00C610B6" w:rsidRPr="00381DC2">
        <w:rPr>
          <w:color w:val="000000"/>
        </w:rPr>
        <w:t>em</w:t>
      </w:r>
      <w:r w:rsidRPr="00381DC2">
        <w:rPr>
          <w:color w:val="000000"/>
        </w:rPr>
        <w:t xml:space="preserve"> a cisplatin</w:t>
      </w:r>
      <w:r w:rsidR="00C610B6" w:rsidRPr="00381DC2">
        <w:rPr>
          <w:color w:val="000000"/>
        </w:rPr>
        <w:t>ou</w:t>
      </w:r>
      <w:r w:rsidRPr="00381DC2">
        <w:rPr>
          <w:color w:val="000000"/>
        </w:rPr>
        <w:t xml:space="preserve"> nebo paklitaxel</w:t>
      </w:r>
      <w:r w:rsidR="00C610B6" w:rsidRPr="00381DC2">
        <w:rPr>
          <w:color w:val="000000"/>
        </w:rPr>
        <w:t>em</w:t>
      </w:r>
      <w:r w:rsidRPr="00381DC2">
        <w:rPr>
          <w:color w:val="000000"/>
        </w:rPr>
        <w:t xml:space="preserve"> a topotekan</w:t>
      </w:r>
      <w:r w:rsidR="00C610B6" w:rsidRPr="00381DC2">
        <w:rPr>
          <w:color w:val="000000"/>
        </w:rPr>
        <w:t>em</w:t>
      </w:r>
      <w:r w:rsidRPr="00381DC2">
        <w:rPr>
          <w:color w:val="000000"/>
        </w:rPr>
        <w:t xml:space="preserve">) při léčbě pacientek s přetrvávajícím, rekurentním nebo </w:t>
      </w:r>
      <w:r w:rsidR="000834FE" w:rsidRPr="00381DC2">
        <w:rPr>
          <w:color w:val="000000"/>
        </w:rPr>
        <w:t>metasta</w:t>
      </w:r>
      <w:r w:rsidR="004D45CB" w:rsidRPr="00381DC2">
        <w:rPr>
          <w:color w:val="000000"/>
        </w:rPr>
        <w:t>zujícím</w:t>
      </w:r>
      <w:r w:rsidR="000834FE" w:rsidRPr="00381DC2">
        <w:rPr>
          <w:color w:val="000000"/>
        </w:rPr>
        <w:t xml:space="preserve"> </w:t>
      </w:r>
      <w:r w:rsidRPr="00381DC2">
        <w:rPr>
          <w:color w:val="000000"/>
        </w:rPr>
        <w:t xml:space="preserve">karcinomem děložního </w:t>
      </w:r>
      <w:r w:rsidR="004D45CB" w:rsidRPr="00381DC2">
        <w:rPr>
          <w:color w:val="000000"/>
        </w:rPr>
        <w:t>čípku</w:t>
      </w:r>
      <w:r w:rsidRPr="00381DC2">
        <w:rPr>
          <w:color w:val="000000"/>
        </w:rPr>
        <w:t xml:space="preserve"> byla hodnocena v randomizovaném čtyřramenném otevřeném multicentrickém hodnocení fáze III GOG-0240.</w:t>
      </w:r>
    </w:p>
    <w:p w14:paraId="7CD3F490" w14:textId="77777777" w:rsidR="00D15122" w:rsidRPr="00381DC2" w:rsidRDefault="00D15122" w:rsidP="007F6E1B">
      <w:pPr>
        <w:rPr>
          <w:rFonts w:ascii="Times New Roman" w:eastAsia="Times New Roman" w:hAnsi="Times New Roman"/>
          <w:color w:val="000000"/>
        </w:rPr>
      </w:pPr>
    </w:p>
    <w:p w14:paraId="6A5A2D46" w14:textId="77777777" w:rsidR="00D15122" w:rsidRPr="00381DC2" w:rsidRDefault="009B0756" w:rsidP="007F6E1B">
      <w:pPr>
        <w:pStyle w:val="BodyText"/>
        <w:ind w:left="0"/>
        <w:rPr>
          <w:color w:val="000000"/>
        </w:rPr>
      </w:pPr>
      <w:r w:rsidRPr="00381DC2">
        <w:rPr>
          <w:color w:val="000000"/>
        </w:rPr>
        <w:t>Celkem 452 pacientek bylo randomizováno do jedn</w:t>
      </w:r>
      <w:r w:rsidR="00C610B6" w:rsidRPr="00381DC2">
        <w:rPr>
          <w:color w:val="000000"/>
        </w:rPr>
        <w:t>oho z ramen</w:t>
      </w:r>
      <w:r w:rsidRPr="00381DC2">
        <w:rPr>
          <w:color w:val="000000"/>
        </w:rPr>
        <w:t>:</w:t>
      </w:r>
    </w:p>
    <w:p w14:paraId="2087C51A" w14:textId="77777777" w:rsidR="00D15122" w:rsidRPr="00381DC2" w:rsidRDefault="00D15122" w:rsidP="007F6E1B">
      <w:pPr>
        <w:rPr>
          <w:rFonts w:ascii="Times New Roman" w:eastAsia="Times New Roman" w:hAnsi="Times New Roman"/>
          <w:color w:val="000000"/>
        </w:rPr>
      </w:pPr>
    </w:p>
    <w:p w14:paraId="13A134CA" w14:textId="77777777" w:rsidR="00D15122" w:rsidRPr="00381DC2" w:rsidRDefault="008257E8" w:rsidP="00E93E96">
      <w:pPr>
        <w:pStyle w:val="BodyText"/>
        <w:numPr>
          <w:ilvl w:val="1"/>
          <w:numId w:val="11"/>
        </w:numPr>
        <w:tabs>
          <w:tab w:val="left" w:pos="686"/>
        </w:tabs>
        <w:spacing w:line="240" w:lineRule="exact"/>
        <w:ind w:left="709" w:hanging="709"/>
        <w:rPr>
          <w:color w:val="000000"/>
        </w:rPr>
      </w:pPr>
      <w:r w:rsidRPr="00381DC2">
        <w:rPr>
          <w:color w:val="000000"/>
        </w:rPr>
        <w:t>p</w:t>
      </w:r>
      <w:r w:rsidR="009B0756" w:rsidRPr="00381DC2">
        <w:rPr>
          <w:color w:val="000000"/>
        </w:rPr>
        <w:t>aklitaxel 135 mg/m</w:t>
      </w:r>
      <w:r w:rsidR="009B0756" w:rsidRPr="00381DC2">
        <w:rPr>
          <w:color w:val="000000"/>
          <w:vertAlign w:val="superscript"/>
        </w:rPr>
        <w:t>2</w:t>
      </w:r>
      <w:r w:rsidR="004D45CB" w:rsidRPr="00381DC2">
        <w:rPr>
          <w:color w:val="000000"/>
        </w:rPr>
        <w:t xml:space="preserve"> </w:t>
      </w:r>
      <w:r w:rsidR="00D5294C" w:rsidRPr="00381DC2">
        <w:rPr>
          <w:color w:val="000000"/>
        </w:rPr>
        <w:t>intravenózně</w:t>
      </w:r>
      <w:r w:rsidR="009B0756" w:rsidRPr="00381DC2">
        <w:rPr>
          <w:color w:val="000000"/>
        </w:rPr>
        <w:t xml:space="preserve"> po dobu 24 hodin v den 1 a cisplatina 50 mg/m</w:t>
      </w:r>
      <w:r w:rsidR="009B0756" w:rsidRPr="00381DC2">
        <w:rPr>
          <w:color w:val="000000"/>
          <w:vertAlign w:val="superscript"/>
        </w:rPr>
        <w:t>2</w:t>
      </w:r>
      <w:r w:rsidR="004D45CB" w:rsidRPr="00381DC2">
        <w:rPr>
          <w:color w:val="000000"/>
          <w:vertAlign w:val="superscript"/>
        </w:rPr>
        <w:t xml:space="preserve"> </w:t>
      </w:r>
      <w:r w:rsidR="00D5294C" w:rsidRPr="00381DC2">
        <w:rPr>
          <w:color w:val="000000"/>
        </w:rPr>
        <w:t>intravenózně</w:t>
      </w:r>
      <w:r w:rsidR="009B0756" w:rsidRPr="00381DC2">
        <w:rPr>
          <w:color w:val="000000"/>
        </w:rPr>
        <w:t xml:space="preserve"> v den 2</w:t>
      </w:r>
      <w:r w:rsidRPr="00381DC2">
        <w:rPr>
          <w:color w:val="000000"/>
        </w:rPr>
        <w:t>,</w:t>
      </w:r>
      <w:r w:rsidR="009B0756" w:rsidRPr="00381DC2">
        <w:rPr>
          <w:color w:val="000000"/>
        </w:rPr>
        <w:t xml:space="preserve"> každé 3</w:t>
      </w:r>
      <w:r w:rsidR="00F54962" w:rsidRPr="00381DC2">
        <w:rPr>
          <w:color w:val="000000"/>
        </w:rPr>
        <w:t> </w:t>
      </w:r>
      <w:r w:rsidR="009B0756" w:rsidRPr="00381DC2">
        <w:rPr>
          <w:color w:val="000000"/>
        </w:rPr>
        <w:t>týdny; nebo</w:t>
      </w:r>
    </w:p>
    <w:p w14:paraId="2A72E1A8" w14:textId="77777777" w:rsidR="00D15122" w:rsidRPr="00381DC2" w:rsidRDefault="008257E8" w:rsidP="00F54962">
      <w:pPr>
        <w:pStyle w:val="BodyText"/>
        <w:tabs>
          <w:tab w:val="left" w:pos="686"/>
        </w:tabs>
        <w:spacing w:line="253" w:lineRule="exact"/>
        <w:ind w:left="709"/>
        <w:rPr>
          <w:color w:val="000000"/>
        </w:rPr>
      </w:pPr>
      <w:r w:rsidRPr="00381DC2">
        <w:rPr>
          <w:color w:val="000000"/>
        </w:rPr>
        <w:t>p</w:t>
      </w:r>
      <w:r w:rsidR="009B0756" w:rsidRPr="00381DC2">
        <w:rPr>
          <w:color w:val="000000"/>
        </w:rPr>
        <w:t>aklitaxel 175 mg/m</w:t>
      </w:r>
      <w:r w:rsidR="009B0756" w:rsidRPr="00381DC2">
        <w:rPr>
          <w:color w:val="000000"/>
          <w:vertAlign w:val="superscript"/>
        </w:rPr>
        <w:t>2</w:t>
      </w:r>
      <w:r w:rsidR="004D45CB" w:rsidRPr="00381DC2">
        <w:rPr>
          <w:color w:val="000000"/>
          <w:vertAlign w:val="superscript"/>
        </w:rPr>
        <w:t xml:space="preserve"> </w:t>
      </w:r>
      <w:r w:rsidR="00D5294C" w:rsidRPr="00381DC2">
        <w:rPr>
          <w:color w:val="000000"/>
        </w:rPr>
        <w:t>intravenózně</w:t>
      </w:r>
      <w:r w:rsidR="009B0756" w:rsidRPr="00381DC2">
        <w:rPr>
          <w:color w:val="000000"/>
        </w:rPr>
        <w:t xml:space="preserve"> po dobu 3 hodin v den 1 a cisplatina 50 mg/m</w:t>
      </w:r>
      <w:r w:rsidR="009B0756" w:rsidRPr="00381DC2">
        <w:rPr>
          <w:color w:val="000000"/>
          <w:vertAlign w:val="superscript"/>
        </w:rPr>
        <w:t>2</w:t>
      </w:r>
      <w:r w:rsidR="004D45CB" w:rsidRPr="00381DC2">
        <w:rPr>
          <w:color w:val="000000"/>
        </w:rPr>
        <w:t xml:space="preserve"> </w:t>
      </w:r>
      <w:r w:rsidR="00D5294C" w:rsidRPr="00381DC2">
        <w:rPr>
          <w:color w:val="000000"/>
        </w:rPr>
        <w:t>intravenózně</w:t>
      </w:r>
      <w:r w:rsidR="009B0756" w:rsidRPr="00381DC2">
        <w:rPr>
          <w:color w:val="000000"/>
        </w:rPr>
        <w:t xml:space="preserve"> v den 2 </w:t>
      </w:r>
      <w:r w:rsidRPr="00381DC2">
        <w:rPr>
          <w:color w:val="000000"/>
        </w:rPr>
        <w:t>(</w:t>
      </w:r>
      <w:r w:rsidR="009B0756" w:rsidRPr="00381DC2">
        <w:rPr>
          <w:color w:val="000000"/>
        </w:rPr>
        <w:t>každé 3 týdny</w:t>
      </w:r>
      <w:r w:rsidRPr="00381DC2">
        <w:rPr>
          <w:color w:val="000000"/>
        </w:rPr>
        <w:t>)</w:t>
      </w:r>
      <w:r w:rsidR="009B0756" w:rsidRPr="00381DC2">
        <w:rPr>
          <w:color w:val="000000"/>
        </w:rPr>
        <w:t>; nebo</w:t>
      </w:r>
    </w:p>
    <w:p w14:paraId="1447AD52" w14:textId="77777777" w:rsidR="00D15122" w:rsidRPr="00381DC2" w:rsidRDefault="008257E8" w:rsidP="00F54962">
      <w:pPr>
        <w:pStyle w:val="BodyText"/>
        <w:tabs>
          <w:tab w:val="left" w:pos="686"/>
        </w:tabs>
        <w:spacing w:line="265" w:lineRule="exact"/>
        <w:ind w:left="709"/>
        <w:rPr>
          <w:color w:val="000000"/>
        </w:rPr>
      </w:pPr>
      <w:r w:rsidRPr="00381DC2">
        <w:rPr>
          <w:color w:val="000000"/>
        </w:rPr>
        <w:t>p</w:t>
      </w:r>
      <w:r w:rsidR="009B0756" w:rsidRPr="00381DC2">
        <w:rPr>
          <w:color w:val="000000"/>
        </w:rPr>
        <w:t>aklitaxel 175 mg/m</w:t>
      </w:r>
      <w:r w:rsidR="009B0756" w:rsidRPr="00381DC2">
        <w:rPr>
          <w:color w:val="000000"/>
          <w:vertAlign w:val="superscript"/>
        </w:rPr>
        <w:t>2</w:t>
      </w:r>
      <w:r w:rsidR="004D45CB" w:rsidRPr="00381DC2">
        <w:rPr>
          <w:color w:val="000000"/>
          <w:vertAlign w:val="superscript"/>
        </w:rPr>
        <w:t xml:space="preserve"> </w:t>
      </w:r>
      <w:r w:rsidR="00D5294C" w:rsidRPr="00381DC2">
        <w:rPr>
          <w:color w:val="000000"/>
        </w:rPr>
        <w:t>intravenózně</w:t>
      </w:r>
      <w:r w:rsidR="009B0756" w:rsidRPr="00381DC2">
        <w:rPr>
          <w:color w:val="000000"/>
        </w:rPr>
        <w:t xml:space="preserve"> po dobu 3 hodin v den 1 a cisplatina 50 mg/m</w:t>
      </w:r>
      <w:r w:rsidR="009B0756" w:rsidRPr="00381DC2">
        <w:rPr>
          <w:color w:val="000000"/>
          <w:vertAlign w:val="superscript"/>
        </w:rPr>
        <w:t>2</w:t>
      </w:r>
      <w:r w:rsidR="004D45CB" w:rsidRPr="00381DC2">
        <w:rPr>
          <w:color w:val="000000"/>
          <w:vertAlign w:val="superscript"/>
        </w:rPr>
        <w:t xml:space="preserve"> </w:t>
      </w:r>
      <w:r w:rsidR="00D5294C" w:rsidRPr="00381DC2">
        <w:rPr>
          <w:color w:val="000000"/>
        </w:rPr>
        <w:t>intravenózně</w:t>
      </w:r>
      <w:r w:rsidR="009B0756" w:rsidRPr="00381DC2">
        <w:rPr>
          <w:color w:val="000000"/>
        </w:rPr>
        <w:t xml:space="preserve"> v den 1 </w:t>
      </w:r>
      <w:r w:rsidRPr="00381DC2">
        <w:rPr>
          <w:color w:val="000000"/>
        </w:rPr>
        <w:t>(</w:t>
      </w:r>
      <w:r w:rsidR="009B0756" w:rsidRPr="00381DC2">
        <w:rPr>
          <w:color w:val="000000"/>
        </w:rPr>
        <w:t>každé 3 týdny</w:t>
      </w:r>
      <w:r w:rsidRPr="00381DC2">
        <w:rPr>
          <w:color w:val="000000"/>
        </w:rPr>
        <w:t>);</w:t>
      </w:r>
    </w:p>
    <w:p w14:paraId="1CD0DA9D" w14:textId="77777777" w:rsidR="00D15122" w:rsidRPr="00381DC2" w:rsidRDefault="00D15122" w:rsidP="00F54962">
      <w:pPr>
        <w:tabs>
          <w:tab w:val="left" w:pos="686"/>
        </w:tabs>
        <w:ind w:left="709" w:hanging="709"/>
        <w:rPr>
          <w:rFonts w:ascii="Times New Roman" w:eastAsia="Times New Roman" w:hAnsi="Times New Roman"/>
          <w:color w:val="000000"/>
        </w:rPr>
      </w:pPr>
    </w:p>
    <w:p w14:paraId="135F78E1" w14:textId="77777777" w:rsidR="00D5294C" w:rsidRPr="00381DC2" w:rsidRDefault="008257E8" w:rsidP="00A45DD1">
      <w:pPr>
        <w:pStyle w:val="BodyText"/>
        <w:numPr>
          <w:ilvl w:val="1"/>
          <w:numId w:val="11"/>
        </w:numPr>
        <w:tabs>
          <w:tab w:val="left" w:pos="686"/>
        </w:tabs>
        <w:spacing w:line="252" w:lineRule="exact"/>
        <w:ind w:left="709" w:right="137" w:hanging="709"/>
        <w:rPr>
          <w:color w:val="000000"/>
        </w:rPr>
      </w:pPr>
      <w:r w:rsidRPr="00381DC2">
        <w:rPr>
          <w:color w:val="000000"/>
        </w:rPr>
        <w:t>p</w:t>
      </w:r>
      <w:r w:rsidR="009B0756" w:rsidRPr="00381DC2">
        <w:rPr>
          <w:color w:val="000000"/>
        </w:rPr>
        <w:t>aklitaxel 135 mg/m</w:t>
      </w:r>
      <w:r w:rsidR="009B0756" w:rsidRPr="00381DC2">
        <w:rPr>
          <w:color w:val="000000"/>
          <w:vertAlign w:val="superscript"/>
        </w:rPr>
        <w:t>2</w:t>
      </w:r>
      <w:r w:rsidR="004D45CB" w:rsidRPr="00381DC2">
        <w:rPr>
          <w:color w:val="000000"/>
          <w:vertAlign w:val="superscript"/>
        </w:rPr>
        <w:t xml:space="preserve"> </w:t>
      </w:r>
      <w:r w:rsidR="00D5294C" w:rsidRPr="00381DC2">
        <w:rPr>
          <w:color w:val="000000"/>
        </w:rPr>
        <w:t>intravenózně</w:t>
      </w:r>
      <w:r w:rsidR="009B0756" w:rsidRPr="00381DC2">
        <w:rPr>
          <w:color w:val="000000"/>
        </w:rPr>
        <w:t xml:space="preserve"> po dobu 24 hodin v den 1 a cisplatina 50 mg/m</w:t>
      </w:r>
      <w:r w:rsidR="009B0756" w:rsidRPr="00381DC2">
        <w:rPr>
          <w:color w:val="000000"/>
          <w:vertAlign w:val="superscript"/>
        </w:rPr>
        <w:t>2</w:t>
      </w:r>
      <w:r w:rsidR="004D45CB" w:rsidRPr="00381DC2">
        <w:rPr>
          <w:color w:val="000000"/>
          <w:vertAlign w:val="superscript"/>
        </w:rPr>
        <w:t xml:space="preserve"> </w:t>
      </w:r>
      <w:r w:rsidR="00D5294C" w:rsidRPr="00381DC2">
        <w:rPr>
          <w:color w:val="000000"/>
        </w:rPr>
        <w:t>intravenózně</w:t>
      </w:r>
      <w:r w:rsidR="009B0756" w:rsidRPr="00381DC2">
        <w:rPr>
          <w:color w:val="000000"/>
        </w:rPr>
        <w:t xml:space="preserve"> v den 2 plus</w:t>
      </w:r>
      <w:r w:rsidR="00D5294C" w:rsidRPr="00381DC2">
        <w:rPr>
          <w:color w:val="000000"/>
        </w:rPr>
        <w:t xml:space="preserve"> bevacizumab 15 mg/kg intravenózně v den 2 (každé 3 týdny); </w:t>
      </w:r>
      <w:r w:rsidR="009B0756" w:rsidRPr="00381DC2">
        <w:rPr>
          <w:color w:val="000000"/>
        </w:rPr>
        <w:lastRenderedPageBreak/>
        <w:t>nebo</w:t>
      </w:r>
    </w:p>
    <w:p w14:paraId="50ACF9EC" w14:textId="77777777" w:rsidR="00D5294C" w:rsidRPr="00381DC2" w:rsidRDefault="00D5294C" w:rsidP="00F54962">
      <w:pPr>
        <w:pStyle w:val="BodyText"/>
        <w:tabs>
          <w:tab w:val="left" w:pos="686"/>
        </w:tabs>
        <w:spacing w:line="252" w:lineRule="exact"/>
        <w:ind w:left="709" w:right="137"/>
        <w:rPr>
          <w:color w:val="000000"/>
        </w:rPr>
      </w:pPr>
      <w:r w:rsidRPr="00381DC2">
        <w:rPr>
          <w:color w:val="000000"/>
        </w:rPr>
        <w:t>paklitaxel 175 mg/m</w:t>
      </w:r>
      <w:r w:rsidRPr="00381DC2">
        <w:rPr>
          <w:color w:val="000000"/>
          <w:vertAlign w:val="superscript"/>
        </w:rPr>
        <w:t>2</w:t>
      </w:r>
      <w:r w:rsidRPr="00381DC2">
        <w:rPr>
          <w:color w:val="000000"/>
        </w:rPr>
        <w:t xml:space="preserve"> intravenózně po dobu 3 hodin v den 1 a cisplatina 50 mg/m</w:t>
      </w:r>
      <w:r w:rsidRPr="00381DC2">
        <w:rPr>
          <w:color w:val="000000"/>
          <w:vertAlign w:val="superscript"/>
        </w:rPr>
        <w:t>2</w:t>
      </w:r>
      <w:r w:rsidRPr="00381DC2">
        <w:rPr>
          <w:color w:val="000000"/>
        </w:rPr>
        <w:t xml:space="preserve"> intravenózně v den 2 plus</w:t>
      </w:r>
      <w:r w:rsidR="00F54962" w:rsidRPr="00381DC2">
        <w:rPr>
          <w:color w:val="000000"/>
        </w:rPr>
        <w:t xml:space="preserve"> </w:t>
      </w:r>
      <w:r w:rsidRPr="00381DC2">
        <w:rPr>
          <w:color w:val="000000"/>
        </w:rPr>
        <w:t>bevacizumab 15 mg/kg intravenózně v den 2 (každé 3 týdny); nebo</w:t>
      </w:r>
    </w:p>
    <w:p w14:paraId="16FCB6B1" w14:textId="77777777" w:rsidR="00D15122" w:rsidRPr="00381DC2" w:rsidRDefault="00D5294C" w:rsidP="00F54962">
      <w:pPr>
        <w:pStyle w:val="BodyText"/>
        <w:tabs>
          <w:tab w:val="left" w:pos="686"/>
        </w:tabs>
        <w:spacing w:line="252" w:lineRule="exact"/>
        <w:ind w:left="709" w:right="137"/>
        <w:rPr>
          <w:color w:val="000000"/>
        </w:rPr>
      </w:pPr>
      <w:r w:rsidRPr="00381DC2">
        <w:rPr>
          <w:color w:val="000000"/>
        </w:rPr>
        <w:t>paklitaxel 175 mg/m</w:t>
      </w:r>
      <w:r w:rsidRPr="00381DC2">
        <w:rPr>
          <w:color w:val="000000"/>
          <w:vertAlign w:val="superscript"/>
        </w:rPr>
        <w:t>2</w:t>
      </w:r>
      <w:r w:rsidRPr="00381DC2">
        <w:rPr>
          <w:color w:val="000000"/>
        </w:rPr>
        <w:t xml:space="preserve"> intravenózně po dobu 3 hodin v den 1 a cisplatina 50 mg/m</w:t>
      </w:r>
      <w:r w:rsidRPr="00381DC2">
        <w:rPr>
          <w:color w:val="000000"/>
          <w:vertAlign w:val="superscript"/>
        </w:rPr>
        <w:t>2</w:t>
      </w:r>
      <w:r w:rsidRPr="00381DC2">
        <w:rPr>
          <w:color w:val="000000"/>
        </w:rPr>
        <w:t xml:space="preserve"> intravenózně v den 1 plus bevacizumab 15 mg/kg intravenózně </w:t>
      </w:r>
      <w:r w:rsidR="009B0756" w:rsidRPr="00381DC2">
        <w:rPr>
          <w:color w:val="000000"/>
        </w:rPr>
        <w:t>v den 1 (každé 3 týdny)</w:t>
      </w:r>
      <w:r w:rsidR="008257E8" w:rsidRPr="00381DC2">
        <w:rPr>
          <w:color w:val="000000"/>
        </w:rPr>
        <w:t>;</w:t>
      </w:r>
    </w:p>
    <w:p w14:paraId="77F9639D" w14:textId="77777777" w:rsidR="00D15122" w:rsidRPr="00381DC2" w:rsidRDefault="00D15122" w:rsidP="00E93E96">
      <w:pPr>
        <w:pStyle w:val="BodyText"/>
        <w:tabs>
          <w:tab w:val="left" w:pos="686"/>
        </w:tabs>
        <w:spacing w:line="252" w:lineRule="exact"/>
        <w:ind w:left="709" w:right="137" w:hanging="709"/>
        <w:rPr>
          <w:color w:val="000000"/>
        </w:rPr>
      </w:pPr>
    </w:p>
    <w:p w14:paraId="356F6A88" w14:textId="77777777" w:rsidR="00D15122" w:rsidRPr="00381DC2" w:rsidRDefault="008257E8" w:rsidP="00F54962">
      <w:pPr>
        <w:pStyle w:val="BodyText"/>
        <w:numPr>
          <w:ilvl w:val="1"/>
          <w:numId w:val="11"/>
        </w:numPr>
        <w:tabs>
          <w:tab w:val="left" w:pos="686"/>
        </w:tabs>
        <w:ind w:left="709" w:right="291" w:hanging="709"/>
        <w:rPr>
          <w:color w:val="000000"/>
        </w:rPr>
      </w:pPr>
      <w:r w:rsidRPr="00381DC2">
        <w:rPr>
          <w:color w:val="000000"/>
        </w:rPr>
        <w:t>p</w:t>
      </w:r>
      <w:r w:rsidR="009B0756" w:rsidRPr="00381DC2">
        <w:rPr>
          <w:color w:val="000000"/>
        </w:rPr>
        <w:t>aklitaxel 175 mg/m</w:t>
      </w:r>
      <w:r w:rsidR="009B0756" w:rsidRPr="00381DC2">
        <w:rPr>
          <w:color w:val="000000"/>
          <w:vertAlign w:val="superscript"/>
        </w:rPr>
        <w:t>2</w:t>
      </w:r>
      <w:r w:rsidR="004D45CB" w:rsidRPr="00381DC2">
        <w:rPr>
          <w:color w:val="000000"/>
          <w:vertAlign w:val="superscript"/>
        </w:rPr>
        <w:t xml:space="preserve"> </w:t>
      </w:r>
      <w:r w:rsidR="00D5294C" w:rsidRPr="00381DC2">
        <w:rPr>
          <w:color w:val="000000"/>
        </w:rPr>
        <w:t>intravenózně</w:t>
      </w:r>
      <w:r w:rsidR="009B0756" w:rsidRPr="00381DC2">
        <w:rPr>
          <w:color w:val="000000"/>
        </w:rPr>
        <w:t xml:space="preserve"> po dobu 3 hodin v den 1 a topotekan 0,75 mg/m</w:t>
      </w:r>
      <w:r w:rsidR="009B0756" w:rsidRPr="00381DC2">
        <w:rPr>
          <w:color w:val="000000"/>
          <w:vertAlign w:val="superscript"/>
        </w:rPr>
        <w:t>2</w:t>
      </w:r>
      <w:r w:rsidR="004D45CB" w:rsidRPr="00381DC2">
        <w:rPr>
          <w:color w:val="000000"/>
          <w:vertAlign w:val="superscript"/>
        </w:rPr>
        <w:t xml:space="preserve"> </w:t>
      </w:r>
      <w:r w:rsidR="00D5294C" w:rsidRPr="00381DC2">
        <w:rPr>
          <w:color w:val="000000"/>
        </w:rPr>
        <w:t>intravenózně</w:t>
      </w:r>
      <w:r w:rsidR="009B0756" w:rsidRPr="00381DC2">
        <w:rPr>
          <w:color w:val="000000"/>
        </w:rPr>
        <w:t xml:space="preserve"> po dobu 30 minut v dny 1–3 (každé 3 týdny)</w:t>
      </w:r>
      <w:r w:rsidRPr="00381DC2">
        <w:rPr>
          <w:color w:val="000000"/>
        </w:rPr>
        <w:t>;</w:t>
      </w:r>
    </w:p>
    <w:p w14:paraId="0E56BDD9" w14:textId="77777777" w:rsidR="00D15122" w:rsidRPr="00381DC2" w:rsidRDefault="00D15122" w:rsidP="00F54962">
      <w:pPr>
        <w:tabs>
          <w:tab w:val="left" w:pos="686"/>
        </w:tabs>
        <w:ind w:left="709" w:hanging="709"/>
        <w:rPr>
          <w:rFonts w:ascii="Times New Roman" w:eastAsia="Times New Roman" w:hAnsi="Times New Roman"/>
          <w:color w:val="000000"/>
        </w:rPr>
      </w:pPr>
    </w:p>
    <w:p w14:paraId="30BDEA86" w14:textId="77777777" w:rsidR="00D15122" w:rsidRPr="00381DC2" w:rsidRDefault="008257E8" w:rsidP="00F54962">
      <w:pPr>
        <w:pStyle w:val="BodyText"/>
        <w:numPr>
          <w:ilvl w:val="1"/>
          <w:numId w:val="11"/>
        </w:numPr>
        <w:tabs>
          <w:tab w:val="left" w:pos="686"/>
        </w:tabs>
        <w:ind w:left="709" w:right="291" w:hanging="709"/>
        <w:rPr>
          <w:color w:val="000000"/>
        </w:rPr>
      </w:pPr>
      <w:r w:rsidRPr="00381DC2">
        <w:rPr>
          <w:color w:val="000000"/>
        </w:rPr>
        <w:t>p</w:t>
      </w:r>
      <w:r w:rsidR="009B0756" w:rsidRPr="00381DC2">
        <w:rPr>
          <w:color w:val="000000"/>
        </w:rPr>
        <w:t>aklitaxel 175 mg/m</w:t>
      </w:r>
      <w:r w:rsidR="009B0756" w:rsidRPr="00381DC2">
        <w:rPr>
          <w:color w:val="000000"/>
          <w:vertAlign w:val="superscript"/>
        </w:rPr>
        <w:t>2</w:t>
      </w:r>
      <w:r w:rsidR="004D45CB" w:rsidRPr="00381DC2">
        <w:rPr>
          <w:color w:val="000000"/>
          <w:vertAlign w:val="superscript"/>
        </w:rPr>
        <w:t xml:space="preserve"> </w:t>
      </w:r>
      <w:r w:rsidR="00D5294C" w:rsidRPr="00381DC2">
        <w:rPr>
          <w:color w:val="000000"/>
        </w:rPr>
        <w:t>intravenózně</w:t>
      </w:r>
      <w:r w:rsidR="009B0756" w:rsidRPr="00381DC2">
        <w:rPr>
          <w:color w:val="000000"/>
        </w:rPr>
        <w:t xml:space="preserve"> po dobu 3 hodin v den 1 a topotekan 0,75 mg/m</w:t>
      </w:r>
      <w:r w:rsidR="009B0756" w:rsidRPr="00381DC2">
        <w:rPr>
          <w:color w:val="000000"/>
          <w:vertAlign w:val="superscript"/>
        </w:rPr>
        <w:t>2</w:t>
      </w:r>
      <w:r w:rsidR="004D45CB" w:rsidRPr="00381DC2">
        <w:rPr>
          <w:color w:val="000000"/>
          <w:vertAlign w:val="superscript"/>
        </w:rPr>
        <w:t xml:space="preserve"> </w:t>
      </w:r>
      <w:r w:rsidR="00D5294C" w:rsidRPr="00381DC2">
        <w:rPr>
          <w:color w:val="000000"/>
        </w:rPr>
        <w:t>intravenózně</w:t>
      </w:r>
      <w:r w:rsidR="009B0756" w:rsidRPr="00381DC2">
        <w:rPr>
          <w:color w:val="000000"/>
        </w:rPr>
        <w:t xml:space="preserve"> po dobu 30 minut v dny 1–3 plus bevacizumab 15 mg/kg </w:t>
      </w:r>
      <w:r w:rsidR="00D5294C" w:rsidRPr="00381DC2">
        <w:rPr>
          <w:color w:val="000000"/>
        </w:rPr>
        <w:t>intravenózně</w:t>
      </w:r>
      <w:r w:rsidR="009B0756" w:rsidRPr="00381DC2">
        <w:rPr>
          <w:color w:val="000000"/>
        </w:rPr>
        <w:t xml:space="preserve"> v den 1 (každé 3 týdny)</w:t>
      </w:r>
      <w:r w:rsidRPr="00381DC2">
        <w:rPr>
          <w:color w:val="000000"/>
        </w:rPr>
        <w:t>.</w:t>
      </w:r>
    </w:p>
    <w:p w14:paraId="00DAF578" w14:textId="77777777" w:rsidR="00D15122" w:rsidRPr="00381DC2" w:rsidRDefault="00D15122" w:rsidP="007F6E1B">
      <w:pPr>
        <w:rPr>
          <w:rFonts w:ascii="Times New Roman" w:eastAsia="Times New Roman" w:hAnsi="Times New Roman"/>
          <w:color w:val="000000"/>
        </w:rPr>
      </w:pPr>
    </w:p>
    <w:p w14:paraId="6B07A773" w14:textId="77777777" w:rsidR="00D15122" w:rsidRPr="00381DC2" w:rsidRDefault="009B0756" w:rsidP="007F6E1B">
      <w:pPr>
        <w:pStyle w:val="BodyText"/>
        <w:ind w:left="0" w:right="291"/>
        <w:rPr>
          <w:color w:val="000000"/>
        </w:rPr>
      </w:pPr>
      <w:r w:rsidRPr="00381DC2">
        <w:rPr>
          <w:color w:val="000000"/>
        </w:rPr>
        <w:t xml:space="preserve">Vhodné pacientky měly přetrvávající, rekurentní nebo </w:t>
      </w:r>
      <w:r w:rsidR="008257E8" w:rsidRPr="00381DC2">
        <w:rPr>
          <w:color w:val="000000"/>
        </w:rPr>
        <w:t>metasta</w:t>
      </w:r>
      <w:r w:rsidR="004D45CB" w:rsidRPr="00381DC2">
        <w:rPr>
          <w:color w:val="000000"/>
        </w:rPr>
        <w:t>zující</w:t>
      </w:r>
      <w:r w:rsidR="008257E8" w:rsidRPr="00381DC2">
        <w:rPr>
          <w:color w:val="000000"/>
        </w:rPr>
        <w:t xml:space="preserve"> </w:t>
      </w:r>
      <w:r w:rsidRPr="00381DC2">
        <w:rPr>
          <w:color w:val="000000"/>
        </w:rPr>
        <w:t xml:space="preserve">dlaždicobuněčný karcinom, adenoskvamózní karcinom nebo adenokarcinom děložního </w:t>
      </w:r>
      <w:r w:rsidR="004D45CB" w:rsidRPr="00381DC2">
        <w:rPr>
          <w:color w:val="000000"/>
        </w:rPr>
        <w:t>čípku</w:t>
      </w:r>
      <w:r w:rsidRPr="00381DC2">
        <w:rPr>
          <w:color w:val="000000"/>
        </w:rPr>
        <w:t xml:space="preserve">, nebylo u nich možné provést kurativní chirurgickou léčbu a/nebo </w:t>
      </w:r>
      <w:r w:rsidR="008257E8" w:rsidRPr="00381DC2">
        <w:rPr>
          <w:color w:val="000000"/>
        </w:rPr>
        <w:t>radio</w:t>
      </w:r>
      <w:r w:rsidRPr="00381DC2">
        <w:rPr>
          <w:color w:val="000000"/>
        </w:rPr>
        <w:t>terapii a neměly předchozí léčbu bevacizumabem nebo jinými inhibitory VEGF či receptorů VEGF.</w:t>
      </w:r>
    </w:p>
    <w:p w14:paraId="1FAFE316" w14:textId="77777777" w:rsidR="00AE72E3" w:rsidRPr="00381DC2" w:rsidRDefault="00AE72E3" w:rsidP="007F6E1B">
      <w:pPr>
        <w:pStyle w:val="BodyText"/>
        <w:ind w:left="0"/>
        <w:rPr>
          <w:color w:val="000000"/>
        </w:rPr>
      </w:pPr>
    </w:p>
    <w:p w14:paraId="39A78F32" w14:textId="77777777" w:rsidR="00D15122" w:rsidRPr="00381DC2" w:rsidRDefault="009B0756" w:rsidP="007F6E1B">
      <w:pPr>
        <w:pStyle w:val="BodyText"/>
        <w:ind w:left="0"/>
        <w:rPr>
          <w:color w:val="000000"/>
        </w:rPr>
      </w:pPr>
      <w:r w:rsidRPr="00381DC2">
        <w:rPr>
          <w:color w:val="000000"/>
        </w:rPr>
        <w:t xml:space="preserve">Medián věku byl 46,0 roku (v rozmezí: 20–83) ve skupině </w:t>
      </w:r>
      <w:r w:rsidR="00C70CD8" w:rsidRPr="00381DC2">
        <w:rPr>
          <w:color w:val="000000"/>
        </w:rPr>
        <w:t xml:space="preserve">se samotnou </w:t>
      </w:r>
      <w:r w:rsidRPr="00381DC2">
        <w:rPr>
          <w:color w:val="000000"/>
        </w:rPr>
        <w:t xml:space="preserve">chemoterapií a 48,0 roku (v rozmezí: 22–85) ve skupině s chemoterapií + bevacizumabem; přičemž 9,3 % pacientek ve skupině </w:t>
      </w:r>
      <w:r w:rsidR="00C70CD8" w:rsidRPr="00381DC2">
        <w:rPr>
          <w:color w:val="000000"/>
        </w:rPr>
        <w:t xml:space="preserve">se samotnou </w:t>
      </w:r>
      <w:r w:rsidRPr="00381DC2">
        <w:rPr>
          <w:color w:val="000000"/>
        </w:rPr>
        <w:t>chemoterapií a 7,5 % u pacientek ve skupině s chemoterapií + bevacizumabem bylo ve věku nad 65 let.</w:t>
      </w:r>
    </w:p>
    <w:p w14:paraId="6C2D4096" w14:textId="77777777" w:rsidR="00203535" w:rsidRPr="00381DC2" w:rsidRDefault="00203535" w:rsidP="007F6E1B">
      <w:pPr>
        <w:pStyle w:val="BodyText"/>
        <w:ind w:left="0"/>
        <w:rPr>
          <w:color w:val="000000"/>
        </w:rPr>
      </w:pPr>
    </w:p>
    <w:p w14:paraId="1F13A904" w14:textId="77777777" w:rsidR="00D15122" w:rsidRPr="00381DC2" w:rsidRDefault="009B0756" w:rsidP="007F6E1B">
      <w:pPr>
        <w:pStyle w:val="BodyText"/>
        <w:ind w:left="0" w:right="160"/>
        <w:rPr>
          <w:color w:val="000000"/>
        </w:rPr>
      </w:pPr>
      <w:r w:rsidRPr="00381DC2">
        <w:rPr>
          <w:color w:val="000000"/>
        </w:rPr>
        <w:t xml:space="preserve">Ze 452 pacientek randomizovaných na začátku studie byly pacientky většinou bělošky (80,0 % ve skupině se samotnou chemoterapií a 75,3 % ve skupině </w:t>
      </w:r>
      <w:r w:rsidR="002A3FEA" w:rsidRPr="00381DC2">
        <w:rPr>
          <w:color w:val="000000"/>
        </w:rPr>
        <w:t>s chemoterapií + bevacizumabem</w:t>
      </w:r>
      <w:r w:rsidRPr="00381DC2">
        <w:rPr>
          <w:color w:val="000000"/>
        </w:rPr>
        <w:t xml:space="preserve">), měly dlaždicobuněčný karcinom (67,1 % ve skupině se samotnou chemoterapií a 69,6 % ve skupině </w:t>
      </w:r>
      <w:r w:rsidR="002A3FEA" w:rsidRPr="00381DC2">
        <w:rPr>
          <w:color w:val="000000"/>
        </w:rPr>
        <w:t>s chemoterapií + bevacizumabem</w:t>
      </w:r>
      <w:r w:rsidRPr="00381DC2">
        <w:rPr>
          <w:color w:val="000000"/>
        </w:rPr>
        <w:t xml:space="preserve">), přetrvávající/rekurentní onemocnění (83,6 % ve skupině se samotnou chemoterapií a 82,8 % ve skupině </w:t>
      </w:r>
      <w:r w:rsidR="002A3FEA" w:rsidRPr="00381DC2">
        <w:rPr>
          <w:color w:val="000000"/>
        </w:rPr>
        <w:t>s chemoterapií + bevacizumabem</w:t>
      </w:r>
      <w:r w:rsidRPr="00381DC2">
        <w:rPr>
          <w:color w:val="000000"/>
        </w:rPr>
        <w:t>), 1–2 metasta</w:t>
      </w:r>
      <w:r w:rsidR="008B0762" w:rsidRPr="00381DC2">
        <w:rPr>
          <w:color w:val="000000"/>
        </w:rPr>
        <w:t>zující</w:t>
      </w:r>
      <w:r w:rsidRPr="00381DC2">
        <w:rPr>
          <w:color w:val="000000"/>
        </w:rPr>
        <w:t xml:space="preserve"> lokality (72,0 % ve skupině se samotnou chemoterapií a 76,2 % ve skupině </w:t>
      </w:r>
      <w:r w:rsidR="002A3FEA" w:rsidRPr="00381DC2">
        <w:rPr>
          <w:color w:val="000000"/>
        </w:rPr>
        <w:t>s chemoterapií + bevacizumabem</w:t>
      </w:r>
      <w:r w:rsidRPr="00381DC2">
        <w:rPr>
          <w:color w:val="000000"/>
        </w:rPr>
        <w:t xml:space="preserve">), postižení lymfatických uzlin (50,2 % ve skupině se samotnou chemoterapií a 56,4 % ve skupině </w:t>
      </w:r>
      <w:r w:rsidR="002A3FEA" w:rsidRPr="00381DC2">
        <w:rPr>
          <w:color w:val="000000"/>
        </w:rPr>
        <w:t>s chemoterapií + bevacizumabem</w:t>
      </w:r>
      <w:r w:rsidRPr="00381DC2">
        <w:rPr>
          <w:color w:val="000000"/>
        </w:rPr>
        <w:t xml:space="preserve">) </w:t>
      </w:r>
      <w:r w:rsidR="002A3FEA" w:rsidRPr="00381DC2">
        <w:rPr>
          <w:color w:val="000000"/>
        </w:rPr>
        <w:t>a </w:t>
      </w:r>
      <w:r w:rsidRPr="00381DC2">
        <w:rPr>
          <w:color w:val="000000"/>
        </w:rPr>
        <w:t xml:space="preserve">interval bez platiny ≥ 6 měsíců (72,5 % ve skupině se samotnou chemoterapií a 64,4 % ve skupině </w:t>
      </w:r>
      <w:r w:rsidR="002A3FEA" w:rsidRPr="00381DC2">
        <w:rPr>
          <w:color w:val="000000"/>
        </w:rPr>
        <w:t>s chemoterapií + bevacizumabem</w:t>
      </w:r>
      <w:r w:rsidRPr="00381DC2">
        <w:rPr>
          <w:color w:val="000000"/>
        </w:rPr>
        <w:t>).</w:t>
      </w:r>
    </w:p>
    <w:p w14:paraId="5047AEEE" w14:textId="77777777" w:rsidR="00D15122" w:rsidRPr="00381DC2" w:rsidRDefault="00D15122" w:rsidP="007F6E1B">
      <w:pPr>
        <w:rPr>
          <w:rFonts w:ascii="Times New Roman" w:eastAsia="Times New Roman" w:hAnsi="Times New Roman"/>
          <w:color w:val="000000"/>
        </w:rPr>
      </w:pPr>
    </w:p>
    <w:p w14:paraId="690ECE4E" w14:textId="77777777" w:rsidR="00D15122" w:rsidRPr="00381DC2" w:rsidRDefault="009B0756" w:rsidP="007F6E1B">
      <w:pPr>
        <w:pStyle w:val="BodyText"/>
        <w:ind w:left="0" w:right="242"/>
        <w:rPr>
          <w:color w:val="000000"/>
        </w:rPr>
      </w:pPr>
      <w:r w:rsidRPr="00381DC2">
        <w:rPr>
          <w:color w:val="000000"/>
        </w:rPr>
        <w:t xml:space="preserve">Primárním </w:t>
      </w:r>
      <w:r w:rsidR="002A3FEA" w:rsidRPr="00381DC2">
        <w:rPr>
          <w:color w:val="000000"/>
        </w:rPr>
        <w:t xml:space="preserve">cílovým parametrem </w:t>
      </w:r>
      <w:r w:rsidRPr="00381DC2">
        <w:rPr>
          <w:color w:val="000000"/>
        </w:rPr>
        <w:t xml:space="preserve">účinnosti bylo celkové přežití. Sekundární </w:t>
      </w:r>
      <w:r w:rsidR="002A3FEA" w:rsidRPr="00381DC2">
        <w:rPr>
          <w:color w:val="000000"/>
        </w:rPr>
        <w:t xml:space="preserve">cílové parametry </w:t>
      </w:r>
      <w:r w:rsidRPr="00381DC2">
        <w:rPr>
          <w:color w:val="000000"/>
        </w:rPr>
        <w:t>účinnosti zahrnovaly přežití bez progrese a četnost objektivních odpovědí. Výsledky z primární a následné analýzy jsou uvedeny v </w:t>
      </w:r>
      <w:r w:rsidR="005E6C8E" w:rsidRPr="00381DC2">
        <w:rPr>
          <w:color w:val="000000"/>
        </w:rPr>
        <w:t>t</w:t>
      </w:r>
      <w:r w:rsidRPr="00381DC2">
        <w:rPr>
          <w:color w:val="000000"/>
        </w:rPr>
        <w:t>abulce </w:t>
      </w:r>
      <w:r w:rsidR="000E6E28" w:rsidRPr="00381DC2">
        <w:rPr>
          <w:color w:val="000000"/>
        </w:rPr>
        <w:t xml:space="preserve">25 </w:t>
      </w:r>
      <w:r w:rsidRPr="00381DC2">
        <w:rPr>
          <w:color w:val="000000"/>
        </w:rPr>
        <w:t>(dle léčby bevacizumabem) a v </w:t>
      </w:r>
      <w:r w:rsidR="005E6C8E" w:rsidRPr="00381DC2">
        <w:rPr>
          <w:color w:val="000000"/>
        </w:rPr>
        <w:t>t</w:t>
      </w:r>
      <w:r w:rsidRPr="00381DC2">
        <w:rPr>
          <w:color w:val="000000"/>
        </w:rPr>
        <w:t>abulce </w:t>
      </w:r>
      <w:r w:rsidR="0003283F" w:rsidRPr="00381DC2">
        <w:rPr>
          <w:color w:val="000000"/>
        </w:rPr>
        <w:t>26</w:t>
      </w:r>
      <w:r w:rsidRPr="00381DC2">
        <w:rPr>
          <w:color w:val="000000"/>
        </w:rPr>
        <w:t xml:space="preserve"> (dle </w:t>
      </w:r>
      <w:r w:rsidR="002A3FEA" w:rsidRPr="00381DC2">
        <w:rPr>
          <w:color w:val="000000"/>
        </w:rPr>
        <w:t xml:space="preserve">hodnocené </w:t>
      </w:r>
      <w:r w:rsidRPr="00381DC2">
        <w:rPr>
          <w:color w:val="000000"/>
        </w:rPr>
        <w:t>léčby).</w:t>
      </w:r>
    </w:p>
    <w:p w14:paraId="780D6B1D" w14:textId="77777777" w:rsidR="00D15122" w:rsidRPr="00381DC2" w:rsidRDefault="00D15122" w:rsidP="007F6E1B">
      <w:pPr>
        <w:rPr>
          <w:rFonts w:ascii="Times New Roman" w:eastAsia="Times New Roman" w:hAnsi="Times New Roman"/>
          <w:color w:val="000000"/>
        </w:rPr>
      </w:pPr>
    </w:p>
    <w:p w14:paraId="35D31D24" w14:textId="77777777" w:rsidR="00D15122" w:rsidRPr="00381DC2" w:rsidRDefault="009B0756" w:rsidP="002B0DE8">
      <w:pPr>
        <w:keepNext/>
        <w:keepLines/>
        <w:widowControl/>
        <w:rPr>
          <w:rFonts w:ascii="Times New Roman" w:eastAsia="Times New Roman" w:hAnsi="Times New Roman"/>
          <w:b/>
          <w:bCs/>
          <w:color w:val="000000"/>
          <w:lang w:bidi="ar-SA"/>
        </w:rPr>
      </w:pPr>
      <w:r w:rsidRPr="00381DC2">
        <w:rPr>
          <w:rFonts w:ascii="Times New Roman" w:eastAsia="Times New Roman" w:hAnsi="Times New Roman"/>
          <w:b/>
          <w:bCs/>
          <w:color w:val="000000"/>
          <w:lang w:bidi="ar-SA"/>
        </w:rPr>
        <w:lastRenderedPageBreak/>
        <w:t>Tabulka </w:t>
      </w:r>
      <w:r w:rsidR="000E6E28" w:rsidRPr="00381DC2">
        <w:rPr>
          <w:rFonts w:ascii="Times New Roman" w:eastAsia="Times New Roman" w:hAnsi="Times New Roman"/>
          <w:b/>
          <w:bCs/>
          <w:color w:val="000000"/>
          <w:lang w:bidi="ar-SA"/>
        </w:rPr>
        <w:t>25</w:t>
      </w:r>
      <w:r w:rsidRPr="00381DC2">
        <w:rPr>
          <w:rFonts w:ascii="Times New Roman" w:eastAsia="Times New Roman" w:hAnsi="Times New Roman"/>
          <w:b/>
          <w:bCs/>
          <w:color w:val="000000"/>
          <w:lang w:bidi="ar-SA"/>
        </w:rPr>
        <w:tab/>
        <w:t>Výsledky účinnosti ze studie GOG-0240 podle léčby bevacizumabem</w:t>
      </w:r>
    </w:p>
    <w:p w14:paraId="7F11AD3D" w14:textId="77777777" w:rsidR="00615D31" w:rsidRPr="00381DC2" w:rsidRDefault="00615D31" w:rsidP="002B0DE8">
      <w:pPr>
        <w:keepNext/>
        <w:keepLines/>
        <w:widowControl/>
        <w:rPr>
          <w:rFonts w:ascii="Times New Roman" w:eastAsia="Times New Roman" w:hAnsi="Times New Roman"/>
          <w:b/>
          <w:bCs/>
          <w:color w:val="00000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18"/>
        <w:gridCol w:w="2390"/>
        <w:gridCol w:w="3008"/>
      </w:tblGrid>
      <w:tr w:rsidR="00615D31" w:rsidRPr="00F60460" w14:paraId="0C7BF5F3" w14:textId="77777777" w:rsidTr="00FF564D">
        <w:tc>
          <w:tcPr>
            <w:tcW w:w="3518" w:type="dxa"/>
          </w:tcPr>
          <w:p w14:paraId="64300215" w14:textId="77777777" w:rsidR="00615D31" w:rsidRPr="00F60460" w:rsidRDefault="00615D31" w:rsidP="002B0DE8">
            <w:pPr>
              <w:keepNext/>
              <w:keepLines/>
              <w:rPr>
                <w:rFonts w:ascii="Times New Roman" w:hAnsi="Times New Roman"/>
                <w:color w:val="000000"/>
                <w:sz w:val="20"/>
                <w:szCs w:val="20"/>
              </w:rPr>
            </w:pPr>
          </w:p>
        </w:tc>
        <w:tc>
          <w:tcPr>
            <w:tcW w:w="2390" w:type="dxa"/>
          </w:tcPr>
          <w:p w14:paraId="20CCC276" w14:textId="77777777" w:rsidR="00615D31" w:rsidRPr="00F60460" w:rsidRDefault="00615D31" w:rsidP="002B0DE8">
            <w:pPr>
              <w:pStyle w:val="TableParagraph"/>
              <w:keepNext/>
              <w:keepLines/>
              <w:spacing w:line="278" w:lineRule="exact"/>
              <w:ind w:right="61" w:firstLine="3"/>
              <w:jc w:val="center"/>
              <w:rPr>
                <w:rFonts w:ascii="Times New Roman" w:hAnsi="Times New Roman"/>
                <w:color w:val="000000"/>
                <w:sz w:val="20"/>
                <w:szCs w:val="20"/>
              </w:rPr>
            </w:pPr>
            <w:r w:rsidRPr="00F60460">
              <w:rPr>
                <w:rFonts w:ascii="Times New Roman" w:hAnsi="Times New Roman"/>
                <w:color w:val="000000"/>
                <w:sz w:val="20"/>
              </w:rPr>
              <w:t>Chemoterapie</w:t>
            </w:r>
          </w:p>
          <w:p w14:paraId="6A4CF2BF" w14:textId="77777777" w:rsidR="00615D31" w:rsidRPr="00F60460" w:rsidRDefault="00615D31" w:rsidP="002B0DE8">
            <w:pPr>
              <w:pStyle w:val="TableParagraph"/>
              <w:keepNext/>
              <w:keepLines/>
              <w:spacing w:line="278" w:lineRule="exact"/>
              <w:ind w:right="61" w:firstLine="3"/>
              <w:jc w:val="center"/>
              <w:rPr>
                <w:rFonts w:ascii="Times New Roman" w:eastAsia="Times New Roman" w:hAnsi="Times New Roman"/>
                <w:color w:val="000000"/>
                <w:sz w:val="20"/>
                <w:szCs w:val="20"/>
              </w:rPr>
            </w:pPr>
            <w:r w:rsidRPr="00F60460">
              <w:rPr>
                <w:rFonts w:ascii="Times New Roman" w:hAnsi="Times New Roman"/>
                <w:color w:val="000000"/>
                <w:sz w:val="20"/>
              </w:rPr>
              <w:t>(n = 225)</w:t>
            </w:r>
          </w:p>
        </w:tc>
        <w:tc>
          <w:tcPr>
            <w:tcW w:w="3008" w:type="dxa"/>
          </w:tcPr>
          <w:p w14:paraId="250966F9" w14:textId="77777777" w:rsidR="00615D31" w:rsidRPr="00F60460" w:rsidRDefault="00615D31" w:rsidP="002B0DE8">
            <w:pPr>
              <w:pStyle w:val="TableParagraph"/>
              <w:keepNext/>
              <w:keepLines/>
              <w:spacing w:line="278" w:lineRule="exact"/>
              <w:ind w:right="1"/>
              <w:jc w:val="center"/>
              <w:rPr>
                <w:rFonts w:ascii="Times New Roman" w:hAnsi="Times New Roman"/>
                <w:color w:val="000000"/>
                <w:sz w:val="20"/>
                <w:szCs w:val="20"/>
              </w:rPr>
            </w:pPr>
            <w:r w:rsidRPr="00F60460">
              <w:rPr>
                <w:rFonts w:ascii="Times New Roman" w:hAnsi="Times New Roman"/>
                <w:color w:val="000000"/>
                <w:sz w:val="20"/>
              </w:rPr>
              <w:t xml:space="preserve">Chemoterapie + </w:t>
            </w:r>
            <w:r w:rsidRPr="00F60460">
              <w:rPr>
                <w:rFonts w:ascii="Times New Roman" w:hAnsi="Times New Roman"/>
                <w:color w:val="000000"/>
                <w:sz w:val="20"/>
                <w:u w:val="single"/>
              </w:rPr>
              <w:t>bevacizumab</w:t>
            </w:r>
          </w:p>
          <w:p w14:paraId="74C03346" w14:textId="77777777" w:rsidR="00615D31" w:rsidRPr="00F60460" w:rsidRDefault="00615D31" w:rsidP="002B0DE8">
            <w:pPr>
              <w:pStyle w:val="TableParagraph"/>
              <w:keepNext/>
              <w:keepLines/>
              <w:spacing w:line="278" w:lineRule="exact"/>
              <w:ind w:right="1"/>
              <w:jc w:val="center"/>
              <w:rPr>
                <w:rFonts w:ascii="Times New Roman" w:eastAsia="Times New Roman" w:hAnsi="Times New Roman"/>
                <w:color w:val="000000"/>
                <w:sz w:val="20"/>
                <w:szCs w:val="20"/>
              </w:rPr>
            </w:pPr>
            <w:r w:rsidRPr="00F60460">
              <w:rPr>
                <w:rFonts w:ascii="Times New Roman" w:hAnsi="Times New Roman"/>
                <w:color w:val="000000"/>
                <w:sz w:val="20"/>
              </w:rPr>
              <w:t>(n = 227)</w:t>
            </w:r>
          </w:p>
        </w:tc>
      </w:tr>
      <w:tr w:rsidR="00615D31" w:rsidRPr="00F60460" w14:paraId="6397975E" w14:textId="77777777" w:rsidTr="00FF564D">
        <w:tc>
          <w:tcPr>
            <w:tcW w:w="8916" w:type="dxa"/>
            <w:gridSpan w:val="3"/>
          </w:tcPr>
          <w:p w14:paraId="0A9725F3" w14:textId="77777777" w:rsidR="00615D31" w:rsidRPr="00F60460" w:rsidRDefault="00615D31" w:rsidP="002B0DE8">
            <w:pPr>
              <w:pStyle w:val="TableParagraph"/>
              <w:keepNext/>
              <w:keepLines/>
              <w:ind w:right="1"/>
              <w:jc w:val="center"/>
              <w:rPr>
                <w:rFonts w:ascii="Times New Roman" w:eastAsia="Times New Roman" w:hAnsi="Times New Roman"/>
                <w:b/>
                <w:color w:val="000000"/>
                <w:sz w:val="20"/>
                <w:szCs w:val="20"/>
                <w:u w:val="single"/>
              </w:rPr>
            </w:pPr>
            <w:r w:rsidRPr="00F60460">
              <w:rPr>
                <w:rFonts w:ascii="Times New Roman" w:hAnsi="Times New Roman"/>
                <w:b/>
                <w:color w:val="000000"/>
                <w:sz w:val="20"/>
                <w:u w:val="single"/>
              </w:rPr>
              <w:t>Primární cílový parametr</w:t>
            </w:r>
          </w:p>
        </w:tc>
      </w:tr>
      <w:tr w:rsidR="00615D31" w:rsidRPr="00F60460" w14:paraId="3CD8B0D6" w14:textId="77777777" w:rsidTr="00FF564D">
        <w:tc>
          <w:tcPr>
            <w:tcW w:w="8916" w:type="dxa"/>
            <w:gridSpan w:val="3"/>
          </w:tcPr>
          <w:p w14:paraId="4996E4EA" w14:textId="77777777" w:rsidR="00615D31" w:rsidRPr="00F60460" w:rsidRDefault="00615D31" w:rsidP="002B0DE8">
            <w:pPr>
              <w:pStyle w:val="TableParagraph"/>
              <w:keepNext/>
              <w:keepLines/>
              <w:rPr>
                <w:rFonts w:ascii="Times New Roman" w:eastAsia="Times New Roman" w:hAnsi="Times New Roman"/>
                <w:b/>
                <w:color w:val="000000"/>
                <w:sz w:val="20"/>
                <w:szCs w:val="20"/>
              </w:rPr>
            </w:pPr>
            <w:r w:rsidRPr="00F60460">
              <w:rPr>
                <w:rFonts w:ascii="Times New Roman" w:hAnsi="Times New Roman"/>
                <w:b/>
                <w:color w:val="000000"/>
                <w:sz w:val="20"/>
              </w:rPr>
              <w:t>Celkové přežití – primární analýza</w:t>
            </w:r>
            <w:r w:rsidRPr="00F60460">
              <w:rPr>
                <w:rFonts w:ascii="Times New Roman" w:hAnsi="Times New Roman"/>
                <w:b/>
                <w:color w:val="000000"/>
                <w:sz w:val="20"/>
                <w:vertAlign w:val="superscript"/>
              </w:rPr>
              <w:t>6</w:t>
            </w:r>
          </w:p>
        </w:tc>
      </w:tr>
      <w:tr w:rsidR="00615D31" w:rsidRPr="00F60460" w14:paraId="4A341ADB" w14:textId="77777777" w:rsidTr="00FF564D">
        <w:tc>
          <w:tcPr>
            <w:tcW w:w="3518" w:type="dxa"/>
          </w:tcPr>
          <w:p w14:paraId="6004D4B0" w14:textId="77777777" w:rsidR="00615D31" w:rsidRPr="00F60460" w:rsidRDefault="00615D31" w:rsidP="002B0DE8">
            <w:pPr>
              <w:pStyle w:val="TableParagraph"/>
              <w:keepNext/>
              <w:keepLines/>
              <w:rPr>
                <w:rFonts w:ascii="Times New Roman" w:eastAsia="Times New Roman" w:hAnsi="Times New Roman"/>
                <w:color w:val="000000"/>
                <w:sz w:val="20"/>
                <w:szCs w:val="20"/>
              </w:rPr>
            </w:pPr>
            <w:r w:rsidRPr="00F60460">
              <w:rPr>
                <w:rFonts w:ascii="Times New Roman" w:hAnsi="Times New Roman"/>
                <w:color w:val="000000"/>
                <w:sz w:val="20"/>
              </w:rPr>
              <w:t>Medián (měsíce)</w:t>
            </w:r>
            <w:r w:rsidRPr="00F60460">
              <w:rPr>
                <w:rFonts w:ascii="Times New Roman" w:hAnsi="Times New Roman"/>
                <w:color w:val="000000"/>
                <w:sz w:val="20"/>
                <w:vertAlign w:val="superscript"/>
              </w:rPr>
              <w:t>1</w:t>
            </w:r>
          </w:p>
        </w:tc>
        <w:tc>
          <w:tcPr>
            <w:tcW w:w="2390" w:type="dxa"/>
          </w:tcPr>
          <w:p w14:paraId="346040B3" w14:textId="77777777" w:rsidR="00615D31" w:rsidRPr="00F60460" w:rsidRDefault="00615D31" w:rsidP="002B0DE8">
            <w:pPr>
              <w:pStyle w:val="TableParagraph"/>
              <w:keepNext/>
              <w:keepLines/>
              <w:jc w:val="center"/>
              <w:rPr>
                <w:rFonts w:ascii="Times New Roman" w:eastAsia="Times New Roman" w:hAnsi="Times New Roman"/>
                <w:color w:val="000000"/>
                <w:sz w:val="20"/>
                <w:szCs w:val="20"/>
              </w:rPr>
            </w:pPr>
            <w:r w:rsidRPr="00F60460">
              <w:rPr>
                <w:rFonts w:ascii="Times New Roman" w:hAnsi="Times New Roman"/>
                <w:color w:val="000000"/>
                <w:sz w:val="20"/>
              </w:rPr>
              <w:t>12,9</w:t>
            </w:r>
          </w:p>
        </w:tc>
        <w:tc>
          <w:tcPr>
            <w:tcW w:w="3008" w:type="dxa"/>
          </w:tcPr>
          <w:p w14:paraId="6B9EE7EB" w14:textId="77777777" w:rsidR="00615D31" w:rsidRPr="00F60460" w:rsidRDefault="00615D31" w:rsidP="002B0DE8">
            <w:pPr>
              <w:pStyle w:val="TableParagraph"/>
              <w:keepNext/>
              <w:keepLines/>
              <w:jc w:val="center"/>
              <w:rPr>
                <w:rFonts w:ascii="Times New Roman" w:eastAsia="Times New Roman" w:hAnsi="Times New Roman"/>
                <w:color w:val="000000"/>
                <w:sz w:val="20"/>
                <w:szCs w:val="20"/>
              </w:rPr>
            </w:pPr>
            <w:r w:rsidRPr="00F60460">
              <w:rPr>
                <w:rFonts w:ascii="Times New Roman" w:hAnsi="Times New Roman"/>
                <w:color w:val="000000"/>
                <w:sz w:val="20"/>
              </w:rPr>
              <w:t>16,8</w:t>
            </w:r>
          </w:p>
        </w:tc>
      </w:tr>
      <w:tr w:rsidR="00615D31" w:rsidRPr="00F60460" w14:paraId="67F706B3" w14:textId="77777777" w:rsidTr="00FF564D">
        <w:tc>
          <w:tcPr>
            <w:tcW w:w="3518" w:type="dxa"/>
          </w:tcPr>
          <w:p w14:paraId="4BF72065" w14:textId="77777777" w:rsidR="00615D31" w:rsidRPr="00F60460" w:rsidRDefault="00615D31" w:rsidP="002B0DE8">
            <w:pPr>
              <w:pStyle w:val="TableParagraph"/>
              <w:keepNext/>
              <w:keepLines/>
              <w:spacing w:line="222" w:lineRule="exact"/>
              <w:rPr>
                <w:rFonts w:ascii="Times New Roman" w:eastAsia="Times New Roman" w:hAnsi="Times New Roman"/>
                <w:color w:val="000000"/>
                <w:sz w:val="20"/>
                <w:szCs w:val="20"/>
              </w:rPr>
            </w:pPr>
            <w:r w:rsidRPr="00F60460">
              <w:rPr>
                <w:rFonts w:ascii="Times New Roman" w:hAnsi="Times New Roman"/>
                <w:color w:val="000000"/>
                <w:sz w:val="20"/>
              </w:rPr>
              <w:t>Poměr rizik [95% CI]</w:t>
            </w:r>
          </w:p>
        </w:tc>
        <w:tc>
          <w:tcPr>
            <w:tcW w:w="5398" w:type="dxa"/>
            <w:gridSpan w:val="2"/>
          </w:tcPr>
          <w:p w14:paraId="62A29E8D" w14:textId="77777777" w:rsidR="00615D31" w:rsidRPr="00F60460" w:rsidRDefault="00615D31" w:rsidP="002B0DE8">
            <w:pPr>
              <w:pStyle w:val="TableParagraph"/>
              <w:keepNext/>
              <w:keepLines/>
              <w:spacing w:line="210" w:lineRule="exact"/>
              <w:jc w:val="center"/>
              <w:rPr>
                <w:rFonts w:ascii="Times New Roman" w:eastAsia="Times New Roman" w:hAnsi="Times New Roman"/>
                <w:color w:val="000000"/>
                <w:sz w:val="20"/>
                <w:szCs w:val="20"/>
              </w:rPr>
            </w:pPr>
            <w:r w:rsidRPr="00F60460">
              <w:rPr>
                <w:rFonts w:ascii="Times New Roman" w:hAnsi="Times New Roman"/>
                <w:color w:val="000000"/>
                <w:sz w:val="20"/>
              </w:rPr>
              <w:t>0,74 [0,58, 0,94]</w:t>
            </w:r>
          </w:p>
          <w:p w14:paraId="13A97B97" w14:textId="77777777" w:rsidR="00615D31" w:rsidRPr="00F60460" w:rsidRDefault="00615D31" w:rsidP="002B0DE8">
            <w:pPr>
              <w:pStyle w:val="TableParagraph"/>
              <w:keepNext/>
              <w:keepLines/>
              <w:spacing w:line="243" w:lineRule="exact"/>
              <w:ind w:hanging="3"/>
              <w:jc w:val="center"/>
              <w:rPr>
                <w:rFonts w:ascii="Times New Roman" w:eastAsia="Times New Roman" w:hAnsi="Times New Roman"/>
                <w:color w:val="000000"/>
                <w:sz w:val="20"/>
                <w:szCs w:val="20"/>
              </w:rPr>
            </w:pPr>
            <w:r w:rsidRPr="00F60460">
              <w:rPr>
                <w:rFonts w:ascii="Times New Roman" w:hAnsi="Times New Roman"/>
                <w:color w:val="000000"/>
                <w:sz w:val="20"/>
              </w:rPr>
              <w:t>(p-hodnota</w:t>
            </w:r>
            <w:r w:rsidRPr="00F60460">
              <w:rPr>
                <w:rFonts w:ascii="Times New Roman" w:hAnsi="Times New Roman"/>
                <w:color w:val="000000"/>
                <w:sz w:val="20"/>
                <w:vertAlign w:val="superscript"/>
              </w:rPr>
              <w:t>5</w:t>
            </w:r>
            <w:r w:rsidRPr="00F60460">
              <w:rPr>
                <w:rFonts w:ascii="Times New Roman" w:hAnsi="Times New Roman"/>
                <w:color w:val="000000"/>
                <w:sz w:val="20"/>
              </w:rPr>
              <w:t xml:space="preserve"> = 0,0132)</w:t>
            </w:r>
          </w:p>
        </w:tc>
      </w:tr>
      <w:tr w:rsidR="00615D31" w:rsidRPr="00F60460" w14:paraId="5C0788B1" w14:textId="77777777" w:rsidTr="00FF564D">
        <w:tc>
          <w:tcPr>
            <w:tcW w:w="8916" w:type="dxa"/>
            <w:gridSpan w:val="3"/>
          </w:tcPr>
          <w:p w14:paraId="0AC8FFBC" w14:textId="77777777" w:rsidR="00615D31" w:rsidRPr="00F60460" w:rsidRDefault="00615D31" w:rsidP="002B0DE8">
            <w:pPr>
              <w:pStyle w:val="TableParagraph"/>
              <w:keepNext/>
              <w:keepLines/>
              <w:rPr>
                <w:rFonts w:ascii="Times New Roman" w:eastAsia="Times New Roman" w:hAnsi="Times New Roman"/>
                <w:b/>
                <w:color w:val="000000"/>
                <w:sz w:val="20"/>
                <w:szCs w:val="20"/>
              </w:rPr>
            </w:pPr>
            <w:r w:rsidRPr="00F60460">
              <w:rPr>
                <w:rFonts w:ascii="Times New Roman" w:hAnsi="Times New Roman"/>
                <w:b/>
                <w:color w:val="000000"/>
                <w:sz w:val="20"/>
              </w:rPr>
              <w:t>Celkové přežití – následná analýza</w:t>
            </w:r>
            <w:r w:rsidRPr="00F60460">
              <w:rPr>
                <w:rFonts w:ascii="Times New Roman" w:hAnsi="Times New Roman"/>
                <w:b/>
                <w:color w:val="000000"/>
                <w:sz w:val="20"/>
                <w:vertAlign w:val="superscript"/>
              </w:rPr>
              <w:t>7</w:t>
            </w:r>
          </w:p>
        </w:tc>
      </w:tr>
      <w:tr w:rsidR="00615D31" w:rsidRPr="00F60460" w14:paraId="1F763280" w14:textId="77777777" w:rsidTr="00FF564D">
        <w:tc>
          <w:tcPr>
            <w:tcW w:w="3518" w:type="dxa"/>
          </w:tcPr>
          <w:p w14:paraId="2813CD63" w14:textId="77777777" w:rsidR="00615D31" w:rsidRPr="00F60460" w:rsidRDefault="00615D31" w:rsidP="002B0DE8">
            <w:pPr>
              <w:pStyle w:val="TableParagraph"/>
              <w:keepNext/>
              <w:keepLines/>
              <w:rPr>
                <w:rFonts w:ascii="Times New Roman" w:eastAsia="Times New Roman" w:hAnsi="Times New Roman"/>
                <w:color w:val="000000"/>
                <w:sz w:val="20"/>
                <w:szCs w:val="20"/>
              </w:rPr>
            </w:pPr>
            <w:r w:rsidRPr="00F60460">
              <w:rPr>
                <w:rFonts w:ascii="Times New Roman" w:hAnsi="Times New Roman"/>
                <w:color w:val="000000"/>
                <w:sz w:val="20"/>
              </w:rPr>
              <w:t>Medián (měsíce)</w:t>
            </w:r>
            <w:r w:rsidRPr="00F60460">
              <w:rPr>
                <w:rFonts w:ascii="Times New Roman" w:hAnsi="Times New Roman"/>
                <w:color w:val="000000"/>
                <w:sz w:val="20"/>
                <w:vertAlign w:val="superscript"/>
              </w:rPr>
              <w:t>1</w:t>
            </w:r>
          </w:p>
        </w:tc>
        <w:tc>
          <w:tcPr>
            <w:tcW w:w="2390" w:type="dxa"/>
          </w:tcPr>
          <w:p w14:paraId="1ABB15B3" w14:textId="77777777" w:rsidR="00615D31" w:rsidRPr="00F60460" w:rsidRDefault="00615D31" w:rsidP="002B0DE8">
            <w:pPr>
              <w:pStyle w:val="TableParagraph"/>
              <w:keepNext/>
              <w:keepLines/>
              <w:jc w:val="center"/>
              <w:rPr>
                <w:rFonts w:ascii="Times New Roman" w:eastAsia="Times New Roman" w:hAnsi="Times New Roman"/>
                <w:color w:val="000000"/>
                <w:sz w:val="20"/>
                <w:szCs w:val="20"/>
              </w:rPr>
            </w:pPr>
            <w:r w:rsidRPr="00F60460">
              <w:rPr>
                <w:rFonts w:ascii="Times New Roman" w:hAnsi="Times New Roman"/>
                <w:color w:val="000000"/>
                <w:sz w:val="20"/>
              </w:rPr>
              <w:t>13,3</w:t>
            </w:r>
          </w:p>
        </w:tc>
        <w:tc>
          <w:tcPr>
            <w:tcW w:w="3008" w:type="dxa"/>
          </w:tcPr>
          <w:p w14:paraId="163C397D" w14:textId="77777777" w:rsidR="00615D31" w:rsidRPr="00F60460" w:rsidRDefault="00615D31" w:rsidP="002B0DE8">
            <w:pPr>
              <w:pStyle w:val="TableParagraph"/>
              <w:keepNext/>
              <w:keepLines/>
              <w:jc w:val="center"/>
              <w:rPr>
                <w:rFonts w:ascii="Times New Roman" w:eastAsia="Times New Roman" w:hAnsi="Times New Roman"/>
                <w:color w:val="000000"/>
                <w:sz w:val="20"/>
                <w:szCs w:val="20"/>
              </w:rPr>
            </w:pPr>
            <w:r w:rsidRPr="00F60460">
              <w:rPr>
                <w:rFonts w:ascii="Times New Roman" w:hAnsi="Times New Roman"/>
                <w:color w:val="000000"/>
                <w:sz w:val="20"/>
              </w:rPr>
              <w:t>16,8</w:t>
            </w:r>
          </w:p>
        </w:tc>
      </w:tr>
      <w:tr w:rsidR="00615D31" w:rsidRPr="00F60460" w14:paraId="1A9BFD0E" w14:textId="77777777" w:rsidTr="00FF564D">
        <w:tc>
          <w:tcPr>
            <w:tcW w:w="3518" w:type="dxa"/>
          </w:tcPr>
          <w:p w14:paraId="147C13EC" w14:textId="77777777" w:rsidR="00615D31" w:rsidRPr="00F60460" w:rsidRDefault="00615D31" w:rsidP="002B0DE8">
            <w:pPr>
              <w:pStyle w:val="TableParagraph"/>
              <w:keepNext/>
              <w:keepLines/>
              <w:spacing w:line="222" w:lineRule="exact"/>
              <w:rPr>
                <w:rFonts w:ascii="Times New Roman" w:eastAsia="Times New Roman" w:hAnsi="Times New Roman"/>
                <w:color w:val="000000"/>
                <w:sz w:val="20"/>
                <w:szCs w:val="20"/>
              </w:rPr>
            </w:pPr>
            <w:r w:rsidRPr="00F60460">
              <w:rPr>
                <w:rFonts w:ascii="Times New Roman" w:hAnsi="Times New Roman"/>
                <w:color w:val="000000"/>
                <w:sz w:val="20"/>
              </w:rPr>
              <w:t>Poměr rizik [95% CI]</w:t>
            </w:r>
          </w:p>
        </w:tc>
        <w:tc>
          <w:tcPr>
            <w:tcW w:w="5398" w:type="dxa"/>
            <w:gridSpan w:val="2"/>
          </w:tcPr>
          <w:p w14:paraId="7714F9C8" w14:textId="77777777" w:rsidR="00615D31" w:rsidRPr="00F60460" w:rsidRDefault="00615D31" w:rsidP="002B0DE8">
            <w:pPr>
              <w:pStyle w:val="TableParagraph"/>
              <w:keepNext/>
              <w:keepLines/>
              <w:spacing w:line="210" w:lineRule="exact"/>
              <w:jc w:val="center"/>
              <w:rPr>
                <w:rFonts w:ascii="Times New Roman" w:hAnsi="Times New Roman"/>
                <w:color w:val="000000"/>
                <w:sz w:val="20"/>
                <w:szCs w:val="20"/>
              </w:rPr>
            </w:pPr>
            <w:r w:rsidRPr="00F60460">
              <w:rPr>
                <w:rFonts w:ascii="Times New Roman" w:hAnsi="Times New Roman"/>
                <w:color w:val="000000"/>
                <w:sz w:val="20"/>
              </w:rPr>
              <w:t>0,76 [0,62, 0,94]</w:t>
            </w:r>
          </w:p>
          <w:p w14:paraId="7ABF5E92" w14:textId="77777777" w:rsidR="00615D31" w:rsidRPr="00F60460" w:rsidRDefault="00615D31" w:rsidP="002B0DE8">
            <w:pPr>
              <w:pStyle w:val="TableParagraph"/>
              <w:keepNext/>
              <w:keepLines/>
              <w:spacing w:line="210" w:lineRule="exact"/>
              <w:jc w:val="center"/>
              <w:rPr>
                <w:rFonts w:ascii="Times New Roman" w:eastAsia="Times New Roman" w:hAnsi="Times New Roman"/>
                <w:color w:val="000000"/>
                <w:sz w:val="20"/>
                <w:szCs w:val="20"/>
              </w:rPr>
            </w:pPr>
            <w:r w:rsidRPr="00F60460">
              <w:rPr>
                <w:rFonts w:ascii="Times New Roman" w:hAnsi="Times New Roman"/>
                <w:color w:val="000000"/>
                <w:sz w:val="20"/>
              </w:rPr>
              <w:t>(p-hodnota</w:t>
            </w:r>
            <w:r w:rsidRPr="00F60460">
              <w:rPr>
                <w:rFonts w:ascii="Times New Roman" w:hAnsi="Times New Roman"/>
                <w:color w:val="000000"/>
                <w:sz w:val="20"/>
                <w:vertAlign w:val="superscript"/>
              </w:rPr>
              <w:t xml:space="preserve">5,8 </w:t>
            </w:r>
            <w:r w:rsidRPr="00F60460">
              <w:rPr>
                <w:rFonts w:ascii="Times New Roman" w:hAnsi="Times New Roman"/>
                <w:color w:val="000000"/>
                <w:sz w:val="20"/>
              </w:rPr>
              <w:t>= 0,0126)</w:t>
            </w:r>
          </w:p>
        </w:tc>
      </w:tr>
      <w:tr w:rsidR="00615D31" w:rsidRPr="00F60460" w14:paraId="738BA14B" w14:textId="77777777" w:rsidTr="00FF564D">
        <w:tc>
          <w:tcPr>
            <w:tcW w:w="8916" w:type="dxa"/>
            <w:gridSpan w:val="3"/>
          </w:tcPr>
          <w:p w14:paraId="6D47B8DB" w14:textId="77777777" w:rsidR="00615D31" w:rsidRPr="00F60460" w:rsidRDefault="00615D31" w:rsidP="002B0DE8">
            <w:pPr>
              <w:pStyle w:val="TableParagraph"/>
              <w:keepNext/>
              <w:keepLines/>
              <w:ind w:right="1"/>
              <w:jc w:val="center"/>
              <w:rPr>
                <w:rFonts w:ascii="Times New Roman" w:eastAsia="Times New Roman" w:hAnsi="Times New Roman"/>
                <w:b/>
                <w:color w:val="000000"/>
                <w:sz w:val="20"/>
                <w:szCs w:val="20"/>
              </w:rPr>
            </w:pPr>
            <w:r w:rsidRPr="00F60460">
              <w:rPr>
                <w:rFonts w:ascii="Times New Roman" w:hAnsi="Times New Roman"/>
                <w:b/>
                <w:color w:val="000000"/>
                <w:sz w:val="20"/>
                <w:u w:val="single"/>
              </w:rPr>
              <w:t>Sekundární cílové parametry</w:t>
            </w:r>
          </w:p>
        </w:tc>
      </w:tr>
      <w:tr w:rsidR="00615D31" w:rsidRPr="00F60460" w14:paraId="753FD026" w14:textId="77777777" w:rsidTr="00FF564D">
        <w:tc>
          <w:tcPr>
            <w:tcW w:w="8916" w:type="dxa"/>
            <w:gridSpan w:val="3"/>
          </w:tcPr>
          <w:p w14:paraId="4EB79E46" w14:textId="77777777" w:rsidR="00615D31" w:rsidRPr="00F60460" w:rsidRDefault="00615D31" w:rsidP="002B0DE8">
            <w:pPr>
              <w:pStyle w:val="TableParagraph"/>
              <w:keepNext/>
              <w:keepLines/>
              <w:rPr>
                <w:rFonts w:ascii="Times New Roman" w:eastAsia="Times New Roman" w:hAnsi="Times New Roman"/>
                <w:b/>
                <w:color w:val="000000"/>
                <w:sz w:val="20"/>
                <w:szCs w:val="20"/>
              </w:rPr>
            </w:pPr>
            <w:r w:rsidRPr="00F60460">
              <w:rPr>
                <w:rFonts w:ascii="Times New Roman" w:hAnsi="Times New Roman"/>
                <w:b/>
                <w:color w:val="000000"/>
                <w:sz w:val="20"/>
              </w:rPr>
              <w:t>Přežití bez progrese – primární analýza</w:t>
            </w:r>
            <w:r w:rsidRPr="00F60460">
              <w:rPr>
                <w:rFonts w:ascii="Times New Roman" w:hAnsi="Times New Roman"/>
                <w:b/>
                <w:color w:val="000000"/>
                <w:sz w:val="20"/>
                <w:vertAlign w:val="superscript"/>
              </w:rPr>
              <w:t>6</w:t>
            </w:r>
          </w:p>
        </w:tc>
      </w:tr>
      <w:tr w:rsidR="00615D31" w:rsidRPr="00F60460" w14:paraId="24856BCD" w14:textId="77777777" w:rsidTr="00FF564D">
        <w:tc>
          <w:tcPr>
            <w:tcW w:w="3518" w:type="dxa"/>
          </w:tcPr>
          <w:p w14:paraId="2C213126" w14:textId="77777777" w:rsidR="00615D31" w:rsidRPr="00F60460" w:rsidRDefault="00615D31" w:rsidP="002B0DE8">
            <w:pPr>
              <w:pStyle w:val="TableParagraph"/>
              <w:keepNext/>
              <w:keepLines/>
              <w:rPr>
                <w:rFonts w:ascii="Times New Roman" w:eastAsia="Times New Roman" w:hAnsi="Times New Roman"/>
                <w:color w:val="000000"/>
                <w:sz w:val="20"/>
                <w:szCs w:val="20"/>
              </w:rPr>
            </w:pPr>
            <w:r w:rsidRPr="00F60460">
              <w:rPr>
                <w:rFonts w:ascii="Times New Roman" w:hAnsi="Times New Roman"/>
                <w:color w:val="000000"/>
                <w:sz w:val="20"/>
              </w:rPr>
              <w:t>Medián PFS (měsíce)</w:t>
            </w:r>
            <w:r w:rsidRPr="00F60460">
              <w:rPr>
                <w:rFonts w:ascii="Times New Roman" w:hAnsi="Times New Roman"/>
                <w:color w:val="000000"/>
                <w:sz w:val="20"/>
                <w:vertAlign w:val="superscript"/>
              </w:rPr>
              <w:t>1</w:t>
            </w:r>
          </w:p>
        </w:tc>
        <w:tc>
          <w:tcPr>
            <w:tcW w:w="2390" w:type="dxa"/>
          </w:tcPr>
          <w:p w14:paraId="106755A6" w14:textId="77777777" w:rsidR="00615D31" w:rsidRPr="00F60460" w:rsidRDefault="00615D31" w:rsidP="002B0DE8">
            <w:pPr>
              <w:pStyle w:val="TableParagraph"/>
              <w:keepNext/>
              <w:keepLines/>
              <w:spacing w:line="210" w:lineRule="exact"/>
              <w:jc w:val="center"/>
              <w:rPr>
                <w:rFonts w:ascii="Times New Roman" w:eastAsia="Times New Roman" w:hAnsi="Times New Roman"/>
                <w:color w:val="000000"/>
                <w:sz w:val="20"/>
                <w:szCs w:val="20"/>
              </w:rPr>
            </w:pPr>
            <w:r w:rsidRPr="00F60460">
              <w:rPr>
                <w:rFonts w:ascii="Times New Roman" w:hAnsi="Times New Roman"/>
                <w:color w:val="000000"/>
                <w:sz w:val="20"/>
              </w:rPr>
              <w:t>6,0</w:t>
            </w:r>
          </w:p>
        </w:tc>
        <w:tc>
          <w:tcPr>
            <w:tcW w:w="3008" w:type="dxa"/>
          </w:tcPr>
          <w:p w14:paraId="674D88C9" w14:textId="77777777" w:rsidR="00615D31" w:rsidRPr="00F60460" w:rsidRDefault="00615D31" w:rsidP="002B0DE8">
            <w:pPr>
              <w:pStyle w:val="TableParagraph"/>
              <w:keepNext/>
              <w:keepLines/>
              <w:spacing w:line="210" w:lineRule="exact"/>
              <w:jc w:val="center"/>
              <w:rPr>
                <w:rFonts w:ascii="Times New Roman" w:eastAsia="Times New Roman" w:hAnsi="Times New Roman"/>
                <w:color w:val="000000"/>
                <w:sz w:val="20"/>
                <w:szCs w:val="20"/>
              </w:rPr>
            </w:pPr>
            <w:r w:rsidRPr="00F60460">
              <w:rPr>
                <w:rFonts w:ascii="Times New Roman" w:hAnsi="Times New Roman"/>
                <w:color w:val="000000"/>
                <w:sz w:val="20"/>
              </w:rPr>
              <w:t>8,3</w:t>
            </w:r>
          </w:p>
        </w:tc>
      </w:tr>
      <w:tr w:rsidR="00615D31" w:rsidRPr="00F60460" w14:paraId="0C6BBA55" w14:textId="77777777" w:rsidTr="00FF564D">
        <w:tc>
          <w:tcPr>
            <w:tcW w:w="3518" w:type="dxa"/>
          </w:tcPr>
          <w:p w14:paraId="2D8556B7" w14:textId="77777777" w:rsidR="00615D31" w:rsidRPr="00F60460" w:rsidRDefault="00615D31" w:rsidP="002B0DE8">
            <w:pPr>
              <w:pStyle w:val="TableParagraph"/>
              <w:keepNext/>
              <w:keepLines/>
              <w:rPr>
                <w:rFonts w:ascii="Times New Roman" w:eastAsia="Times New Roman" w:hAnsi="Times New Roman"/>
                <w:color w:val="000000"/>
                <w:sz w:val="20"/>
                <w:szCs w:val="20"/>
              </w:rPr>
            </w:pPr>
            <w:r w:rsidRPr="00F60460">
              <w:rPr>
                <w:rFonts w:ascii="Times New Roman" w:hAnsi="Times New Roman"/>
                <w:color w:val="000000"/>
                <w:sz w:val="20"/>
              </w:rPr>
              <w:t>Poměr rizik [95% CI]</w:t>
            </w:r>
          </w:p>
        </w:tc>
        <w:tc>
          <w:tcPr>
            <w:tcW w:w="5398" w:type="dxa"/>
            <w:gridSpan w:val="2"/>
          </w:tcPr>
          <w:p w14:paraId="6F5C69A4" w14:textId="77777777" w:rsidR="00615D31" w:rsidRPr="00F60460" w:rsidRDefault="00615D31" w:rsidP="002B0DE8">
            <w:pPr>
              <w:pStyle w:val="TableParagraph"/>
              <w:keepNext/>
              <w:keepLines/>
              <w:spacing w:line="210" w:lineRule="exact"/>
              <w:jc w:val="center"/>
              <w:rPr>
                <w:rFonts w:ascii="Times New Roman" w:hAnsi="Times New Roman"/>
                <w:color w:val="000000"/>
                <w:sz w:val="20"/>
                <w:szCs w:val="20"/>
              </w:rPr>
            </w:pPr>
            <w:r w:rsidRPr="00F60460">
              <w:rPr>
                <w:rFonts w:ascii="Times New Roman" w:hAnsi="Times New Roman"/>
                <w:color w:val="000000"/>
                <w:sz w:val="20"/>
              </w:rPr>
              <w:t>0,66 [0,54, 0,81]</w:t>
            </w:r>
          </w:p>
          <w:p w14:paraId="474DBD80" w14:textId="77777777" w:rsidR="00615D31" w:rsidRPr="00F60460" w:rsidRDefault="00615D31" w:rsidP="002B0DE8">
            <w:pPr>
              <w:pStyle w:val="TableParagraph"/>
              <w:keepNext/>
              <w:keepLines/>
              <w:spacing w:line="210" w:lineRule="exact"/>
              <w:jc w:val="center"/>
              <w:rPr>
                <w:rFonts w:ascii="Times New Roman" w:eastAsia="Times New Roman" w:hAnsi="Times New Roman"/>
                <w:color w:val="000000"/>
                <w:sz w:val="20"/>
                <w:szCs w:val="20"/>
              </w:rPr>
            </w:pPr>
            <w:r w:rsidRPr="00F60460">
              <w:rPr>
                <w:rFonts w:ascii="Times New Roman" w:hAnsi="Times New Roman"/>
                <w:color w:val="000000"/>
                <w:sz w:val="20"/>
              </w:rPr>
              <w:t>(p-hodnota</w:t>
            </w:r>
            <w:r w:rsidRPr="00F60460">
              <w:rPr>
                <w:rFonts w:ascii="Times New Roman" w:hAnsi="Times New Roman"/>
                <w:color w:val="000000"/>
                <w:sz w:val="20"/>
                <w:vertAlign w:val="superscript"/>
              </w:rPr>
              <w:t>5</w:t>
            </w:r>
            <w:r w:rsidRPr="00F60460">
              <w:rPr>
                <w:rFonts w:ascii="Times New Roman" w:hAnsi="Times New Roman"/>
                <w:color w:val="000000"/>
                <w:sz w:val="20"/>
              </w:rPr>
              <w:t xml:space="preserve"> &lt; 0,0001)</w:t>
            </w:r>
          </w:p>
        </w:tc>
      </w:tr>
      <w:tr w:rsidR="00615D31" w:rsidRPr="00F60460" w14:paraId="4C3AA810" w14:textId="77777777" w:rsidTr="00FF564D">
        <w:tc>
          <w:tcPr>
            <w:tcW w:w="8916" w:type="dxa"/>
            <w:gridSpan w:val="3"/>
          </w:tcPr>
          <w:p w14:paraId="1BD818C3" w14:textId="77777777" w:rsidR="00615D31" w:rsidRPr="00F60460" w:rsidRDefault="00615D31" w:rsidP="002B0DE8">
            <w:pPr>
              <w:pStyle w:val="TableParagraph"/>
              <w:keepNext/>
              <w:keepLines/>
              <w:rPr>
                <w:rFonts w:ascii="Times New Roman" w:eastAsia="Times New Roman" w:hAnsi="Times New Roman"/>
                <w:b/>
                <w:color w:val="000000"/>
                <w:sz w:val="20"/>
                <w:szCs w:val="20"/>
              </w:rPr>
            </w:pPr>
            <w:r w:rsidRPr="00F60460">
              <w:rPr>
                <w:rFonts w:ascii="Times New Roman" w:hAnsi="Times New Roman"/>
                <w:b/>
                <w:color w:val="000000"/>
                <w:sz w:val="20"/>
              </w:rPr>
              <w:t>Nejlepší celková odpověď – primární analýza</w:t>
            </w:r>
            <w:r w:rsidRPr="00F60460">
              <w:rPr>
                <w:rFonts w:ascii="Times New Roman" w:hAnsi="Times New Roman"/>
                <w:b/>
                <w:color w:val="000000"/>
                <w:sz w:val="20"/>
                <w:vertAlign w:val="superscript"/>
              </w:rPr>
              <w:t>6</w:t>
            </w:r>
          </w:p>
        </w:tc>
      </w:tr>
      <w:tr w:rsidR="00615D31" w:rsidRPr="00F60460" w14:paraId="0A5B27C8" w14:textId="77777777" w:rsidTr="00FF564D">
        <w:tc>
          <w:tcPr>
            <w:tcW w:w="3518" w:type="dxa"/>
          </w:tcPr>
          <w:p w14:paraId="014E42A3" w14:textId="77777777" w:rsidR="00615D31" w:rsidRPr="00F60460" w:rsidRDefault="00615D31" w:rsidP="002B0DE8">
            <w:pPr>
              <w:pStyle w:val="TableParagraph"/>
              <w:keepNext/>
              <w:keepLines/>
              <w:rPr>
                <w:rFonts w:ascii="Times New Roman" w:eastAsia="Times New Roman" w:hAnsi="Times New Roman"/>
                <w:color w:val="000000"/>
                <w:sz w:val="20"/>
                <w:szCs w:val="20"/>
              </w:rPr>
            </w:pPr>
            <w:r w:rsidRPr="00F60460">
              <w:rPr>
                <w:rFonts w:ascii="Times New Roman" w:hAnsi="Times New Roman"/>
                <w:color w:val="000000"/>
                <w:sz w:val="20"/>
              </w:rPr>
              <w:t>Pacienti s odpovědí (četnost odpovědí</w:t>
            </w:r>
            <w:r w:rsidRPr="00F60460">
              <w:rPr>
                <w:rFonts w:ascii="Times New Roman" w:hAnsi="Times New Roman"/>
                <w:color w:val="000000"/>
                <w:sz w:val="20"/>
                <w:vertAlign w:val="superscript"/>
              </w:rPr>
              <w:t>2</w:t>
            </w:r>
            <w:r w:rsidRPr="00F60460">
              <w:rPr>
                <w:rFonts w:ascii="Times New Roman" w:hAnsi="Times New Roman"/>
                <w:color w:val="000000"/>
                <w:sz w:val="20"/>
              </w:rPr>
              <w:t>)</w:t>
            </w:r>
          </w:p>
        </w:tc>
        <w:tc>
          <w:tcPr>
            <w:tcW w:w="2390" w:type="dxa"/>
          </w:tcPr>
          <w:p w14:paraId="325F0C01" w14:textId="77777777" w:rsidR="00615D31" w:rsidRPr="00F60460" w:rsidRDefault="00615D31" w:rsidP="002B0DE8">
            <w:pPr>
              <w:pStyle w:val="TableParagraph"/>
              <w:keepNext/>
              <w:keepLines/>
              <w:spacing w:line="210" w:lineRule="exact"/>
              <w:jc w:val="center"/>
              <w:rPr>
                <w:rFonts w:ascii="Times New Roman" w:eastAsia="Times New Roman" w:hAnsi="Times New Roman"/>
                <w:color w:val="000000"/>
                <w:sz w:val="20"/>
                <w:szCs w:val="20"/>
              </w:rPr>
            </w:pPr>
            <w:r w:rsidRPr="00F60460">
              <w:rPr>
                <w:rFonts w:ascii="Times New Roman" w:hAnsi="Times New Roman"/>
                <w:color w:val="000000"/>
                <w:sz w:val="20"/>
              </w:rPr>
              <w:t>76 (33,8 %)</w:t>
            </w:r>
          </w:p>
        </w:tc>
        <w:tc>
          <w:tcPr>
            <w:tcW w:w="3008" w:type="dxa"/>
          </w:tcPr>
          <w:p w14:paraId="035C6353" w14:textId="77777777" w:rsidR="00615D31" w:rsidRPr="00F60460" w:rsidRDefault="00615D31" w:rsidP="002B0DE8">
            <w:pPr>
              <w:pStyle w:val="TableParagraph"/>
              <w:keepNext/>
              <w:keepLines/>
              <w:spacing w:line="210" w:lineRule="exact"/>
              <w:jc w:val="center"/>
              <w:rPr>
                <w:rFonts w:ascii="Times New Roman" w:eastAsia="Times New Roman" w:hAnsi="Times New Roman"/>
                <w:color w:val="000000"/>
                <w:sz w:val="20"/>
                <w:szCs w:val="20"/>
              </w:rPr>
            </w:pPr>
            <w:r w:rsidRPr="00F60460">
              <w:rPr>
                <w:rFonts w:ascii="Times New Roman" w:hAnsi="Times New Roman"/>
                <w:color w:val="000000"/>
                <w:sz w:val="20"/>
              </w:rPr>
              <w:t>103 (45,4 %)</w:t>
            </w:r>
          </w:p>
        </w:tc>
      </w:tr>
      <w:tr w:rsidR="00615D31" w:rsidRPr="00F60460" w14:paraId="0450E856" w14:textId="77777777" w:rsidTr="00FF564D">
        <w:tc>
          <w:tcPr>
            <w:tcW w:w="3518" w:type="dxa"/>
          </w:tcPr>
          <w:p w14:paraId="6611DD76" w14:textId="77777777" w:rsidR="00615D31" w:rsidRPr="00F60460" w:rsidRDefault="00615D31" w:rsidP="002B0DE8">
            <w:pPr>
              <w:pStyle w:val="TableParagraph"/>
              <w:keepNext/>
              <w:keepLines/>
              <w:rPr>
                <w:rFonts w:ascii="Times New Roman" w:eastAsia="Times New Roman" w:hAnsi="Times New Roman"/>
                <w:color w:val="000000"/>
                <w:sz w:val="20"/>
                <w:szCs w:val="20"/>
              </w:rPr>
            </w:pPr>
            <w:r w:rsidRPr="00F60460">
              <w:rPr>
                <w:rFonts w:ascii="Times New Roman" w:hAnsi="Times New Roman"/>
                <w:color w:val="000000"/>
                <w:sz w:val="20"/>
              </w:rPr>
              <w:t>95% CI pro četnost odpovědí</w:t>
            </w:r>
            <w:r w:rsidRPr="00F60460">
              <w:rPr>
                <w:rFonts w:ascii="Times New Roman" w:hAnsi="Times New Roman"/>
                <w:color w:val="000000"/>
                <w:sz w:val="20"/>
                <w:vertAlign w:val="superscript"/>
              </w:rPr>
              <w:t>3</w:t>
            </w:r>
          </w:p>
        </w:tc>
        <w:tc>
          <w:tcPr>
            <w:tcW w:w="2390" w:type="dxa"/>
          </w:tcPr>
          <w:p w14:paraId="5669EA18" w14:textId="77777777" w:rsidR="00615D31" w:rsidRPr="00F60460" w:rsidRDefault="00615D31" w:rsidP="002B0DE8">
            <w:pPr>
              <w:pStyle w:val="TableParagraph"/>
              <w:keepNext/>
              <w:keepLines/>
              <w:spacing w:line="210" w:lineRule="exact"/>
              <w:jc w:val="center"/>
              <w:rPr>
                <w:rFonts w:ascii="Times New Roman" w:eastAsia="Times New Roman" w:hAnsi="Times New Roman"/>
                <w:color w:val="000000"/>
                <w:sz w:val="20"/>
                <w:szCs w:val="20"/>
              </w:rPr>
            </w:pPr>
            <w:r w:rsidRPr="00F60460">
              <w:rPr>
                <w:rFonts w:ascii="Times New Roman" w:hAnsi="Times New Roman"/>
                <w:color w:val="000000"/>
                <w:sz w:val="20"/>
              </w:rPr>
              <w:t>[27,6 %, 40,4 %]</w:t>
            </w:r>
          </w:p>
        </w:tc>
        <w:tc>
          <w:tcPr>
            <w:tcW w:w="3008" w:type="dxa"/>
          </w:tcPr>
          <w:p w14:paraId="3846845E" w14:textId="77777777" w:rsidR="00615D31" w:rsidRPr="00F60460" w:rsidRDefault="00615D31" w:rsidP="002B0DE8">
            <w:pPr>
              <w:pStyle w:val="TableParagraph"/>
              <w:keepNext/>
              <w:keepLines/>
              <w:spacing w:line="210" w:lineRule="exact"/>
              <w:jc w:val="center"/>
              <w:rPr>
                <w:rFonts w:ascii="Times New Roman" w:eastAsia="Times New Roman" w:hAnsi="Times New Roman"/>
                <w:color w:val="000000"/>
                <w:sz w:val="20"/>
                <w:szCs w:val="20"/>
              </w:rPr>
            </w:pPr>
            <w:r w:rsidRPr="00F60460">
              <w:rPr>
                <w:rFonts w:ascii="Times New Roman" w:hAnsi="Times New Roman"/>
                <w:color w:val="000000"/>
                <w:sz w:val="20"/>
              </w:rPr>
              <w:t>[38,8 %, 52,1 %]</w:t>
            </w:r>
          </w:p>
        </w:tc>
      </w:tr>
      <w:tr w:rsidR="00615D31" w:rsidRPr="00F60460" w14:paraId="22B0834E" w14:textId="77777777" w:rsidTr="00FF564D">
        <w:tc>
          <w:tcPr>
            <w:tcW w:w="3518" w:type="dxa"/>
          </w:tcPr>
          <w:p w14:paraId="2EEDEB15" w14:textId="77777777" w:rsidR="00615D31" w:rsidRPr="00F60460" w:rsidRDefault="00615D31" w:rsidP="002B0DE8">
            <w:pPr>
              <w:pStyle w:val="TableParagraph"/>
              <w:keepNext/>
              <w:keepLines/>
              <w:rPr>
                <w:rFonts w:ascii="Times New Roman" w:eastAsia="Times New Roman" w:hAnsi="Times New Roman"/>
                <w:color w:val="000000"/>
                <w:sz w:val="20"/>
                <w:szCs w:val="20"/>
              </w:rPr>
            </w:pPr>
            <w:r w:rsidRPr="00F60460">
              <w:rPr>
                <w:rFonts w:ascii="Times New Roman" w:hAnsi="Times New Roman"/>
                <w:color w:val="000000"/>
                <w:sz w:val="20"/>
              </w:rPr>
              <w:t>Rozdíl četností odpovědí</w:t>
            </w:r>
          </w:p>
        </w:tc>
        <w:tc>
          <w:tcPr>
            <w:tcW w:w="5398" w:type="dxa"/>
            <w:gridSpan w:val="2"/>
          </w:tcPr>
          <w:p w14:paraId="7860552C" w14:textId="77777777" w:rsidR="00615D31" w:rsidRPr="00F60460" w:rsidRDefault="00615D31" w:rsidP="002B0DE8">
            <w:pPr>
              <w:pStyle w:val="TableParagraph"/>
              <w:keepNext/>
              <w:keepLines/>
              <w:spacing w:line="210" w:lineRule="exact"/>
              <w:jc w:val="center"/>
              <w:rPr>
                <w:rFonts w:ascii="Times New Roman" w:eastAsia="Times New Roman" w:hAnsi="Times New Roman"/>
                <w:color w:val="000000"/>
                <w:sz w:val="20"/>
                <w:szCs w:val="20"/>
              </w:rPr>
            </w:pPr>
            <w:r w:rsidRPr="00F60460">
              <w:rPr>
                <w:rFonts w:ascii="Times New Roman" w:hAnsi="Times New Roman"/>
                <w:color w:val="000000"/>
                <w:sz w:val="20"/>
              </w:rPr>
              <w:t>11,60 %</w:t>
            </w:r>
          </w:p>
        </w:tc>
      </w:tr>
      <w:tr w:rsidR="00615D31" w:rsidRPr="00F60460" w14:paraId="1EA838B2" w14:textId="77777777" w:rsidTr="00FF564D">
        <w:tc>
          <w:tcPr>
            <w:tcW w:w="3518" w:type="dxa"/>
          </w:tcPr>
          <w:p w14:paraId="68AA06CC" w14:textId="77777777" w:rsidR="00615D31" w:rsidRPr="00F60460" w:rsidRDefault="00615D31" w:rsidP="002B0DE8">
            <w:pPr>
              <w:pStyle w:val="TableParagraph"/>
              <w:keepNext/>
              <w:keepLines/>
              <w:rPr>
                <w:rFonts w:ascii="Times New Roman" w:eastAsia="Times New Roman" w:hAnsi="Times New Roman"/>
                <w:color w:val="000000"/>
                <w:sz w:val="20"/>
                <w:szCs w:val="20"/>
              </w:rPr>
            </w:pPr>
            <w:r w:rsidRPr="00F60460">
              <w:rPr>
                <w:rFonts w:ascii="Times New Roman" w:hAnsi="Times New Roman"/>
                <w:color w:val="000000"/>
                <w:sz w:val="20"/>
              </w:rPr>
              <w:t>95% CI pro rozdíl četnosti odpovědí</w:t>
            </w:r>
            <w:r w:rsidRPr="00F60460">
              <w:rPr>
                <w:rFonts w:ascii="Times New Roman" w:hAnsi="Times New Roman"/>
                <w:color w:val="000000"/>
                <w:sz w:val="20"/>
                <w:vertAlign w:val="superscript"/>
              </w:rPr>
              <w:t>4</w:t>
            </w:r>
          </w:p>
        </w:tc>
        <w:tc>
          <w:tcPr>
            <w:tcW w:w="5398" w:type="dxa"/>
            <w:gridSpan w:val="2"/>
          </w:tcPr>
          <w:p w14:paraId="5DD3BA8A" w14:textId="77777777" w:rsidR="00615D31" w:rsidRPr="00F60460" w:rsidRDefault="00615D31" w:rsidP="002B0DE8">
            <w:pPr>
              <w:pStyle w:val="TableParagraph"/>
              <w:keepNext/>
              <w:keepLines/>
              <w:spacing w:line="210" w:lineRule="exact"/>
              <w:jc w:val="center"/>
              <w:rPr>
                <w:rFonts w:ascii="Times New Roman" w:eastAsia="Times New Roman" w:hAnsi="Times New Roman"/>
                <w:color w:val="000000"/>
                <w:sz w:val="20"/>
                <w:szCs w:val="20"/>
              </w:rPr>
            </w:pPr>
            <w:r w:rsidRPr="00F60460">
              <w:rPr>
                <w:rFonts w:ascii="Times New Roman" w:hAnsi="Times New Roman"/>
                <w:color w:val="000000"/>
                <w:sz w:val="20"/>
              </w:rPr>
              <w:t>[2,4 %, 20,8 %]</w:t>
            </w:r>
          </w:p>
        </w:tc>
      </w:tr>
      <w:tr w:rsidR="00615D31" w:rsidRPr="00F60460" w14:paraId="2033B89A" w14:textId="77777777" w:rsidTr="00FF564D">
        <w:tc>
          <w:tcPr>
            <w:tcW w:w="3518" w:type="dxa"/>
          </w:tcPr>
          <w:p w14:paraId="3693C21B" w14:textId="77777777" w:rsidR="00615D31" w:rsidRPr="00F60460" w:rsidRDefault="00615D31" w:rsidP="002B0DE8">
            <w:pPr>
              <w:pStyle w:val="TableParagraph"/>
              <w:keepNext/>
              <w:keepLines/>
              <w:rPr>
                <w:rFonts w:ascii="Times New Roman" w:eastAsia="Times New Roman" w:hAnsi="Times New Roman"/>
                <w:color w:val="000000"/>
                <w:sz w:val="20"/>
                <w:szCs w:val="20"/>
              </w:rPr>
            </w:pPr>
            <w:r w:rsidRPr="00F60460">
              <w:rPr>
                <w:rFonts w:ascii="Times New Roman" w:hAnsi="Times New Roman"/>
                <w:color w:val="000000"/>
                <w:sz w:val="20"/>
              </w:rPr>
              <w:t>p-hodnota (Chí-kvadrát test)</w:t>
            </w:r>
          </w:p>
        </w:tc>
        <w:tc>
          <w:tcPr>
            <w:tcW w:w="5398" w:type="dxa"/>
            <w:gridSpan w:val="2"/>
          </w:tcPr>
          <w:p w14:paraId="5D8A5D8C" w14:textId="77777777" w:rsidR="00615D31" w:rsidRPr="00F60460" w:rsidRDefault="00615D31" w:rsidP="002B0DE8">
            <w:pPr>
              <w:pStyle w:val="TableParagraph"/>
              <w:keepNext/>
              <w:keepLines/>
              <w:spacing w:line="210" w:lineRule="exact"/>
              <w:jc w:val="center"/>
              <w:rPr>
                <w:rFonts w:ascii="Times New Roman" w:eastAsia="Times New Roman" w:hAnsi="Times New Roman"/>
                <w:color w:val="000000"/>
                <w:sz w:val="20"/>
                <w:szCs w:val="20"/>
              </w:rPr>
            </w:pPr>
            <w:r w:rsidRPr="00F60460">
              <w:rPr>
                <w:rFonts w:ascii="Times New Roman" w:hAnsi="Times New Roman"/>
                <w:color w:val="000000"/>
                <w:sz w:val="20"/>
              </w:rPr>
              <w:t>0,0117</w:t>
            </w:r>
          </w:p>
        </w:tc>
      </w:tr>
    </w:tbl>
    <w:p w14:paraId="7B3D9F45" w14:textId="77777777" w:rsidR="009D32CF" w:rsidRPr="00F60460" w:rsidRDefault="009D32CF" w:rsidP="00D23770">
      <w:pPr>
        <w:ind w:left="270" w:hanging="270"/>
        <w:rPr>
          <w:rFonts w:ascii="Times New Roman" w:eastAsia="Times New Roman" w:hAnsi="Times New Roman"/>
          <w:color w:val="000000"/>
          <w:sz w:val="20"/>
          <w:szCs w:val="20"/>
        </w:rPr>
      </w:pPr>
      <w:r w:rsidRPr="00381DC2">
        <w:rPr>
          <w:rFonts w:ascii="Times New Roman" w:hAnsi="Times New Roman"/>
          <w:color w:val="000000"/>
          <w:vertAlign w:val="superscript"/>
        </w:rPr>
        <w:t>1</w:t>
      </w:r>
      <w:r w:rsidRPr="00F60460">
        <w:rPr>
          <w:rFonts w:ascii="Times New Roman" w:hAnsi="Times New Roman"/>
          <w:color w:val="000000"/>
          <w:sz w:val="13"/>
        </w:rPr>
        <w:t xml:space="preserve"> </w:t>
      </w:r>
      <w:r w:rsidR="000E6E28" w:rsidRPr="00F60460">
        <w:rPr>
          <w:rFonts w:ascii="Times New Roman" w:hAnsi="Times New Roman"/>
          <w:color w:val="000000"/>
          <w:sz w:val="13"/>
        </w:rPr>
        <w:tab/>
      </w:r>
      <w:r w:rsidRPr="00F60460">
        <w:rPr>
          <w:rFonts w:ascii="Times New Roman" w:hAnsi="Times New Roman"/>
          <w:color w:val="000000"/>
          <w:sz w:val="20"/>
        </w:rPr>
        <w:t>Kaplan-Meierovy odhady</w:t>
      </w:r>
    </w:p>
    <w:p w14:paraId="0614042B" w14:textId="77777777" w:rsidR="009D32CF" w:rsidRPr="00F60460" w:rsidRDefault="009D32CF" w:rsidP="00D23770">
      <w:pPr>
        <w:ind w:left="284" w:hanging="284"/>
        <w:rPr>
          <w:rFonts w:ascii="Times New Roman" w:eastAsia="Times New Roman" w:hAnsi="Times New Roman"/>
          <w:color w:val="000000"/>
          <w:sz w:val="20"/>
          <w:szCs w:val="20"/>
        </w:rPr>
      </w:pPr>
      <w:r w:rsidRPr="00F60460">
        <w:rPr>
          <w:rFonts w:ascii="Times New Roman" w:hAnsi="Times New Roman"/>
          <w:color w:val="000000"/>
          <w:sz w:val="20"/>
          <w:vertAlign w:val="superscript"/>
        </w:rPr>
        <w:t>2</w:t>
      </w:r>
      <w:r w:rsidRPr="00F60460">
        <w:rPr>
          <w:rFonts w:ascii="Times New Roman" w:hAnsi="Times New Roman"/>
          <w:color w:val="000000"/>
          <w:sz w:val="20"/>
        </w:rPr>
        <w:t xml:space="preserve"> </w:t>
      </w:r>
      <w:r w:rsidR="000E6E28" w:rsidRPr="00F60460">
        <w:rPr>
          <w:rFonts w:ascii="Times New Roman" w:hAnsi="Times New Roman"/>
          <w:color w:val="000000"/>
          <w:sz w:val="20"/>
        </w:rPr>
        <w:tab/>
      </w:r>
      <w:r w:rsidRPr="00F60460">
        <w:rPr>
          <w:rFonts w:ascii="Times New Roman" w:hAnsi="Times New Roman"/>
          <w:color w:val="000000"/>
          <w:sz w:val="20"/>
        </w:rPr>
        <w:t>Pacientky a procento pacientek s nejlepší celkovou odpovědí zahrnující potvrzenou kompletní nebo částečnou odpověď; procento vypočítané u pacientek s onemocněním měřitelným při vstupu do studie</w:t>
      </w:r>
    </w:p>
    <w:p w14:paraId="48F0A0E4" w14:textId="77777777" w:rsidR="009D32CF" w:rsidRPr="00F60460" w:rsidRDefault="009D32CF" w:rsidP="00D23770">
      <w:pPr>
        <w:ind w:left="270" w:hanging="270"/>
        <w:rPr>
          <w:rFonts w:ascii="Times New Roman" w:eastAsia="Times New Roman" w:hAnsi="Times New Roman"/>
          <w:color w:val="000000"/>
          <w:sz w:val="20"/>
          <w:szCs w:val="20"/>
        </w:rPr>
      </w:pPr>
      <w:r w:rsidRPr="00F60460">
        <w:rPr>
          <w:rFonts w:ascii="Times New Roman" w:hAnsi="Times New Roman"/>
          <w:color w:val="000000"/>
          <w:sz w:val="20"/>
          <w:vertAlign w:val="superscript"/>
        </w:rPr>
        <w:t>3</w:t>
      </w:r>
      <w:r w:rsidRPr="00F60460">
        <w:rPr>
          <w:rFonts w:ascii="Times New Roman" w:hAnsi="Times New Roman"/>
          <w:color w:val="000000"/>
          <w:sz w:val="20"/>
        </w:rPr>
        <w:t xml:space="preserve"> </w:t>
      </w:r>
      <w:r w:rsidR="000E6E28" w:rsidRPr="00F60460">
        <w:rPr>
          <w:rFonts w:ascii="Times New Roman" w:hAnsi="Times New Roman"/>
          <w:color w:val="000000"/>
          <w:sz w:val="20"/>
        </w:rPr>
        <w:tab/>
      </w:r>
      <w:r w:rsidRPr="00F60460">
        <w:rPr>
          <w:rFonts w:ascii="Times New Roman" w:hAnsi="Times New Roman"/>
          <w:color w:val="000000"/>
          <w:sz w:val="20"/>
        </w:rPr>
        <w:t>95% interval spolehlivosti pro jeden vzorek za použití binomické Pearson-Clopperovy metody</w:t>
      </w:r>
    </w:p>
    <w:p w14:paraId="5259184E" w14:textId="77777777" w:rsidR="009D32CF" w:rsidRPr="00F60460" w:rsidRDefault="009D32CF" w:rsidP="00D23770">
      <w:pPr>
        <w:ind w:left="270" w:hanging="270"/>
        <w:rPr>
          <w:rFonts w:ascii="Times New Roman" w:eastAsia="Times New Roman" w:hAnsi="Times New Roman"/>
          <w:color w:val="000000"/>
          <w:sz w:val="20"/>
          <w:szCs w:val="20"/>
        </w:rPr>
      </w:pPr>
      <w:r w:rsidRPr="00F60460">
        <w:rPr>
          <w:rFonts w:ascii="Times New Roman" w:hAnsi="Times New Roman"/>
          <w:color w:val="000000"/>
          <w:sz w:val="20"/>
          <w:vertAlign w:val="superscript"/>
        </w:rPr>
        <w:t>4</w:t>
      </w:r>
      <w:r w:rsidRPr="00F60460">
        <w:rPr>
          <w:rFonts w:ascii="Times New Roman" w:hAnsi="Times New Roman"/>
          <w:color w:val="000000"/>
          <w:sz w:val="20"/>
        </w:rPr>
        <w:t xml:space="preserve"> </w:t>
      </w:r>
      <w:r w:rsidR="000E6E28" w:rsidRPr="00F60460">
        <w:rPr>
          <w:rFonts w:ascii="Times New Roman" w:hAnsi="Times New Roman"/>
          <w:color w:val="000000"/>
          <w:sz w:val="20"/>
        </w:rPr>
        <w:tab/>
      </w:r>
      <w:r w:rsidRPr="00F60460">
        <w:rPr>
          <w:rFonts w:ascii="Times New Roman" w:hAnsi="Times New Roman"/>
          <w:color w:val="000000"/>
          <w:sz w:val="20"/>
        </w:rPr>
        <w:t>Přibližný 95% interval spolehlivosti pro rozdíl dvou četností za použití Hauck-Andersonovy metody</w:t>
      </w:r>
    </w:p>
    <w:p w14:paraId="3F063B22" w14:textId="77777777" w:rsidR="009D32CF" w:rsidRPr="00F60460" w:rsidRDefault="009D32CF" w:rsidP="00D23770">
      <w:pPr>
        <w:ind w:left="270" w:hanging="270"/>
        <w:rPr>
          <w:rFonts w:ascii="Times New Roman" w:eastAsia="Times New Roman" w:hAnsi="Times New Roman"/>
          <w:color w:val="000000"/>
          <w:sz w:val="20"/>
          <w:szCs w:val="20"/>
        </w:rPr>
      </w:pPr>
      <w:r w:rsidRPr="00F60460">
        <w:rPr>
          <w:rFonts w:ascii="Times New Roman" w:hAnsi="Times New Roman"/>
          <w:color w:val="000000"/>
          <w:sz w:val="20"/>
          <w:vertAlign w:val="superscript"/>
        </w:rPr>
        <w:t>5</w:t>
      </w:r>
      <w:r w:rsidRPr="00F60460">
        <w:rPr>
          <w:rFonts w:ascii="Times New Roman" w:hAnsi="Times New Roman"/>
          <w:color w:val="000000"/>
          <w:sz w:val="20"/>
        </w:rPr>
        <w:t xml:space="preserve"> </w:t>
      </w:r>
      <w:r w:rsidR="000E6E28" w:rsidRPr="00F60460">
        <w:rPr>
          <w:rFonts w:ascii="Times New Roman" w:hAnsi="Times New Roman"/>
          <w:color w:val="000000"/>
          <w:sz w:val="20"/>
        </w:rPr>
        <w:tab/>
      </w:r>
      <w:r w:rsidRPr="00F60460">
        <w:rPr>
          <w:rFonts w:ascii="Times New Roman" w:hAnsi="Times New Roman"/>
          <w:color w:val="000000"/>
          <w:sz w:val="20"/>
        </w:rPr>
        <w:t>Log-rank test (stratifikovaný)</w:t>
      </w:r>
    </w:p>
    <w:p w14:paraId="6D17562C" w14:textId="77777777" w:rsidR="009D32CF" w:rsidRPr="00F60460" w:rsidRDefault="009D32CF" w:rsidP="00D23770">
      <w:pPr>
        <w:ind w:left="284" w:right="137" w:hanging="284"/>
        <w:rPr>
          <w:rFonts w:ascii="Times New Roman" w:eastAsia="Times New Roman" w:hAnsi="Times New Roman"/>
          <w:color w:val="000000"/>
          <w:sz w:val="20"/>
          <w:szCs w:val="20"/>
        </w:rPr>
      </w:pPr>
      <w:r w:rsidRPr="00F60460">
        <w:rPr>
          <w:rFonts w:ascii="Times New Roman" w:hAnsi="Times New Roman"/>
          <w:color w:val="000000"/>
          <w:sz w:val="20"/>
          <w:vertAlign w:val="superscript"/>
        </w:rPr>
        <w:t>6</w:t>
      </w:r>
      <w:r w:rsidRPr="00F60460">
        <w:rPr>
          <w:rFonts w:ascii="Times New Roman" w:hAnsi="Times New Roman"/>
          <w:color w:val="000000"/>
          <w:sz w:val="20"/>
        </w:rPr>
        <w:t xml:space="preserve"> </w:t>
      </w:r>
      <w:r w:rsidR="000E6E28" w:rsidRPr="00F60460">
        <w:rPr>
          <w:rFonts w:ascii="Times New Roman" w:hAnsi="Times New Roman"/>
          <w:color w:val="000000"/>
          <w:sz w:val="20"/>
        </w:rPr>
        <w:tab/>
      </w:r>
      <w:r w:rsidRPr="00F60460">
        <w:rPr>
          <w:rFonts w:ascii="Times New Roman" w:hAnsi="Times New Roman"/>
          <w:color w:val="000000"/>
          <w:sz w:val="20"/>
        </w:rPr>
        <w:t>Primární analýza byla provedena k datu ukončení sběru údajů 12. prosince 2012 a je považována za konečnou analýzu</w:t>
      </w:r>
    </w:p>
    <w:p w14:paraId="3351D97C" w14:textId="77777777" w:rsidR="009D32CF" w:rsidRPr="00F60460" w:rsidRDefault="009D32CF" w:rsidP="00D23770">
      <w:pPr>
        <w:ind w:left="270" w:hanging="270"/>
        <w:rPr>
          <w:rFonts w:ascii="Times New Roman" w:eastAsia="Times New Roman" w:hAnsi="Times New Roman"/>
          <w:color w:val="000000"/>
          <w:sz w:val="20"/>
          <w:szCs w:val="20"/>
        </w:rPr>
      </w:pPr>
      <w:r w:rsidRPr="00F60460">
        <w:rPr>
          <w:rFonts w:ascii="Times New Roman" w:hAnsi="Times New Roman"/>
          <w:color w:val="000000"/>
          <w:sz w:val="20"/>
          <w:vertAlign w:val="superscript"/>
        </w:rPr>
        <w:t>7</w:t>
      </w:r>
      <w:r w:rsidRPr="00F60460">
        <w:rPr>
          <w:rFonts w:ascii="Times New Roman" w:hAnsi="Times New Roman"/>
          <w:color w:val="000000"/>
          <w:sz w:val="13"/>
        </w:rPr>
        <w:t xml:space="preserve"> </w:t>
      </w:r>
      <w:r w:rsidR="000E6E28" w:rsidRPr="00F60460">
        <w:rPr>
          <w:rFonts w:ascii="Times New Roman" w:hAnsi="Times New Roman"/>
          <w:color w:val="000000"/>
          <w:sz w:val="13"/>
        </w:rPr>
        <w:tab/>
      </w:r>
      <w:r w:rsidRPr="00F60460">
        <w:rPr>
          <w:rFonts w:ascii="Times New Roman" w:hAnsi="Times New Roman"/>
          <w:color w:val="000000"/>
          <w:sz w:val="20"/>
        </w:rPr>
        <w:t>Následná analýza byla provedena k datu ukončení sběru údajů 7. března 2014</w:t>
      </w:r>
    </w:p>
    <w:p w14:paraId="66113B7E" w14:textId="77777777" w:rsidR="009D32CF" w:rsidRPr="00F60460" w:rsidRDefault="009D32CF" w:rsidP="00D23770">
      <w:pPr>
        <w:ind w:left="270" w:hanging="270"/>
        <w:rPr>
          <w:rFonts w:ascii="Times New Roman" w:eastAsia="Times New Roman" w:hAnsi="Times New Roman"/>
          <w:color w:val="000000"/>
          <w:sz w:val="20"/>
          <w:szCs w:val="20"/>
        </w:rPr>
      </w:pPr>
      <w:r w:rsidRPr="00F60460">
        <w:rPr>
          <w:rFonts w:ascii="Times New Roman" w:hAnsi="Times New Roman"/>
          <w:color w:val="000000"/>
          <w:sz w:val="20"/>
          <w:vertAlign w:val="superscript"/>
        </w:rPr>
        <w:t>8</w:t>
      </w:r>
      <w:r w:rsidRPr="00F60460">
        <w:rPr>
          <w:rFonts w:ascii="Times New Roman" w:hAnsi="Times New Roman"/>
          <w:color w:val="000000"/>
          <w:sz w:val="13"/>
        </w:rPr>
        <w:t xml:space="preserve"> </w:t>
      </w:r>
      <w:r w:rsidR="000E6E28" w:rsidRPr="00F60460">
        <w:rPr>
          <w:rFonts w:ascii="Times New Roman" w:hAnsi="Times New Roman"/>
          <w:color w:val="000000"/>
          <w:sz w:val="13"/>
        </w:rPr>
        <w:tab/>
      </w:r>
      <w:r w:rsidRPr="00F60460">
        <w:rPr>
          <w:rFonts w:ascii="Times New Roman" w:hAnsi="Times New Roman"/>
          <w:color w:val="000000"/>
          <w:sz w:val="20"/>
        </w:rPr>
        <w:t>p-hodnota pouze pro popisný účel</w:t>
      </w:r>
    </w:p>
    <w:p w14:paraId="3E243B9F" w14:textId="77777777" w:rsidR="00CF4906" w:rsidRPr="00381DC2" w:rsidRDefault="00CF4906" w:rsidP="005D48D1">
      <w:pPr>
        <w:widowControl/>
        <w:rPr>
          <w:rFonts w:ascii="Times New Roman" w:eastAsia="Times New Roman" w:hAnsi="Times New Roman"/>
          <w:b/>
          <w:bCs/>
          <w:color w:val="000000"/>
          <w:lang w:bidi="ar-SA"/>
        </w:rPr>
      </w:pPr>
    </w:p>
    <w:p w14:paraId="0F101D5A" w14:textId="77777777" w:rsidR="00D15122" w:rsidRPr="00381DC2" w:rsidRDefault="009B0756" w:rsidP="005D48D1">
      <w:pPr>
        <w:widowControl/>
        <w:rPr>
          <w:rFonts w:ascii="Times New Roman" w:eastAsia="Times New Roman" w:hAnsi="Times New Roman"/>
          <w:b/>
          <w:bCs/>
          <w:color w:val="000000"/>
          <w:lang w:bidi="ar-SA"/>
        </w:rPr>
      </w:pPr>
      <w:r w:rsidRPr="00381DC2">
        <w:rPr>
          <w:rFonts w:ascii="Times New Roman" w:eastAsia="Times New Roman" w:hAnsi="Times New Roman"/>
          <w:b/>
          <w:bCs/>
          <w:color w:val="000000"/>
          <w:lang w:bidi="ar-SA"/>
        </w:rPr>
        <w:t>Tabulka </w:t>
      </w:r>
      <w:r w:rsidR="000E6E28" w:rsidRPr="00381DC2">
        <w:rPr>
          <w:rFonts w:ascii="Times New Roman" w:eastAsia="Times New Roman" w:hAnsi="Times New Roman"/>
          <w:b/>
          <w:bCs/>
          <w:color w:val="000000"/>
          <w:lang w:bidi="ar-SA"/>
        </w:rPr>
        <w:t>26</w:t>
      </w:r>
      <w:r w:rsidRPr="00381DC2">
        <w:rPr>
          <w:rFonts w:ascii="Times New Roman" w:eastAsia="Times New Roman" w:hAnsi="Times New Roman"/>
          <w:b/>
          <w:bCs/>
          <w:color w:val="000000"/>
          <w:lang w:bidi="ar-SA"/>
        </w:rPr>
        <w:tab/>
        <w:t>Výsledky celkového přežití ze studie GOG-0240 podle hodnocené léčby</w:t>
      </w:r>
    </w:p>
    <w:p w14:paraId="7842D052" w14:textId="77777777" w:rsidR="00D15122" w:rsidRPr="00381DC2" w:rsidRDefault="00D15122" w:rsidP="00333699">
      <w:pPr>
        <w:keepNext/>
        <w:widowControl/>
        <w:rPr>
          <w:rFonts w:ascii="Times New Roman" w:eastAsia="Times New Roman" w:hAnsi="Times New Roman"/>
          <w:bCs/>
          <w:color w:val="00000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85"/>
        <w:gridCol w:w="1279"/>
        <w:gridCol w:w="3444"/>
        <w:gridCol w:w="3192"/>
      </w:tblGrid>
      <w:tr w:rsidR="009D32CF" w:rsidRPr="00F60460" w14:paraId="412937EC" w14:textId="77777777" w:rsidTr="00FF564D">
        <w:trPr>
          <w:tblHeader/>
        </w:trPr>
        <w:tc>
          <w:tcPr>
            <w:tcW w:w="1185" w:type="dxa"/>
            <w:tcBorders>
              <w:bottom w:val="single" w:sz="4" w:space="0" w:color="auto"/>
              <w:right w:val="nil"/>
            </w:tcBorders>
          </w:tcPr>
          <w:p w14:paraId="363ED6B2" w14:textId="77777777" w:rsidR="009D32CF" w:rsidRPr="00F60460" w:rsidRDefault="009D32CF" w:rsidP="00F33CDD">
            <w:pPr>
              <w:pStyle w:val="TableParagraph"/>
              <w:keepNext/>
              <w:widowControl/>
              <w:spacing w:line="250" w:lineRule="auto"/>
              <w:ind w:right="150"/>
              <w:jc w:val="center"/>
              <w:rPr>
                <w:rFonts w:ascii="Times New Roman" w:eastAsia="Times New Roman" w:hAnsi="Times New Roman"/>
                <w:color w:val="000000"/>
                <w:sz w:val="20"/>
                <w:szCs w:val="20"/>
              </w:rPr>
            </w:pPr>
            <w:r w:rsidRPr="00F60460">
              <w:rPr>
                <w:rFonts w:ascii="Times New Roman" w:hAnsi="Times New Roman"/>
                <w:color w:val="000000"/>
                <w:sz w:val="20"/>
              </w:rPr>
              <w:t>Porovnání léčby</w:t>
            </w:r>
          </w:p>
        </w:tc>
        <w:tc>
          <w:tcPr>
            <w:tcW w:w="1279" w:type="dxa"/>
            <w:tcBorders>
              <w:left w:val="nil"/>
              <w:bottom w:val="single" w:sz="4" w:space="0" w:color="auto"/>
              <w:right w:val="nil"/>
            </w:tcBorders>
          </w:tcPr>
          <w:p w14:paraId="23BF3CB6" w14:textId="77777777" w:rsidR="009D32CF" w:rsidRPr="00F60460" w:rsidRDefault="009D32CF" w:rsidP="00F33CDD">
            <w:pPr>
              <w:pStyle w:val="TableParagraph"/>
              <w:keepNext/>
              <w:widowControl/>
              <w:rPr>
                <w:rFonts w:ascii="Times New Roman" w:eastAsia="Times New Roman" w:hAnsi="Times New Roman"/>
                <w:bCs/>
                <w:color w:val="000000"/>
                <w:sz w:val="20"/>
                <w:szCs w:val="20"/>
              </w:rPr>
            </w:pPr>
          </w:p>
          <w:p w14:paraId="7A88E7FB" w14:textId="77777777" w:rsidR="009D32CF" w:rsidRPr="00F60460" w:rsidRDefault="009D32CF" w:rsidP="00F33CDD">
            <w:pPr>
              <w:pStyle w:val="TableParagraph"/>
              <w:keepNext/>
              <w:widowControl/>
              <w:jc w:val="center"/>
              <w:rPr>
                <w:rFonts w:ascii="Times New Roman" w:eastAsia="Times New Roman" w:hAnsi="Times New Roman"/>
                <w:color w:val="000000"/>
                <w:sz w:val="20"/>
                <w:szCs w:val="20"/>
              </w:rPr>
            </w:pPr>
            <w:r w:rsidRPr="00F60460">
              <w:rPr>
                <w:rFonts w:ascii="Times New Roman" w:hAnsi="Times New Roman"/>
                <w:color w:val="000000"/>
                <w:sz w:val="20"/>
              </w:rPr>
              <w:t>Jiný faktor</w:t>
            </w:r>
          </w:p>
        </w:tc>
        <w:tc>
          <w:tcPr>
            <w:tcW w:w="3444" w:type="dxa"/>
            <w:tcBorders>
              <w:left w:val="nil"/>
              <w:bottom w:val="single" w:sz="4" w:space="0" w:color="auto"/>
            </w:tcBorders>
          </w:tcPr>
          <w:p w14:paraId="71388E87" w14:textId="77777777" w:rsidR="009D32CF" w:rsidRPr="00F60460" w:rsidRDefault="009D32CF" w:rsidP="00F33CDD">
            <w:pPr>
              <w:pStyle w:val="TableParagraph"/>
              <w:keepNext/>
              <w:widowControl/>
              <w:spacing w:line="296" w:lineRule="auto"/>
              <w:ind w:right="64"/>
              <w:jc w:val="center"/>
              <w:rPr>
                <w:rFonts w:ascii="Times New Roman" w:eastAsia="Times New Roman" w:hAnsi="Times New Roman"/>
                <w:color w:val="000000"/>
                <w:sz w:val="20"/>
                <w:szCs w:val="20"/>
              </w:rPr>
            </w:pPr>
            <w:r w:rsidRPr="00F60460">
              <w:rPr>
                <w:rFonts w:ascii="Times New Roman" w:hAnsi="Times New Roman"/>
                <w:color w:val="000000"/>
                <w:sz w:val="20"/>
              </w:rPr>
              <w:t>Celkové přežití – primární analýza</w:t>
            </w:r>
            <w:r w:rsidRPr="00F60460">
              <w:rPr>
                <w:rFonts w:ascii="Times New Roman" w:hAnsi="Times New Roman"/>
                <w:color w:val="000000"/>
                <w:sz w:val="20"/>
                <w:vertAlign w:val="superscript"/>
              </w:rPr>
              <w:t>1</w:t>
            </w:r>
            <w:r w:rsidRPr="00F60460">
              <w:rPr>
                <w:rFonts w:ascii="Times New Roman" w:hAnsi="Times New Roman"/>
                <w:color w:val="000000"/>
                <w:sz w:val="20"/>
              </w:rPr>
              <w:t xml:space="preserve"> Poměr rizik (95% CI)</w:t>
            </w:r>
          </w:p>
        </w:tc>
        <w:tc>
          <w:tcPr>
            <w:tcW w:w="3192" w:type="dxa"/>
            <w:tcBorders>
              <w:bottom w:val="single" w:sz="4" w:space="0" w:color="auto"/>
            </w:tcBorders>
          </w:tcPr>
          <w:p w14:paraId="21C0C51C" w14:textId="77777777" w:rsidR="009D32CF" w:rsidRPr="00F60460" w:rsidRDefault="009D32CF" w:rsidP="00F33CDD">
            <w:pPr>
              <w:pStyle w:val="TableParagraph"/>
              <w:keepNext/>
              <w:widowControl/>
              <w:spacing w:line="296" w:lineRule="auto"/>
              <w:ind w:right="64"/>
              <w:jc w:val="center"/>
              <w:rPr>
                <w:rFonts w:ascii="Times New Roman" w:hAnsi="Times New Roman"/>
                <w:color w:val="000000"/>
                <w:sz w:val="13"/>
              </w:rPr>
            </w:pPr>
            <w:r w:rsidRPr="00F60460">
              <w:rPr>
                <w:rFonts w:ascii="Times New Roman" w:hAnsi="Times New Roman"/>
                <w:color w:val="000000"/>
                <w:sz w:val="20"/>
              </w:rPr>
              <w:t>Celkové přežití – následná analýza</w:t>
            </w:r>
            <w:r w:rsidRPr="00381DC2">
              <w:rPr>
                <w:rFonts w:ascii="Times New Roman" w:hAnsi="Times New Roman"/>
                <w:color w:val="000000"/>
                <w:vertAlign w:val="superscript"/>
              </w:rPr>
              <w:t>2</w:t>
            </w:r>
          </w:p>
          <w:p w14:paraId="7B568495" w14:textId="77777777" w:rsidR="009D32CF" w:rsidRPr="00F60460" w:rsidRDefault="009D32CF" w:rsidP="00F33CDD">
            <w:pPr>
              <w:pStyle w:val="TableParagraph"/>
              <w:keepNext/>
              <w:widowControl/>
              <w:spacing w:line="296" w:lineRule="auto"/>
              <w:ind w:right="64" w:firstLine="27"/>
              <w:jc w:val="center"/>
              <w:rPr>
                <w:rFonts w:ascii="Times New Roman" w:eastAsia="Times New Roman" w:hAnsi="Times New Roman"/>
                <w:color w:val="000000"/>
                <w:sz w:val="20"/>
                <w:szCs w:val="20"/>
              </w:rPr>
            </w:pPr>
            <w:r w:rsidRPr="00F60460">
              <w:rPr>
                <w:rFonts w:ascii="Times New Roman" w:hAnsi="Times New Roman"/>
                <w:color w:val="000000"/>
                <w:sz w:val="20"/>
              </w:rPr>
              <w:t>Poměr rizik (95% CI)</w:t>
            </w:r>
          </w:p>
        </w:tc>
      </w:tr>
      <w:tr w:rsidR="009D32CF" w:rsidRPr="00F60460" w14:paraId="00BF4918" w14:textId="77777777" w:rsidTr="00F33CDD">
        <w:trPr>
          <w:trHeight w:hRule="exact" w:val="1036"/>
        </w:trPr>
        <w:tc>
          <w:tcPr>
            <w:tcW w:w="1185" w:type="dxa"/>
            <w:tcBorders>
              <w:bottom w:val="nil"/>
              <w:right w:val="nil"/>
            </w:tcBorders>
          </w:tcPr>
          <w:p w14:paraId="655332DF" w14:textId="77777777" w:rsidR="009D32CF" w:rsidRPr="00F60460" w:rsidRDefault="009D32CF" w:rsidP="00F33CDD">
            <w:pPr>
              <w:pStyle w:val="TableParagraph"/>
              <w:keepNext/>
              <w:widowControl/>
              <w:rPr>
                <w:rFonts w:ascii="Times New Roman" w:eastAsia="Times New Roman" w:hAnsi="Times New Roman"/>
                <w:color w:val="000000"/>
                <w:sz w:val="20"/>
                <w:szCs w:val="20"/>
              </w:rPr>
            </w:pPr>
            <w:r w:rsidRPr="00F60460">
              <w:rPr>
                <w:rFonts w:ascii="Times New Roman" w:hAnsi="Times New Roman"/>
                <w:color w:val="000000"/>
                <w:sz w:val="20"/>
              </w:rPr>
              <w:t>bevacizumab vs. bez bevacizumabu</w:t>
            </w:r>
          </w:p>
        </w:tc>
        <w:tc>
          <w:tcPr>
            <w:tcW w:w="1279" w:type="dxa"/>
            <w:tcBorders>
              <w:left w:val="nil"/>
              <w:bottom w:val="nil"/>
              <w:right w:val="nil"/>
            </w:tcBorders>
          </w:tcPr>
          <w:p w14:paraId="43D3828F" w14:textId="77777777" w:rsidR="009D32CF" w:rsidRPr="00F60460" w:rsidRDefault="009D32CF" w:rsidP="00F33CDD">
            <w:pPr>
              <w:pStyle w:val="TableParagraph"/>
              <w:keepNext/>
              <w:widowControl/>
              <w:rPr>
                <w:rFonts w:ascii="Times New Roman" w:eastAsia="Times New Roman" w:hAnsi="Times New Roman"/>
                <w:color w:val="000000"/>
                <w:sz w:val="20"/>
                <w:szCs w:val="20"/>
              </w:rPr>
            </w:pPr>
            <w:r w:rsidRPr="00F60460">
              <w:rPr>
                <w:rFonts w:ascii="Times New Roman" w:hAnsi="Times New Roman"/>
                <w:color w:val="000000"/>
                <w:sz w:val="20"/>
              </w:rPr>
              <w:t>Cisplatina + paklitaxel</w:t>
            </w:r>
          </w:p>
        </w:tc>
        <w:tc>
          <w:tcPr>
            <w:tcW w:w="3444" w:type="dxa"/>
            <w:tcBorders>
              <w:left w:val="nil"/>
              <w:bottom w:val="nil"/>
            </w:tcBorders>
          </w:tcPr>
          <w:p w14:paraId="244470DB" w14:textId="77777777" w:rsidR="009D32CF" w:rsidRPr="00F60460" w:rsidRDefault="009D32CF" w:rsidP="00F33CDD">
            <w:pPr>
              <w:pStyle w:val="TableParagraph"/>
              <w:keepNext/>
              <w:widowControl/>
              <w:spacing w:line="296" w:lineRule="auto"/>
              <w:ind w:right="64"/>
              <w:jc w:val="center"/>
              <w:rPr>
                <w:rFonts w:ascii="Times New Roman" w:hAnsi="Times New Roman"/>
                <w:color w:val="000000"/>
                <w:sz w:val="20"/>
              </w:rPr>
            </w:pPr>
            <w:r w:rsidRPr="00F60460">
              <w:rPr>
                <w:rFonts w:ascii="Times New Roman" w:hAnsi="Times New Roman"/>
                <w:color w:val="000000"/>
                <w:sz w:val="20"/>
              </w:rPr>
              <w:t xml:space="preserve">0,72 (0,51, 1,02) </w:t>
            </w:r>
          </w:p>
          <w:p w14:paraId="70AA5148" w14:textId="77777777" w:rsidR="009D32CF" w:rsidRPr="00F60460" w:rsidRDefault="009D32CF" w:rsidP="00F33CDD">
            <w:pPr>
              <w:pStyle w:val="TableParagraph"/>
              <w:keepNext/>
              <w:widowControl/>
              <w:spacing w:line="210" w:lineRule="exact"/>
              <w:jc w:val="center"/>
              <w:rPr>
                <w:rFonts w:ascii="Times New Roman" w:hAnsi="Times New Roman"/>
                <w:color w:val="000000"/>
                <w:sz w:val="20"/>
              </w:rPr>
            </w:pPr>
            <w:r w:rsidRPr="00F60460">
              <w:rPr>
                <w:rFonts w:ascii="Times New Roman" w:hAnsi="Times New Roman"/>
                <w:color w:val="000000"/>
                <w:sz w:val="20"/>
              </w:rPr>
              <w:t>(17,5 vs. 14,3 měsíce; p = 0,0609)</w:t>
            </w:r>
          </w:p>
        </w:tc>
        <w:tc>
          <w:tcPr>
            <w:tcW w:w="3192" w:type="dxa"/>
            <w:tcBorders>
              <w:bottom w:val="nil"/>
            </w:tcBorders>
          </w:tcPr>
          <w:p w14:paraId="50FD1B2F" w14:textId="77777777" w:rsidR="009D32CF" w:rsidRPr="00F60460" w:rsidRDefault="009D32CF" w:rsidP="00F33CDD">
            <w:pPr>
              <w:pStyle w:val="TableParagraph"/>
              <w:keepNext/>
              <w:widowControl/>
              <w:spacing w:line="210" w:lineRule="exact"/>
              <w:jc w:val="center"/>
              <w:rPr>
                <w:rFonts w:ascii="Times New Roman" w:hAnsi="Times New Roman"/>
                <w:color w:val="000000"/>
                <w:sz w:val="20"/>
              </w:rPr>
            </w:pPr>
            <w:r w:rsidRPr="00F60460">
              <w:rPr>
                <w:rFonts w:ascii="Times New Roman" w:hAnsi="Times New Roman"/>
                <w:color w:val="000000"/>
                <w:sz w:val="20"/>
              </w:rPr>
              <w:t xml:space="preserve">0,75 (0,55, 1,01) </w:t>
            </w:r>
          </w:p>
          <w:p w14:paraId="1908C6CC" w14:textId="77777777" w:rsidR="009D32CF" w:rsidRPr="00F60460" w:rsidRDefault="009D32CF" w:rsidP="00F33CDD">
            <w:pPr>
              <w:pStyle w:val="TableParagraph"/>
              <w:keepNext/>
              <w:widowControl/>
              <w:spacing w:line="210" w:lineRule="exact"/>
              <w:jc w:val="center"/>
              <w:rPr>
                <w:rFonts w:ascii="Times New Roman" w:hAnsi="Times New Roman"/>
                <w:color w:val="000000"/>
                <w:sz w:val="20"/>
              </w:rPr>
            </w:pPr>
            <w:r w:rsidRPr="00F60460">
              <w:rPr>
                <w:rFonts w:ascii="Times New Roman" w:hAnsi="Times New Roman"/>
                <w:color w:val="000000"/>
                <w:sz w:val="20"/>
              </w:rPr>
              <w:t>(17,5 vs. 15,0 měsíce; p = 0,0584)</w:t>
            </w:r>
          </w:p>
        </w:tc>
      </w:tr>
      <w:tr w:rsidR="009D32CF" w:rsidRPr="00F60460" w14:paraId="30EF2A5E" w14:textId="77777777" w:rsidTr="00F33CDD">
        <w:trPr>
          <w:trHeight w:hRule="exact" w:val="289"/>
        </w:trPr>
        <w:tc>
          <w:tcPr>
            <w:tcW w:w="1185" w:type="dxa"/>
            <w:tcBorders>
              <w:top w:val="nil"/>
              <w:bottom w:val="nil"/>
              <w:right w:val="nil"/>
            </w:tcBorders>
          </w:tcPr>
          <w:p w14:paraId="4563CE0C" w14:textId="77777777" w:rsidR="009D32CF" w:rsidRPr="00381DC2" w:rsidRDefault="009D32CF" w:rsidP="00F33CDD">
            <w:pPr>
              <w:rPr>
                <w:rFonts w:ascii="Times New Roman" w:hAnsi="Times New Roman"/>
                <w:color w:val="000000"/>
              </w:rPr>
            </w:pPr>
          </w:p>
        </w:tc>
        <w:tc>
          <w:tcPr>
            <w:tcW w:w="1279" w:type="dxa"/>
            <w:tcBorders>
              <w:top w:val="nil"/>
              <w:left w:val="nil"/>
              <w:bottom w:val="nil"/>
              <w:right w:val="nil"/>
            </w:tcBorders>
          </w:tcPr>
          <w:p w14:paraId="20E48245" w14:textId="77777777" w:rsidR="009D32CF" w:rsidRPr="00F60460" w:rsidRDefault="009D32CF" w:rsidP="00F33CDD">
            <w:pPr>
              <w:pStyle w:val="TableParagraph"/>
              <w:rPr>
                <w:rFonts w:ascii="Times New Roman" w:eastAsia="Times New Roman" w:hAnsi="Times New Roman"/>
                <w:color w:val="000000"/>
                <w:sz w:val="20"/>
                <w:szCs w:val="20"/>
              </w:rPr>
            </w:pPr>
            <w:r w:rsidRPr="00F60460">
              <w:rPr>
                <w:rFonts w:ascii="Times New Roman" w:hAnsi="Times New Roman"/>
                <w:color w:val="000000"/>
                <w:sz w:val="20"/>
              </w:rPr>
              <w:t>Topotekan +</w:t>
            </w:r>
          </w:p>
        </w:tc>
        <w:tc>
          <w:tcPr>
            <w:tcW w:w="3444" w:type="dxa"/>
            <w:tcBorders>
              <w:top w:val="nil"/>
              <w:left w:val="nil"/>
              <w:bottom w:val="nil"/>
            </w:tcBorders>
          </w:tcPr>
          <w:p w14:paraId="7966632F" w14:textId="77777777" w:rsidR="009D32CF" w:rsidRPr="00F60460" w:rsidRDefault="009D32CF" w:rsidP="00F33CDD">
            <w:pPr>
              <w:pStyle w:val="TableParagraph"/>
              <w:spacing w:line="296" w:lineRule="auto"/>
              <w:ind w:right="64"/>
              <w:jc w:val="center"/>
              <w:rPr>
                <w:rFonts w:ascii="Times New Roman" w:hAnsi="Times New Roman"/>
                <w:color w:val="000000"/>
                <w:sz w:val="20"/>
              </w:rPr>
            </w:pPr>
            <w:r w:rsidRPr="00F60460">
              <w:rPr>
                <w:rFonts w:ascii="Times New Roman" w:hAnsi="Times New Roman"/>
                <w:color w:val="000000"/>
                <w:sz w:val="20"/>
              </w:rPr>
              <w:t>0,76 (0,55, 1,06)</w:t>
            </w:r>
          </w:p>
        </w:tc>
        <w:tc>
          <w:tcPr>
            <w:tcW w:w="3192" w:type="dxa"/>
            <w:tcBorders>
              <w:top w:val="nil"/>
              <w:bottom w:val="nil"/>
            </w:tcBorders>
          </w:tcPr>
          <w:p w14:paraId="67F80546" w14:textId="77777777" w:rsidR="009D32CF" w:rsidRPr="00F60460" w:rsidRDefault="009D32CF" w:rsidP="00F33CDD">
            <w:pPr>
              <w:pStyle w:val="TableParagraph"/>
              <w:spacing w:line="296" w:lineRule="auto"/>
              <w:ind w:right="64"/>
              <w:jc w:val="center"/>
              <w:rPr>
                <w:rFonts w:ascii="Times New Roman" w:hAnsi="Times New Roman"/>
                <w:color w:val="000000"/>
                <w:sz w:val="20"/>
              </w:rPr>
            </w:pPr>
            <w:r w:rsidRPr="00F60460">
              <w:rPr>
                <w:rFonts w:ascii="Times New Roman" w:hAnsi="Times New Roman"/>
                <w:color w:val="000000"/>
                <w:sz w:val="20"/>
              </w:rPr>
              <w:t>0,79 (0,59, 1,07)</w:t>
            </w:r>
          </w:p>
        </w:tc>
      </w:tr>
      <w:tr w:rsidR="009D32CF" w:rsidRPr="00F60460" w14:paraId="7E7919CD" w14:textId="77777777" w:rsidTr="00F33CDD">
        <w:trPr>
          <w:trHeight w:hRule="exact" w:val="739"/>
        </w:trPr>
        <w:tc>
          <w:tcPr>
            <w:tcW w:w="1185" w:type="dxa"/>
            <w:tcBorders>
              <w:top w:val="nil"/>
              <w:bottom w:val="nil"/>
              <w:right w:val="nil"/>
            </w:tcBorders>
          </w:tcPr>
          <w:p w14:paraId="62392D1E" w14:textId="77777777" w:rsidR="009D32CF" w:rsidRPr="00381DC2" w:rsidRDefault="009D32CF" w:rsidP="00F33CDD">
            <w:pPr>
              <w:rPr>
                <w:rFonts w:ascii="Times New Roman" w:hAnsi="Times New Roman"/>
                <w:color w:val="000000"/>
              </w:rPr>
            </w:pPr>
          </w:p>
        </w:tc>
        <w:tc>
          <w:tcPr>
            <w:tcW w:w="1279" w:type="dxa"/>
            <w:tcBorders>
              <w:top w:val="nil"/>
              <w:left w:val="nil"/>
              <w:bottom w:val="nil"/>
              <w:right w:val="nil"/>
            </w:tcBorders>
          </w:tcPr>
          <w:p w14:paraId="4684B0FD" w14:textId="77777777" w:rsidR="009D32CF" w:rsidRPr="00F60460" w:rsidRDefault="009D32CF" w:rsidP="00F33CDD">
            <w:pPr>
              <w:pStyle w:val="TableParagraph"/>
              <w:rPr>
                <w:rFonts w:ascii="Times New Roman" w:eastAsia="Times New Roman" w:hAnsi="Times New Roman"/>
                <w:color w:val="000000"/>
                <w:sz w:val="20"/>
                <w:szCs w:val="20"/>
              </w:rPr>
            </w:pPr>
            <w:r w:rsidRPr="00F60460">
              <w:rPr>
                <w:rFonts w:ascii="Times New Roman" w:hAnsi="Times New Roman"/>
                <w:color w:val="000000"/>
                <w:sz w:val="20"/>
              </w:rPr>
              <w:t>Paklitaxel</w:t>
            </w:r>
          </w:p>
        </w:tc>
        <w:tc>
          <w:tcPr>
            <w:tcW w:w="3444" w:type="dxa"/>
            <w:tcBorders>
              <w:top w:val="nil"/>
              <w:left w:val="nil"/>
              <w:bottom w:val="nil"/>
            </w:tcBorders>
          </w:tcPr>
          <w:p w14:paraId="6B86B29F" w14:textId="77777777" w:rsidR="009D32CF" w:rsidRPr="00F60460" w:rsidRDefault="009D32CF" w:rsidP="00F33CDD">
            <w:pPr>
              <w:pStyle w:val="TableParagraph"/>
              <w:spacing w:line="296" w:lineRule="auto"/>
              <w:ind w:right="64"/>
              <w:jc w:val="center"/>
              <w:rPr>
                <w:rFonts w:ascii="Times New Roman" w:hAnsi="Times New Roman"/>
                <w:color w:val="000000"/>
                <w:sz w:val="20"/>
              </w:rPr>
            </w:pPr>
            <w:r w:rsidRPr="00F60460">
              <w:rPr>
                <w:rFonts w:ascii="Times New Roman" w:hAnsi="Times New Roman"/>
                <w:color w:val="000000"/>
                <w:sz w:val="20"/>
              </w:rPr>
              <w:t>(14,9 vs. 11,9 měsíce; p = 0,1061)</w:t>
            </w:r>
          </w:p>
        </w:tc>
        <w:tc>
          <w:tcPr>
            <w:tcW w:w="3192" w:type="dxa"/>
            <w:tcBorders>
              <w:top w:val="nil"/>
              <w:bottom w:val="nil"/>
            </w:tcBorders>
          </w:tcPr>
          <w:p w14:paraId="297F805D" w14:textId="77777777" w:rsidR="009D32CF" w:rsidRPr="00F60460" w:rsidRDefault="009D32CF" w:rsidP="00F33CDD">
            <w:pPr>
              <w:pStyle w:val="TableParagraph"/>
              <w:spacing w:line="296" w:lineRule="auto"/>
              <w:ind w:right="64"/>
              <w:jc w:val="center"/>
              <w:rPr>
                <w:rFonts w:ascii="Times New Roman" w:hAnsi="Times New Roman"/>
                <w:color w:val="000000"/>
                <w:sz w:val="20"/>
              </w:rPr>
            </w:pPr>
            <w:r w:rsidRPr="00F60460">
              <w:rPr>
                <w:rFonts w:ascii="Times New Roman" w:hAnsi="Times New Roman"/>
                <w:color w:val="000000"/>
                <w:sz w:val="20"/>
              </w:rPr>
              <w:t>(16,2 vs. 12,0 měsíce; p = 0,1342)</w:t>
            </w:r>
          </w:p>
          <w:p w14:paraId="1B6C3A57" w14:textId="77777777" w:rsidR="009D32CF" w:rsidRPr="00F60460" w:rsidRDefault="009D32CF" w:rsidP="00F33CDD">
            <w:pPr>
              <w:pStyle w:val="TableParagraph"/>
              <w:spacing w:line="296" w:lineRule="auto"/>
              <w:ind w:right="64"/>
              <w:jc w:val="center"/>
              <w:rPr>
                <w:rFonts w:ascii="Times New Roman" w:hAnsi="Times New Roman"/>
                <w:color w:val="000000"/>
                <w:sz w:val="20"/>
              </w:rPr>
            </w:pPr>
          </w:p>
          <w:p w14:paraId="2206EB2E" w14:textId="77777777" w:rsidR="009D32CF" w:rsidRPr="00F60460" w:rsidRDefault="009D32CF" w:rsidP="00F33CDD">
            <w:pPr>
              <w:pStyle w:val="TableParagraph"/>
              <w:spacing w:line="296" w:lineRule="auto"/>
              <w:ind w:right="64"/>
              <w:jc w:val="center"/>
              <w:rPr>
                <w:rFonts w:ascii="Times New Roman" w:hAnsi="Times New Roman"/>
                <w:color w:val="000000"/>
                <w:sz w:val="20"/>
              </w:rPr>
            </w:pPr>
          </w:p>
        </w:tc>
      </w:tr>
      <w:tr w:rsidR="009D32CF" w:rsidRPr="00F60460" w14:paraId="4C6E6251" w14:textId="77777777" w:rsidTr="00F33CDD">
        <w:trPr>
          <w:trHeight w:hRule="exact" w:val="505"/>
        </w:trPr>
        <w:tc>
          <w:tcPr>
            <w:tcW w:w="1185" w:type="dxa"/>
            <w:tcBorders>
              <w:top w:val="nil"/>
              <w:bottom w:val="nil"/>
              <w:right w:val="nil"/>
            </w:tcBorders>
          </w:tcPr>
          <w:p w14:paraId="06DFC25D" w14:textId="77777777" w:rsidR="009D32CF" w:rsidRPr="00F60460" w:rsidRDefault="009D32CF" w:rsidP="00F33CDD">
            <w:pPr>
              <w:pStyle w:val="TableParagraph"/>
              <w:rPr>
                <w:rFonts w:ascii="Times New Roman" w:eastAsia="Times New Roman" w:hAnsi="Times New Roman"/>
                <w:color w:val="000000"/>
                <w:sz w:val="20"/>
                <w:szCs w:val="20"/>
              </w:rPr>
            </w:pPr>
            <w:r w:rsidRPr="00F60460">
              <w:rPr>
                <w:rFonts w:ascii="Times New Roman" w:hAnsi="Times New Roman"/>
                <w:color w:val="000000"/>
                <w:sz w:val="20"/>
              </w:rPr>
              <w:t>Topotekan + paklitaxel vs.</w:t>
            </w:r>
          </w:p>
        </w:tc>
        <w:tc>
          <w:tcPr>
            <w:tcW w:w="1279" w:type="dxa"/>
            <w:tcBorders>
              <w:top w:val="nil"/>
              <w:left w:val="nil"/>
              <w:bottom w:val="nil"/>
              <w:right w:val="nil"/>
            </w:tcBorders>
          </w:tcPr>
          <w:p w14:paraId="51302B0C" w14:textId="77777777" w:rsidR="009D32CF" w:rsidRPr="00F60460" w:rsidRDefault="009D32CF" w:rsidP="00F33CDD">
            <w:pPr>
              <w:pStyle w:val="TableParagraph"/>
              <w:rPr>
                <w:rFonts w:ascii="Times New Roman" w:eastAsia="Times New Roman" w:hAnsi="Times New Roman"/>
                <w:color w:val="000000"/>
                <w:sz w:val="20"/>
                <w:szCs w:val="20"/>
              </w:rPr>
            </w:pPr>
            <w:r w:rsidRPr="00F60460">
              <w:rPr>
                <w:rFonts w:ascii="Times New Roman" w:hAnsi="Times New Roman"/>
                <w:color w:val="000000"/>
                <w:sz w:val="20"/>
              </w:rPr>
              <w:t>Bevacizumab</w:t>
            </w:r>
          </w:p>
        </w:tc>
        <w:tc>
          <w:tcPr>
            <w:tcW w:w="3444" w:type="dxa"/>
            <w:tcBorders>
              <w:top w:val="nil"/>
              <w:left w:val="nil"/>
              <w:bottom w:val="nil"/>
            </w:tcBorders>
          </w:tcPr>
          <w:p w14:paraId="3FF04D37" w14:textId="77777777" w:rsidR="009D32CF" w:rsidRPr="00F60460" w:rsidRDefault="009D32CF" w:rsidP="00F33CDD">
            <w:pPr>
              <w:pStyle w:val="TableParagraph"/>
              <w:spacing w:line="210" w:lineRule="exact"/>
              <w:jc w:val="center"/>
              <w:rPr>
                <w:rFonts w:ascii="Times New Roman" w:hAnsi="Times New Roman"/>
                <w:color w:val="000000"/>
                <w:sz w:val="20"/>
              </w:rPr>
            </w:pPr>
            <w:r w:rsidRPr="00F60460">
              <w:rPr>
                <w:rFonts w:ascii="Times New Roman" w:hAnsi="Times New Roman"/>
                <w:color w:val="000000"/>
                <w:sz w:val="20"/>
              </w:rPr>
              <w:t xml:space="preserve">1,15 (0,82, 1,61) </w:t>
            </w:r>
          </w:p>
          <w:p w14:paraId="00CF195E" w14:textId="77777777" w:rsidR="009D32CF" w:rsidRPr="00F60460" w:rsidRDefault="009D32CF" w:rsidP="00F33CDD">
            <w:pPr>
              <w:pStyle w:val="TableParagraph"/>
              <w:spacing w:line="210" w:lineRule="exact"/>
              <w:jc w:val="center"/>
              <w:rPr>
                <w:rFonts w:ascii="Times New Roman" w:hAnsi="Times New Roman"/>
                <w:color w:val="000000"/>
                <w:sz w:val="20"/>
              </w:rPr>
            </w:pPr>
            <w:r w:rsidRPr="00F60460">
              <w:rPr>
                <w:rFonts w:ascii="Times New Roman" w:hAnsi="Times New Roman"/>
                <w:color w:val="000000"/>
                <w:sz w:val="20"/>
              </w:rPr>
              <w:t>(14,9 vs. 17,5 měsíce; p = 0,4146)</w:t>
            </w:r>
          </w:p>
        </w:tc>
        <w:tc>
          <w:tcPr>
            <w:tcW w:w="3192" w:type="dxa"/>
            <w:tcBorders>
              <w:top w:val="nil"/>
              <w:bottom w:val="nil"/>
            </w:tcBorders>
          </w:tcPr>
          <w:p w14:paraId="240CCB38" w14:textId="77777777" w:rsidR="009D32CF" w:rsidRPr="00F60460" w:rsidRDefault="009D32CF" w:rsidP="00F33CDD">
            <w:pPr>
              <w:pStyle w:val="TableParagraph"/>
              <w:spacing w:line="210" w:lineRule="exact"/>
              <w:jc w:val="center"/>
              <w:rPr>
                <w:rFonts w:ascii="Times New Roman" w:hAnsi="Times New Roman"/>
                <w:color w:val="000000"/>
                <w:sz w:val="20"/>
              </w:rPr>
            </w:pPr>
            <w:r w:rsidRPr="00F60460">
              <w:rPr>
                <w:rFonts w:ascii="Times New Roman" w:hAnsi="Times New Roman"/>
                <w:color w:val="000000"/>
                <w:sz w:val="20"/>
              </w:rPr>
              <w:t xml:space="preserve">1,15 (0,85, 1,56) </w:t>
            </w:r>
          </w:p>
          <w:p w14:paraId="19DCF34C" w14:textId="77777777" w:rsidR="009D32CF" w:rsidRPr="00F60460" w:rsidRDefault="009D32CF" w:rsidP="00F33CDD">
            <w:pPr>
              <w:pStyle w:val="TableParagraph"/>
              <w:spacing w:line="210" w:lineRule="exact"/>
              <w:jc w:val="center"/>
              <w:rPr>
                <w:rFonts w:ascii="Times New Roman" w:hAnsi="Times New Roman"/>
                <w:color w:val="000000"/>
                <w:sz w:val="20"/>
              </w:rPr>
            </w:pPr>
            <w:r w:rsidRPr="00F60460">
              <w:rPr>
                <w:rFonts w:ascii="Times New Roman" w:hAnsi="Times New Roman"/>
                <w:color w:val="000000"/>
                <w:sz w:val="20"/>
              </w:rPr>
              <w:t>(16,2 vs. 17,5 měsíce; p = 0,3769)</w:t>
            </w:r>
          </w:p>
        </w:tc>
      </w:tr>
      <w:tr w:rsidR="009D32CF" w:rsidRPr="00F60460" w14:paraId="34325AC4" w14:textId="77777777" w:rsidTr="00F33CDD">
        <w:trPr>
          <w:trHeight w:hRule="exact" w:val="801"/>
        </w:trPr>
        <w:tc>
          <w:tcPr>
            <w:tcW w:w="1185" w:type="dxa"/>
            <w:tcBorders>
              <w:top w:val="nil"/>
              <w:right w:val="nil"/>
            </w:tcBorders>
          </w:tcPr>
          <w:p w14:paraId="41BEAC5B" w14:textId="77777777" w:rsidR="009D32CF" w:rsidRPr="00F60460" w:rsidRDefault="009D32CF" w:rsidP="00F33CDD">
            <w:pPr>
              <w:pStyle w:val="TableParagraph"/>
              <w:spacing w:line="247" w:lineRule="auto"/>
              <w:ind w:right="293"/>
              <w:rPr>
                <w:rFonts w:ascii="Times New Roman" w:eastAsia="Times New Roman" w:hAnsi="Times New Roman"/>
                <w:color w:val="000000"/>
                <w:sz w:val="20"/>
                <w:szCs w:val="20"/>
              </w:rPr>
            </w:pPr>
            <w:r w:rsidRPr="00F60460">
              <w:rPr>
                <w:rFonts w:ascii="Times New Roman" w:hAnsi="Times New Roman"/>
                <w:color w:val="000000"/>
                <w:sz w:val="20"/>
              </w:rPr>
              <w:t>Cisplatina + paklitaxel</w:t>
            </w:r>
          </w:p>
        </w:tc>
        <w:tc>
          <w:tcPr>
            <w:tcW w:w="1279" w:type="dxa"/>
            <w:tcBorders>
              <w:top w:val="nil"/>
              <w:left w:val="nil"/>
              <w:bottom w:val="single" w:sz="4" w:space="0" w:color="auto"/>
              <w:right w:val="nil"/>
            </w:tcBorders>
          </w:tcPr>
          <w:p w14:paraId="4AE70902" w14:textId="77777777" w:rsidR="009D32CF" w:rsidRPr="00F60460" w:rsidRDefault="009D32CF" w:rsidP="00F33CDD">
            <w:pPr>
              <w:pStyle w:val="TableParagraph"/>
              <w:rPr>
                <w:rFonts w:ascii="Times New Roman" w:eastAsia="Times New Roman" w:hAnsi="Times New Roman"/>
                <w:color w:val="000000"/>
                <w:sz w:val="20"/>
                <w:szCs w:val="20"/>
              </w:rPr>
            </w:pPr>
            <w:r w:rsidRPr="00F60460">
              <w:rPr>
                <w:rFonts w:ascii="Times New Roman" w:hAnsi="Times New Roman"/>
                <w:color w:val="000000"/>
                <w:sz w:val="20"/>
              </w:rPr>
              <w:t>Bez bevacizumabu</w:t>
            </w:r>
          </w:p>
        </w:tc>
        <w:tc>
          <w:tcPr>
            <w:tcW w:w="3444" w:type="dxa"/>
            <w:tcBorders>
              <w:top w:val="nil"/>
              <w:left w:val="nil"/>
            </w:tcBorders>
          </w:tcPr>
          <w:p w14:paraId="1C51656D" w14:textId="77777777" w:rsidR="009D32CF" w:rsidRPr="00F60460" w:rsidRDefault="009D32CF" w:rsidP="00F33CDD">
            <w:pPr>
              <w:pStyle w:val="TableParagraph"/>
              <w:spacing w:line="210" w:lineRule="exact"/>
              <w:jc w:val="center"/>
              <w:rPr>
                <w:rFonts w:ascii="Times New Roman" w:hAnsi="Times New Roman"/>
                <w:color w:val="000000"/>
                <w:sz w:val="20"/>
              </w:rPr>
            </w:pPr>
            <w:r w:rsidRPr="00F60460">
              <w:rPr>
                <w:rFonts w:ascii="Times New Roman" w:hAnsi="Times New Roman"/>
                <w:color w:val="000000"/>
                <w:sz w:val="20"/>
              </w:rPr>
              <w:t xml:space="preserve">1,13 (0,81, 1,57) </w:t>
            </w:r>
          </w:p>
          <w:p w14:paraId="79ACB5F3" w14:textId="77777777" w:rsidR="009D32CF" w:rsidRPr="00F60460" w:rsidRDefault="009D32CF" w:rsidP="00F33CDD">
            <w:pPr>
              <w:pStyle w:val="TableParagraph"/>
              <w:spacing w:line="210" w:lineRule="exact"/>
              <w:jc w:val="center"/>
              <w:rPr>
                <w:rFonts w:ascii="Times New Roman" w:hAnsi="Times New Roman"/>
                <w:color w:val="000000"/>
                <w:sz w:val="20"/>
              </w:rPr>
            </w:pPr>
            <w:r w:rsidRPr="00F60460">
              <w:rPr>
                <w:rFonts w:ascii="Times New Roman" w:hAnsi="Times New Roman"/>
                <w:color w:val="000000"/>
                <w:sz w:val="20"/>
              </w:rPr>
              <w:t>(11,9 vs. 14,3 měsíce; p = 0,4825)</w:t>
            </w:r>
          </w:p>
        </w:tc>
        <w:tc>
          <w:tcPr>
            <w:tcW w:w="3192" w:type="dxa"/>
            <w:tcBorders>
              <w:top w:val="nil"/>
            </w:tcBorders>
          </w:tcPr>
          <w:p w14:paraId="71CD23AF" w14:textId="77777777" w:rsidR="009D32CF" w:rsidRPr="00F60460" w:rsidRDefault="009D32CF" w:rsidP="00F33CDD">
            <w:pPr>
              <w:pStyle w:val="TableParagraph"/>
              <w:spacing w:line="210" w:lineRule="exact"/>
              <w:jc w:val="center"/>
              <w:rPr>
                <w:rFonts w:ascii="Times New Roman" w:hAnsi="Times New Roman"/>
                <w:color w:val="000000"/>
                <w:sz w:val="20"/>
              </w:rPr>
            </w:pPr>
            <w:r w:rsidRPr="00F60460">
              <w:rPr>
                <w:rFonts w:ascii="Times New Roman" w:hAnsi="Times New Roman"/>
                <w:color w:val="000000"/>
                <w:sz w:val="20"/>
              </w:rPr>
              <w:t xml:space="preserve">1,08 (0,80, 1,45) </w:t>
            </w:r>
          </w:p>
          <w:p w14:paraId="65DEECE1" w14:textId="77777777" w:rsidR="009D32CF" w:rsidRPr="00F60460" w:rsidRDefault="009D32CF" w:rsidP="00F33CDD">
            <w:pPr>
              <w:pStyle w:val="TableParagraph"/>
              <w:spacing w:line="210" w:lineRule="exact"/>
              <w:jc w:val="center"/>
              <w:rPr>
                <w:rFonts w:ascii="Times New Roman" w:hAnsi="Times New Roman"/>
                <w:color w:val="000000"/>
                <w:sz w:val="20"/>
              </w:rPr>
            </w:pPr>
            <w:r w:rsidRPr="00F60460">
              <w:rPr>
                <w:rFonts w:ascii="Times New Roman" w:hAnsi="Times New Roman"/>
                <w:color w:val="000000"/>
                <w:sz w:val="20"/>
              </w:rPr>
              <w:t>(12,0 vs. 15,0 měsíce; p = 0,6267)</w:t>
            </w:r>
          </w:p>
        </w:tc>
      </w:tr>
    </w:tbl>
    <w:p w14:paraId="0AD0E1AE" w14:textId="77777777" w:rsidR="009D32CF" w:rsidRPr="00F60460" w:rsidRDefault="009D32CF" w:rsidP="00D23770">
      <w:pPr>
        <w:spacing w:line="230" w:lineRule="exact"/>
        <w:ind w:left="284" w:right="285" w:hanging="284"/>
        <w:rPr>
          <w:rFonts w:ascii="Times New Roman" w:eastAsia="Times New Roman" w:hAnsi="Times New Roman"/>
          <w:color w:val="000000"/>
          <w:sz w:val="20"/>
          <w:szCs w:val="20"/>
        </w:rPr>
      </w:pPr>
      <w:r w:rsidRPr="00F60460">
        <w:rPr>
          <w:rFonts w:ascii="Times New Roman" w:hAnsi="Times New Roman"/>
          <w:color w:val="000000"/>
          <w:sz w:val="20"/>
          <w:vertAlign w:val="superscript"/>
        </w:rPr>
        <w:t>1</w:t>
      </w:r>
      <w:r w:rsidRPr="00F60460">
        <w:rPr>
          <w:rFonts w:ascii="Times New Roman" w:hAnsi="Times New Roman"/>
          <w:color w:val="000000"/>
          <w:sz w:val="13"/>
        </w:rPr>
        <w:t xml:space="preserve"> </w:t>
      </w:r>
      <w:r w:rsidR="00A62B2F" w:rsidRPr="00F60460">
        <w:rPr>
          <w:rFonts w:ascii="Times New Roman" w:hAnsi="Times New Roman"/>
          <w:color w:val="000000"/>
          <w:sz w:val="13"/>
        </w:rPr>
        <w:tab/>
      </w:r>
      <w:r w:rsidRPr="00F60460">
        <w:rPr>
          <w:rFonts w:ascii="Times New Roman" w:hAnsi="Times New Roman"/>
          <w:color w:val="000000"/>
          <w:sz w:val="20"/>
        </w:rPr>
        <w:t>Primární analýza byla provedena k datu ukončení sběru údajů 12. prosince 2012 a je považována za konečnou analýzu</w:t>
      </w:r>
    </w:p>
    <w:p w14:paraId="0A6E86D6" w14:textId="77777777" w:rsidR="009D32CF" w:rsidRPr="00F60460" w:rsidRDefault="009D32CF" w:rsidP="00D23770">
      <w:pPr>
        <w:spacing w:line="228" w:lineRule="exact"/>
        <w:ind w:left="284" w:right="192" w:hanging="284"/>
        <w:rPr>
          <w:rFonts w:ascii="Times New Roman" w:eastAsia="Times New Roman" w:hAnsi="Times New Roman"/>
          <w:color w:val="000000"/>
          <w:sz w:val="20"/>
          <w:szCs w:val="20"/>
        </w:rPr>
      </w:pPr>
      <w:r w:rsidRPr="00F60460">
        <w:rPr>
          <w:rFonts w:ascii="Times New Roman" w:hAnsi="Times New Roman"/>
          <w:color w:val="000000"/>
          <w:sz w:val="20"/>
          <w:vertAlign w:val="superscript"/>
        </w:rPr>
        <w:t>2</w:t>
      </w:r>
      <w:r w:rsidRPr="00F60460">
        <w:rPr>
          <w:rFonts w:ascii="Times New Roman" w:hAnsi="Times New Roman"/>
          <w:color w:val="000000"/>
          <w:sz w:val="13"/>
        </w:rPr>
        <w:t xml:space="preserve"> </w:t>
      </w:r>
      <w:r w:rsidR="00A62B2F" w:rsidRPr="00F60460">
        <w:rPr>
          <w:rFonts w:ascii="Times New Roman" w:hAnsi="Times New Roman"/>
          <w:color w:val="000000"/>
          <w:sz w:val="13"/>
        </w:rPr>
        <w:tab/>
      </w:r>
      <w:r w:rsidRPr="00F60460">
        <w:rPr>
          <w:rFonts w:ascii="Times New Roman" w:hAnsi="Times New Roman"/>
          <w:color w:val="000000"/>
          <w:sz w:val="20"/>
        </w:rPr>
        <w:t>Následná analýza byla provedena k datu ukončení sběru údajů 7. března 2014 a všechny zobrazené p-hodnoty mají výlučně popisný charakter</w:t>
      </w:r>
    </w:p>
    <w:p w14:paraId="4D37832D" w14:textId="77777777" w:rsidR="009D32CF" w:rsidRPr="00381DC2" w:rsidRDefault="009D32CF" w:rsidP="007F6E1B">
      <w:pPr>
        <w:rPr>
          <w:rFonts w:ascii="Times New Roman" w:eastAsia="Times New Roman" w:hAnsi="Times New Roman"/>
          <w:color w:val="000000"/>
        </w:rPr>
      </w:pPr>
    </w:p>
    <w:p w14:paraId="65B04178" w14:textId="77777777" w:rsidR="00D15122" w:rsidRPr="00381DC2" w:rsidRDefault="009B0756" w:rsidP="00FF564D">
      <w:pPr>
        <w:keepNext/>
        <w:keepLines/>
        <w:spacing w:line="252" w:lineRule="exact"/>
        <w:rPr>
          <w:rFonts w:ascii="Times New Roman" w:eastAsia="Times New Roman" w:hAnsi="Times New Roman"/>
          <w:color w:val="000000"/>
        </w:rPr>
      </w:pPr>
      <w:r w:rsidRPr="00381DC2">
        <w:rPr>
          <w:rFonts w:ascii="Times New Roman" w:hAnsi="Times New Roman"/>
          <w:color w:val="000000"/>
          <w:u w:val="single" w:color="000000"/>
        </w:rPr>
        <w:lastRenderedPageBreak/>
        <w:t>Pediatrická populace</w:t>
      </w:r>
    </w:p>
    <w:p w14:paraId="35CC768E" w14:textId="77777777" w:rsidR="00F54962" w:rsidRPr="00381DC2" w:rsidRDefault="00F54962" w:rsidP="00FF564D">
      <w:pPr>
        <w:pStyle w:val="BodyText"/>
        <w:keepNext/>
        <w:keepLines/>
        <w:ind w:left="0" w:right="192"/>
        <w:rPr>
          <w:color w:val="000000"/>
        </w:rPr>
      </w:pPr>
    </w:p>
    <w:p w14:paraId="7FECF6E1" w14:textId="77777777" w:rsidR="00D15122" w:rsidRPr="00381DC2" w:rsidRDefault="009B0756" w:rsidP="007F6E1B">
      <w:pPr>
        <w:pStyle w:val="BodyText"/>
        <w:ind w:left="0" w:right="192"/>
        <w:rPr>
          <w:color w:val="000000"/>
        </w:rPr>
      </w:pPr>
      <w:r w:rsidRPr="00381DC2">
        <w:rPr>
          <w:color w:val="000000"/>
        </w:rPr>
        <w:t xml:space="preserve">Evropská agentura </w:t>
      </w:r>
      <w:r w:rsidR="004D45CB" w:rsidRPr="00381DC2">
        <w:rPr>
          <w:color w:val="000000"/>
        </w:rPr>
        <w:t xml:space="preserve">pro léčivé přípravky </w:t>
      </w:r>
      <w:r w:rsidR="00A936A4" w:rsidRPr="00381DC2">
        <w:rPr>
          <w:color w:val="000000"/>
        </w:rPr>
        <w:t xml:space="preserve">rozhodla o zproštění </w:t>
      </w:r>
      <w:r w:rsidRPr="00381DC2">
        <w:rPr>
          <w:color w:val="000000"/>
        </w:rPr>
        <w:t xml:space="preserve">povinnosti předložit výsledky studií </w:t>
      </w:r>
      <w:r w:rsidR="00A936A4" w:rsidRPr="00381DC2">
        <w:rPr>
          <w:color w:val="000000"/>
        </w:rPr>
        <w:t>u </w:t>
      </w:r>
      <w:r w:rsidRPr="00381DC2">
        <w:rPr>
          <w:color w:val="000000"/>
        </w:rPr>
        <w:t xml:space="preserve">všech podskupin pediatrické populace v indikacích </w:t>
      </w:r>
      <w:r w:rsidR="000834FE" w:rsidRPr="00381DC2">
        <w:rPr>
          <w:color w:val="000000"/>
        </w:rPr>
        <w:t xml:space="preserve">nádorového onemocnění </w:t>
      </w:r>
      <w:r w:rsidRPr="00381DC2">
        <w:rPr>
          <w:color w:val="000000"/>
        </w:rPr>
        <w:t xml:space="preserve">prsu, adenokarcinomu tlustého střeva a konečníku, karcinomu plic (malobuněčný a nemalobuněčný karcinom), karcinomu ledvin a ledvinné pánvičky (s výjimkou nefroblastomu, nefroblastomatózy, světlobuněčného sarkomu, mezoblastického nefromu, medulárního renálního karcinomu a rabdoidního nádoru ledviny), karcinomu vaječníků (s výjimkou rabdomyosarkomu a nádorů ze zárodečných buněk), karcinomu vejcovodů (s výjimkou rabdomyosarkomu a nádorů ze zárodečných buněk), peritoneálního karcinomu (s výjimkou blastomů a sarkomů) a karcinomu děložního </w:t>
      </w:r>
      <w:r w:rsidR="004D45CB" w:rsidRPr="00381DC2">
        <w:rPr>
          <w:color w:val="000000"/>
        </w:rPr>
        <w:t>čípku</w:t>
      </w:r>
      <w:r w:rsidRPr="00381DC2">
        <w:rPr>
          <w:color w:val="000000"/>
        </w:rPr>
        <w:t xml:space="preserve"> a děložního těla.</w:t>
      </w:r>
    </w:p>
    <w:p w14:paraId="40C81903" w14:textId="77777777" w:rsidR="00D15122" w:rsidRPr="00381DC2" w:rsidRDefault="00D15122" w:rsidP="007F6E1B">
      <w:pPr>
        <w:rPr>
          <w:rFonts w:ascii="Times New Roman" w:eastAsia="Times New Roman" w:hAnsi="Times New Roman"/>
          <w:color w:val="000000"/>
        </w:rPr>
      </w:pPr>
    </w:p>
    <w:p w14:paraId="57746AEB" w14:textId="77777777" w:rsidR="00D15122" w:rsidRPr="00381DC2" w:rsidRDefault="004D45CB" w:rsidP="007F6E1B">
      <w:pPr>
        <w:spacing w:line="252" w:lineRule="exact"/>
        <w:rPr>
          <w:rFonts w:ascii="Times New Roman" w:eastAsia="Times New Roman" w:hAnsi="Times New Roman"/>
          <w:i/>
          <w:color w:val="000000"/>
          <w:u w:val="single"/>
        </w:rPr>
      </w:pPr>
      <w:r w:rsidRPr="00381DC2">
        <w:rPr>
          <w:rFonts w:ascii="Times New Roman" w:hAnsi="Times New Roman"/>
          <w:i/>
          <w:color w:val="000000"/>
          <w:u w:val="single"/>
        </w:rPr>
        <w:t>G</w:t>
      </w:r>
      <w:r w:rsidR="009B0756" w:rsidRPr="00381DC2">
        <w:rPr>
          <w:rFonts w:ascii="Times New Roman" w:hAnsi="Times New Roman"/>
          <w:i/>
          <w:color w:val="000000"/>
          <w:u w:val="single"/>
        </w:rPr>
        <w:t>liom</w:t>
      </w:r>
      <w:r w:rsidRPr="00381DC2">
        <w:rPr>
          <w:rFonts w:ascii="Times New Roman" w:hAnsi="Times New Roman"/>
          <w:i/>
          <w:color w:val="000000"/>
          <w:u w:val="single"/>
        </w:rPr>
        <w:t xml:space="preserve"> vysokého stupně malignity (high-grade gliom, HGG)</w:t>
      </w:r>
    </w:p>
    <w:p w14:paraId="2836A99E" w14:textId="77777777" w:rsidR="00F54962" w:rsidRPr="00381DC2" w:rsidRDefault="00F54962" w:rsidP="007F6E1B">
      <w:pPr>
        <w:pStyle w:val="BodyText"/>
        <w:ind w:left="0" w:right="192"/>
        <w:rPr>
          <w:color w:val="000000"/>
        </w:rPr>
      </w:pPr>
    </w:p>
    <w:p w14:paraId="5415C99F" w14:textId="77777777" w:rsidR="00D15122" w:rsidRPr="00381DC2" w:rsidRDefault="009B0756" w:rsidP="007F6E1B">
      <w:pPr>
        <w:pStyle w:val="BodyText"/>
        <w:ind w:left="0" w:right="192"/>
        <w:rPr>
          <w:color w:val="000000"/>
        </w:rPr>
      </w:pPr>
      <w:r w:rsidRPr="00381DC2">
        <w:rPr>
          <w:color w:val="000000"/>
        </w:rPr>
        <w:t xml:space="preserve">Protinádorová aktivita nebyla pozorována ve dvou předcházejících studiích u celkem 30 dětí ve věku &gt; 3 roky s relabujícím nebo progresivním gliomem </w:t>
      </w:r>
      <w:r w:rsidR="004D45CB" w:rsidRPr="00381DC2">
        <w:rPr>
          <w:color w:val="000000"/>
        </w:rPr>
        <w:t xml:space="preserve">vysokého stupně malignity </w:t>
      </w:r>
      <w:r w:rsidRPr="00381DC2">
        <w:rPr>
          <w:color w:val="000000"/>
        </w:rPr>
        <w:t>při léčbě bevacizumabem a irinotekanem (CPT-11). Informace nepostačují ke stanovení bezpečnosti a účinnosti bevacizumabu u dětí s nově diagnostikovaným high-grade gliomem.</w:t>
      </w:r>
    </w:p>
    <w:p w14:paraId="62E4AD94" w14:textId="77777777" w:rsidR="00D15122" w:rsidRPr="00381DC2" w:rsidRDefault="00D15122" w:rsidP="007F6E1B">
      <w:pPr>
        <w:rPr>
          <w:rFonts w:ascii="Times New Roman" w:eastAsia="Times New Roman" w:hAnsi="Times New Roman"/>
          <w:color w:val="000000"/>
        </w:rPr>
      </w:pPr>
    </w:p>
    <w:p w14:paraId="79E3F847" w14:textId="77777777" w:rsidR="00D15122" w:rsidRPr="00381DC2" w:rsidRDefault="00B3579F" w:rsidP="00435CC3">
      <w:pPr>
        <w:pStyle w:val="BodyText"/>
        <w:numPr>
          <w:ilvl w:val="2"/>
          <w:numId w:val="10"/>
        </w:numPr>
        <w:tabs>
          <w:tab w:val="left" w:pos="540"/>
        </w:tabs>
        <w:ind w:left="540" w:right="409" w:hanging="540"/>
        <w:rPr>
          <w:color w:val="000000"/>
        </w:rPr>
      </w:pPr>
      <w:r w:rsidRPr="00381DC2">
        <w:rPr>
          <w:color w:val="000000"/>
        </w:rPr>
        <w:t xml:space="preserve">V jednoramenné </w:t>
      </w:r>
      <w:r w:rsidR="009B0756" w:rsidRPr="00381DC2">
        <w:rPr>
          <w:color w:val="000000"/>
        </w:rPr>
        <w:t xml:space="preserve">studii (PBTC-022) bylo 18 dětí s rekurentním nebo progresivním nepontinním high-grade gliomem (včetně 8 s glioblastomem [WHO stupeň IV], 9 s anaplastickým astrocytomem [stupeň III] a 1 s anaplastickým oligodendrogliomem [stupeň III]) léčeno bevacizumabem (10 mg/kg) </w:t>
      </w:r>
      <w:r w:rsidRPr="00381DC2">
        <w:rPr>
          <w:color w:val="000000"/>
        </w:rPr>
        <w:t xml:space="preserve">s odstupem dvou týdnů </w:t>
      </w:r>
      <w:r w:rsidR="009B0756" w:rsidRPr="00381DC2">
        <w:rPr>
          <w:color w:val="000000"/>
        </w:rPr>
        <w:t>a poté bevacizumabem v kombinaci s CPT-11 (125–350 mg/m</w:t>
      </w:r>
      <w:r w:rsidR="009B0756" w:rsidRPr="00381DC2">
        <w:rPr>
          <w:color w:val="000000"/>
          <w:vertAlign w:val="superscript"/>
        </w:rPr>
        <w:t>2</w:t>
      </w:r>
      <w:r w:rsidR="009B0756" w:rsidRPr="00381DC2">
        <w:rPr>
          <w:color w:val="000000"/>
        </w:rPr>
        <w:t xml:space="preserve">) </w:t>
      </w:r>
      <w:r w:rsidRPr="00381DC2">
        <w:rPr>
          <w:color w:val="000000"/>
        </w:rPr>
        <w:t xml:space="preserve">jednou </w:t>
      </w:r>
      <w:r w:rsidR="00D63038" w:rsidRPr="00381DC2">
        <w:rPr>
          <w:color w:val="000000"/>
        </w:rPr>
        <w:t xml:space="preserve">každé </w:t>
      </w:r>
      <w:r w:rsidR="009B0756" w:rsidRPr="00381DC2">
        <w:rPr>
          <w:color w:val="000000"/>
        </w:rPr>
        <w:t>dva týdny až do progrese. Nebyly zaznamenány žádné objektivní (částečné nebo úplné) radiologické odpovědi (MacDonaldova kritéria). Toxicita a nežádoucí účinky zahrnovaly arteriální hypertenzi a únavu a také isch</w:t>
      </w:r>
      <w:r w:rsidRPr="00381DC2">
        <w:rPr>
          <w:color w:val="000000"/>
        </w:rPr>
        <w:t>e</w:t>
      </w:r>
      <w:r w:rsidR="009B0756" w:rsidRPr="00381DC2">
        <w:rPr>
          <w:color w:val="000000"/>
        </w:rPr>
        <w:t>mii CNS s akutním neurologickým deficitem.</w:t>
      </w:r>
    </w:p>
    <w:p w14:paraId="39B8C31D" w14:textId="77777777" w:rsidR="00D15122" w:rsidRPr="00381DC2" w:rsidRDefault="00D15122" w:rsidP="00435CC3">
      <w:pPr>
        <w:rPr>
          <w:rFonts w:ascii="Times New Roman" w:eastAsia="Times New Roman" w:hAnsi="Times New Roman"/>
          <w:color w:val="000000"/>
        </w:rPr>
      </w:pPr>
    </w:p>
    <w:p w14:paraId="00220B2D" w14:textId="77777777" w:rsidR="00D15122" w:rsidRPr="00381DC2" w:rsidRDefault="009B0756" w:rsidP="00CC0FAB">
      <w:pPr>
        <w:pStyle w:val="BodyText"/>
        <w:numPr>
          <w:ilvl w:val="2"/>
          <w:numId w:val="10"/>
        </w:numPr>
        <w:tabs>
          <w:tab w:val="left" w:pos="540"/>
        </w:tabs>
        <w:ind w:left="540" w:right="409" w:hanging="540"/>
        <w:rPr>
          <w:color w:val="000000"/>
        </w:rPr>
      </w:pPr>
      <w:r w:rsidRPr="00381DC2">
        <w:rPr>
          <w:color w:val="000000"/>
        </w:rPr>
        <w:t xml:space="preserve">V sérii retrospektivních studií v jednotlivých </w:t>
      </w:r>
      <w:r w:rsidR="00B3579F" w:rsidRPr="00381DC2">
        <w:rPr>
          <w:color w:val="000000"/>
        </w:rPr>
        <w:t xml:space="preserve">zdravotnických zařízeních </w:t>
      </w:r>
      <w:r w:rsidRPr="00381DC2">
        <w:rPr>
          <w:color w:val="000000"/>
        </w:rPr>
        <w:t>bylo postupně (2005 až 2008) 12 dětí s relabujícím nebo progresivním high-grade gliomem (3 s WHO stupněm IV, 9 se stupněm III) léčeno bevacizumabem (10 mg/kg) a irinotekanem (125 mg/m²) každé 2 týdny. Nebyly pozorovány žádné úplné odpovědi a byly pozorovány 2 částečné odpovědi (MacDonaldova kritéria).</w:t>
      </w:r>
    </w:p>
    <w:p w14:paraId="35137672" w14:textId="77777777" w:rsidR="00D15122" w:rsidRPr="00381DC2" w:rsidRDefault="00D15122" w:rsidP="00435CC3">
      <w:pPr>
        <w:rPr>
          <w:rFonts w:ascii="Times New Roman" w:eastAsia="Times New Roman" w:hAnsi="Times New Roman"/>
          <w:color w:val="000000"/>
        </w:rPr>
      </w:pPr>
    </w:p>
    <w:p w14:paraId="46B3B6A0" w14:textId="77777777" w:rsidR="00D15122" w:rsidRPr="00381DC2" w:rsidRDefault="009B0756" w:rsidP="007F6E1B">
      <w:pPr>
        <w:pStyle w:val="BodyText"/>
        <w:ind w:left="0" w:right="285"/>
        <w:rPr>
          <w:color w:val="000000"/>
        </w:rPr>
      </w:pPr>
      <w:r w:rsidRPr="00381DC2">
        <w:rPr>
          <w:color w:val="000000"/>
        </w:rPr>
        <w:t xml:space="preserve">V randomizované studii fáze II (BO25041) bylo celkem 121 pacientů ve věku ≥ 3 roky až &lt; 18 let s nově diagnostikovaným supratentoriálním nebo infratentoriálním cerebelárním nebo pedunkulárním high-grade gliomem (HGG) léčeno pooperační radioterapií (RT) a adjuvantním temozolomidem (T) s bevacizumabem nebo bez něj: 10 mg/kg každé 2 týdny </w:t>
      </w:r>
      <w:r w:rsidR="00F54962" w:rsidRPr="00381DC2">
        <w:rPr>
          <w:color w:val="000000"/>
        </w:rPr>
        <w:t>intravenózně</w:t>
      </w:r>
      <w:r w:rsidRPr="00381DC2">
        <w:rPr>
          <w:color w:val="000000"/>
        </w:rPr>
        <w:t>.</w:t>
      </w:r>
    </w:p>
    <w:p w14:paraId="7771FDBA" w14:textId="77777777" w:rsidR="000B75A7" w:rsidRPr="00381DC2" w:rsidRDefault="000B75A7" w:rsidP="007F6E1B">
      <w:pPr>
        <w:pStyle w:val="BodyText"/>
        <w:ind w:left="0" w:right="285"/>
        <w:rPr>
          <w:color w:val="000000"/>
        </w:rPr>
      </w:pPr>
    </w:p>
    <w:p w14:paraId="6B1FAE19" w14:textId="77777777" w:rsidR="00D15122" w:rsidRPr="00381DC2" w:rsidRDefault="009B0756" w:rsidP="007F6E1B">
      <w:pPr>
        <w:pStyle w:val="BodyText"/>
        <w:ind w:left="0" w:right="192"/>
        <w:rPr>
          <w:color w:val="000000"/>
        </w:rPr>
      </w:pPr>
      <w:r w:rsidRPr="00381DC2">
        <w:rPr>
          <w:color w:val="000000"/>
        </w:rPr>
        <w:t xml:space="preserve">Studie nedosáhla primárního </w:t>
      </w:r>
      <w:r w:rsidR="006A1518" w:rsidRPr="00381DC2">
        <w:rPr>
          <w:color w:val="000000"/>
        </w:rPr>
        <w:t xml:space="preserve">cílového parametru k prokázání </w:t>
      </w:r>
      <w:r w:rsidRPr="00381DC2">
        <w:rPr>
          <w:color w:val="000000"/>
        </w:rPr>
        <w:t>významné</w:t>
      </w:r>
      <w:r w:rsidR="006A1518" w:rsidRPr="00381DC2">
        <w:rPr>
          <w:color w:val="000000"/>
        </w:rPr>
        <w:t>ho</w:t>
      </w:r>
      <w:r w:rsidRPr="00381DC2">
        <w:rPr>
          <w:color w:val="000000"/>
        </w:rPr>
        <w:t xml:space="preserve"> prodloužení EFS (přežití bez </w:t>
      </w:r>
      <w:r w:rsidR="004005A7" w:rsidRPr="00381DC2">
        <w:rPr>
          <w:color w:val="000000"/>
        </w:rPr>
        <w:t>příhod</w:t>
      </w:r>
      <w:r w:rsidRPr="00381DC2">
        <w:rPr>
          <w:color w:val="000000"/>
        </w:rPr>
        <w:t xml:space="preserve">) (hodnocené centrální komisí Central Radiology Review Committee (CRRC)) po přidání bevacizumabu do </w:t>
      </w:r>
      <w:r w:rsidR="006A1518" w:rsidRPr="00381DC2">
        <w:rPr>
          <w:color w:val="000000"/>
        </w:rPr>
        <w:t xml:space="preserve">ramene </w:t>
      </w:r>
      <w:r w:rsidRPr="00381DC2">
        <w:rPr>
          <w:color w:val="000000"/>
        </w:rPr>
        <w:t xml:space="preserve">RT/T oproti samostatné RT/T (HR = 1,44; 95% CI: 0,90, 2,30). Tyto výsledky se shodovaly s výsledky získanými z různých analýz citlivosti a v klinicky relevantních podskupinách. Výsledky pro všechny sekundární </w:t>
      </w:r>
      <w:r w:rsidR="006A1518" w:rsidRPr="00381DC2">
        <w:rPr>
          <w:color w:val="000000"/>
        </w:rPr>
        <w:t xml:space="preserve">cílové parametry </w:t>
      </w:r>
      <w:r w:rsidRPr="00381DC2">
        <w:rPr>
          <w:color w:val="000000"/>
        </w:rPr>
        <w:t>(zkoušejícími hodnocené EFS, ORR a </w:t>
      </w:r>
      <w:r w:rsidR="006A1518" w:rsidRPr="00381DC2">
        <w:rPr>
          <w:color w:val="000000"/>
        </w:rPr>
        <w:t>celkové přežití</w:t>
      </w:r>
      <w:r w:rsidRPr="00381DC2">
        <w:rPr>
          <w:color w:val="000000"/>
        </w:rPr>
        <w:t xml:space="preserve">) konzistentně neprokázaly zlepšení po přidání bevacizumabu do </w:t>
      </w:r>
      <w:r w:rsidR="006A1518" w:rsidRPr="00381DC2">
        <w:rPr>
          <w:color w:val="000000"/>
        </w:rPr>
        <w:t xml:space="preserve">ramene </w:t>
      </w:r>
      <w:r w:rsidRPr="00381DC2">
        <w:rPr>
          <w:color w:val="000000"/>
        </w:rPr>
        <w:t>RT/T v porovnaní s</w:t>
      </w:r>
      <w:r w:rsidR="006A1518" w:rsidRPr="00381DC2">
        <w:rPr>
          <w:color w:val="000000"/>
        </w:rPr>
        <w:t xml:space="preserve"> ramenem </w:t>
      </w:r>
      <w:r w:rsidRPr="00381DC2">
        <w:rPr>
          <w:color w:val="000000"/>
        </w:rPr>
        <w:t>se samotn</w:t>
      </w:r>
      <w:r w:rsidR="006A1518" w:rsidRPr="00381DC2">
        <w:rPr>
          <w:color w:val="000000"/>
        </w:rPr>
        <w:t>ou</w:t>
      </w:r>
      <w:r w:rsidRPr="00381DC2">
        <w:rPr>
          <w:color w:val="000000"/>
        </w:rPr>
        <w:t xml:space="preserve"> RT/T.</w:t>
      </w:r>
    </w:p>
    <w:p w14:paraId="3966D3B8" w14:textId="77777777" w:rsidR="00D15122" w:rsidRPr="00381DC2" w:rsidRDefault="00D15122" w:rsidP="007F6E1B">
      <w:pPr>
        <w:rPr>
          <w:rFonts w:ascii="Times New Roman" w:eastAsia="Times New Roman" w:hAnsi="Times New Roman"/>
          <w:color w:val="000000"/>
        </w:rPr>
      </w:pPr>
    </w:p>
    <w:p w14:paraId="38D4FD34" w14:textId="77777777" w:rsidR="00D15122" w:rsidRPr="00381DC2" w:rsidRDefault="009B0756" w:rsidP="007F6E1B">
      <w:pPr>
        <w:pStyle w:val="BodyText"/>
        <w:ind w:left="0" w:right="192"/>
        <w:rPr>
          <w:color w:val="000000"/>
        </w:rPr>
      </w:pPr>
      <w:r w:rsidRPr="00381DC2">
        <w:rPr>
          <w:color w:val="000000"/>
        </w:rPr>
        <w:t>Přidání bevacizumabu k RT/T neprokázalo ve studii BO25041 klinický přínos u 60 hodnotitelných dětských pacientů s nově diagnostikovaným supratentoriálním nebo infratentoriálním cerebelárním nebo pedunkulárním high-grade gliomem (HGG) (</w:t>
      </w:r>
      <w:r w:rsidR="00F54962" w:rsidRPr="00381DC2">
        <w:rPr>
          <w:color w:val="000000"/>
        </w:rPr>
        <w:t>i</w:t>
      </w:r>
      <w:r w:rsidRPr="00381DC2">
        <w:rPr>
          <w:color w:val="000000"/>
        </w:rPr>
        <w:t>nformace o použití u dětí viz bod 4.2)</w:t>
      </w:r>
      <w:r w:rsidR="00F54962" w:rsidRPr="00381DC2">
        <w:rPr>
          <w:color w:val="000000"/>
        </w:rPr>
        <w:t>.</w:t>
      </w:r>
    </w:p>
    <w:p w14:paraId="5E02990B" w14:textId="77777777" w:rsidR="00D15122" w:rsidRPr="00381DC2" w:rsidRDefault="00D15122" w:rsidP="007F6E1B">
      <w:pPr>
        <w:rPr>
          <w:rFonts w:ascii="Times New Roman" w:eastAsia="Times New Roman" w:hAnsi="Times New Roman"/>
          <w:color w:val="000000"/>
        </w:rPr>
      </w:pPr>
    </w:p>
    <w:p w14:paraId="24B61D14" w14:textId="77777777" w:rsidR="00D15122" w:rsidRPr="00381DC2" w:rsidRDefault="009B0756" w:rsidP="007F6E1B">
      <w:pPr>
        <w:rPr>
          <w:rFonts w:ascii="Times New Roman" w:eastAsia="Times New Roman" w:hAnsi="Times New Roman"/>
          <w:i/>
          <w:color w:val="000000"/>
          <w:u w:val="single"/>
        </w:rPr>
      </w:pPr>
      <w:r w:rsidRPr="00381DC2">
        <w:rPr>
          <w:rFonts w:ascii="Times New Roman" w:hAnsi="Times New Roman"/>
          <w:i/>
          <w:color w:val="000000"/>
          <w:u w:val="single"/>
        </w:rPr>
        <w:t xml:space="preserve">Sarkom </w:t>
      </w:r>
      <w:r w:rsidR="006A1518" w:rsidRPr="00381DC2">
        <w:rPr>
          <w:rFonts w:ascii="Times New Roman" w:hAnsi="Times New Roman"/>
          <w:i/>
          <w:color w:val="000000"/>
          <w:u w:val="single"/>
        </w:rPr>
        <w:t>měkké tkáně</w:t>
      </w:r>
    </w:p>
    <w:p w14:paraId="7986592F" w14:textId="77777777" w:rsidR="00F54962" w:rsidRPr="00381DC2" w:rsidRDefault="00F54962" w:rsidP="007F6E1B">
      <w:pPr>
        <w:pStyle w:val="BodyText"/>
        <w:ind w:left="0" w:right="192"/>
        <w:rPr>
          <w:color w:val="000000"/>
        </w:rPr>
      </w:pPr>
    </w:p>
    <w:p w14:paraId="321866DF" w14:textId="77777777" w:rsidR="00D15122" w:rsidRPr="00381DC2" w:rsidRDefault="009B0756" w:rsidP="007F6E1B">
      <w:pPr>
        <w:pStyle w:val="BodyText"/>
        <w:ind w:left="0" w:right="192"/>
        <w:rPr>
          <w:color w:val="000000"/>
        </w:rPr>
      </w:pPr>
      <w:r w:rsidRPr="00381DC2">
        <w:rPr>
          <w:color w:val="000000"/>
        </w:rPr>
        <w:t xml:space="preserve">V randomizované studii fáze II (BO20924) bylo celkem 154 pacientů ve věku ≥ 6 měsíců až &lt; 18 let s nově diagnostikovaným </w:t>
      </w:r>
      <w:r w:rsidR="000834FE" w:rsidRPr="00381DC2">
        <w:rPr>
          <w:color w:val="000000"/>
        </w:rPr>
        <w:t>metasta</w:t>
      </w:r>
      <w:r w:rsidR="00FA17F2" w:rsidRPr="00381DC2">
        <w:rPr>
          <w:color w:val="000000"/>
        </w:rPr>
        <w:t>zující</w:t>
      </w:r>
      <w:r w:rsidR="005F5972" w:rsidRPr="00381DC2">
        <w:rPr>
          <w:color w:val="000000"/>
        </w:rPr>
        <w:t>m</w:t>
      </w:r>
      <w:r w:rsidR="000834FE" w:rsidRPr="00381DC2">
        <w:rPr>
          <w:color w:val="000000"/>
        </w:rPr>
        <w:t xml:space="preserve"> </w:t>
      </w:r>
      <w:r w:rsidRPr="00381DC2">
        <w:rPr>
          <w:color w:val="000000"/>
        </w:rPr>
        <w:t xml:space="preserve">sarkomem </w:t>
      </w:r>
      <w:r w:rsidR="006A1518" w:rsidRPr="00381DC2">
        <w:rPr>
          <w:color w:val="000000"/>
        </w:rPr>
        <w:t>měkké tkáně typu rabdomyosarkomu a non-rabdomyosarkomu</w:t>
      </w:r>
      <w:r w:rsidRPr="00381DC2">
        <w:rPr>
          <w:color w:val="000000"/>
        </w:rPr>
        <w:t xml:space="preserve"> léčeno standardní léčbou (indukční léčba IVADO/IVA s lokální léčbou nebo bez ní, s následnou udržovací léčbou vinorelbinem a cyklofosfamidem) a bevacizumabem nebo bez </w:t>
      </w:r>
      <w:r w:rsidRPr="00381DC2">
        <w:rPr>
          <w:color w:val="000000"/>
        </w:rPr>
        <w:lastRenderedPageBreak/>
        <w:t xml:space="preserve">bevacizumabu (2,5 mg/kg/týden) s celkovým trváním léčby přibližně 18 měsíců. V době finální primární analýzy neprokázal primární cílový parametr EFS, podle nezávislého centrálního zhodnocení, statisticky významný rozdíl mezi dvěma léčebnými </w:t>
      </w:r>
      <w:r w:rsidR="004005A7" w:rsidRPr="00381DC2">
        <w:rPr>
          <w:color w:val="000000"/>
        </w:rPr>
        <w:t xml:space="preserve">rameny </w:t>
      </w:r>
      <w:r w:rsidRPr="00381DC2">
        <w:rPr>
          <w:color w:val="000000"/>
        </w:rPr>
        <w:t>s HR 0,93 (95% CI: 0,61, 1,41; p-hodnota = 0,72).</w:t>
      </w:r>
    </w:p>
    <w:p w14:paraId="6D2F4A28" w14:textId="77777777" w:rsidR="00203535" w:rsidRPr="00381DC2" w:rsidRDefault="00203535" w:rsidP="007F6E1B">
      <w:pPr>
        <w:pStyle w:val="BodyText"/>
        <w:ind w:left="0" w:right="192"/>
        <w:rPr>
          <w:color w:val="000000"/>
        </w:rPr>
      </w:pPr>
    </w:p>
    <w:p w14:paraId="4A3CD5DE" w14:textId="77777777" w:rsidR="00D15122" w:rsidRPr="00381DC2" w:rsidRDefault="009B0756" w:rsidP="007F6E1B">
      <w:pPr>
        <w:pStyle w:val="BodyText"/>
        <w:ind w:left="0" w:right="53"/>
        <w:rPr>
          <w:color w:val="000000"/>
        </w:rPr>
      </w:pPr>
      <w:r w:rsidRPr="00381DC2">
        <w:rPr>
          <w:color w:val="000000"/>
        </w:rPr>
        <w:t xml:space="preserve">Podle nezávislého centrálního zhodnocení byl rozdíl v ORR 18 % (CI: 0,6 %, 35,3 %) mezi dvěma léčebnými </w:t>
      </w:r>
      <w:r w:rsidR="004005A7" w:rsidRPr="00381DC2">
        <w:rPr>
          <w:color w:val="000000"/>
        </w:rPr>
        <w:t xml:space="preserve">rameny </w:t>
      </w:r>
      <w:r w:rsidRPr="00381DC2">
        <w:rPr>
          <w:color w:val="000000"/>
        </w:rPr>
        <w:t xml:space="preserve">u malého počtu pacientů, kteří měli na začátku léčby hodnotitelný nádor a měli potvrzenou odpověď před použitím jakékoli lokální léčby, tento: 27/75 pacientů (36,0 %, 95% CI: 25,2 %, 47,9 %) </w:t>
      </w:r>
      <w:r w:rsidR="004005A7" w:rsidRPr="00381DC2">
        <w:rPr>
          <w:color w:val="000000"/>
        </w:rPr>
        <w:t xml:space="preserve">v rameni </w:t>
      </w:r>
      <w:r w:rsidRPr="00381DC2">
        <w:rPr>
          <w:color w:val="000000"/>
        </w:rPr>
        <w:t xml:space="preserve">s chemoterapií a 34/63 pacientů (54,0 %, 95% CI: 40,9 %, 66,6 %) </w:t>
      </w:r>
      <w:r w:rsidR="004005A7" w:rsidRPr="00381DC2">
        <w:rPr>
          <w:color w:val="000000"/>
        </w:rPr>
        <w:t xml:space="preserve">v rameni </w:t>
      </w:r>
      <w:r w:rsidRPr="00381DC2">
        <w:rPr>
          <w:color w:val="000000"/>
        </w:rPr>
        <w:t xml:space="preserve">s bevacizumabem + chemoterapií. </w:t>
      </w:r>
      <w:r w:rsidR="00D8152F" w:rsidRPr="00381DC2">
        <w:rPr>
          <w:color w:val="000000"/>
        </w:rPr>
        <w:t>Závěrečná analýza celkového přežití neprokázala u této populace pacientů žádný významný klinický přínos přidání bevacizumabu k chemoterapii.</w:t>
      </w:r>
    </w:p>
    <w:p w14:paraId="1AE590E0" w14:textId="77777777" w:rsidR="00D15122" w:rsidRPr="00381DC2" w:rsidRDefault="00D15122" w:rsidP="007F6E1B">
      <w:pPr>
        <w:rPr>
          <w:rFonts w:ascii="Times New Roman" w:eastAsia="Times New Roman" w:hAnsi="Times New Roman"/>
          <w:color w:val="000000"/>
        </w:rPr>
      </w:pPr>
    </w:p>
    <w:p w14:paraId="73F39213" w14:textId="77777777" w:rsidR="00D15122" w:rsidRPr="00381DC2" w:rsidRDefault="009B0756" w:rsidP="007F6E1B">
      <w:pPr>
        <w:pStyle w:val="BodyText"/>
        <w:ind w:left="0" w:right="238"/>
        <w:rPr>
          <w:color w:val="000000"/>
        </w:rPr>
      </w:pPr>
      <w:r w:rsidRPr="00381DC2">
        <w:rPr>
          <w:color w:val="000000"/>
        </w:rPr>
        <w:t xml:space="preserve">Přidání bevacizumabu ke standardní léčbě v klinickém hodnocení BO20924 neprokázalo klinický přínos u 71 hodnotitelných dětských pacientů (věk od 6 měsíců do méně než 18 let) s </w:t>
      </w:r>
      <w:r w:rsidR="000834FE" w:rsidRPr="00381DC2">
        <w:rPr>
          <w:color w:val="000000"/>
        </w:rPr>
        <w:t>metasta</w:t>
      </w:r>
      <w:r w:rsidR="00FA17F2" w:rsidRPr="00381DC2">
        <w:rPr>
          <w:color w:val="000000"/>
        </w:rPr>
        <w:t>zujícím</w:t>
      </w:r>
      <w:r w:rsidR="000834FE" w:rsidRPr="00381DC2">
        <w:rPr>
          <w:color w:val="000000"/>
        </w:rPr>
        <w:t xml:space="preserve"> </w:t>
      </w:r>
      <w:r w:rsidRPr="00381DC2">
        <w:rPr>
          <w:color w:val="000000"/>
        </w:rPr>
        <w:t xml:space="preserve">sarkomem </w:t>
      </w:r>
      <w:r w:rsidR="004005A7" w:rsidRPr="00381DC2">
        <w:rPr>
          <w:color w:val="000000"/>
        </w:rPr>
        <w:t>měkké tkáně typu rabdomyosarkomu a non-rabdomyosarkomu</w:t>
      </w:r>
      <w:r w:rsidRPr="00381DC2">
        <w:rPr>
          <w:color w:val="000000"/>
        </w:rPr>
        <w:t>.</w:t>
      </w:r>
    </w:p>
    <w:p w14:paraId="6237E5A7" w14:textId="77777777" w:rsidR="00D15122" w:rsidRPr="00381DC2" w:rsidRDefault="009B0756" w:rsidP="007F6E1B">
      <w:pPr>
        <w:pStyle w:val="BodyText"/>
        <w:spacing w:line="252" w:lineRule="exact"/>
        <w:ind w:left="0"/>
        <w:rPr>
          <w:color w:val="000000"/>
        </w:rPr>
      </w:pPr>
      <w:r w:rsidRPr="00381DC2">
        <w:rPr>
          <w:color w:val="000000"/>
        </w:rPr>
        <w:t>(Informace o použití u dětí viz bod 4.2.)</w:t>
      </w:r>
    </w:p>
    <w:p w14:paraId="15721029" w14:textId="77777777" w:rsidR="00D15122" w:rsidRPr="00381DC2" w:rsidRDefault="00D15122" w:rsidP="007F6E1B">
      <w:pPr>
        <w:rPr>
          <w:rFonts w:ascii="Times New Roman" w:eastAsia="Times New Roman" w:hAnsi="Times New Roman"/>
          <w:color w:val="000000"/>
        </w:rPr>
      </w:pPr>
    </w:p>
    <w:p w14:paraId="53E2BC3A" w14:textId="77777777" w:rsidR="00D15122" w:rsidRPr="00381DC2" w:rsidRDefault="004005A7" w:rsidP="007F6E1B">
      <w:pPr>
        <w:pStyle w:val="BodyText"/>
        <w:ind w:left="0" w:right="147"/>
        <w:rPr>
          <w:color w:val="000000"/>
        </w:rPr>
      </w:pPr>
      <w:r w:rsidRPr="00381DC2">
        <w:rPr>
          <w:color w:val="000000"/>
        </w:rPr>
        <w:t xml:space="preserve">Incidence </w:t>
      </w:r>
      <w:r w:rsidR="009B0756" w:rsidRPr="00381DC2">
        <w:rPr>
          <w:color w:val="000000"/>
        </w:rPr>
        <w:t xml:space="preserve">nežádoucích účinků, včetně nežádoucích </w:t>
      </w:r>
      <w:r w:rsidR="00FA17F2" w:rsidRPr="00381DC2">
        <w:rPr>
          <w:color w:val="000000"/>
        </w:rPr>
        <w:t xml:space="preserve">účinků </w:t>
      </w:r>
      <w:r w:rsidR="0076524A" w:rsidRPr="00381DC2">
        <w:rPr>
          <w:color w:val="000000"/>
        </w:rPr>
        <w:t xml:space="preserve">stupně ≥ 3 </w:t>
      </w:r>
      <w:r w:rsidR="009B0756" w:rsidRPr="00381DC2">
        <w:rPr>
          <w:color w:val="000000"/>
        </w:rPr>
        <w:t>a </w:t>
      </w:r>
      <w:r w:rsidR="00FA17F2" w:rsidRPr="00381DC2">
        <w:rPr>
          <w:color w:val="000000"/>
        </w:rPr>
        <w:t>těžkých</w:t>
      </w:r>
      <w:r w:rsidR="009B0756" w:rsidRPr="00381DC2">
        <w:rPr>
          <w:color w:val="000000"/>
        </w:rPr>
        <w:t xml:space="preserve"> nežádoucích účinků, byl podobný v obou léčebných </w:t>
      </w:r>
      <w:r w:rsidR="0076524A" w:rsidRPr="00381DC2">
        <w:rPr>
          <w:color w:val="000000"/>
        </w:rPr>
        <w:t>ramenech</w:t>
      </w:r>
      <w:r w:rsidR="009B0756" w:rsidRPr="00381DC2">
        <w:rPr>
          <w:color w:val="000000"/>
        </w:rPr>
        <w:t>. V žádné</w:t>
      </w:r>
      <w:r w:rsidR="0076524A" w:rsidRPr="00381DC2">
        <w:rPr>
          <w:color w:val="000000"/>
        </w:rPr>
        <w:t>m</w:t>
      </w:r>
      <w:r w:rsidR="009B0756" w:rsidRPr="00381DC2">
        <w:rPr>
          <w:color w:val="000000"/>
        </w:rPr>
        <w:t xml:space="preserve"> léčebné</w:t>
      </w:r>
      <w:r w:rsidR="0076524A" w:rsidRPr="00381DC2">
        <w:rPr>
          <w:color w:val="000000"/>
        </w:rPr>
        <w:t>m rameni</w:t>
      </w:r>
      <w:r w:rsidR="009B0756" w:rsidRPr="00381DC2">
        <w:rPr>
          <w:color w:val="000000"/>
        </w:rPr>
        <w:t xml:space="preserve"> se nevyskytl nežádoucí účinek, který by vedl k úmrtí; veškerým úmrtím byla připsána souvislost s progresí onemocnění. Přidání bevacizumabu k více typům standardní léčby se zdálo být v této pediatrické populaci dobře snášené.</w:t>
      </w:r>
    </w:p>
    <w:p w14:paraId="3C5BD3EA" w14:textId="77777777" w:rsidR="00D15122" w:rsidRPr="00381DC2" w:rsidRDefault="00D15122" w:rsidP="007F6E1B">
      <w:pPr>
        <w:rPr>
          <w:rFonts w:ascii="Times New Roman" w:eastAsia="Times New Roman" w:hAnsi="Times New Roman"/>
          <w:color w:val="000000"/>
        </w:rPr>
      </w:pPr>
    </w:p>
    <w:p w14:paraId="29DD7F7E" w14:textId="77777777" w:rsidR="00D15122" w:rsidRPr="00381DC2" w:rsidRDefault="005D48D1" w:rsidP="005D48D1">
      <w:pPr>
        <w:keepNext/>
        <w:tabs>
          <w:tab w:val="left" w:pos="685"/>
        </w:tabs>
        <w:rPr>
          <w:rFonts w:ascii="Times New Roman" w:hAnsi="Times New Roman"/>
          <w:b/>
          <w:color w:val="000000"/>
        </w:rPr>
      </w:pPr>
      <w:r w:rsidRPr="00381DC2">
        <w:rPr>
          <w:rFonts w:ascii="Times New Roman" w:hAnsi="Times New Roman"/>
          <w:b/>
          <w:color w:val="000000"/>
        </w:rPr>
        <w:t>5.2</w:t>
      </w:r>
      <w:r w:rsidRPr="00381DC2">
        <w:rPr>
          <w:rFonts w:ascii="Times New Roman" w:hAnsi="Times New Roman"/>
          <w:b/>
          <w:color w:val="000000"/>
        </w:rPr>
        <w:tab/>
      </w:r>
      <w:r w:rsidR="009B0756" w:rsidRPr="00381DC2">
        <w:rPr>
          <w:rFonts w:ascii="Times New Roman" w:hAnsi="Times New Roman"/>
          <w:b/>
          <w:color w:val="000000"/>
        </w:rPr>
        <w:t>Farmakokinetické vlastnosti</w:t>
      </w:r>
    </w:p>
    <w:p w14:paraId="3170C331" w14:textId="77777777" w:rsidR="00D15122" w:rsidRPr="00381DC2" w:rsidRDefault="00D15122" w:rsidP="007F6E1B">
      <w:pPr>
        <w:rPr>
          <w:rFonts w:ascii="Times New Roman" w:eastAsia="Times New Roman" w:hAnsi="Times New Roman"/>
          <w:bCs/>
          <w:color w:val="000000"/>
        </w:rPr>
      </w:pPr>
    </w:p>
    <w:p w14:paraId="4DFCEE0A" w14:textId="77777777" w:rsidR="00D15122" w:rsidRPr="00381DC2" w:rsidRDefault="009B0756" w:rsidP="007F6E1B">
      <w:pPr>
        <w:pStyle w:val="BodyText"/>
        <w:ind w:left="0" w:right="238"/>
        <w:rPr>
          <w:color w:val="000000"/>
        </w:rPr>
      </w:pPr>
      <w:r w:rsidRPr="00381DC2">
        <w:rPr>
          <w:color w:val="000000"/>
        </w:rPr>
        <w:t xml:space="preserve">Farmakokinetické údaje pro bevacizumab jsou dostupné z deseti klinických </w:t>
      </w:r>
      <w:r w:rsidR="00FA17F2" w:rsidRPr="00381DC2">
        <w:rPr>
          <w:color w:val="000000"/>
        </w:rPr>
        <w:t>studií</w:t>
      </w:r>
      <w:r w:rsidRPr="00381DC2">
        <w:rPr>
          <w:color w:val="000000"/>
        </w:rPr>
        <w:t xml:space="preserve"> provedených u pacientů se solidními nádory. Ve všech klinických </w:t>
      </w:r>
      <w:r w:rsidR="00FA17F2" w:rsidRPr="00381DC2">
        <w:rPr>
          <w:color w:val="000000"/>
        </w:rPr>
        <w:t>studiích</w:t>
      </w:r>
      <w:r w:rsidRPr="00381DC2">
        <w:rPr>
          <w:color w:val="000000"/>
        </w:rPr>
        <w:t xml:space="preserve"> se bevacizumab podával jako </w:t>
      </w:r>
      <w:r w:rsidR="00F54962" w:rsidRPr="00381DC2">
        <w:rPr>
          <w:color w:val="000000"/>
        </w:rPr>
        <w:t xml:space="preserve">intravenózní </w:t>
      </w:r>
      <w:r w:rsidRPr="00381DC2">
        <w:rPr>
          <w:color w:val="000000"/>
        </w:rPr>
        <w:t>infuze. Rychlost infuze byla založen</w:t>
      </w:r>
      <w:r w:rsidR="006173D2" w:rsidRPr="00381DC2">
        <w:rPr>
          <w:color w:val="000000"/>
        </w:rPr>
        <w:t>a</w:t>
      </w:r>
      <w:r w:rsidRPr="00381DC2">
        <w:rPr>
          <w:color w:val="000000"/>
        </w:rPr>
        <w:t xml:space="preserve"> na snášenlivosti s délkou úvodní infuze 90 minut. Farmakokinetika bevacizumabu byla lineární při dávkách od 1 do 10 mg/kg.</w:t>
      </w:r>
    </w:p>
    <w:p w14:paraId="7B44DB28" w14:textId="77777777" w:rsidR="00D15122" w:rsidRPr="00381DC2" w:rsidRDefault="00D15122" w:rsidP="00E17659">
      <w:pPr>
        <w:keepNext/>
        <w:rPr>
          <w:rFonts w:ascii="Times New Roman" w:eastAsia="Times New Roman" w:hAnsi="Times New Roman"/>
          <w:color w:val="000000"/>
        </w:rPr>
      </w:pPr>
    </w:p>
    <w:p w14:paraId="1B989275" w14:textId="77777777" w:rsidR="00D15122" w:rsidRPr="00381DC2" w:rsidRDefault="009B0756" w:rsidP="00E17659">
      <w:pPr>
        <w:pStyle w:val="BodyText"/>
        <w:keepNext/>
        <w:spacing w:line="252" w:lineRule="exact"/>
        <w:ind w:left="0"/>
        <w:rPr>
          <w:color w:val="000000"/>
        </w:rPr>
      </w:pPr>
      <w:r w:rsidRPr="00381DC2">
        <w:rPr>
          <w:color w:val="000000"/>
          <w:u w:val="single" w:color="000000"/>
        </w:rPr>
        <w:t>Distribuce</w:t>
      </w:r>
    </w:p>
    <w:p w14:paraId="47374EF9" w14:textId="77777777" w:rsidR="00F54962" w:rsidRPr="00381DC2" w:rsidRDefault="00F54962" w:rsidP="00E17659">
      <w:pPr>
        <w:pStyle w:val="BodyText"/>
        <w:keepNext/>
        <w:spacing w:line="234" w:lineRule="auto"/>
        <w:ind w:left="0" w:right="192"/>
        <w:rPr>
          <w:color w:val="000000"/>
        </w:rPr>
      </w:pPr>
    </w:p>
    <w:p w14:paraId="2FDD7056" w14:textId="77777777" w:rsidR="00D15122" w:rsidRPr="00381DC2" w:rsidRDefault="009B0756" w:rsidP="00E17659">
      <w:pPr>
        <w:pStyle w:val="BodyText"/>
        <w:keepNext/>
        <w:spacing w:line="234" w:lineRule="auto"/>
        <w:ind w:left="0" w:right="192"/>
        <w:rPr>
          <w:color w:val="000000"/>
        </w:rPr>
      </w:pPr>
      <w:r w:rsidRPr="00381DC2">
        <w:rPr>
          <w:color w:val="000000"/>
        </w:rPr>
        <w:t>Typická hodnota centrálního objemu (V</w:t>
      </w:r>
      <w:r w:rsidR="00FA17F2" w:rsidRPr="00381DC2">
        <w:rPr>
          <w:color w:val="000000"/>
          <w:vertAlign w:val="subscript"/>
        </w:rPr>
        <w:t>c</w:t>
      </w:r>
      <w:r w:rsidRPr="00381DC2">
        <w:rPr>
          <w:color w:val="000000"/>
        </w:rPr>
        <w:t>) byla 2,73 l u pacientek a 3,28 l u pacientů a je v rozmezí udávaném pro IgG a jiné monoklonální protilátky. Typická hodnota periferního objemu (V</w:t>
      </w:r>
      <w:r w:rsidR="00FA17F2" w:rsidRPr="00381DC2">
        <w:rPr>
          <w:color w:val="000000"/>
          <w:vertAlign w:val="subscript"/>
        </w:rPr>
        <w:t>p</w:t>
      </w:r>
      <w:r w:rsidRPr="00381DC2">
        <w:rPr>
          <w:color w:val="000000"/>
        </w:rPr>
        <w:t>) byla 1,69 l u pacientek a 2,35 l u pacientů, pokud se bevacizumab podával souběžně s </w:t>
      </w:r>
      <w:r w:rsidR="0078572E" w:rsidRPr="00381DC2">
        <w:rPr>
          <w:color w:val="000000"/>
        </w:rPr>
        <w:t>cytostatiky</w:t>
      </w:r>
      <w:r w:rsidRPr="00381DC2">
        <w:rPr>
          <w:color w:val="000000"/>
        </w:rPr>
        <w:t>. Po úpravě vzhledem k tělesné hmotnosti měli pacienti větší V</w:t>
      </w:r>
      <w:r w:rsidR="00FA17F2" w:rsidRPr="00381DC2">
        <w:rPr>
          <w:color w:val="000000"/>
          <w:vertAlign w:val="subscript"/>
        </w:rPr>
        <w:t>c</w:t>
      </w:r>
      <w:r w:rsidR="00FA17F2" w:rsidRPr="00381DC2">
        <w:rPr>
          <w:color w:val="000000"/>
        </w:rPr>
        <w:t xml:space="preserve"> </w:t>
      </w:r>
      <w:r w:rsidRPr="00381DC2">
        <w:rPr>
          <w:color w:val="000000"/>
        </w:rPr>
        <w:t>(+ 20 %) oproti pacientkám.</w:t>
      </w:r>
    </w:p>
    <w:p w14:paraId="5D2B70D3" w14:textId="77777777" w:rsidR="00D15122" w:rsidRPr="00381DC2" w:rsidRDefault="00D15122" w:rsidP="007F6E1B">
      <w:pPr>
        <w:rPr>
          <w:rFonts w:ascii="Times New Roman" w:eastAsia="Times New Roman" w:hAnsi="Times New Roman"/>
          <w:color w:val="000000"/>
        </w:rPr>
      </w:pPr>
    </w:p>
    <w:p w14:paraId="669449D5" w14:textId="77777777" w:rsidR="00D15122" w:rsidRPr="00381DC2" w:rsidRDefault="009B0756" w:rsidP="007F6E1B">
      <w:pPr>
        <w:pStyle w:val="BodyText"/>
        <w:keepNext/>
        <w:spacing w:line="240" w:lineRule="exact"/>
        <w:ind w:left="0"/>
        <w:rPr>
          <w:color w:val="000000"/>
        </w:rPr>
      </w:pPr>
      <w:r w:rsidRPr="00381DC2">
        <w:rPr>
          <w:color w:val="000000"/>
          <w:u w:val="single" w:color="000000"/>
        </w:rPr>
        <w:t>Biotransformace</w:t>
      </w:r>
    </w:p>
    <w:p w14:paraId="61E161E5" w14:textId="77777777" w:rsidR="00F54962" w:rsidRPr="00381DC2" w:rsidRDefault="00F54962" w:rsidP="007F6E1B">
      <w:pPr>
        <w:pStyle w:val="BodyText"/>
        <w:keepNext/>
        <w:spacing w:line="239" w:lineRule="auto"/>
        <w:ind w:left="0" w:right="192"/>
        <w:rPr>
          <w:color w:val="000000"/>
        </w:rPr>
      </w:pPr>
    </w:p>
    <w:p w14:paraId="1E756F27" w14:textId="77777777" w:rsidR="00D15122" w:rsidRPr="00381DC2" w:rsidRDefault="009B0756" w:rsidP="007F6E1B">
      <w:pPr>
        <w:pStyle w:val="BodyText"/>
        <w:keepNext/>
        <w:spacing w:line="239" w:lineRule="auto"/>
        <w:ind w:left="0" w:right="192"/>
        <w:rPr>
          <w:color w:val="000000"/>
        </w:rPr>
      </w:pPr>
      <w:r w:rsidRPr="00381DC2">
        <w:rPr>
          <w:color w:val="000000"/>
        </w:rPr>
        <w:t xml:space="preserve">Stanovení metabolismu bevacizumabu u králíků po jedné </w:t>
      </w:r>
      <w:r w:rsidR="00F54962" w:rsidRPr="00381DC2">
        <w:rPr>
          <w:color w:val="000000"/>
        </w:rPr>
        <w:t xml:space="preserve">intravenózní </w:t>
      </w:r>
      <w:r w:rsidRPr="00381DC2">
        <w:rPr>
          <w:color w:val="000000"/>
        </w:rPr>
        <w:t xml:space="preserve">dávce </w:t>
      </w:r>
      <w:r w:rsidR="00FC3B9C" w:rsidRPr="00381DC2">
        <w:rPr>
          <w:color w:val="000000"/>
          <w:vertAlign w:val="superscript"/>
        </w:rPr>
        <w:t>125</w:t>
      </w:r>
      <w:r w:rsidRPr="00381DC2">
        <w:rPr>
          <w:color w:val="000000"/>
        </w:rPr>
        <w:t>I-bevacizumabu naznačuje, že jeho metabolický profil je podobný profilu, který se očekává u nativní IgG molekuly, která se neváže na VEGF. Metabolismus a eliminace bevacizumabu jsou podobné endogennímu IgG, tedy se jedná hlavně o proteolytický katabolismus těla, včetně endoteliálních buněk, a není závislý primárně na eliminaci ledvinami a játry. Vazba IgG na FcRn receptor vede k ochraně před buněčným metabolismem a </w:t>
      </w:r>
      <w:r w:rsidR="00FC3B9C" w:rsidRPr="00381DC2">
        <w:rPr>
          <w:color w:val="000000"/>
        </w:rPr>
        <w:t xml:space="preserve">k </w:t>
      </w:r>
      <w:r w:rsidRPr="00381DC2">
        <w:rPr>
          <w:color w:val="000000"/>
        </w:rPr>
        <w:t>dlouhému terminálnímu poločasu.</w:t>
      </w:r>
    </w:p>
    <w:p w14:paraId="1A35E04B" w14:textId="77777777" w:rsidR="00D15122" w:rsidRPr="00381DC2" w:rsidRDefault="00D15122" w:rsidP="007F6E1B">
      <w:pPr>
        <w:rPr>
          <w:rFonts w:ascii="Times New Roman" w:eastAsia="Times New Roman" w:hAnsi="Times New Roman"/>
          <w:color w:val="000000"/>
        </w:rPr>
      </w:pPr>
    </w:p>
    <w:p w14:paraId="1FEA6EC5" w14:textId="77777777" w:rsidR="00D15122" w:rsidRPr="00381DC2" w:rsidRDefault="009B0756" w:rsidP="007F6E1B">
      <w:pPr>
        <w:pStyle w:val="BodyText"/>
        <w:spacing w:line="252" w:lineRule="exact"/>
        <w:ind w:left="0"/>
        <w:rPr>
          <w:color w:val="000000"/>
        </w:rPr>
      </w:pPr>
      <w:r w:rsidRPr="00381DC2">
        <w:rPr>
          <w:color w:val="000000"/>
          <w:u w:val="single" w:color="000000"/>
        </w:rPr>
        <w:t>Eliminace</w:t>
      </w:r>
    </w:p>
    <w:p w14:paraId="7FA84704" w14:textId="77777777" w:rsidR="00F54962" w:rsidRPr="00381DC2" w:rsidRDefault="00F54962" w:rsidP="007F6E1B">
      <w:pPr>
        <w:pStyle w:val="BodyText"/>
        <w:ind w:left="0" w:right="272"/>
        <w:rPr>
          <w:color w:val="000000"/>
        </w:rPr>
      </w:pPr>
    </w:p>
    <w:p w14:paraId="75B96148" w14:textId="77777777" w:rsidR="00D15122" w:rsidRPr="00381DC2" w:rsidRDefault="009B0756" w:rsidP="007F6E1B">
      <w:pPr>
        <w:pStyle w:val="BodyText"/>
        <w:ind w:left="0" w:right="272"/>
        <w:rPr>
          <w:color w:val="000000"/>
        </w:rPr>
      </w:pPr>
      <w:r w:rsidRPr="00381DC2">
        <w:rPr>
          <w:color w:val="000000"/>
        </w:rPr>
        <w:t>Hodnota clearance se v průměru rovná 0,188 l/den u pacientek a 0,220 l/den u pacientů. Po úpravě vzhledem k tělesné hmotnosti měli pacienti vyšší clearance bevacizumabu (+ 17 %) oproti pacientkám. Podle dvoukompartmentového modelu je eliminační poločas 18 dnů u typické pacientky a 20 dnů u typického pacienta.</w:t>
      </w:r>
    </w:p>
    <w:p w14:paraId="63D5F8AC" w14:textId="77777777" w:rsidR="00D15122" w:rsidRPr="00381DC2" w:rsidRDefault="00D15122" w:rsidP="007F6E1B">
      <w:pPr>
        <w:rPr>
          <w:rFonts w:ascii="Times New Roman" w:eastAsia="Times New Roman" w:hAnsi="Times New Roman"/>
          <w:color w:val="000000"/>
        </w:rPr>
      </w:pPr>
    </w:p>
    <w:p w14:paraId="22B1BF85" w14:textId="77777777" w:rsidR="00D15122" w:rsidRPr="00381DC2" w:rsidRDefault="009B0756" w:rsidP="007F6E1B">
      <w:pPr>
        <w:pStyle w:val="BodyText"/>
        <w:ind w:left="0" w:right="272"/>
        <w:rPr>
          <w:color w:val="000000"/>
        </w:rPr>
      </w:pPr>
      <w:r w:rsidRPr="00381DC2">
        <w:rPr>
          <w:color w:val="000000"/>
        </w:rPr>
        <w:t>Nízká hodnota albuminu a vysoká nádorová zátěž většinou svědčí o závažnosti onemocnění. Clearance bevacizumabu byla přibližně o 30 % rychlejší u pacientů s nízkými hladinami sérového albuminu a o 7 % rychlejší u pacientů s vyšší nádorovou zátěží v </w:t>
      </w:r>
      <w:r w:rsidR="00177A47" w:rsidRPr="00381DC2">
        <w:rPr>
          <w:color w:val="000000"/>
        </w:rPr>
        <w:t xml:space="preserve">porovnání </w:t>
      </w:r>
      <w:r w:rsidRPr="00381DC2">
        <w:rPr>
          <w:color w:val="000000"/>
        </w:rPr>
        <w:t>s typickým pacientem s průměrnými hodnotami albuminu a nádorové zátěže.</w:t>
      </w:r>
    </w:p>
    <w:p w14:paraId="180D0D69" w14:textId="77777777" w:rsidR="00D15122" w:rsidRPr="00381DC2" w:rsidRDefault="00D15122" w:rsidP="007F6E1B">
      <w:pPr>
        <w:rPr>
          <w:rFonts w:ascii="Times New Roman" w:eastAsia="Times New Roman" w:hAnsi="Times New Roman"/>
          <w:color w:val="000000"/>
        </w:rPr>
      </w:pPr>
    </w:p>
    <w:p w14:paraId="47C8428C" w14:textId="77777777" w:rsidR="00D15122" w:rsidRPr="00381DC2" w:rsidRDefault="009B0756" w:rsidP="007F6E1B">
      <w:pPr>
        <w:pStyle w:val="BodyText"/>
        <w:ind w:left="0"/>
        <w:rPr>
          <w:color w:val="000000"/>
        </w:rPr>
      </w:pPr>
      <w:r w:rsidRPr="00381DC2">
        <w:rPr>
          <w:color w:val="000000"/>
          <w:u w:val="single" w:color="000000"/>
        </w:rPr>
        <w:t xml:space="preserve">Farmakokinetika u zvláštních </w:t>
      </w:r>
      <w:r w:rsidR="00177A47" w:rsidRPr="00381DC2">
        <w:rPr>
          <w:color w:val="000000"/>
          <w:u w:val="single" w:color="000000"/>
        </w:rPr>
        <w:t>populací</w:t>
      </w:r>
    </w:p>
    <w:p w14:paraId="68ADC0AF" w14:textId="77777777" w:rsidR="00F54962" w:rsidRPr="00381DC2" w:rsidRDefault="00F54962" w:rsidP="007F6E1B">
      <w:pPr>
        <w:pStyle w:val="BodyText"/>
        <w:ind w:left="0" w:right="288" w:hanging="1"/>
        <w:rPr>
          <w:color w:val="000000"/>
        </w:rPr>
      </w:pPr>
    </w:p>
    <w:p w14:paraId="6CC5F2E1" w14:textId="77777777" w:rsidR="00D15122" w:rsidRPr="00381DC2" w:rsidRDefault="009B0756" w:rsidP="007F6E1B">
      <w:pPr>
        <w:pStyle w:val="BodyText"/>
        <w:ind w:left="0" w:right="288" w:hanging="1"/>
        <w:rPr>
          <w:color w:val="000000"/>
        </w:rPr>
      </w:pPr>
      <w:r w:rsidRPr="00381DC2">
        <w:rPr>
          <w:color w:val="000000"/>
        </w:rPr>
        <w:t xml:space="preserve">Farmakokinetika u dospělých a pediatrických pacientů se analyzovala k vyhodnocení vlivu demografických charakteristik. </w:t>
      </w:r>
      <w:r w:rsidR="00FC3B9C" w:rsidRPr="00381DC2">
        <w:rPr>
          <w:color w:val="000000"/>
        </w:rPr>
        <w:t>V</w:t>
      </w:r>
      <w:r w:rsidRPr="00381DC2">
        <w:rPr>
          <w:color w:val="000000"/>
        </w:rPr>
        <w:t xml:space="preserve">ýsledky </w:t>
      </w:r>
      <w:r w:rsidR="00FC3B9C" w:rsidRPr="00381DC2">
        <w:rPr>
          <w:color w:val="000000"/>
        </w:rPr>
        <w:t xml:space="preserve">u dospělých </w:t>
      </w:r>
      <w:r w:rsidRPr="00381DC2">
        <w:rPr>
          <w:color w:val="000000"/>
        </w:rPr>
        <w:t>neuk</w:t>
      </w:r>
      <w:r w:rsidR="00FC3B9C" w:rsidRPr="00381DC2">
        <w:rPr>
          <w:color w:val="000000"/>
        </w:rPr>
        <w:t>á</w:t>
      </w:r>
      <w:r w:rsidRPr="00381DC2">
        <w:rPr>
          <w:color w:val="000000"/>
        </w:rPr>
        <w:t xml:space="preserve">zaly </w:t>
      </w:r>
      <w:r w:rsidR="00FC3B9C" w:rsidRPr="00381DC2">
        <w:rPr>
          <w:color w:val="000000"/>
        </w:rPr>
        <w:t>žádné podstatné rozdíly</w:t>
      </w:r>
      <w:r w:rsidRPr="00381DC2">
        <w:rPr>
          <w:color w:val="000000"/>
        </w:rPr>
        <w:t xml:space="preserve"> ve farmakokinetice bevacizumabu</w:t>
      </w:r>
      <w:r w:rsidR="00FC3B9C" w:rsidRPr="00381DC2">
        <w:rPr>
          <w:color w:val="000000"/>
        </w:rPr>
        <w:t xml:space="preserve"> ve vztahu ke stáří pacientů</w:t>
      </w:r>
      <w:r w:rsidRPr="00381DC2">
        <w:rPr>
          <w:color w:val="000000"/>
        </w:rPr>
        <w:t>.</w:t>
      </w:r>
    </w:p>
    <w:p w14:paraId="0103A4DE" w14:textId="77777777" w:rsidR="00D15122" w:rsidRPr="00381DC2" w:rsidRDefault="00D15122" w:rsidP="007F6E1B">
      <w:pPr>
        <w:rPr>
          <w:rFonts w:ascii="Times New Roman" w:eastAsia="Times New Roman" w:hAnsi="Times New Roman"/>
          <w:color w:val="000000"/>
        </w:rPr>
      </w:pPr>
    </w:p>
    <w:p w14:paraId="03D88755" w14:textId="77777777" w:rsidR="00D15122" w:rsidRPr="00381DC2" w:rsidRDefault="009B0756" w:rsidP="007F6E1B">
      <w:pPr>
        <w:rPr>
          <w:rFonts w:ascii="Times New Roman" w:eastAsia="Times New Roman" w:hAnsi="Times New Roman"/>
          <w:i/>
          <w:color w:val="000000"/>
          <w:u w:val="single"/>
        </w:rPr>
      </w:pPr>
      <w:r w:rsidRPr="00381DC2">
        <w:rPr>
          <w:rFonts w:ascii="Times New Roman" w:hAnsi="Times New Roman"/>
          <w:i/>
          <w:color w:val="000000"/>
          <w:u w:val="single"/>
        </w:rPr>
        <w:t>Porucha funkce ledvin</w:t>
      </w:r>
    </w:p>
    <w:p w14:paraId="24CC8194" w14:textId="77777777" w:rsidR="00F54962" w:rsidRPr="00381DC2" w:rsidRDefault="00F54962" w:rsidP="007F6E1B">
      <w:pPr>
        <w:pStyle w:val="BodyText"/>
        <w:ind w:left="0" w:right="272"/>
        <w:rPr>
          <w:color w:val="000000"/>
        </w:rPr>
      </w:pPr>
    </w:p>
    <w:p w14:paraId="5493C47E" w14:textId="77777777" w:rsidR="00D15122" w:rsidRPr="00381DC2" w:rsidRDefault="009B0756" w:rsidP="007F6E1B">
      <w:pPr>
        <w:pStyle w:val="BodyText"/>
        <w:ind w:left="0" w:right="272"/>
        <w:rPr>
          <w:color w:val="000000"/>
        </w:rPr>
      </w:pPr>
      <w:r w:rsidRPr="00381DC2">
        <w:rPr>
          <w:color w:val="000000"/>
        </w:rPr>
        <w:t>Nebyla provedena žádná hodnocení, která by zkoumala farmakokinetiku bevacizumabu u pacientů s poruchou funkce ledvin, protože ledviny nejsou hlavním orgánem pro metabolismus ani exkreci bevacizumabu.</w:t>
      </w:r>
    </w:p>
    <w:p w14:paraId="43E5F964" w14:textId="77777777" w:rsidR="00D15122" w:rsidRPr="00381DC2" w:rsidRDefault="00D15122" w:rsidP="007F6E1B">
      <w:pPr>
        <w:rPr>
          <w:rFonts w:ascii="Times New Roman" w:eastAsia="Times New Roman" w:hAnsi="Times New Roman"/>
          <w:color w:val="000000"/>
        </w:rPr>
      </w:pPr>
    </w:p>
    <w:p w14:paraId="689D4ACA" w14:textId="77777777" w:rsidR="00D15122" w:rsidRPr="00381DC2" w:rsidRDefault="009B0756" w:rsidP="00E93E96">
      <w:pPr>
        <w:rPr>
          <w:rFonts w:ascii="Times New Roman" w:hAnsi="Times New Roman"/>
          <w:i/>
          <w:color w:val="000000"/>
          <w:u w:val="single"/>
        </w:rPr>
      </w:pPr>
      <w:r w:rsidRPr="00381DC2">
        <w:rPr>
          <w:rFonts w:ascii="Times New Roman" w:hAnsi="Times New Roman"/>
          <w:i/>
          <w:color w:val="000000"/>
          <w:u w:val="single"/>
        </w:rPr>
        <w:t>Porucha funkce jater</w:t>
      </w:r>
    </w:p>
    <w:p w14:paraId="754B22F0" w14:textId="77777777" w:rsidR="00F54962" w:rsidRPr="00381DC2" w:rsidRDefault="00F54962" w:rsidP="007F6E1B">
      <w:pPr>
        <w:pStyle w:val="BodyText"/>
        <w:ind w:left="0" w:right="272"/>
        <w:rPr>
          <w:color w:val="000000"/>
        </w:rPr>
      </w:pPr>
    </w:p>
    <w:p w14:paraId="5E883F2E" w14:textId="77777777" w:rsidR="00D15122" w:rsidRPr="00381DC2" w:rsidRDefault="009B0756" w:rsidP="007F6E1B">
      <w:pPr>
        <w:pStyle w:val="BodyText"/>
        <w:ind w:left="0" w:right="272"/>
        <w:rPr>
          <w:color w:val="000000"/>
        </w:rPr>
      </w:pPr>
      <w:r w:rsidRPr="00381DC2">
        <w:rPr>
          <w:color w:val="000000"/>
        </w:rPr>
        <w:t>Nebyla provedena žádná hodnocení, která by zkoumala farmakokinetiku bevacizumabu u pacientů s poruchou funkce jater, protože játra nejsou hlavním orgánem pro metabolismus ani exkreci bevacizumabu.</w:t>
      </w:r>
    </w:p>
    <w:p w14:paraId="2BECBA6D" w14:textId="77777777" w:rsidR="00D15122" w:rsidRPr="00381DC2" w:rsidRDefault="00D15122" w:rsidP="007F6E1B">
      <w:pPr>
        <w:rPr>
          <w:rFonts w:ascii="Times New Roman" w:eastAsia="Times New Roman" w:hAnsi="Times New Roman"/>
          <w:color w:val="000000"/>
        </w:rPr>
      </w:pPr>
    </w:p>
    <w:p w14:paraId="33B8C4F6" w14:textId="77777777" w:rsidR="00D15122" w:rsidRPr="00381DC2" w:rsidRDefault="009B0756" w:rsidP="00300882">
      <w:pPr>
        <w:keepNext/>
        <w:widowControl/>
        <w:spacing w:line="252" w:lineRule="exact"/>
        <w:rPr>
          <w:rFonts w:ascii="Times New Roman" w:eastAsia="Times New Roman" w:hAnsi="Times New Roman"/>
          <w:i/>
          <w:color w:val="000000"/>
          <w:u w:val="single"/>
        </w:rPr>
      </w:pPr>
      <w:r w:rsidRPr="00381DC2">
        <w:rPr>
          <w:rFonts w:ascii="Times New Roman" w:hAnsi="Times New Roman"/>
          <w:i/>
          <w:color w:val="000000"/>
          <w:u w:val="single"/>
        </w:rPr>
        <w:t>Pediatrická populace</w:t>
      </w:r>
    </w:p>
    <w:p w14:paraId="5268D148" w14:textId="77777777" w:rsidR="00F54962" w:rsidRPr="00381DC2" w:rsidRDefault="00F54962" w:rsidP="00AC4F40">
      <w:pPr>
        <w:pStyle w:val="BodyText"/>
        <w:ind w:left="0" w:right="295"/>
        <w:rPr>
          <w:color w:val="000000"/>
        </w:rPr>
      </w:pPr>
    </w:p>
    <w:p w14:paraId="1A318EAD" w14:textId="77777777" w:rsidR="00D15122" w:rsidRPr="00381DC2" w:rsidRDefault="009B0756" w:rsidP="00AC4F40">
      <w:pPr>
        <w:pStyle w:val="BodyText"/>
        <w:ind w:left="0" w:right="295"/>
        <w:rPr>
          <w:color w:val="000000"/>
        </w:rPr>
      </w:pPr>
      <w:r w:rsidRPr="00381DC2">
        <w:rPr>
          <w:color w:val="000000"/>
        </w:rPr>
        <w:t xml:space="preserve">Farmakokinetika bevacizumabu byla </w:t>
      </w:r>
      <w:r w:rsidR="00177A47" w:rsidRPr="00381DC2">
        <w:rPr>
          <w:color w:val="000000"/>
        </w:rPr>
        <w:t xml:space="preserve">hodnocena </w:t>
      </w:r>
      <w:r w:rsidRPr="00381DC2">
        <w:rPr>
          <w:color w:val="000000"/>
        </w:rPr>
        <w:t xml:space="preserve">u 152 dětí, </w:t>
      </w:r>
      <w:r w:rsidR="00177A47" w:rsidRPr="00381DC2">
        <w:rPr>
          <w:color w:val="000000"/>
        </w:rPr>
        <w:t xml:space="preserve">dospívajících </w:t>
      </w:r>
      <w:r w:rsidRPr="00381DC2">
        <w:rPr>
          <w:color w:val="000000"/>
        </w:rPr>
        <w:t xml:space="preserve">a mladých dospělých (ve věku 7 měsíců až 21 let, s hmotností 5,9 kg až 125 kg) ve 4 klinických studiích </w:t>
      </w:r>
      <w:r w:rsidR="00FC3B9C" w:rsidRPr="00381DC2">
        <w:rPr>
          <w:color w:val="000000"/>
        </w:rPr>
        <w:t>za pomoci</w:t>
      </w:r>
      <w:r w:rsidRPr="00381DC2">
        <w:rPr>
          <w:color w:val="000000"/>
        </w:rPr>
        <w:t xml:space="preserve"> populačního farmakokinetického modelu. Farmakokinetické výsledky ukazují, že clearance a distribuční objem bevacizumabu, </w:t>
      </w:r>
      <w:r w:rsidR="00177A47" w:rsidRPr="00381DC2">
        <w:rPr>
          <w:color w:val="000000"/>
        </w:rPr>
        <w:t xml:space="preserve">normalizované </w:t>
      </w:r>
      <w:r w:rsidRPr="00381DC2">
        <w:rPr>
          <w:color w:val="000000"/>
        </w:rPr>
        <w:t xml:space="preserve">podle tělesné hmotnosti, při snižující se expozici s poklesem tělesné hmotnosti, jsou srovnatelné u pediatrických a mladých dospělých pacientů. Věk nebyl </w:t>
      </w:r>
      <w:r w:rsidR="00AC4F40" w:rsidRPr="00381DC2">
        <w:rPr>
          <w:color w:val="000000"/>
        </w:rPr>
        <w:t>dáván do souvislosti s </w:t>
      </w:r>
      <w:r w:rsidRPr="00381DC2">
        <w:rPr>
          <w:color w:val="000000"/>
        </w:rPr>
        <w:t>farmakokineti</w:t>
      </w:r>
      <w:r w:rsidR="00AC4F40" w:rsidRPr="00381DC2">
        <w:rPr>
          <w:color w:val="000000"/>
        </w:rPr>
        <w:t>kou</w:t>
      </w:r>
      <w:r w:rsidRPr="00381DC2">
        <w:rPr>
          <w:color w:val="000000"/>
        </w:rPr>
        <w:t xml:space="preserve"> bevacizumabu při </w:t>
      </w:r>
      <w:r w:rsidR="00AC4F40" w:rsidRPr="00381DC2">
        <w:rPr>
          <w:color w:val="000000"/>
        </w:rPr>
        <w:t xml:space="preserve">zohlednění </w:t>
      </w:r>
      <w:r w:rsidRPr="00381DC2">
        <w:rPr>
          <w:color w:val="000000"/>
        </w:rPr>
        <w:t>tělesné hmotnosti.</w:t>
      </w:r>
    </w:p>
    <w:p w14:paraId="7A3B3C50" w14:textId="77777777" w:rsidR="00D15122" w:rsidRPr="00381DC2" w:rsidRDefault="00D15122" w:rsidP="007F6E1B">
      <w:pPr>
        <w:rPr>
          <w:rFonts w:ascii="Times New Roman" w:eastAsia="Times New Roman" w:hAnsi="Times New Roman"/>
          <w:color w:val="000000"/>
        </w:rPr>
      </w:pPr>
    </w:p>
    <w:p w14:paraId="4D85D57A" w14:textId="77777777" w:rsidR="00D15122" w:rsidRPr="00381DC2" w:rsidRDefault="009B0756" w:rsidP="007F6E1B">
      <w:pPr>
        <w:pStyle w:val="BodyText"/>
        <w:ind w:left="0" w:right="269"/>
        <w:rPr>
          <w:color w:val="000000"/>
        </w:rPr>
      </w:pPr>
      <w:r w:rsidRPr="00381DC2">
        <w:rPr>
          <w:color w:val="000000"/>
        </w:rPr>
        <w:t>Farmakokinetika bevacizumabu byla dobře popsaná populačním farmakokinetickým modelem u 70 pediatrických pacientů ve studii BO20924 (ve věku 1,4 až 17,6 roku, s hmotností 11,6 kg až 77,5 kg) a u 59 pacientů ve studii BO25041 (ve věku 1 až 17 let, s hmotností 11,2 až 82,3 kg). Ve studii BO20924 byla expozice bevacizumabu obecně nižší v porovnání s typickými dospělými pacienty při stejné dávce. Ve studii BO25041 byla expozice bevacizumabu podobná v porovnání s typickými dospělými při stejné dávce. V obou studiích se expozice bevacizumabu snižovala s </w:t>
      </w:r>
      <w:r w:rsidR="00FC3B9C" w:rsidRPr="00381DC2">
        <w:rPr>
          <w:color w:val="000000"/>
        </w:rPr>
        <w:t>klesající</w:t>
      </w:r>
      <w:r w:rsidRPr="00381DC2">
        <w:rPr>
          <w:color w:val="000000"/>
        </w:rPr>
        <w:t xml:space="preserve"> tělesn</w:t>
      </w:r>
      <w:r w:rsidR="00FC3B9C" w:rsidRPr="00381DC2">
        <w:rPr>
          <w:color w:val="000000"/>
        </w:rPr>
        <w:t>ou</w:t>
      </w:r>
      <w:r w:rsidRPr="00381DC2">
        <w:rPr>
          <w:color w:val="000000"/>
        </w:rPr>
        <w:t xml:space="preserve"> hmotnost</w:t>
      </w:r>
      <w:r w:rsidR="00FC3B9C" w:rsidRPr="00381DC2">
        <w:rPr>
          <w:color w:val="000000"/>
        </w:rPr>
        <w:t>í</w:t>
      </w:r>
      <w:r w:rsidRPr="00381DC2">
        <w:rPr>
          <w:color w:val="000000"/>
        </w:rPr>
        <w:t>.</w:t>
      </w:r>
    </w:p>
    <w:p w14:paraId="225B9272" w14:textId="77777777" w:rsidR="00D15122" w:rsidRPr="00381DC2" w:rsidRDefault="00D15122" w:rsidP="007F6E1B">
      <w:pPr>
        <w:rPr>
          <w:rFonts w:ascii="Times New Roman" w:eastAsia="Times New Roman" w:hAnsi="Times New Roman"/>
          <w:color w:val="000000"/>
        </w:rPr>
      </w:pPr>
    </w:p>
    <w:p w14:paraId="2E0DF32F" w14:textId="77777777" w:rsidR="00D15122" w:rsidRPr="00381DC2" w:rsidRDefault="005D48D1" w:rsidP="005D48D1">
      <w:pPr>
        <w:keepNext/>
        <w:tabs>
          <w:tab w:val="left" w:pos="685"/>
        </w:tabs>
        <w:rPr>
          <w:rFonts w:ascii="Times New Roman" w:hAnsi="Times New Roman"/>
          <w:b/>
          <w:color w:val="000000"/>
        </w:rPr>
      </w:pPr>
      <w:r w:rsidRPr="00381DC2">
        <w:rPr>
          <w:rFonts w:ascii="Times New Roman" w:hAnsi="Times New Roman"/>
          <w:b/>
          <w:color w:val="000000"/>
        </w:rPr>
        <w:t>5.3</w:t>
      </w:r>
      <w:r w:rsidRPr="00381DC2">
        <w:rPr>
          <w:rFonts w:ascii="Times New Roman" w:hAnsi="Times New Roman"/>
          <w:b/>
          <w:color w:val="000000"/>
        </w:rPr>
        <w:tab/>
      </w:r>
      <w:r w:rsidR="009B0756" w:rsidRPr="00381DC2">
        <w:rPr>
          <w:rFonts w:ascii="Times New Roman" w:hAnsi="Times New Roman"/>
          <w:b/>
          <w:color w:val="000000"/>
        </w:rPr>
        <w:t>Předklinické údaje vztahující se k bezpečnosti</w:t>
      </w:r>
    </w:p>
    <w:p w14:paraId="68372EC2" w14:textId="77777777" w:rsidR="00D15122" w:rsidRPr="00381DC2" w:rsidRDefault="00D15122" w:rsidP="007F6E1B">
      <w:pPr>
        <w:rPr>
          <w:rFonts w:ascii="Times New Roman" w:eastAsia="Times New Roman" w:hAnsi="Times New Roman"/>
          <w:bCs/>
          <w:color w:val="000000"/>
        </w:rPr>
      </w:pPr>
    </w:p>
    <w:p w14:paraId="2809BCC4" w14:textId="77777777" w:rsidR="00D15122" w:rsidRPr="00381DC2" w:rsidRDefault="009B0756" w:rsidP="007F6E1B">
      <w:pPr>
        <w:pStyle w:val="BodyText"/>
        <w:ind w:left="0" w:right="631"/>
        <w:rPr>
          <w:color w:val="000000"/>
        </w:rPr>
      </w:pPr>
      <w:r w:rsidRPr="00381DC2">
        <w:rPr>
          <w:color w:val="000000"/>
        </w:rPr>
        <w:t>Ve studiích na makacích, které trvaly 26 týdnů, byla pozorována dysplazie růstové chrupavky u mladých zvířat s otevřenými růstovými ploténkami při průměrných sérových koncentracích bevacizumabu nižších, než jsou očekávané terapeutické průměrné sérové koncentrace u </w:t>
      </w:r>
      <w:r w:rsidR="003B572F" w:rsidRPr="00381DC2">
        <w:rPr>
          <w:color w:val="000000"/>
        </w:rPr>
        <w:t>člověka</w:t>
      </w:r>
      <w:r w:rsidRPr="00381DC2">
        <w:rPr>
          <w:color w:val="000000"/>
        </w:rPr>
        <w:t>. U králíků bylo zjištěno, že bevacizumab inhibuje hojení ran v dávkách nižších, než je navrhovaná klinická dávka. Ukázalo se, že účinky na hojení ran byly zcela reverzibilní.</w:t>
      </w:r>
    </w:p>
    <w:p w14:paraId="189B8173" w14:textId="77777777" w:rsidR="00D15122" w:rsidRPr="00381DC2" w:rsidRDefault="00D15122" w:rsidP="007F6E1B">
      <w:pPr>
        <w:rPr>
          <w:rFonts w:ascii="Times New Roman" w:eastAsia="Times New Roman" w:hAnsi="Times New Roman"/>
          <w:color w:val="000000"/>
        </w:rPr>
      </w:pPr>
    </w:p>
    <w:p w14:paraId="20C1CEE1" w14:textId="77777777" w:rsidR="00D15122" w:rsidRPr="00381DC2" w:rsidRDefault="009B0756" w:rsidP="007F6E1B">
      <w:pPr>
        <w:pStyle w:val="BodyText"/>
        <w:ind w:left="0"/>
        <w:rPr>
          <w:color w:val="000000"/>
        </w:rPr>
      </w:pPr>
      <w:r w:rsidRPr="00381DC2">
        <w:rPr>
          <w:color w:val="000000"/>
        </w:rPr>
        <w:t xml:space="preserve">Nebyly provedeny studie, které by zkoumaly mutagenní a kancerogenní </w:t>
      </w:r>
      <w:r w:rsidR="003B572F" w:rsidRPr="00381DC2">
        <w:rPr>
          <w:color w:val="000000"/>
        </w:rPr>
        <w:t xml:space="preserve">potenciál </w:t>
      </w:r>
      <w:r w:rsidRPr="00381DC2">
        <w:rPr>
          <w:color w:val="000000"/>
        </w:rPr>
        <w:t>bevacizumabu.</w:t>
      </w:r>
    </w:p>
    <w:p w14:paraId="462A46C2" w14:textId="77777777" w:rsidR="00D15122" w:rsidRPr="00381DC2" w:rsidRDefault="00D15122" w:rsidP="007F6E1B">
      <w:pPr>
        <w:rPr>
          <w:rFonts w:ascii="Times New Roman" w:eastAsia="Times New Roman" w:hAnsi="Times New Roman"/>
          <w:color w:val="000000"/>
        </w:rPr>
      </w:pPr>
    </w:p>
    <w:p w14:paraId="5EE96315" w14:textId="77777777" w:rsidR="00AE72E3" w:rsidRPr="00381DC2" w:rsidRDefault="009B0756" w:rsidP="004F6645">
      <w:pPr>
        <w:pStyle w:val="BodyText"/>
        <w:widowControl/>
        <w:ind w:left="0" w:right="331"/>
        <w:rPr>
          <w:color w:val="000000"/>
        </w:rPr>
      </w:pPr>
      <w:r w:rsidRPr="00381DC2">
        <w:rPr>
          <w:color w:val="000000"/>
        </w:rPr>
        <w:t xml:space="preserve">Nebyly provedeny žádné specifické </w:t>
      </w:r>
      <w:r w:rsidR="003B572F" w:rsidRPr="00381DC2">
        <w:rPr>
          <w:color w:val="000000"/>
        </w:rPr>
        <w:t xml:space="preserve">studie </w:t>
      </w:r>
      <w:r w:rsidRPr="00381DC2">
        <w:rPr>
          <w:color w:val="000000"/>
        </w:rPr>
        <w:t>na zvířatech ke zhodnocení účink</w:t>
      </w:r>
      <w:r w:rsidR="003B572F" w:rsidRPr="00381DC2">
        <w:rPr>
          <w:color w:val="000000"/>
        </w:rPr>
        <w:t>u na fertilitu</w:t>
      </w:r>
      <w:r w:rsidRPr="00381DC2">
        <w:rPr>
          <w:color w:val="000000"/>
        </w:rPr>
        <w:t xml:space="preserve">. Může být však očekáván nepříznivý účinek na </w:t>
      </w:r>
      <w:r w:rsidR="003B572F" w:rsidRPr="00381DC2">
        <w:rPr>
          <w:color w:val="000000"/>
        </w:rPr>
        <w:t xml:space="preserve">fertilitu </w:t>
      </w:r>
      <w:r w:rsidRPr="00381DC2">
        <w:rPr>
          <w:color w:val="000000"/>
        </w:rPr>
        <w:t>u žen, protože studie u zvířat zkoumající toxicitu po opakovaném podávání ukázaly inhibici dozrávání ovariálních folikulů a pokles/absenci corpora lutea a s tím spojený pokles hmotnosti vaječníků a děloh</w:t>
      </w:r>
      <w:r w:rsidR="003B572F" w:rsidRPr="00381DC2">
        <w:rPr>
          <w:color w:val="000000"/>
        </w:rPr>
        <w:t>y</w:t>
      </w:r>
      <w:r w:rsidRPr="00381DC2">
        <w:rPr>
          <w:color w:val="000000"/>
        </w:rPr>
        <w:t xml:space="preserve"> a také úbytek menstruačních cyklů.</w:t>
      </w:r>
    </w:p>
    <w:p w14:paraId="3A8AF7F8" w14:textId="77777777" w:rsidR="00AE72E3" w:rsidRPr="00381DC2" w:rsidRDefault="00AE72E3" w:rsidP="007F6E1B">
      <w:pPr>
        <w:pStyle w:val="BodyText"/>
        <w:ind w:left="0" w:right="333"/>
        <w:rPr>
          <w:color w:val="000000"/>
        </w:rPr>
      </w:pPr>
    </w:p>
    <w:p w14:paraId="0057A8AF" w14:textId="77777777" w:rsidR="00D15122" w:rsidRPr="00381DC2" w:rsidRDefault="009B0756" w:rsidP="007F6E1B">
      <w:pPr>
        <w:pStyle w:val="BodyText"/>
        <w:ind w:left="0" w:right="333"/>
        <w:rPr>
          <w:color w:val="000000"/>
        </w:rPr>
      </w:pPr>
      <w:r w:rsidRPr="00381DC2">
        <w:rPr>
          <w:color w:val="000000"/>
        </w:rPr>
        <w:t xml:space="preserve">U králíků se prokázalo, že bevacizumab je embryotoxický a teratogenní. </w:t>
      </w:r>
      <w:r w:rsidR="003B572F" w:rsidRPr="00381DC2">
        <w:rPr>
          <w:color w:val="000000"/>
        </w:rPr>
        <w:t>Pozorované účinky zahrnovaly</w:t>
      </w:r>
      <w:r w:rsidRPr="00381DC2">
        <w:rPr>
          <w:color w:val="000000"/>
        </w:rPr>
        <w:t xml:space="preserve"> snížení tělesné hmotnosti </w:t>
      </w:r>
      <w:r w:rsidR="00FC3B9C" w:rsidRPr="00381DC2">
        <w:rPr>
          <w:color w:val="000000"/>
        </w:rPr>
        <w:t>březí</w:t>
      </w:r>
      <w:r w:rsidRPr="00381DC2">
        <w:rPr>
          <w:color w:val="000000"/>
        </w:rPr>
        <w:t xml:space="preserve"> matky a plodu, </w:t>
      </w:r>
      <w:r w:rsidR="003B572F" w:rsidRPr="00381DC2">
        <w:rPr>
          <w:color w:val="000000"/>
        </w:rPr>
        <w:t xml:space="preserve">zvýšený </w:t>
      </w:r>
      <w:r w:rsidRPr="00381DC2">
        <w:rPr>
          <w:color w:val="000000"/>
        </w:rPr>
        <w:t>počet fetálních resorpcí a </w:t>
      </w:r>
      <w:r w:rsidR="00CB70FA" w:rsidRPr="00381DC2">
        <w:rPr>
          <w:color w:val="000000"/>
        </w:rPr>
        <w:t>zvýšenou incidenci</w:t>
      </w:r>
      <w:r w:rsidRPr="00381DC2">
        <w:rPr>
          <w:color w:val="000000"/>
        </w:rPr>
        <w:t xml:space="preserve"> specifických makroskopických a kosterních fetálních malformací. V případě všech testovaných dávek byly zaznamenány </w:t>
      </w:r>
      <w:r w:rsidR="00CB70FA" w:rsidRPr="00381DC2">
        <w:rPr>
          <w:color w:val="000000"/>
        </w:rPr>
        <w:t xml:space="preserve">nežádoucí </w:t>
      </w:r>
      <w:r w:rsidRPr="00381DC2">
        <w:rPr>
          <w:color w:val="000000"/>
        </w:rPr>
        <w:t xml:space="preserve">účinky na plod, z čehož nejnižší dávka odpovídala průměrným </w:t>
      </w:r>
      <w:r w:rsidR="00CB70FA" w:rsidRPr="00381DC2">
        <w:rPr>
          <w:color w:val="000000"/>
        </w:rPr>
        <w:t xml:space="preserve">sérovým </w:t>
      </w:r>
      <w:r w:rsidRPr="00381DC2">
        <w:rPr>
          <w:color w:val="000000"/>
        </w:rPr>
        <w:t>koncentracím, které byly přibližně 3krát vyšší než u </w:t>
      </w:r>
      <w:r w:rsidR="00CB70FA" w:rsidRPr="00381DC2">
        <w:rPr>
          <w:color w:val="000000"/>
        </w:rPr>
        <w:t>lidí</w:t>
      </w:r>
      <w:r w:rsidRPr="00381DC2">
        <w:rPr>
          <w:color w:val="000000"/>
        </w:rPr>
        <w:t xml:space="preserve">, kterým </w:t>
      </w:r>
      <w:r w:rsidRPr="00381DC2">
        <w:rPr>
          <w:color w:val="000000"/>
        </w:rPr>
        <w:lastRenderedPageBreak/>
        <w:t xml:space="preserve">byla podávána dávka 5 mg/kg </w:t>
      </w:r>
      <w:r w:rsidR="00D63038" w:rsidRPr="00381DC2">
        <w:rPr>
          <w:color w:val="000000"/>
        </w:rPr>
        <w:t xml:space="preserve">každé </w:t>
      </w:r>
      <w:r w:rsidRPr="00381DC2">
        <w:rPr>
          <w:color w:val="000000"/>
        </w:rPr>
        <w:t>2 týdny. Informace o fetálních malformacích pozorovaných po uvedení přípravku na trh jsou uvedeny v bodě 4.6 Fertilita, těhotenství a kojení a v bodě 4.8 Nežádoucí účinky.</w:t>
      </w:r>
    </w:p>
    <w:p w14:paraId="3DEEEEE8" w14:textId="77777777" w:rsidR="00D15122" w:rsidRPr="00381DC2" w:rsidRDefault="00D15122" w:rsidP="007F6E1B">
      <w:pPr>
        <w:rPr>
          <w:rFonts w:ascii="Times New Roman" w:eastAsia="Times New Roman" w:hAnsi="Times New Roman"/>
          <w:color w:val="000000"/>
        </w:rPr>
      </w:pPr>
    </w:p>
    <w:p w14:paraId="12501001" w14:textId="77777777" w:rsidR="001F6294" w:rsidRPr="00381DC2" w:rsidRDefault="001F6294" w:rsidP="007F6E1B">
      <w:pPr>
        <w:rPr>
          <w:rFonts w:ascii="Times New Roman" w:eastAsia="Times New Roman" w:hAnsi="Times New Roman"/>
          <w:color w:val="000000"/>
        </w:rPr>
      </w:pPr>
    </w:p>
    <w:p w14:paraId="2482B06F" w14:textId="77777777" w:rsidR="00D15122" w:rsidRPr="00381DC2" w:rsidRDefault="003E4A60" w:rsidP="005D48D1">
      <w:pPr>
        <w:keepNext/>
        <w:tabs>
          <w:tab w:val="left" w:pos="685"/>
        </w:tabs>
        <w:rPr>
          <w:rFonts w:ascii="Times New Roman" w:hAnsi="Times New Roman"/>
          <w:b/>
          <w:color w:val="000000"/>
        </w:rPr>
      </w:pPr>
      <w:r w:rsidRPr="00381DC2">
        <w:rPr>
          <w:rFonts w:ascii="Times New Roman" w:hAnsi="Times New Roman"/>
          <w:b/>
          <w:color w:val="000000"/>
        </w:rPr>
        <w:t>6.</w:t>
      </w:r>
      <w:r w:rsidRPr="00381DC2">
        <w:rPr>
          <w:rFonts w:ascii="Times New Roman" w:hAnsi="Times New Roman"/>
          <w:b/>
          <w:color w:val="000000"/>
        </w:rPr>
        <w:tab/>
        <w:t>FARMACEUTICKÉ ÚDAJE</w:t>
      </w:r>
    </w:p>
    <w:p w14:paraId="44B76366" w14:textId="77777777" w:rsidR="00D15122" w:rsidRPr="00F60460" w:rsidRDefault="00D15122" w:rsidP="007F6E1B">
      <w:pPr>
        <w:rPr>
          <w:rFonts w:ascii="Times New Roman" w:eastAsia="Times New Roman" w:hAnsi="Times New Roman"/>
          <w:bCs/>
          <w:color w:val="000000"/>
          <w:sz w:val="21"/>
          <w:szCs w:val="21"/>
        </w:rPr>
      </w:pPr>
    </w:p>
    <w:p w14:paraId="4A6D080F" w14:textId="77777777" w:rsidR="00D15122" w:rsidRPr="00381DC2" w:rsidRDefault="003E4A60" w:rsidP="003E4A60">
      <w:pPr>
        <w:keepNext/>
        <w:tabs>
          <w:tab w:val="left" w:pos="685"/>
        </w:tabs>
        <w:rPr>
          <w:rFonts w:ascii="Times New Roman" w:eastAsia="Times New Roman" w:hAnsi="Times New Roman"/>
          <w:b/>
          <w:color w:val="000000"/>
        </w:rPr>
      </w:pPr>
      <w:r w:rsidRPr="00381DC2">
        <w:rPr>
          <w:rFonts w:ascii="Times New Roman" w:hAnsi="Times New Roman"/>
          <w:b/>
          <w:color w:val="000000"/>
        </w:rPr>
        <w:t>6.1</w:t>
      </w:r>
      <w:r w:rsidRPr="00381DC2">
        <w:rPr>
          <w:rFonts w:ascii="Times New Roman" w:hAnsi="Times New Roman"/>
          <w:color w:val="000000"/>
        </w:rPr>
        <w:tab/>
      </w:r>
      <w:r w:rsidRPr="00381DC2">
        <w:rPr>
          <w:rFonts w:ascii="Times New Roman" w:hAnsi="Times New Roman"/>
          <w:b/>
          <w:color w:val="000000"/>
        </w:rPr>
        <w:t>Seznam pomocných látek</w:t>
      </w:r>
    </w:p>
    <w:p w14:paraId="53DB16A4" w14:textId="77777777" w:rsidR="00D15122" w:rsidRPr="00F60460" w:rsidRDefault="00D15122" w:rsidP="007F6E1B">
      <w:pPr>
        <w:keepNext/>
        <w:rPr>
          <w:rFonts w:ascii="Times New Roman" w:eastAsia="Times New Roman" w:hAnsi="Times New Roman"/>
          <w:bCs/>
          <w:color w:val="000000"/>
          <w:sz w:val="21"/>
          <w:szCs w:val="21"/>
        </w:rPr>
      </w:pPr>
    </w:p>
    <w:p w14:paraId="170080B3" w14:textId="77777777" w:rsidR="00A77FB6" w:rsidRPr="00381DC2" w:rsidRDefault="00A77FB6" w:rsidP="007F6E1B">
      <w:pPr>
        <w:keepNext/>
        <w:autoSpaceDE w:val="0"/>
        <w:autoSpaceDN w:val="0"/>
        <w:adjustRightInd w:val="0"/>
        <w:rPr>
          <w:rFonts w:ascii="Times New Roman" w:hAnsi="Times New Roman"/>
          <w:color w:val="000000"/>
        </w:rPr>
      </w:pPr>
      <w:r w:rsidRPr="00381DC2">
        <w:rPr>
          <w:rFonts w:ascii="Times New Roman" w:hAnsi="Times New Roman"/>
          <w:color w:val="000000"/>
        </w:rPr>
        <w:t>Sacharóza</w:t>
      </w:r>
    </w:p>
    <w:p w14:paraId="095614D1" w14:textId="77777777" w:rsidR="00A77FB6" w:rsidRPr="00381DC2" w:rsidRDefault="00A77FB6" w:rsidP="007F6E1B">
      <w:pPr>
        <w:autoSpaceDE w:val="0"/>
        <w:autoSpaceDN w:val="0"/>
        <w:adjustRightInd w:val="0"/>
        <w:rPr>
          <w:rFonts w:ascii="Times New Roman" w:hAnsi="Times New Roman"/>
          <w:color w:val="000000"/>
        </w:rPr>
      </w:pPr>
      <w:r w:rsidRPr="00381DC2">
        <w:rPr>
          <w:rFonts w:ascii="Times New Roman" w:hAnsi="Times New Roman"/>
          <w:color w:val="000000"/>
        </w:rPr>
        <w:t>Kyselina jantarová</w:t>
      </w:r>
    </w:p>
    <w:p w14:paraId="46695BD5" w14:textId="77777777" w:rsidR="00A77FB6" w:rsidRPr="00381DC2" w:rsidRDefault="00FC3B9C" w:rsidP="007F6E1B">
      <w:pPr>
        <w:autoSpaceDE w:val="0"/>
        <w:autoSpaceDN w:val="0"/>
        <w:adjustRightInd w:val="0"/>
        <w:rPr>
          <w:rFonts w:ascii="Times New Roman" w:hAnsi="Times New Roman"/>
          <w:color w:val="000000"/>
        </w:rPr>
      </w:pPr>
      <w:r w:rsidRPr="00381DC2">
        <w:rPr>
          <w:rFonts w:ascii="Times New Roman" w:hAnsi="Times New Roman"/>
          <w:color w:val="000000"/>
        </w:rPr>
        <w:t>Dinatrium</w:t>
      </w:r>
      <w:r w:rsidR="00E756C9" w:rsidRPr="00381DC2">
        <w:rPr>
          <w:rFonts w:ascii="Times New Roman" w:hAnsi="Times New Roman"/>
          <w:color w:val="000000"/>
        </w:rPr>
        <w:t>-</w:t>
      </w:r>
      <w:r w:rsidRPr="00381DC2">
        <w:rPr>
          <w:rFonts w:ascii="Times New Roman" w:hAnsi="Times New Roman"/>
          <w:color w:val="000000"/>
        </w:rPr>
        <w:t>e</w:t>
      </w:r>
      <w:r w:rsidR="00A6040A" w:rsidRPr="00381DC2">
        <w:rPr>
          <w:rFonts w:ascii="Times New Roman" w:hAnsi="Times New Roman"/>
          <w:color w:val="000000"/>
        </w:rPr>
        <w:t>detát</w:t>
      </w:r>
    </w:p>
    <w:p w14:paraId="52F4E646" w14:textId="3DC1F215" w:rsidR="00A77FB6" w:rsidRPr="00381DC2" w:rsidRDefault="00A77FB6" w:rsidP="007F6E1B">
      <w:pPr>
        <w:autoSpaceDE w:val="0"/>
        <w:autoSpaceDN w:val="0"/>
        <w:adjustRightInd w:val="0"/>
        <w:rPr>
          <w:rFonts w:ascii="Times New Roman" w:hAnsi="Times New Roman"/>
          <w:color w:val="000000"/>
        </w:rPr>
      </w:pPr>
      <w:r w:rsidRPr="00381DC2">
        <w:rPr>
          <w:rFonts w:ascii="Times New Roman" w:hAnsi="Times New Roman"/>
          <w:color w:val="000000"/>
        </w:rPr>
        <w:t>Polysorbát 80</w:t>
      </w:r>
      <w:r w:rsidR="00FC7E9A">
        <w:rPr>
          <w:rFonts w:ascii="Times New Roman" w:hAnsi="Times New Roman"/>
          <w:color w:val="000000"/>
        </w:rPr>
        <w:t xml:space="preserve"> (E 433)</w:t>
      </w:r>
    </w:p>
    <w:p w14:paraId="1832FADA" w14:textId="77777777" w:rsidR="00601726" w:rsidRPr="00381DC2" w:rsidRDefault="00601726" w:rsidP="00601726">
      <w:pPr>
        <w:autoSpaceDE w:val="0"/>
        <w:autoSpaceDN w:val="0"/>
        <w:rPr>
          <w:rFonts w:ascii="Times New Roman" w:hAnsi="Times New Roman"/>
          <w:color w:val="000000"/>
        </w:rPr>
      </w:pPr>
      <w:r w:rsidRPr="00381DC2">
        <w:rPr>
          <w:rFonts w:ascii="Times New Roman" w:hAnsi="Times New Roman"/>
          <w:color w:val="000000"/>
        </w:rPr>
        <w:t>Hydroxid sodný (</w:t>
      </w:r>
      <w:r w:rsidR="00FC3B9C" w:rsidRPr="00381DC2">
        <w:rPr>
          <w:rFonts w:ascii="Times New Roman" w:hAnsi="Times New Roman"/>
          <w:color w:val="000000"/>
        </w:rPr>
        <w:t>k</w:t>
      </w:r>
      <w:r w:rsidRPr="00381DC2">
        <w:rPr>
          <w:rFonts w:ascii="Times New Roman" w:hAnsi="Times New Roman"/>
          <w:color w:val="000000"/>
        </w:rPr>
        <w:t xml:space="preserve"> úprav</w:t>
      </w:r>
      <w:r w:rsidR="00FC3B9C" w:rsidRPr="00381DC2">
        <w:rPr>
          <w:rFonts w:ascii="Times New Roman" w:hAnsi="Times New Roman"/>
          <w:color w:val="000000"/>
        </w:rPr>
        <w:t>ě</w:t>
      </w:r>
      <w:r w:rsidRPr="00381DC2">
        <w:rPr>
          <w:rFonts w:ascii="Times New Roman" w:hAnsi="Times New Roman"/>
          <w:color w:val="000000"/>
        </w:rPr>
        <w:t xml:space="preserve"> pH)</w:t>
      </w:r>
    </w:p>
    <w:p w14:paraId="76CE347D" w14:textId="77777777" w:rsidR="00A77FB6" w:rsidRPr="00F60460" w:rsidRDefault="00A77FB6" w:rsidP="004822DC">
      <w:pPr>
        <w:rPr>
          <w:color w:val="000000"/>
        </w:rPr>
      </w:pPr>
      <w:r w:rsidRPr="00381DC2">
        <w:rPr>
          <w:rFonts w:ascii="Times New Roman" w:hAnsi="Times New Roman"/>
          <w:color w:val="000000"/>
        </w:rPr>
        <w:t xml:space="preserve">Voda </w:t>
      </w:r>
      <w:r w:rsidR="00FC3B9C" w:rsidRPr="00381DC2">
        <w:rPr>
          <w:rFonts w:ascii="Times New Roman" w:hAnsi="Times New Roman"/>
          <w:color w:val="000000"/>
        </w:rPr>
        <w:t>pro</w:t>
      </w:r>
      <w:r w:rsidR="00113343" w:rsidRPr="00381DC2">
        <w:rPr>
          <w:rFonts w:ascii="Times New Roman" w:hAnsi="Times New Roman"/>
          <w:color w:val="000000"/>
        </w:rPr>
        <w:t xml:space="preserve"> </w:t>
      </w:r>
      <w:r w:rsidRPr="00381DC2">
        <w:rPr>
          <w:rFonts w:ascii="Times New Roman" w:hAnsi="Times New Roman"/>
          <w:color w:val="000000"/>
        </w:rPr>
        <w:t>injekc</w:t>
      </w:r>
      <w:r w:rsidR="00B96D04" w:rsidRPr="00381DC2">
        <w:rPr>
          <w:rFonts w:ascii="Times New Roman" w:hAnsi="Times New Roman"/>
          <w:color w:val="000000"/>
        </w:rPr>
        <w:t>i</w:t>
      </w:r>
    </w:p>
    <w:p w14:paraId="5FC0A18F" w14:textId="77777777" w:rsidR="00182387" w:rsidRPr="00381DC2" w:rsidRDefault="00182387" w:rsidP="005D48D1">
      <w:pPr>
        <w:keepNext/>
        <w:tabs>
          <w:tab w:val="left" w:pos="685"/>
        </w:tabs>
        <w:rPr>
          <w:rFonts w:ascii="Times New Roman" w:hAnsi="Times New Roman"/>
          <w:b/>
          <w:color w:val="000000"/>
        </w:rPr>
      </w:pPr>
    </w:p>
    <w:p w14:paraId="7C02D86B" w14:textId="77777777" w:rsidR="00D15122" w:rsidRPr="00381DC2" w:rsidRDefault="003E4A60" w:rsidP="005D48D1">
      <w:pPr>
        <w:keepNext/>
        <w:tabs>
          <w:tab w:val="left" w:pos="685"/>
        </w:tabs>
        <w:rPr>
          <w:rFonts w:ascii="Times New Roman" w:hAnsi="Times New Roman"/>
          <w:b/>
          <w:color w:val="000000"/>
        </w:rPr>
      </w:pPr>
      <w:r w:rsidRPr="00381DC2">
        <w:rPr>
          <w:rFonts w:ascii="Times New Roman" w:hAnsi="Times New Roman"/>
          <w:b/>
          <w:color w:val="000000"/>
        </w:rPr>
        <w:t>6.2</w:t>
      </w:r>
      <w:r w:rsidRPr="00381DC2">
        <w:rPr>
          <w:rFonts w:ascii="Times New Roman" w:hAnsi="Times New Roman"/>
          <w:b/>
          <w:color w:val="000000"/>
        </w:rPr>
        <w:tab/>
        <w:t>Inkompatibility</w:t>
      </w:r>
    </w:p>
    <w:p w14:paraId="1435692D" w14:textId="77777777" w:rsidR="00D15122" w:rsidRPr="00381DC2" w:rsidRDefault="00D15122" w:rsidP="007F6E1B">
      <w:pPr>
        <w:rPr>
          <w:rFonts w:ascii="Times New Roman" w:eastAsia="Times New Roman" w:hAnsi="Times New Roman"/>
          <w:bCs/>
          <w:color w:val="000000"/>
        </w:rPr>
      </w:pPr>
    </w:p>
    <w:p w14:paraId="601090D4" w14:textId="77777777" w:rsidR="00D15122" w:rsidRPr="00381DC2" w:rsidRDefault="009B0756" w:rsidP="007F6E1B">
      <w:pPr>
        <w:pStyle w:val="BodyText"/>
        <w:ind w:left="0" w:right="269"/>
        <w:rPr>
          <w:color w:val="000000"/>
        </w:rPr>
      </w:pPr>
      <w:r w:rsidRPr="00381DC2">
        <w:rPr>
          <w:color w:val="000000"/>
        </w:rPr>
        <w:t>Tento léčivý přípravek nesmí být mísen s jinými léčivými přípravky s výjimkou těch, které jsou uvedeny v bodě 6.6.</w:t>
      </w:r>
    </w:p>
    <w:p w14:paraId="7690F8AB" w14:textId="77777777" w:rsidR="00D15122" w:rsidRPr="00381DC2" w:rsidRDefault="00D15122" w:rsidP="007F6E1B">
      <w:pPr>
        <w:rPr>
          <w:rFonts w:ascii="Times New Roman" w:eastAsia="Times New Roman" w:hAnsi="Times New Roman"/>
          <w:color w:val="000000"/>
        </w:rPr>
      </w:pPr>
    </w:p>
    <w:p w14:paraId="32A0A84A" w14:textId="77777777" w:rsidR="00D15122" w:rsidRPr="00381DC2" w:rsidRDefault="009B0756" w:rsidP="007F6E1B">
      <w:pPr>
        <w:pStyle w:val="BodyText"/>
        <w:ind w:left="0" w:right="580"/>
        <w:rPr>
          <w:color w:val="000000"/>
        </w:rPr>
      </w:pPr>
      <w:r w:rsidRPr="00381DC2">
        <w:rPr>
          <w:color w:val="000000"/>
        </w:rPr>
        <w:t>Degradační profil bevacizumabu v závislosti na koncentraci byl zaznamenán v případě ředění 5% roztokem glukózy.</w:t>
      </w:r>
    </w:p>
    <w:p w14:paraId="5864F593" w14:textId="77777777" w:rsidR="00D15122" w:rsidRPr="00381DC2" w:rsidRDefault="00D15122" w:rsidP="00C56DEB">
      <w:pPr>
        <w:keepNext/>
        <w:rPr>
          <w:rFonts w:ascii="Times New Roman" w:eastAsia="Times New Roman" w:hAnsi="Times New Roman"/>
          <w:color w:val="000000"/>
        </w:rPr>
      </w:pPr>
    </w:p>
    <w:p w14:paraId="342DE850" w14:textId="77777777" w:rsidR="00D15122" w:rsidRPr="00381DC2" w:rsidRDefault="003E4A60" w:rsidP="005D48D1">
      <w:pPr>
        <w:keepNext/>
        <w:tabs>
          <w:tab w:val="left" w:pos="685"/>
        </w:tabs>
        <w:rPr>
          <w:rFonts w:ascii="Times New Roman" w:hAnsi="Times New Roman"/>
          <w:b/>
          <w:color w:val="000000"/>
        </w:rPr>
      </w:pPr>
      <w:r w:rsidRPr="00381DC2">
        <w:rPr>
          <w:rFonts w:ascii="Times New Roman" w:hAnsi="Times New Roman"/>
          <w:b/>
          <w:color w:val="000000"/>
        </w:rPr>
        <w:t>6.3</w:t>
      </w:r>
      <w:r w:rsidRPr="00381DC2">
        <w:rPr>
          <w:rFonts w:ascii="Times New Roman" w:hAnsi="Times New Roman"/>
          <w:b/>
          <w:color w:val="000000"/>
        </w:rPr>
        <w:tab/>
        <w:t>Doba použitelnosti</w:t>
      </w:r>
    </w:p>
    <w:p w14:paraId="60360BB8" w14:textId="77777777" w:rsidR="00A61918" w:rsidRPr="00381DC2" w:rsidRDefault="00A61918" w:rsidP="00C56DEB">
      <w:pPr>
        <w:keepNext/>
        <w:rPr>
          <w:rFonts w:ascii="Times New Roman" w:eastAsia="Times New Roman" w:hAnsi="Times New Roman"/>
          <w:bCs/>
          <w:color w:val="000000"/>
        </w:rPr>
      </w:pPr>
    </w:p>
    <w:p w14:paraId="146C76B3" w14:textId="77777777" w:rsidR="00D15122" w:rsidRPr="00381DC2" w:rsidRDefault="009B0756" w:rsidP="007F6E1B">
      <w:pPr>
        <w:pStyle w:val="BodyText"/>
        <w:ind w:left="0"/>
        <w:rPr>
          <w:color w:val="000000"/>
        </w:rPr>
      </w:pPr>
      <w:r w:rsidRPr="00381DC2">
        <w:rPr>
          <w:color w:val="000000"/>
          <w:u w:val="single" w:color="000000"/>
        </w:rPr>
        <w:t>Injekční lahvička (neotevřená)</w:t>
      </w:r>
    </w:p>
    <w:p w14:paraId="2012773D" w14:textId="77777777" w:rsidR="00D15122" w:rsidRPr="00381DC2" w:rsidRDefault="00D15122" w:rsidP="007F6E1B">
      <w:pPr>
        <w:rPr>
          <w:rFonts w:ascii="Times New Roman" w:eastAsia="Times New Roman" w:hAnsi="Times New Roman"/>
          <w:color w:val="000000"/>
        </w:rPr>
      </w:pPr>
    </w:p>
    <w:p w14:paraId="7F751A33" w14:textId="77777777" w:rsidR="00D15122" w:rsidRPr="00381DC2" w:rsidRDefault="00884809" w:rsidP="007F6E1B">
      <w:pPr>
        <w:pStyle w:val="BodyText"/>
        <w:ind w:left="0"/>
        <w:rPr>
          <w:color w:val="000000"/>
        </w:rPr>
      </w:pPr>
      <w:r w:rsidRPr="00381DC2">
        <w:rPr>
          <w:color w:val="000000"/>
        </w:rPr>
        <w:t>3 roky.</w:t>
      </w:r>
    </w:p>
    <w:p w14:paraId="4A7B1BD3" w14:textId="77777777" w:rsidR="00D15122" w:rsidRPr="00381DC2" w:rsidRDefault="00D15122" w:rsidP="007F6E1B">
      <w:pPr>
        <w:rPr>
          <w:rFonts w:ascii="Times New Roman" w:eastAsia="Times New Roman" w:hAnsi="Times New Roman"/>
          <w:color w:val="000000"/>
        </w:rPr>
      </w:pPr>
    </w:p>
    <w:p w14:paraId="6FE74CE2" w14:textId="77777777" w:rsidR="00D15122" w:rsidRPr="00381DC2" w:rsidRDefault="009B0756" w:rsidP="007F6E1B">
      <w:pPr>
        <w:pStyle w:val="BodyText"/>
        <w:ind w:left="0"/>
        <w:rPr>
          <w:color w:val="000000"/>
        </w:rPr>
      </w:pPr>
      <w:r w:rsidRPr="00381DC2">
        <w:rPr>
          <w:color w:val="000000"/>
          <w:u w:val="single" w:color="000000"/>
        </w:rPr>
        <w:t>Naředěný léčivý přípravek</w:t>
      </w:r>
    </w:p>
    <w:p w14:paraId="177D7523" w14:textId="77777777" w:rsidR="00D15122" w:rsidRPr="00381DC2" w:rsidRDefault="00D15122" w:rsidP="007F6E1B">
      <w:pPr>
        <w:rPr>
          <w:rFonts w:ascii="Times New Roman" w:eastAsia="Times New Roman" w:hAnsi="Times New Roman"/>
          <w:color w:val="000000"/>
        </w:rPr>
      </w:pPr>
    </w:p>
    <w:p w14:paraId="43037D15" w14:textId="77777777" w:rsidR="00D15122" w:rsidRPr="00381DC2" w:rsidRDefault="009B0756" w:rsidP="007F6E1B">
      <w:pPr>
        <w:pStyle w:val="BodyText"/>
        <w:ind w:left="0" w:right="269"/>
        <w:rPr>
          <w:color w:val="000000"/>
        </w:rPr>
      </w:pPr>
      <w:r w:rsidRPr="00381DC2">
        <w:rPr>
          <w:color w:val="000000"/>
        </w:rPr>
        <w:t xml:space="preserve">Chemická a fyzikální stabilita přípravku </w:t>
      </w:r>
      <w:r w:rsidR="00FC3B9C" w:rsidRPr="00381DC2">
        <w:rPr>
          <w:color w:val="000000"/>
        </w:rPr>
        <w:t>po otevření před použitím</w:t>
      </w:r>
      <w:r w:rsidRPr="00381DC2">
        <w:rPr>
          <w:color w:val="000000"/>
        </w:rPr>
        <w:t xml:space="preserve"> v </w:t>
      </w:r>
      <w:r w:rsidR="00CB70FA" w:rsidRPr="00381DC2">
        <w:rPr>
          <w:color w:val="000000"/>
        </w:rPr>
        <w:t xml:space="preserve">injekčním </w:t>
      </w:r>
      <w:r w:rsidRPr="00381DC2">
        <w:rPr>
          <w:color w:val="000000"/>
        </w:rPr>
        <w:t>roztoku chloridu sodného o koncentraci 9 mg/ml (0,9 %) byla prokázána</w:t>
      </w:r>
      <w:r w:rsidR="00667D3D" w:rsidRPr="00381DC2">
        <w:rPr>
          <w:color w:val="000000"/>
        </w:rPr>
        <w:t xml:space="preserve"> </w:t>
      </w:r>
      <w:r w:rsidR="007825D0" w:rsidRPr="00381DC2">
        <w:rPr>
          <w:color w:val="000000"/>
        </w:rPr>
        <w:t>na</w:t>
      </w:r>
      <w:r w:rsidR="00667D3D" w:rsidRPr="00381DC2">
        <w:rPr>
          <w:color w:val="000000"/>
        </w:rPr>
        <w:t xml:space="preserve"> dobu až 35 dnů</w:t>
      </w:r>
      <w:r w:rsidRPr="00381DC2">
        <w:rPr>
          <w:color w:val="000000"/>
        </w:rPr>
        <w:t xml:space="preserve"> </w:t>
      </w:r>
      <w:r w:rsidR="00667D3D" w:rsidRPr="00381DC2">
        <w:rPr>
          <w:color w:val="000000"/>
        </w:rPr>
        <w:t>při teplotě 2</w:t>
      </w:r>
      <w:r w:rsidR="00C9565F" w:rsidRPr="00381DC2">
        <w:rPr>
          <w:color w:val="000000"/>
        </w:rPr>
        <w:t xml:space="preserve"> </w:t>
      </w:r>
      <w:r w:rsidR="00667D3D" w:rsidRPr="00381DC2">
        <w:rPr>
          <w:color w:val="000000"/>
        </w:rPr>
        <w:t>°C až 8</w:t>
      </w:r>
      <w:r w:rsidR="00C9565F" w:rsidRPr="00381DC2">
        <w:rPr>
          <w:color w:val="000000"/>
        </w:rPr>
        <w:t xml:space="preserve"> </w:t>
      </w:r>
      <w:r w:rsidR="00667D3D" w:rsidRPr="00381DC2">
        <w:rPr>
          <w:color w:val="000000"/>
        </w:rPr>
        <w:t xml:space="preserve">°C po naředění </w:t>
      </w:r>
      <w:r w:rsidR="001A52E7" w:rsidRPr="00381DC2">
        <w:rPr>
          <w:color w:val="000000"/>
        </w:rPr>
        <w:t>a</w:t>
      </w:r>
      <w:r w:rsidR="00667D3D" w:rsidRPr="00381DC2">
        <w:rPr>
          <w:color w:val="000000"/>
        </w:rPr>
        <w:t xml:space="preserve"> </w:t>
      </w:r>
      <w:r w:rsidR="007825D0" w:rsidRPr="00381DC2">
        <w:rPr>
          <w:color w:val="000000"/>
        </w:rPr>
        <w:t>na</w:t>
      </w:r>
      <w:r w:rsidR="00C9565F" w:rsidRPr="00381DC2">
        <w:rPr>
          <w:color w:val="000000"/>
        </w:rPr>
        <w:t xml:space="preserve"> dobu až</w:t>
      </w:r>
      <w:r w:rsidRPr="00381DC2">
        <w:rPr>
          <w:color w:val="000000"/>
        </w:rPr>
        <w:t xml:space="preserve"> 48 hodin při </w:t>
      </w:r>
      <w:r w:rsidR="00CB70FA" w:rsidRPr="00381DC2">
        <w:rPr>
          <w:color w:val="000000"/>
        </w:rPr>
        <w:t>teplot</w:t>
      </w:r>
      <w:r w:rsidR="00C9565F" w:rsidRPr="00381DC2">
        <w:rPr>
          <w:color w:val="000000"/>
        </w:rPr>
        <w:t>ách nepřesahujících</w:t>
      </w:r>
      <w:r w:rsidR="00CB70FA" w:rsidRPr="00381DC2">
        <w:rPr>
          <w:color w:val="000000"/>
        </w:rPr>
        <w:t xml:space="preserve"> </w:t>
      </w:r>
      <w:r w:rsidRPr="00381DC2">
        <w:rPr>
          <w:color w:val="000000"/>
        </w:rPr>
        <w:t xml:space="preserve">30 °C. Z mikrobiologického hlediska má </w:t>
      </w:r>
      <w:r w:rsidR="00FC3B9C" w:rsidRPr="00381DC2">
        <w:rPr>
          <w:color w:val="000000"/>
        </w:rPr>
        <w:t xml:space="preserve">být </w:t>
      </w:r>
      <w:r w:rsidRPr="00381DC2">
        <w:rPr>
          <w:color w:val="000000"/>
        </w:rPr>
        <w:t>přípravek použít okamžitě. Není-li použit okamžitě, dob</w:t>
      </w:r>
      <w:r w:rsidR="00FC3B9C" w:rsidRPr="00381DC2">
        <w:rPr>
          <w:color w:val="000000"/>
        </w:rPr>
        <w:t>a</w:t>
      </w:r>
      <w:r w:rsidRPr="00381DC2">
        <w:rPr>
          <w:color w:val="000000"/>
        </w:rPr>
        <w:t xml:space="preserve"> </w:t>
      </w:r>
      <w:r w:rsidR="008D40A6" w:rsidRPr="00381DC2">
        <w:rPr>
          <w:color w:val="000000"/>
        </w:rPr>
        <w:t xml:space="preserve">a podmínky </w:t>
      </w:r>
      <w:r w:rsidRPr="00381DC2">
        <w:rPr>
          <w:color w:val="000000"/>
        </w:rPr>
        <w:t xml:space="preserve">uchovávání přípravku </w:t>
      </w:r>
      <w:r w:rsidR="00FC3B9C" w:rsidRPr="00381DC2">
        <w:rPr>
          <w:color w:val="000000"/>
        </w:rPr>
        <w:t>po otevření před použitím</w:t>
      </w:r>
      <w:r w:rsidRPr="00381DC2">
        <w:rPr>
          <w:color w:val="000000"/>
        </w:rPr>
        <w:t xml:space="preserve"> jsou </w:t>
      </w:r>
      <w:r w:rsidR="00FC3B9C" w:rsidRPr="00381DC2">
        <w:rPr>
          <w:color w:val="000000"/>
        </w:rPr>
        <w:t xml:space="preserve">v </w:t>
      </w:r>
      <w:r w:rsidRPr="00381DC2">
        <w:rPr>
          <w:color w:val="000000"/>
        </w:rPr>
        <w:t>odpovědnost</w:t>
      </w:r>
      <w:r w:rsidR="00FC3B9C" w:rsidRPr="00381DC2">
        <w:rPr>
          <w:color w:val="000000"/>
        </w:rPr>
        <w:t>i</w:t>
      </w:r>
      <w:r w:rsidRPr="00381DC2">
        <w:rPr>
          <w:color w:val="000000"/>
        </w:rPr>
        <w:t xml:space="preserve"> uživatele a normáln</w:t>
      </w:r>
      <w:r w:rsidR="001B0558" w:rsidRPr="00381DC2">
        <w:rPr>
          <w:color w:val="000000"/>
        </w:rPr>
        <w:t>ě by doba</w:t>
      </w:r>
      <w:r w:rsidRPr="00381DC2">
        <w:rPr>
          <w:color w:val="000000"/>
        </w:rPr>
        <w:t xml:space="preserve"> neměl</w:t>
      </w:r>
      <w:r w:rsidR="001B0558" w:rsidRPr="00381DC2">
        <w:rPr>
          <w:color w:val="000000"/>
        </w:rPr>
        <w:t>a</w:t>
      </w:r>
      <w:r w:rsidRPr="00381DC2">
        <w:rPr>
          <w:color w:val="000000"/>
        </w:rPr>
        <w:t xml:space="preserve"> být delší než 24 hodin při teplotě 2 °C </w:t>
      </w:r>
      <w:r w:rsidR="008D40A6" w:rsidRPr="00381DC2">
        <w:rPr>
          <w:color w:val="000000"/>
        </w:rPr>
        <w:t>až</w:t>
      </w:r>
      <w:r w:rsidRPr="00381DC2">
        <w:rPr>
          <w:color w:val="000000"/>
        </w:rPr>
        <w:t> 8 °C, pokud ředění neproběhlo za kontrolovaných a validovaných aseptických podmínek.</w:t>
      </w:r>
    </w:p>
    <w:p w14:paraId="77E25F66" w14:textId="77777777" w:rsidR="00D15122" w:rsidRPr="00381DC2" w:rsidRDefault="00D15122" w:rsidP="007F6E1B">
      <w:pPr>
        <w:rPr>
          <w:rFonts w:ascii="Times New Roman" w:eastAsia="Times New Roman" w:hAnsi="Times New Roman"/>
          <w:color w:val="000000"/>
        </w:rPr>
      </w:pPr>
    </w:p>
    <w:p w14:paraId="4272C4EA" w14:textId="77777777" w:rsidR="00D15122" w:rsidRPr="00381DC2" w:rsidRDefault="003E4A60" w:rsidP="005D48D1">
      <w:pPr>
        <w:keepNext/>
        <w:tabs>
          <w:tab w:val="left" w:pos="685"/>
        </w:tabs>
        <w:rPr>
          <w:rFonts w:ascii="Times New Roman" w:hAnsi="Times New Roman"/>
          <w:b/>
          <w:color w:val="000000"/>
        </w:rPr>
      </w:pPr>
      <w:r w:rsidRPr="00381DC2">
        <w:rPr>
          <w:rFonts w:ascii="Times New Roman" w:hAnsi="Times New Roman"/>
          <w:b/>
          <w:color w:val="000000"/>
        </w:rPr>
        <w:t>6.4</w:t>
      </w:r>
      <w:r w:rsidRPr="00381DC2">
        <w:rPr>
          <w:rFonts w:ascii="Times New Roman" w:hAnsi="Times New Roman"/>
          <w:b/>
          <w:color w:val="000000"/>
        </w:rPr>
        <w:tab/>
        <w:t>Zvláštní opatření pro uchovávání</w:t>
      </w:r>
    </w:p>
    <w:p w14:paraId="47F91E66" w14:textId="77777777" w:rsidR="00D15122" w:rsidRPr="00381DC2" w:rsidRDefault="00D15122" w:rsidP="007F6E1B">
      <w:pPr>
        <w:rPr>
          <w:rFonts w:ascii="Times New Roman" w:eastAsia="Times New Roman" w:hAnsi="Times New Roman"/>
          <w:bCs/>
          <w:color w:val="000000"/>
        </w:rPr>
      </w:pPr>
    </w:p>
    <w:p w14:paraId="3B0FFD48" w14:textId="77777777" w:rsidR="00884809" w:rsidRPr="00381DC2" w:rsidRDefault="009B0756" w:rsidP="007F6E1B">
      <w:pPr>
        <w:pStyle w:val="BodyText"/>
        <w:ind w:left="0" w:right="269"/>
        <w:rPr>
          <w:color w:val="000000"/>
        </w:rPr>
      </w:pPr>
      <w:r w:rsidRPr="00381DC2">
        <w:rPr>
          <w:color w:val="000000"/>
        </w:rPr>
        <w:t xml:space="preserve">Uchovávejte v chladničce (2 °C – 8 °C). </w:t>
      </w:r>
    </w:p>
    <w:p w14:paraId="6F747EE8" w14:textId="77777777" w:rsidR="00D15122" w:rsidRPr="00381DC2" w:rsidRDefault="009B0756" w:rsidP="007F6E1B">
      <w:pPr>
        <w:pStyle w:val="BodyText"/>
        <w:ind w:left="0" w:right="269"/>
        <w:rPr>
          <w:color w:val="000000"/>
        </w:rPr>
      </w:pPr>
      <w:r w:rsidRPr="00381DC2">
        <w:rPr>
          <w:color w:val="000000"/>
        </w:rPr>
        <w:t>Chraňte před mrazem.</w:t>
      </w:r>
    </w:p>
    <w:p w14:paraId="63357C9F" w14:textId="77777777" w:rsidR="00D15122" w:rsidRPr="00381DC2" w:rsidRDefault="009B0756" w:rsidP="007F6E1B">
      <w:pPr>
        <w:pStyle w:val="BodyText"/>
        <w:ind w:left="0"/>
        <w:rPr>
          <w:color w:val="000000"/>
        </w:rPr>
      </w:pPr>
      <w:r w:rsidRPr="00381DC2">
        <w:rPr>
          <w:color w:val="000000"/>
        </w:rPr>
        <w:t>Uchovávejte injekční lahvičku v krabičce, aby byl přípravek chráněn před světlem.</w:t>
      </w:r>
    </w:p>
    <w:p w14:paraId="15FAC0CC" w14:textId="77777777" w:rsidR="00D15122" w:rsidRPr="00381DC2" w:rsidRDefault="00D15122" w:rsidP="007F6E1B">
      <w:pPr>
        <w:rPr>
          <w:rFonts w:ascii="Times New Roman" w:eastAsia="Times New Roman" w:hAnsi="Times New Roman"/>
          <w:color w:val="000000"/>
        </w:rPr>
      </w:pPr>
    </w:p>
    <w:p w14:paraId="4FC30E34" w14:textId="77777777" w:rsidR="00D15122" w:rsidRPr="00381DC2" w:rsidRDefault="009B0756" w:rsidP="007F6E1B">
      <w:pPr>
        <w:pStyle w:val="BodyText"/>
        <w:ind w:left="0"/>
        <w:rPr>
          <w:color w:val="000000"/>
        </w:rPr>
      </w:pPr>
      <w:r w:rsidRPr="00381DC2">
        <w:rPr>
          <w:color w:val="000000"/>
        </w:rPr>
        <w:t>Podmínky uchovávání tohoto léčivého přípravku po jeho naředění jsou uvedeny v bodě 6.3.</w:t>
      </w:r>
    </w:p>
    <w:p w14:paraId="0904AE4C" w14:textId="77777777" w:rsidR="00D15122" w:rsidRPr="00381DC2" w:rsidRDefault="00D15122" w:rsidP="007F6E1B">
      <w:pPr>
        <w:rPr>
          <w:rFonts w:ascii="Times New Roman" w:eastAsia="Times New Roman" w:hAnsi="Times New Roman"/>
          <w:color w:val="000000"/>
        </w:rPr>
      </w:pPr>
    </w:p>
    <w:p w14:paraId="139F3F14" w14:textId="77777777" w:rsidR="00D15122" w:rsidRPr="00381DC2" w:rsidRDefault="003E4A60" w:rsidP="005D48D1">
      <w:pPr>
        <w:keepNext/>
        <w:tabs>
          <w:tab w:val="left" w:pos="685"/>
        </w:tabs>
        <w:rPr>
          <w:rFonts w:ascii="Times New Roman" w:hAnsi="Times New Roman"/>
          <w:b/>
          <w:color w:val="000000"/>
        </w:rPr>
      </w:pPr>
      <w:r w:rsidRPr="00381DC2">
        <w:rPr>
          <w:rFonts w:ascii="Times New Roman" w:hAnsi="Times New Roman"/>
          <w:b/>
          <w:color w:val="000000"/>
        </w:rPr>
        <w:t>6.5</w:t>
      </w:r>
      <w:r w:rsidRPr="00381DC2">
        <w:rPr>
          <w:rFonts w:ascii="Times New Roman" w:hAnsi="Times New Roman"/>
          <w:b/>
          <w:color w:val="000000"/>
        </w:rPr>
        <w:tab/>
        <w:t>Druh obalu a obsah balení</w:t>
      </w:r>
    </w:p>
    <w:p w14:paraId="5F438ED9" w14:textId="77777777" w:rsidR="00D15122" w:rsidRPr="00381DC2" w:rsidRDefault="00D15122" w:rsidP="007F6E1B">
      <w:pPr>
        <w:rPr>
          <w:rFonts w:ascii="Times New Roman" w:eastAsia="Times New Roman" w:hAnsi="Times New Roman"/>
          <w:bCs/>
          <w:color w:val="000000"/>
        </w:rPr>
      </w:pPr>
    </w:p>
    <w:p w14:paraId="3DCBF798" w14:textId="77777777" w:rsidR="003E684C" w:rsidRPr="00381DC2" w:rsidRDefault="009B0756" w:rsidP="007F6E1B">
      <w:pPr>
        <w:pStyle w:val="BodyText"/>
        <w:ind w:left="0" w:right="99"/>
        <w:rPr>
          <w:color w:val="000000"/>
        </w:rPr>
      </w:pPr>
      <w:r w:rsidRPr="00381DC2">
        <w:rPr>
          <w:color w:val="000000"/>
        </w:rPr>
        <w:t>4 ml roztoku v injekční lahvičce (sklo t</w:t>
      </w:r>
      <w:r w:rsidR="001B0558" w:rsidRPr="00381DC2">
        <w:rPr>
          <w:color w:val="000000"/>
        </w:rPr>
        <w:t>řídy</w:t>
      </w:r>
      <w:r w:rsidRPr="00381DC2">
        <w:rPr>
          <w:color w:val="000000"/>
        </w:rPr>
        <w:t xml:space="preserve"> I) </w:t>
      </w:r>
      <w:r w:rsidR="00857D47" w:rsidRPr="00381DC2">
        <w:rPr>
          <w:color w:val="000000"/>
        </w:rPr>
        <w:t xml:space="preserve">se zátkou (butylová pryž) </w:t>
      </w:r>
      <w:r w:rsidRPr="00381DC2">
        <w:rPr>
          <w:color w:val="000000"/>
        </w:rPr>
        <w:t xml:space="preserve">obsahující 100 mg bevacizumabu. </w:t>
      </w:r>
    </w:p>
    <w:p w14:paraId="54E6571D" w14:textId="77777777" w:rsidR="00D15122" w:rsidRPr="00381DC2" w:rsidRDefault="009B0756" w:rsidP="007F6E1B">
      <w:pPr>
        <w:pStyle w:val="BodyText"/>
        <w:ind w:left="0" w:right="99"/>
        <w:rPr>
          <w:color w:val="000000"/>
        </w:rPr>
      </w:pPr>
      <w:r w:rsidRPr="00381DC2">
        <w:rPr>
          <w:color w:val="000000"/>
        </w:rPr>
        <w:t>16 ml roztoku v injekční lahvičce (sklo t</w:t>
      </w:r>
      <w:r w:rsidR="001B0558" w:rsidRPr="00381DC2">
        <w:rPr>
          <w:color w:val="000000"/>
        </w:rPr>
        <w:t>řídy</w:t>
      </w:r>
      <w:r w:rsidRPr="00381DC2">
        <w:rPr>
          <w:color w:val="000000"/>
        </w:rPr>
        <w:t xml:space="preserve"> I) </w:t>
      </w:r>
      <w:r w:rsidR="00857D47" w:rsidRPr="00381DC2">
        <w:rPr>
          <w:color w:val="000000"/>
        </w:rPr>
        <w:t xml:space="preserve">se zátkou (butylová pryž) </w:t>
      </w:r>
      <w:r w:rsidRPr="00381DC2">
        <w:rPr>
          <w:color w:val="000000"/>
        </w:rPr>
        <w:t>obsahující 400 mg bevacizumabu.</w:t>
      </w:r>
    </w:p>
    <w:p w14:paraId="23A8C5A9" w14:textId="77777777" w:rsidR="00D15122" w:rsidRPr="00381DC2" w:rsidRDefault="00D15122" w:rsidP="007F6E1B">
      <w:pPr>
        <w:rPr>
          <w:rFonts w:ascii="Times New Roman" w:eastAsia="Times New Roman" w:hAnsi="Times New Roman"/>
          <w:color w:val="000000"/>
        </w:rPr>
      </w:pPr>
    </w:p>
    <w:p w14:paraId="1CB39ADF" w14:textId="77777777" w:rsidR="00D15122" w:rsidRPr="00381DC2" w:rsidRDefault="009B0756" w:rsidP="007F6E1B">
      <w:pPr>
        <w:pStyle w:val="BodyText"/>
        <w:ind w:left="0"/>
        <w:rPr>
          <w:color w:val="000000"/>
        </w:rPr>
      </w:pPr>
      <w:r w:rsidRPr="00381DC2">
        <w:rPr>
          <w:color w:val="000000"/>
        </w:rPr>
        <w:t>Balení obsahuje 1 injekční lahvičku.</w:t>
      </w:r>
    </w:p>
    <w:p w14:paraId="31491283" w14:textId="77777777" w:rsidR="00315F51" w:rsidRPr="00381DC2" w:rsidRDefault="00315F51" w:rsidP="007F6E1B">
      <w:pPr>
        <w:rPr>
          <w:rFonts w:ascii="Times New Roman" w:eastAsia="Times New Roman" w:hAnsi="Times New Roman"/>
          <w:color w:val="000000"/>
        </w:rPr>
      </w:pPr>
    </w:p>
    <w:p w14:paraId="5B57F997" w14:textId="77777777" w:rsidR="00D15122" w:rsidRPr="00381DC2" w:rsidRDefault="003E4A60" w:rsidP="005D48D1">
      <w:pPr>
        <w:keepNext/>
        <w:tabs>
          <w:tab w:val="left" w:pos="685"/>
        </w:tabs>
        <w:rPr>
          <w:rFonts w:ascii="Times New Roman" w:hAnsi="Times New Roman"/>
          <w:b/>
          <w:color w:val="000000"/>
        </w:rPr>
      </w:pPr>
      <w:r w:rsidRPr="00381DC2">
        <w:rPr>
          <w:rFonts w:ascii="Times New Roman" w:hAnsi="Times New Roman"/>
          <w:b/>
          <w:color w:val="000000"/>
        </w:rPr>
        <w:lastRenderedPageBreak/>
        <w:t>6.6</w:t>
      </w:r>
      <w:r w:rsidRPr="00381DC2">
        <w:rPr>
          <w:rFonts w:ascii="Times New Roman" w:hAnsi="Times New Roman"/>
          <w:b/>
          <w:color w:val="000000"/>
        </w:rPr>
        <w:tab/>
        <w:t>Zvláštní opatření pro likvidaci přípravku a pro zacházení s ním</w:t>
      </w:r>
    </w:p>
    <w:p w14:paraId="590EF311" w14:textId="77777777" w:rsidR="00D15122" w:rsidRPr="00F60460" w:rsidRDefault="00D15122" w:rsidP="007F6E1B">
      <w:pPr>
        <w:rPr>
          <w:rFonts w:ascii="Times New Roman" w:eastAsia="Times New Roman" w:hAnsi="Times New Roman"/>
          <w:bCs/>
          <w:color w:val="000000"/>
          <w:sz w:val="21"/>
          <w:szCs w:val="21"/>
        </w:rPr>
      </w:pPr>
    </w:p>
    <w:p w14:paraId="2D8FAB85" w14:textId="77777777" w:rsidR="000D3CB6" w:rsidRPr="000D3CB6" w:rsidRDefault="000D3CB6" w:rsidP="000D3CB6">
      <w:pPr>
        <w:rPr>
          <w:rFonts w:ascii="Times New Roman" w:hAnsi="Times New Roman"/>
        </w:rPr>
      </w:pPr>
      <w:r w:rsidRPr="000D3CB6">
        <w:rPr>
          <w:rFonts w:ascii="Times New Roman" w:hAnsi="Times New Roman"/>
        </w:rPr>
        <w:t>Injekční lahvičku neprotřepávejte.</w:t>
      </w:r>
    </w:p>
    <w:p w14:paraId="7BB3C6B5" w14:textId="77777777" w:rsidR="000D3CB6" w:rsidRDefault="000D3CB6" w:rsidP="007F6E1B">
      <w:pPr>
        <w:pStyle w:val="BodyText"/>
        <w:ind w:left="0" w:right="137"/>
        <w:rPr>
          <w:color w:val="000000"/>
        </w:rPr>
      </w:pPr>
    </w:p>
    <w:p w14:paraId="3ADB1334" w14:textId="5D7AAFD1" w:rsidR="00D15122" w:rsidRPr="00381DC2" w:rsidRDefault="00426DA8" w:rsidP="007F6E1B">
      <w:pPr>
        <w:pStyle w:val="BodyText"/>
        <w:ind w:left="0" w:right="137"/>
        <w:rPr>
          <w:color w:val="000000"/>
        </w:rPr>
      </w:pPr>
      <w:r w:rsidRPr="00381DC2">
        <w:rPr>
          <w:color w:val="000000"/>
        </w:rPr>
        <w:t xml:space="preserve">K zajištění sterility </w:t>
      </w:r>
      <w:r w:rsidR="00857D47" w:rsidRPr="00381DC2">
        <w:rPr>
          <w:color w:val="000000"/>
        </w:rPr>
        <w:t xml:space="preserve">připraveného </w:t>
      </w:r>
      <w:r w:rsidRPr="00381DC2">
        <w:rPr>
          <w:color w:val="000000"/>
        </w:rPr>
        <w:t xml:space="preserve">roztoku je třeba, aby přípravek </w:t>
      </w:r>
      <w:r w:rsidR="00CC0FAB" w:rsidRPr="00381DC2">
        <w:rPr>
          <w:color w:val="000000"/>
        </w:rPr>
        <w:t>Zirabev</w:t>
      </w:r>
      <w:r w:rsidRPr="00381DC2">
        <w:rPr>
          <w:color w:val="000000"/>
        </w:rPr>
        <w:t xml:space="preserve"> připravoval</w:t>
      </w:r>
      <w:r w:rsidR="00857D47" w:rsidRPr="00381DC2">
        <w:rPr>
          <w:color w:val="000000"/>
        </w:rPr>
        <w:t xml:space="preserve"> zdravotnický pracovník </w:t>
      </w:r>
      <w:r w:rsidRPr="00381DC2">
        <w:rPr>
          <w:color w:val="000000"/>
        </w:rPr>
        <w:t>za použití antiseptické techniky.</w:t>
      </w:r>
      <w:r w:rsidR="00865518">
        <w:rPr>
          <w:color w:val="000000"/>
        </w:rPr>
        <w:t xml:space="preserve"> K přípravě přípravku Zirabev je třeba použít sterilní jehlu a stříkačku.</w:t>
      </w:r>
    </w:p>
    <w:p w14:paraId="017C78B4" w14:textId="77777777" w:rsidR="00D15122" w:rsidRPr="00381DC2" w:rsidRDefault="00D15122" w:rsidP="007F6E1B">
      <w:pPr>
        <w:rPr>
          <w:rFonts w:ascii="Times New Roman" w:eastAsia="Times New Roman" w:hAnsi="Times New Roman"/>
          <w:color w:val="000000"/>
        </w:rPr>
      </w:pPr>
    </w:p>
    <w:p w14:paraId="1F2F3775" w14:textId="77777777" w:rsidR="00D15122" w:rsidRPr="00381DC2" w:rsidRDefault="009B0756" w:rsidP="007F6E1B">
      <w:pPr>
        <w:pStyle w:val="BodyText"/>
        <w:ind w:left="0" w:right="137"/>
        <w:rPr>
          <w:color w:val="000000"/>
        </w:rPr>
      </w:pPr>
      <w:r w:rsidRPr="00381DC2">
        <w:rPr>
          <w:color w:val="000000"/>
        </w:rPr>
        <w:t>Odebere se potřebné množství bevacizumabu a rozředí se v </w:t>
      </w:r>
      <w:r w:rsidR="00857D47" w:rsidRPr="00381DC2">
        <w:rPr>
          <w:color w:val="000000"/>
        </w:rPr>
        <w:t xml:space="preserve">injekčním </w:t>
      </w:r>
      <w:r w:rsidRPr="00381DC2">
        <w:rPr>
          <w:color w:val="000000"/>
        </w:rPr>
        <w:t xml:space="preserve">roztoku chloridu sodného o koncentraci 9 mg/ml (0,9 %) v množství potřebném pro podání. Koncentrace finálního roztoku bevacizumabu </w:t>
      </w:r>
      <w:r w:rsidR="00857D47" w:rsidRPr="00381DC2">
        <w:rPr>
          <w:color w:val="000000"/>
        </w:rPr>
        <w:t xml:space="preserve">se má </w:t>
      </w:r>
      <w:r w:rsidRPr="00381DC2">
        <w:rPr>
          <w:color w:val="000000"/>
        </w:rPr>
        <w:t xml:space="preserve">pohybovat v rozmezí 1,4 mg/ml až 16,5 mg/ml. Potřebné množství přípravku </w:t>
      </w:r>
      <w:r w:rsidR="00CC0FAB" w:rsidRPr="00381DC2">
        <w:rPr>
          <w:color w:val="000000"/>
        </w:rPr>
        <w:t>Zirabev</w:t>
      </w:r>
      <w:r w:rsidRPr="00381DC2">
        <w:rPr>
          <w:color w:val="000000"/>
        </w:rPr>
        <w:t xml:space="preserve"> se ve většině případů může ředit 0,9% </w:t>
      </w:r>
      <w:r w:rsidR="00857D47" w:rsidRPr="00381DC2">
        <w:rPr>
          <w:color w:val="000000"/>
        </w:rPr>
        <w:t xml:space="preserve">injekčním </w:t>
      </w:r>
      <w:r w:rsidRPr="00381DC2">
        <w:rPr>
          <w:color w:val="000000"/>
        </w:rPr>
        <w:t>roztokem chloridu sodného na celkový objem 100 ml.</w:t>
      </w:r>
    </w:p>
    <w:p w14:paraId="716F4178" w14:textId="77777777" w:rsidR="00D15122" w:rsidRPr="00381DC2" w:rsidRDefault="00D15122" w:rsidP="007F6E1B">
      <w:pPr>
        <w:rPr>
          <w:rFonts w:ascii="Times New Roman" w:eastAsia="Times New Roman" w:hAnsi="Times New Roman"/>
          <w:color w:val="000000"/>
        </w:rPr>
      </w:pPr>
    </w:p>
    <w:p w14:paraId="542F8640" w14:textId="77777777" w:rsidR="00D15122" w:rsidRPr="00381DC2" w:rsidRDefault="00857D47" w:rsidP="007F6E1B">
      <w:pPr>
        <w:pStyle w:val="BodyText"/>
        <w:ind w:left="0" w:right="137"/>
        <w:rPr>
          <w:color w:val="000000"/>
        </w:rPr>
      </w:pPr>
      <w:r w:rsidRPr="00381DC2">
        <w:rPr>
          <w:color w:val="000000"/>
        </w:rPr>
        <w:t xml:space="preserve">Parenterální léčivé přípravky </w:t>
      </w:r>
      <w:r w:rsidR="009B0756" w:rsidRPr="00381DC2">
        <w:rPr>
          <w:color w:val="000000"/>
        </w:rPr>
        <w:t>je třeba před podáním vizuálně zkontrolovat, zda nezměnil</w:t>
      </w:r>
      <w:r w:rsidR="00B4665C" w:rsidRPr="00381DC2">
        <w:rPr>
          <w:color w:val="000000"/>
        </w:rPr>
        <w:t>y</w:t>
      </w:r>
      <w:r w:rsidR="009B0756" w:rsidRPr="00381DC2">
        <w:rPr>
          <w:color w:val="000000"/>
        </w:rPr>
        <w:t xml:space="preserve"> barvu a neobsahuj</w:t>
      </w:r>
      <w:r w:rsidR="00B4665C" w:rsidRPr="00381DC2">
        <w:rPr>
          <w:color w:val="000000"/>
        </w:rPr>
        <w:t>í</w:t>
      </w:r>
      <w:r w:rsidR="009B0756" w:rsidRPr="00381DC2">
        <w:rPr>
          <w:color w:val="000000"/>
        </w:rPr>
        <w:t xml:space="preserve"> pevné částice.</w:t>
      </w:r>
    </w:p>
    <w:p w14:paraId="3E3E2BD4" w14:textId="77777777" w:rsidR="00D15122" w:rsidRPr="00381DC2" w:rsidRDefault="00D15122" w:rsidP="007F6E1B">
      <w:pPr>
        <w:rPr>
          <w:rFonts w:ascii="Times New Roman" w:eastAsia="Times New Roman" w:hAnsi="Times New Roman"/>
          <w:color w:val="000000"/>
        </w:rPr>
      </w:pPr>
    </w:p>
    <w:p w14:paraId="7224310A" w14:textId="77777777" w:rsidR="00D15122" w:rsidRPr="00381DC2" w:rsidRDefault="009B0756" w:rsidP="007F6E1B">
      <w:pPr>
        <w:pStyle w:val="BodyText"/>
        <w:ind w:left="0" w:right="209"/>
        <w:rPr>
          <w:color w:val="000000"/>
        </w:rPr>
      </w:pPr>
      <w:r w:rsidRPr="00381DC2">
        <w:rPr>
          <w:color w:val="000000"/>
        </w:rPr>
        <w:t xml:space="preserve">Nebyly zaznamenány žádné inkompatibility mezi přípravkem </w:t>
      </w:r>
      <w:r w:rsidR="00CC0FAB" w:rsidRPr="00381DC2">
        <w:rPr>
          <w:color w:val="000000"/>
        </w:rPr>
        <w:t>Zirabev</w:t>
      </w:r>
      <w:r w:rsidRPr="00381DC2">
        <w:rPr>
          <w:color w:val="000000"/>
        </w:rPr>
        <w:t xml:space="preserve"> a vaky nebo infuzními sety z polyvinylchloridu nebo polyolefinu.</w:t>
      </w:r>
    </w:p>
    <w:p w14:paraId="717A4258" w14:textId="77777777" w:rsidR="00D15122" w:rsidRPr="00F60460" w:rsidRDefault="00D15122" w:rsidP="007F6E1B">
      <w:pPr>
        <w:rPr>
          <w:rFonts w:ascii="Times New Roman" w:eastAsia="Times New Roman" w:hAnsi="Times New Roman"/>
          <w:color w:val="000000"/>
          <w:sz w:val="21"/>
          <w:szCs w:val="21"/>
        </w:rPr>
      </w:pPr>
    </w:p>
    <w:p w14:paraId="7A501197" w14:textId="77777777" w:rsidR="00D15122" w:rsidRPr="00381DC2" w:rsidRDefault="00426DA8" w:rsidP="007F6E1B">
      <w:pPr>
        <w:pStyle w:val="BodyText"/>
        <w:ind w:left="0" w:right="137"/>
        <w:rPr>
          <w:color w:val="000000"/>
        </w:rPr>
      </w:pPr>
      <w:r w:rsidRPr="00381DC2">
        <w:rPr>
          <w:color w:val="000000"/>
        </w:rPr>
        <w:t xml:space="preserve">Přípravek </w:t>
      </w:r>
      <w:r w:rsidR="00CC0FAB" w:rsidRPr="00381DC2">
        <w:rPr>
          <w:color w:val="000000"/>
        </w:rPr>
        <w:t>Zirabev</w:t>
      </w:r>
      <w:r w:rsidRPr="00381DC2">
        <w:rPr>
          <w:color w:val="000000"/>
        </w:rPr>
        <w:t xml:space="preserve"> je určen pouze k jednorázovému použití, protože neobsahuje žádné konzervační </w:t>
      </w:r>
      <w:r w:rsidR="001B0558" w:rsidRPr="00381DC2">
        <w:rPr>
          <w:color w:val="000000"/>
        </w:rPr>
        <w:t>látky</w:t>
      </w:r>
      <w:r w:rsidRPr="00381DC2">
        <w:rPr>
          <w:color w:val="000000"/>
        </w:rPr>
        <w:t>. Veškerý nepoužitý léčivý přípravek nebo odpad musí být zlikvidován v souladu s místními požadavky.</w:t>
      </w:r>
    </w:p>
    <w:p w14:paraId="6CBFD626" w14:textId="77777777" w:rsidR="00D15122" w:rsidRPr="00381DC2" w:rsidRDefault="00D15122" w:rsidP="007F6E1B">
      <w:pPr>
        <w:rPr>
          <w:rFonts w:ascii="Times New Roman" w:eastAsia="Times New Roman" w:hAnsi="Times New Roman"/>
          <w:color w:val="000000"/>
        </w:rPr>
      </w:pPr>
    </w:p>
    <w:p w14:paraId="1687593B" w14:textId="77777777" w:rsidR="00D15122" w:rsidRPr="00381DC2" w:rsidRDefault="00D15122" w:rsidP="00C56DEB">
      <w:pPr>
        <w:keepNext/>
        <w:rPr>
          <w:rFonts w:ascii="Times New Roman" w:eastAsia="Times New Roman" w:hAnsi="Times New Roman"/>
          <w:color w:val="000000"/>
        </w:rPr>
      </w:pPr>
    </w:p>
    <w:p w14:paraId="6176F5C9" w14:textId="77777777" w:rsidR="00D15122" w:rsidRPr="00381DC2" w:rsidRDefault="003E4A60" w:rsidP="005D48D1">
      <w:pPr>
        <w:keepNext/>
        <w:tabs>
          <w:tab w:val="left" w:pos="685"/>
        </w:tabs>
        <w:rPr>
          <w:rFonts w:ascii="Times New Roman" w:hAnsi="Times New Roman"/>
          <w:b/>
          <w:color w:val="000000"/>
        </w:rPr>
      </w:pPr>
      <w:r w:rsidRPr="00381DC2">
        <w:rPr>
          <w:rFonts w:ascii="Times New Roman" w:hAnsi="Times New Roman"/>
          <w:b/>
          <w:color w:val="000000"/>
        </w:rPr>
        <w:t>7.</w:t>
      </w:r>
      <w:r w:rsidRPr="00381DC2">
        <w:rPr>
          <w:rFonts w:ascii="Times New Roman" w:hAnsi="Times New Roman"/>
          <w:b/>
          <w:color w:val="000000"/>
        </w:rPr>
        <w:tab/>
        <w:t>DRŽITEL ROZHODNUTÍ O REGISTRACI</w:t>
      </w:r>
    </w:p>
    <w:p w14:paraId="2BC0198E" w14:textId="77777777" w:rsidR="00D15122" w:rsidRPr="00F60460" w:rsidRDefault="00D15122" w:rsidP="00C56DEB">
      <w:pPr>
        <w:keepNext/>
        <w:rPr>
          <w:rFonts w:ascii="Times New Roman" w:eastAsia="Times New Roman" w:hAnsi="Times New Roman"/>
          <w:bCs/>
          <w:color w:val="000000"/>
          <w:sz w:val="21"/>
          <w:szCs w:val="21"/>
        </w:rPr>
      </w:pPr>
    </w:p>
    <w:p w14:paraId="03A127E5" w14:textId="77777777" w:rsidR="00DD4501" w:rsidRPr="00381DC2" w:rsidRDefault="000D291F" w:rsidP="005D48D1">
      <w:pPr>
        <w:tabs>
          <w:tab w:val="left" w:pos="567"/>
        </w:tabs>
        <w:rPr>
          <w:rFonts w:ascii="Times New Roman" w:hAnsi="Times New Roman"/>
          <w:color w:val="000000"/>
        </w:rPr>
      </w:pPr>
      <w:r w:rsidRPr="00381DC2">
        <w:rPr>
          <w:rFonts w:ascii="Times New Roman" w:hAnsi="Times New Roman"/>
          <w:color w:val="000000"/>
        </w:rPr>
        <w:t>Pfizer Europe MA EEIG</w:t>
      </w:r>
    </w:p>
    <w:p w14:paraId="58841E5C" w14:textId="77777777" w:rsidR="000774C5" w:rsidRPr="00381DC2" w:rsidRDefault="000774C5" w:rsidP="005D48D1">
      <w:pPr>
        <w:tabs>
          <w:tab w:val="left" w:pos="567"/>
        </w:tabs>
        <w:rPr>
          <w:rFonts w:ascii="Times New Roman" w:hAnsi="Times New Roman"/>
          <w:color w:val="000000"/>
        </w:rPr>
      </w:pPr>
      <w:r w:rsidRPr="00381DC2">
        <w:rPr>
          <w:rFonts w:ascii="Times New Roman" w:hAnsi="Times New Roman"/>
          <w:color w:val="000000"/>
        </w:rPr>
        <w:t xml:space="preserve">Boulevard de la Plaine 17 </w:t>
      </w:r>
    </w:p>
    <w:p w14:paraId="5F8D82AA" w14:textId="77777777" w:rsidR="000774C5" w:rsidRPr="00381DC2" w:rsidRDefault="000774C5" w:rsidP="005D48D1">
      <w:pPr>
        <w:tabs>
          <w:tab w:val="left" w:pos="567"/>
        </w:tabs>
        <w:rPr>
          <w:rFonts w:ascii="Times New Roman" w:hAnsi="Times New Roman"/>
          <w:color w:val="000000"/>
        </w:rPr>
      </w:pPr>
      <w:r w:rsidRPr="00381DC2">
        <w:rPr>
          <w:rFonts w:ascii="Times New Roman" w:hAnsi="Times New Roman"/>
          <w:color w:val="000000"/>
        </w:rPr>
        <w:t xml:space="preserve">1050 </w:t>
      </w:r>
      <w:r w:rsidR="00B8703E" w:rsidRPr="00381DC2">
        <w:rPr>
          <w:rFonts w:ascii="Times New Roman" w:hAnsi="Times New Roman"/>
          <w:color w:val="000000"/>
        </w:rPr>
        <w:t>Bruxelles</w:t>
      </w:r>
    </w:p>
    <w:p w14:paraId="52DAAC64" w14:textId="77777777" w:rsidR="00DD4501" w:rsidRPr="00381DC2" w:rsidRDefault="000774C5" w:rsidP="005D48D1">
      <w:pPr>
        <w:tabs>
          <w:tab w:val="left" w:pos="567"/>
        </w:tabs>
        <w:rPr>
          <w:rFonts w:ascii="Times New Roman" w:hAnsi="Times New Roman"/>
          <w:color w:val="000000"/>
        </w:rPr>
      </w:pPr>
      <w:r w:rsidRPr="00381DC2">
        <w:rPr>
          <w:rFonts w:ascii="Times New Roman" w:hAnsi="Times New Roman"/>
          <w:color w:val="000000"/>
        </w:rPr>
        <w:t>Belgie</w:t>
      </w:r>
    </w:p>
    <w:p w14:paraId="2A14631A" w14:textId="77777777" w:rsidR="00D15122" w:rsidRPr="00381DC2" w:rsidRDefault="00D15122" w:rsidP="007F6E1B">
      <w:pPr>
        <w:rPr>
          <w:rFonts w:ascii="Times New Roman" w:eastAsia="Times New Roman" w:hAnsi="Times New Roman"/>
          <w:color w:val="000000"/>
        </w:rPr>
      </w:pPr>
    </w:p>
    <w:p w14:paraId="6B2AB010" w14:textId="77777777" w:rsidR="00D15122" w:rsidRPr="00381DC2" w:rsidRDefault="00D15122" w:rsidP="007F6E1B">
      <w:pPr>
        <w:rPr>
          <w:rFonts w:ascii="Times New Roman" w:eastAsia="Times New Roman" w:hAnsi="Times New Roman"/>
          <w:color w:val="000000"/>
        </w:rPr>
      </w:pPr>
    </w:p>
    <w:p w14:paraId="5FB14AEC" w14:textId="77777777" w:rsidR="00D15122" w:rsidRPr="00381DC2" w:rsidRDefault="00BE1DB2" w:rsidP="005D48D1">
      <w:pPr>
        <w:keepNext/>
        <w:tabs>
          <w:tab w:val="left" w:pos="685"/>
        </w:tabs>
        <w:rPr>
          <w:rFonts w:ascii="Times New Roman" w:hAnsi="Times New Roman"/>
          <w:b/>
          <w:color w:val="000000"/>
        </w:rPr>
      </w:pPr>
      <w:r w:rsidRPr="00381DC2">
        <w:rPr>
          <w:rFonts w:ascii="Times New Roman" w:hAnsi="Times New Roman"/>
          <w:b/>
          <w:color w:val="000000"/>
        </w:rPr>
        <w:t>8.</w:t>
      </w:r>
      <w:r w:rsidRPr="00381DC2">
        <w:rPr>
          <w:rFonts w:ascii="Times New Roman" w:hAnsi="Times New Roman"/>
          <w:b/>
          <w:color w:val="000000"/>
        </w:rPr>
        <w:tab/>
        <w:t>REGISTRAČNÍ ČÍSLO(A)</w:t>
      </w:r>
    </w:p>
    <w:p w14:paraId="2F943C57" w14:textId="77777777" w:rsidR="00D15122" w:rsidRPr="00381DC2" w:rsidRDefault="00D15122" w:rsidP="001F6294">
      <w:pPr>
        <w:rPr>
          <w:rFonts w:ascii="Times New Roman" w:eastAsia="Times New Roman" w:hAnsi="Times New Roman"/>
          <w:color w:val="000000"/>
        </w:rPr>
      </w:pPr>
    </w:p>
    <w:p w14:paraId="64DBB211" w14:textId="77777777" w:rsidR="00E03821" w:rsidRPr="00381DC2" w:rsidRDefault="00E03821" w:rsidP="00E03821">
      <w:pPr>
        <w:rPr>
          <w:rFonts w:ascii="Times New Roman" w:eastAsia="Times New Roman" w:hAnsi="Times New Roman"/>
          <w:color w:val="000000"/>
        </w:rPr>
      </w:pPr>
      <w:r w:rsidRPr="00381DC2">
        <w:rPr>
          <w:rFonts w:ascii="Times New Roman" w:eastAsia="Times New Roman" w:hAnsi="Times New Roman"/>
          <w:color w:val="000000"/>
        </w:rPr>
        <w:t>EU/1/18/1344/001</w:t>
      </w:r>
      <w:r w:rsidRPr="00381DC2">
        <w:rPr>
          <w:rFonts w:ascii="Times New Roman" w:eastAsia="Times New Roman" w:hAnsi="Times New Roman"/>
          <w:color w:val="000000"/>
        </w:rPr>
        <w:tab/>
        <w:t>100 mg/4 ml injekční lahvička</w:t>
      </w:r>
    </w:p>
    <w:p w14:paraId="5B4B158F" w14:textId="77777777" w:rsidR="00E03821" w:rsidRPr="00381DC2" w:rsidRDefault="00E03821" w:rsidP="00E03821">
      <w:pPr>
        <w:rPr>
          <w:rFonts w:ascii="Times New Roman" w:eastAsia="Times New Roman" w:hAnsi="Times New Roman"/>
          <w:color w:val="000000"/>
        </w:rPr>
      </w:pPr>
      <w:r w:rsidRPr="00381DC2">
        <w:rPr>
          <w:rFonts w:ascii="Times New Roman" w:eastAsia="Times New Roman" w:hAnsi="Times New Roman"/>
          <w:color w:val="000000"/>
        </w:rPr>
        <w:t>EU/1/18/1344/002</w:t>
      </w:r>
      <w:r w:rsidRPr="00381DC2">
        <w:rPr>
          <w:rFonts w:ascii="Times New Roman" w:eastAsia="Times New Roman" w:hAnsi="Times New Roman"/>
          <w:color w:val="000000"/>
        </w:rPr>
        <w:tab/>
        <w:t>400 mg/16 ml injekční lahvička</w:t>
      </w:r>
    </w:p>
    <w:p w14:paraId="6A86F18D" w14:textId="77777777" w:rsidR="00E03821" w:rsidRPr="00381DC2" w:rsidRDefault="00E03821" w:rsidP="001F6294">
      <w:pPr>
        <w:rPr>
          <w:rFonts w:ascii="Times New Roman" w:eastAsia="Times New Roman" w:hAnsi="Times New Roman"/>
          <w:color w:val="000000"/>
        </w:rPr>
      </w:pPr>
    </w:p>
    <w:p w14:paraId="55EDAFEC" w14:textId="77777777" w:rsidR="00D15122" w:rsidRPr="00381DC2" w:rsidRDefault="00D15122" w:rsidP="007F6E1B">
      <w:pPr>
        <w:rPr>
          <w:rFonts w:ascii="Times New Roman" w:eastAsia="Times New Roman" w:hAnsi="Times New Roman"/>
          <w:color w:val="000000"/>
        </w:rPr>
      </w:pPr>
    </w:p>
    <w:p w14:paraId="1A82DAB0" w14:textId="77777777" w:rsidR="00D15122" w:rsidRPr="00381DC2" w:rsidRDefault="00BE1DB2" w:rsidP="005D48D1">
      <w:pPr>
        <w:keepNext/>
        <w:tabs>
          <w:tab w:val="left" w:pos="685"/>
        </w:tabs>
        <w:rPr>
          <w:rFonts w:ascii="Times New Roman" w:hAnsi="Times New Roman"/>
          <w:b/>
          <w:color w:val="000000"/>
        </w:rPr>
      </w:pPr>
      <w:r w:rsidRPr="00381DC2">
        <w:rPr>
          <w:rFonts w:ascii="Times New Roman" w:hAnsi="Times New Roman"/>
          <w:b/>
          <w:color w:val="000000"/>
        </w:rPr>
        <w:t>9.</w:t>
      </w:r>
      <w:r w:rsidRPr="00381DC2">
        <w:rPr>
          <w:rFonts w:ascii="Times New Roman" w:hAnsi="Times New Roman"/>
          <w:b/>
          <w:color w:val="000000"/>
        </w:rPr>
        <w:tab/>
        <w:t>DATUM PRVNÍ REGISTRACE/PRODLOUŽENÍ REGISTRACE</w:t>
      </w:r>
    </w:p>
    <w:p w14:paraId="290C3F45" w14:textId="77777777" w:rsidR="00D15122" w:rsidRPr="00F60460" w:rsidRDefault="00D15122" w:rsidP="007F6E1B">
      <w:pPr>
        <w:rPr>
          <w:rFonts w:ascii="Times New Roman" w:eastAsia="Times New Roman" w:hAnsi="Times New Roman"/>
          <w:bCs/>
          <w:color w:val="000000"/>
          <w:sz w:val="21"/>
          <w:szCs w:val="21"/>
        </w:rPr>
      </w:pPr>
    </w:p>
    <w:p w14:paraId="55E40FC9" w14:textId="77777777" w:rsidR="00250C7E" w:rsidRPr="00381DC2" w:rsidRDefault="00250C7E" w:rsidP="00250C7E">
      <w:pPr>
        <w:tabs>
          <w:tab w:val="left" w:pos="567"/>
        </w:tabs>
        <w:rPr>
          <w:rFonts w:ascii="Times New Roman" w:hAnsi="Times New Roman"/>
          <w:color w:val="000000"/>
        </w:rPr>
      </w:pPr>
      <w:r w:rsidRPr="00381DC2">
        <w:rPr>
          <w:rFonts w:ascii="Times New Roman" w:hAnsi="Times New Roman"/>
          <w:color w:val="000000"/>
        </w:rPr>
        <w:t>Datum první registrace: 14. února 2019</w:t>
      </w:r>
    </w:p>
    <w:p w14:paraId="12EA4DB2" w14:textId="6866DDEB" w:rsidR="00865518" w:rsidRPr="00381DC2" w:rsidRDefault="00865518" w:rsidP="00865518">
      <w:pPr>
        <w:tabs>
          <w:tab w:val="left" w:pos="567"/>
        </w:tabs>
        <w:rPr>
          <w:rFonts w:ascii="Times New Roman" w:hAnsi="Times New Roman"/>
          <w:color w:val="000000"/>
        </w:rPr>
      </w:pPr>
      <w:r>
        <w:rPr>
          <w:rFonts w:ascii="Times New Roman" w:hAnsi="Times New Roman"/>
          <w:color w:val="000000"/>
        </w:rPr>
        <w:t>Datum posledního prodloužení registrace:</w:t>
      </w:r>
      <w:r w:rsidR="00630F51">
        <w:rPr>
          <w:rFonts w:ascii="Times New Roman" w:hAnsi="Times New Roman"/>
          <w:color w:val="000000"/>
        </w:rPr>
        <w:t xml:space="preserve"> 6. listopad 2023</w:t>
      </w:r>
    </w:p>
    <w:p w14:paraId="293E6411" w14:textId="77777777" w:rsidR="00E17659" w:rsidRPr="00F60460" w:rsidRDefault="00E17659" w:rsidP="007F6E1B">
      <w:pPr>
        <w:rPr>
          <w:rFonts w:ascii="Times New Roman" w:eastAsia="Times New Roman" w:hAnsi="Times New Roman"/>
          <w:bCs/>
          <w:color w:val="000000"/>
          <w:sz w:val="21"/>
          <w:szCs w:val="21"/>
        </w:rPr>
      </w:pPr>
    </w:p>
    <w:p w14:paraId="5991B60B" w14:textId="77777777" w:rsidR="00D15122" w:rsidRPr="00381DC2" w:rsidRDefault="00D15122" w:rsidP="007F6E1B">
      <w:pPr>
        <w:rPr>
          <w:rFonts w:ascii="Times New Roman" w:eastAsia="Times New Roman" w:hAnsi="Times New Roman"/>
          <w:color w:val="000000"/>
        </w:rPr>
      </w:pPr>
    </w:p>
    <w:p w14:paraId="4601A3FB" w14:textId="77777777" w:rsidR="00D15122" w:rsidRPr="00381DC2" w:rsidRDefault="00BE1DB2" w:rsidP="005D48D1">
      <w:pPr>
        <w:keepNext/>
        <w:tabs>
          <w:tab w:val="left" w:pos="685"/>
        </w:tabs>
        <w:rPr>
          <w:rFonts w:ascii="Times New Roman" w:hAnsi="Times New Roman"/>
          <w:b/>
          <w:color w:val="000000"/>
        </w:rPr>
      </w:pPr>
      <w:r w:rsidRPr="00381DC2">
        <w:rPr>
          <w:rFonts w:ascii="Times New Roman" w:hAnsi="Times New Roman"/>
          <w:b/>
          <w:color w:val="000000"/>
        </w:rPr>
        <w:t>10.</w:t>
      </w:r>
      <w:r w:rsidRPr="00381DC2">
        <w:rPr>
          <w:rFonts w:ascii="Times New Roman" w:hAnsi="Times New Roman"/>
          <w:b/>
          <w:color w:val="000000"/>
        </w:rPr>
        <w:tab/>
        <w:t>DATUM REVIZE TEXTU</w:t>
      </w:r>
    </w:p>
    <w:p w14:paraId="47FCA1CF" w14:textId="77777777" w:rsidR="000D3CB6" w:rsidRDefault="000D3CB6" w:rsidP="007F6E1B">
      <w:pPr>
        <w:pStyle w:val="BodyText"/>
        <w:ind w:left="0" w:right="137"/>
        <w:rPr>
          <w:color w:val="000000"/>
        </w:rPr>
      </w:pPr>
    </w:p>
    <w:p w14:paraId="41D862EF" w14:textId="2D768052" w:rsidR="00D15122" w:rsidRPr="00381DC2" w:rsidRDefault="009B0756" w:rsidP="007F6E1B">
      <w:pPr>
        <w:pStyle w:val="BodyText"/>
        <w:ind w:left="0" w:right="137"/>
        <w:rPr>
          <w:color w:val="000000"/>
        </w:rPr>
      </w:pPr>
      <w:r w:rsidRPr="00381DC2">
        <w:rPr>
          <w:color w:val="000000"/>
        </w:rPr>
        <w:t xml:space="preserve">Podrobné informace o tomto léčivém přípravku jsou k dispozici na webových stránkách Evropské agentury pro léčivé přípravky </w:t>
      </w:r>
      <w:hyperlink r:id="rId10" w:history="1">
        <w:r w:rsidR="00B474D5" w:rsidRPr="00F60460">
          <w:rPr>
            <w:rStyle w:val="Hyperlink"/>
          </w:rPr>
          <w:t>https://www.ema.europa.eu</w:t>
        </w:r>
      </w:hyperlink>
      <w:r w:rsidR="00892493" w:rsidRPr="00381DC2">
        <w:rPr>
          <w:color w:val="000000"/>
        </w:rPr>
        <w:t>.</w:t>
      </w:r>
    </w:p>
    <w:p w14:paraId="25583169" w14:textId="77777777" w:rsidR="00C56DEB" w:rsidRPr="00381DC2" w:rsidRDefault="00C56DEB">
      <w:pPr>
        <w:widowControl/>
        <w:rPr>
          <w:rFonts w:ascii="Times New Roman" w:hAnsi="Times New Roman"/>
          <w:color w:val="000000"/>
        </w:rPr>
      </w:pPr>
      <w:r w:rsidRPr="00381DC2">
        <w:rPr>
          <w:rFonts w:ascii="Times New Roman" w:hAnsi="Times New Roman"/>
          <w:color w:val="000000"/>
        </w:rPr>
        <w:br w:type="page"/>
      </w:r>
    </w:p>
    <w:p w14:paraId="436C40AB" w14:textId="77777777" w:rsidR="00E03821" w:rsidRPr="00381DC2" w:rsidRDefault="00E03821" w:rsidP="00C56DEB">
      <w:pPr>
        <w:jc w:val="center"/>
        <w:rPr>
          <w:rFonts w:ascii="Times New Roman" w:hAnsi="Times New Roman"/>
          <w:color w:val="000000"/>
        </w:rPr>
      </w:pPr>
    </w:p>
    <w:p w14:paraId="2AF9AA74" w14:textId="77777777" w:rsidR="00E03821" w:rsidRPr="00381DC2" w:rsidRDefault="00E03821" w:rsidP="00C56DEB">
      <w:pPr>
        <w:jc w:val="center"/>
        <w:rPr>
          <w:rFonts w:ascii="Times New Roman" w:hAnsi="Times New Roman"/>
          <w:color w:val="000000"/>
        </w:rPr>
      </w:pPr>
    </w:p>
    <w:p w14:paraId="470CDECF" w14:textId="77777777" w:rsidR="00E03821" w:rsidRPr="00381DC2" w:rsidRDefault="00E03821" w:rsidP="00C56DEB">
      <w:pPr>
        <w:jc w:val="center"/>
        <w:rPr>
          <w:rFonts w:ascii="Times New Roman" w:hAnsi="Times New Roman"/>
          <w:color w:val="000000"/>
        </w:rPr>
      </w:pPr>
    </w:p>
    <w:p w14:paraId="53CC8DA7" w14:textId="77777777" w:rsidR="00E03821" w:rsidRPr="00381DC2" w:rsidRDefault="00E03821" w:rsidP="00C56DEB">
      <w:pPr>
        <w:jc w:val="center"/>
        <w:rPr>
          <w:rFonts w:ascii="Times New Roman" w:hAnsi="Times New Roman"/>
          <w:color w:val="000000"/>
        </w:rPr>
      </w:pPr>
    </w:p>
    <w:p w14:paraId="6963336E" w14:textId="77777777" w:rsidR="00E03821" w:rsidRPr="00381DC2" w:rsidRDefault="00E03821" w:rsidP="00C56DEB">
      <w:pPr>
        <w:jc w:val="center"/>
        <w:rPr>
          <w:rFonts w:ascii="Times New Roman" w:hAnsi="Times New Roman"/>
          <w:color w:val="000000"/>
        </w:rPr>
      </w:pPr>
    </w:p>
    <w:p w14:paraId="1DB8F527" w14:textId="77777777" w:rsidR="00E03821" w:rsidRPr="00381DC2" w:rsidRDefault="00E03821" w:rsidP="00C56DEB">
      <w:pPr>
        <w:jc w:val="center"/>
        <w:rPr>
          <w:rFonts w:ascii="Times New Roman" w:hAnsi="Times New Roman"/>
          <w:color w:val="000000"/>
        </w:rPr>
      </w:pPr>
    </w:p>
    <w:p w14:paraId="5BA1AC1D" w14:textId="77777777" w:rsidR="00E03821" w:rsidRPr="00381DC2" w:rsidRDefault="00E03821" w:rsidP="00C56DEB">
      <w:pPr>
        <w:jc w:val="center"/>
        <w:rPr>
          <w:rFonts w:ascii="Times New Roman" w:hAnsi="Times New Roman"/>
          <w:color w:val="000000"/>
        </w:rPr>
      </w:pPr>
    </w:p>
    <w:p w14:paraId="6454B14B" w14:textId="77777777" w:rsidR="00E03821" w:rsidRPr="00381DC2" w:rsidRDefault="00E03821" w:rsidP="00C56DEB">
      <w:pPr>
        <w:jc w:val="center"/>
        <w:rPr>
          <w:rFonts w:ascii="Times New Roman" w:hAnsi="Times New Roman"/>
          <w:color w:val="000000"/>
        </w:rPr>
      </w:pPr>
    </w:p>
    <w:p w14:paraId="20228581" w14:textId="77777777" w:rsidR="00E03821" w:rsidRPr="00381DC2" w:rsidRDefault="00E03821" w:rsidP="00C56DEB">
      <w:pPr>
        <w:jc w:val="center"/>
        <w:rPr>
          <w:rFonts w:ascii="Times New Roman" w:hAnsi="Times New Roman"/>
          <w:color w:val="000000"/>
        </w:rPr>
      </w:pPr>
    </w:p>
    <w:p w14:paraId="676877FC" w14:textId="77777777" w:rsidR="00E03821" w:rsidRPr="00381DC2" w:rsidRDefault="00E03821" w:rsidP="00C56DEB">
      <w:pPr>
        <w:jc w:val="center"/>
        <w:rPr>
          <w:rFonts w:ascii="Times New Roman" w:hAnsi="Times New Roman"/>
          <w:color w:val="000000"/>
        </w:rPr>
      </w:pPr>
    </w:p>
    <w:p w14:paraId="2DCFDB62" w14:textId="77777777" w:rsidR="00C56DEB" w:rsidRPr="00381DC2" w:rsidRDefault="00C56DEB" w:rsidP="00E03821">
      <w:pPr>
        <w:jc w:val="center"/>
        <w:rPr>
          <w:rFonts w:ascii="Times New Roman" w:hAnsi="Times New Roman"/>
          <w:color w:val="000000"/>
        </w:rPr>
      </w:pPr>
    </w:p>
    <w:p w14:paraId="1A201A77" w14:textId="77777777" w:rsidR="00C56DEB" w:rsidRPr="00381DC2" w:rsidRDefault="00C56DEB" w:rsidP="00E03821">
      <w:pPr>
        <w:jc w:val="center"/>
        <w:rPr>
          <w:rFonts w:ascii="Times New Roman" w:hAnsi="Times New Roman"/>
          <w:color w:val="000000"/>
        </w:rPr>
      </w:pPr>
    </w:p>
    <w:p w14:paraId="5CA4153B" w14:textId="77777777" w:rsidR="00C56DEB" w:rsidRPr="00381DC2" w:rsidRDefault="00C56DEB" w:rsidP="00E03821">
      <w:pPr>
        <w:jc w:val="center"/>
        <w:rPr>
          <w:rFonts w:ascii="Times New Roman" w:hAnsi="Times New Roman"/>
          <w:color w:val="000000"/>
        </w:rPr>
      </w:pPr>
    </w:p>
    <w:p w14:paraId="1DCF55A6" w14:textId="77777777" w:rsidR="00C56DEB" w:rsidRPr="00381DC2" w:rsidRDefault="00C56DEB" w:rsidP="00E03821">
      <w:pPr>
        <w:jc w:val="center"/>
        <w:rPr>
          <w:rFonts w:ascii="Times New Roman" w:hAnsi="Times New Roman"/>
          <w:color w:val="000000"/>
        </w:rPr>
      </w:pPr>
    </w:p>
    <w:p w14:paraId="36157348" w14:textId="77777777" w:rsidR="00C56DEB" w:rsidRPr="00381DC2" w:rsidRDefault="00C56DEB" w:rsidP="00E03821">
      <w:pPr>
        <w:jc w:val="center"/>
        <w:rPr>
          <w:rFonts w:ascii="Times New Roman" w:hAnsi="Times New Roman"/>
          <w:color w:val="000000"/>
        </w:rPr>
      </w:pPr>
    </w:p>
    <w:p w14:paraId="6FF470E9" w14:textId="77777777" w:rsidR="00C56DEB" w:rsidRPr="00381DC2" w:rsidRDefault="00C56DEB" w:rsidP="00E03821">
      <w:pPr>
        <w:jc w:val="center"/>
        <w:rPr>
          <w:rFonts w:ascii="Times New Roman" w:hAnsi="Times New Roman"/>
          <w:color w:val="000000"/>
        </w:rPr>
      </w:pPr>
    </w:p>
    <w:p w14:paraId="0F9CA018" w14:textId="77777777" w:rsidR="00C56DEB" w:rsidRPr="00381DC2" w:rsidRDefault="00C56DEB" w:rsidP="00E03821">
      <w:pPr>
        <w:jc w:val="center"/>
        <w:rPr>
          <w:rFonts w:ascii="Times New Roman" w:hAnsi="Times New Roman"/>
          <w:color w:val="000000"/>
        </w:rPr>
      </w:pPr>
    </w:p>
    <w:p w14:paraId="06B67F88" w14:textId="77777777" w:rsidR="00C56DEB" w:rsidRPr="00381DC2" w:rsidRDefault="00C56DEB" w:rsidP="00E03821">
      <w:pPr>
        <w:jc w:val="center"/>
        <w:rPr>
          <w:rFonts w:ascii="Times New Roman" w:hAnsi="Times New Roman"/>
          <w:color w:val="000000"/>
        </w:rPr>
      </w:pPr>
    </w:p>
    <w:p w14:paraId="22472A79" w14:textId="77777777" w:rsidR="00C56DEB" w:rsidRPr="00381DC2" w:rsidRDefault="00C56DEB" w:rsidP="00E03821">
      <w:pPr>
        <w:jc w:val="center"/>
        <w:rPr>
          <w:rFonts w:ascii="Times New Roman" w:hAnsi="Times New Roman"/>
          <w:color w:val="000000"/>
        </w:rPr>
      </w:pPr>
    </w:p>
    <w:p w14:paraId="1F3521ED" w14:textId="77777777" w:rsidR="00C56DEB" w:rsidRPr="00381DC2" w:rsidRDefault="00C56DEB" w:rsidP="00E03821">
      <w:pPr>
        <w:jc w:val="center"/>
        <w:rPr>
          <w:rFonts w:ascii="Times New Roman" w:hAnsi="Times New Roman"/>
          <w:color w:val="000000"/>
        </w:rPr>
      </w:pPr>
    </w:p>
    <w:p w14:paraId="54633CE4" w14:textId="012058DC" w:rsidR="00C56DEB" w:rsidRDefault="00C56DEB" w:rsidP="00E03821">
      <w:pPr>
        <w:jc w:val="center"/>
        <w:rPr>
          <w:rFonts w:ascii="Times New Roman" w:hAnsi="Times New Roman"/>
          <w:color w:val="000000"/>
        </w:rPr>
      </w:pPr>
    </w:p>
    <w:p w14:paraId="50FDB2AF" w14:textId="77777777" w:rsidR="00012537" w:rsidRPr="00381DC2" w:rsidRDefault="00012537" w:rsidP="00E03821">
      <w:pPr>
        <w:jc w:val="center"/>
        <w:rPr>
          <w:rFonts w:ascii="Times New Roman" w:hAnsi="Times New Roman"/>
          <w:color w:val="000000"/>
        </w:rPr>
      </w:pPr>
    </w:p>
    <w:p w14:paraId="7E23CEB7" w14:textId="77777777" w:rsidR="00C56DEB" w:rsidRPr="00381DC2" w:rsidRDefault="00C56DEB" w:rsidP="00E03821">
      <w:pPr>
        <w:jc w:val="center"/>
        <w:rPr>
          <w:rFonts w:ascii="Times New Roman" w:hAnsi="Times New Roman"/>
          <w:color w:val="000000"/>
        </w:rPr>
      </w:pPr>
    </w:p>
    <w:p w14:paraId="3EBE4528" w14:textId="77777777" w:rsidR="00E03821" w:rsidRPr="00381DC2" w:rsidRDefault="00E03821" w:rsidP="00E03821">
      <w:pPr>
        <w:jc w:val="center"/>
        <w:rPr>
          <w:rFonts w:ascii="Times New Roman" w:hAnsi="Times New Roman"/>
          <w:color w:val="000000"/>
        </w:rPr>
      </w:pPr>
      <w:r w:rsidRPr="00381DC2">
        <w:rPr>
          <w:rFonts w:ascii="Times New Roman" w:hAnsi="Times New Roman"/>
          <w:b/>
          <w:color w:val="000000"/>
        </w:rPr>
        <w:t>PŘÍLOHA II</w:t>
      </w:r>
    </w:p>
    <w:p w14:paraId="246FE0FB" w14:textId="77777777" w:rsidR="00E03821" w:rsidRPr="00381DC2" w:rsidRDefault="00E03821" w:rsidP="00E03821">
      <w:pPr>
        <w:rPr>
          <w:rFonts w:ascii="Times New Roman" w:hAnsi="Times New Roman"/>
          <w:color w:val="000000"/>
        </w:rPr>
      </w:pPr>
    </w:p>
    <w:p w14:paraId="7316C1AA" w14:textId="329CA898" w:rsidR="00E03821" w:rsidRPr="00381DC2" w:rsidRDefault="00630F51" w:rsidP="00300882">
      <w:pPr>
        <w:pStyle w:val="Normln1"/>
        <w:numPr>
          <w:ilvl w:val="0"/>
          <w:numId w:val="33"/>
        </w:numPr>
        <w:tabs>
          <w:tab w:val="left" w:pos="1701"/>
        </w:tabs>
        <w:spacing w:line="240" w:lineRule="auto"/>
        <w:ind w:right="994"/>
        <w:rPr>
          <w:b/>
          <w:noProof/>
          <w:color w:val="000000"/>
        </w:rPr>
      </w:pPr>
      <w:r w:rsidRPr="00381DC2">
        <w:rPr>
          <w:b/>
          <w:noProof/>
          <w:color w:val="000000"/>
        </w:rPr>
        <w:t>VÝROBC</w:t>
      </w:r>
      <w:r>
        <w:rPr>
          <w:b/>
          <w:noProof/>
          <w:color w:val="000000"/>
        </w:rPr>
        <w:t>I</w:t>
      </w:r>
      <w:r w:rsidRPr="00381DC2">
        <w:rPr>
          <w:b/>
          <w:noProof/>
          <w:color w:val="000000"/>
        </w:rPr>
        <w:t xml:space="preserve"> </w:t>
      </w:r>
      <w:r w:rsidR="00E03821" w:rsidRPr="00381DC2">
        <w:rPr>
          <w:b/>
          <w:noProof/>
          <w:color w:val="000000"/>
        </w:rPr>
        <w:t xml:space="preserve">BIOLOGICKÉ LÉČIVÉ LÁTKY A </w:t>
      </w:r>
      <w:r w:rsidR="00CB5AF2" w:rsidRPr="00381DC2">
        <w:rPr>
          <w:b/>
          <w:noProof/>
          <w:color w:val="000000"/>
        </w:rPr>
        <w:t>VÝROBC</w:t>
      </w:r>
      <w:r w:rsidR="00CB5AF2">
        <w:rPr>
          <w:b/>
          <w:noProof/>
          <w:color w:val="000000"/>
        </w:rPr>
        <w:t>E</w:t>
      </w:r>
      <w:r w:rsidR="00CB5AF2" w:rsidRPr="00381DC2">
        <w:rPr>
          <w:b/>
          <w:noProof/>
          <w:color w:val="000000"/>
        </w:rPr>
        <w:t xml:space="preserve"> ODPOVĚDN</w:t>
      </w:r>
      <w:r w:rsidR="00CB5AF2">
        <w:rPr>
          <w:b/>
          <w:noProof/>
          <w:color w:val="000000"/>
        </w:rPr>
        <w:t>Ý</w:t>
      </w:r>
      <w:r w:rsidR="00CB5AF2" w:rsidRPr="00381DC2">
        <w:rPr>
          <w:b/>
          <w:noProof/>
          <w:color w:val="000000"/>
        </w:rPr>
        <w:t xml:space="preserve"> </w:t>
      </w:r>
      <w:r w:rsidR="00E03821" w:rsidRPr="00381DC2">
        <w:rPr>
          <w:b/>
          <w:noProof/>
          <w:color w:val="000000"/>
        </w:rPr>
        <w:t>ZA PROPOUŠTĚNÍ ŠARŽÍ</w:t>
      </w:r>
    </w:p>
    <w:p w14:paraId="4B1097B6" w14:textId="77777777" w:rsidR="00E03821" w:rsidRPr="00381DC2" w:rsidRDefault="00E03821" w:rsidP="00FF564D">
      <w:pPr>
        <w:ind w:left="1712" w:right="1418" w:hanging="720"/>
        <w:rPr>
          <w:rFonts w:ascii="Times New Roman" w:hAnsi="Times New Roman"/>
          <w:color w:val="000000"/>
        </w:rPr>
      </w:pPr>
    </w:p>
    <w:p w14:paraId="5698EBD2" w14:textId="77777777" w:rsidR="00E03821" w:rsidRPr="00381DC2" w:rsidRDefault="00E03821" w:rsidP="00300882">
      <w:pPr>
        <w:pStyle w:val="Normln1"/>
        <w:numPr>
          <w:ilvl w:val="0"/>
          <w:numId w:val="33"/>
        </w:numPr>
        <w:tabs>
          <w:tab w:val="left" w:pos="1701"/>
        </w:tabs>
        <w:spacing w:line="240" w:lineRule="auto"/>
        <w:ind w:right="994"/>
        <w:rPr>
          <w:b/>
          <w:noProof/>
          <w:color w:val="000000"/>
        </w:rPr>
      </w:pPr>
      <w:r w:rsidRPr="00381DC2">
        <w:rPr>
          <w:b/>
          <w:noProof/>
          <w:color w:val="000000"/>
        </w:rPr>
        <w:t>PODMÍNKY NEBO OMEZENÍ VÝDEJE A POUŽITÍ</w:t>
      </w:r>
    </w:p>
    <w:p w14:paraId="439BB4CD" w14:textId="77777777" w:rsidR="00E03821" w:rsidRPr="00381DC2" w:rsidRDefault="00E03821" w:rsidP="00FF564D">
      <w:pPr>
        <w:ind w:left="1712" w:right="1418" w:hanging="720"/>
        <w:rPr>
          <w:rFonts w:ascii="Times New Roman" w:hAnsi="Times New Roman"/>
          <w:color w:val="000000"/>
        </w:rPr>
      </w:pPr>
    </w:p>
    <w:p w14:paraId="4773EA53" w14:textId="77777777" w:rsidR="00E03821" w:rsidRPr="00381DC2" w:rsidRDefault="00E03821" w:rsidP="00300882">
      <w:pPr>
        <w:pStyle w:val="Normln1"/>
        <w:numPr>
          <w:ilvl w:val="0"/>
          <w:numId w:val="33"/>
        </w:numPr>
        <w:tabs>
          <w:tab w:val="left" w:pos="1701"/>
        </w:tabs>
        <w:spacing w:line="240" w:lineRule="auto"/>
        <w:ind w:right="994"/>
        <w:rPr>
          <w:b/>
          <w:noProof/>
          <w:color w:val="000000"/>
        </w:rPr>
      </w:pPr>
      <w:r w:rsidRPr="00381DC2">
        <w:rPr>
          <w:b/>
          <w:noProof/>
          <w:color w:val="000000"/>
        </w:rPr>
        <w:t>DALŠÍ PODMÍNKY A POŽADAVKY REGISTRACE</w:t>
      </w:r>
    </w:p>
    <w:p w14:paraId="44F1416D" w14:textId="77777777" w:rsidR="00E03821" w:rsidRPr="00381DC2" w:rsidRDefault="00E03821" w:rsidP="00FF564D">
      <w:pPr>
        <w:ind w:left="1712" w:right="1418" w:hanging="720"/>
        <w:rPr>
          <w:rFonts w:ascii="Times New Roman" w:hAnsi="Times New Roman"/>
          <w:b/>
          <w:color w:val="000000"/>
        </w:rPr>
      </w:pPr>
    </w:p>
    <w:p w14:paraId="7667D32D" w14:textId="77777777" w:rsidR="00E17659" w:rsidRPr="00381DC2" w:rsidRDefault="00E03821" w:rsidP="00300882">
      <w:pPr>
        <w:pStyle w:val="Normln1"/>
        <w:numPr>
          <w:ilvl w:val="0"/>
          <w:numId w:val="33"/>
        </w:numPr>
        <w:tabs>
          <w:tab w:val="left" w:pos="1701"/>
        </w:tabs>
        <w:spacing w:line="240" w:lineRule="auto"/>
        <w:ind w:right="994"/>
        <w:rPr>
          <w:b/>
          <w:noProof/>
          <w:color w:val="000000"/>
        </w:rPr>
      </w:pPr>
      <w:r w:rsidRPr="00381DC2">
        <w:rPr>
          <w:b/>
          <w:noProof/>
          <w:color w:val="000000"/>
        </w:rPr>
        <w:t>PODMÍNKY NEBO OMEZENÍ S OHLEDEM NA BEZPEČNÉ A ÚČINNÉ POUŽÍVÁNÍ LÉČIVÉHO PŘÍPRAVKU</w:t>
      </w:r>
      <w:bookmarkStart w:id="1" w:name="A._MANUFACTURERS_OF_THE_BIOLOGICAL_ACTIV"/>
      <w:bookmarkStart w:id="2" w:name="B._CONDITIONS_OR_RESTRICTIONS_REGARDING_"/>
      <w:bookmarkStart w:id="3" w:name="C._OTHER_CONDITIONS_AND_REQUIREMENTS_OF_"/>
      <w:bookmarkStart w:id="4" w:name="D._CONDITIONS_OR_RESTRICTIONS_WITH_REGAR"/>
      <w:bookmarkEnd w:id="1"/>
      <w:bookmarkEnd w:id="2"/>
      <w:bookmarkEnd w:id="3"/>
      <w:bookmarkEnd w:id="4"/>
    </w:p>
    <w:p w14:paraId="081D6AB9" w14:textId="3EFC9D72" w:rsidR="00BE7168" w:rsidRPr="00381DC2" w:rsidRDefault="00E17659" w:rsidP="00363CA4">
      <w:pPr>
        <w:pStyle w:val="Heading1"/>
        <w:ind w:left="720" w:hanging="720"/>
      </w:pPr>
      <w:r w:rsidRPr="00381DC2">
        <w:br w:type="page"/>
      </w:r>
      <w:r w:rsidR="00BE7168" w:rsidRPr="00381DC2">
        <w:lastRenderedPageBreak/>
        <w:t>A.</w:t>
      </w:r>
      <w:r w:rsidR="00BE7168" w:rsidRPr="00381DC2">
        <w:tab/>
        <w:t>VÝROBC</w:t>
      </w:r>
      <w:r w:rsidR="00630F51">
        <w:t>I</w:t>
      </w:r>
      <w:r w:rsidR="00BE7168" w:rsidRPr="00381DC2">
        <w:t xml:space="preserve"> BIOLOGICKÉ LÉČIVÉ LÁTKY A </w:t>
      </w:r>
      <w:r w:rsidR="00CB5AF2" w:rsidRPr="00381DC2">
        <w:t>VÝROBC</w:t>
      </w:r>
      <w:r w:rsidR="00CB5AF2">
        <w:t>E</w:t>
      </w:r>
      <w:r w:rsidR="00CB5AF2" w:rsidRPr="00381DC2">
        <w:t xml:space="preserve"> ODPOVĚDN</w:t>
      </w:r>
      <w:r w:rsidR="00CB5AF2">
        <w:t>Ý</w:t>
      </w:r>
      <w:r w:rsidR="00CB5AF2" w:rsidRPr="00381DC2">
        <w:t xml:space="preserve"> </w:t>
      </w:r>
      <w:r w:rsidR="00BE7168" w:rsidRPr="00381DC2">
        <w:t>ZA PROPOUŠTĚNÍ ŠARŽÍ</w:t>
      </w:r>
    </w:p>
    <w:p w14:paraId="6B93FAF8" w14:textId="77777777" w:rsidR="001E610C" w:rsidRPr="00381DC2" w:rsidRDefault="001E610C" w:rsidP="001E610C">
      <w:pPr>
        <w:rPr>
          <w:rFonts w:ascii="Times New Roman" w:eastAsia="Times New Roman" w:hAnsi="Times New Roman"/>
          <w:bCs/>
          <w:color w:val="000000"/>
        </w:rPr>
      </w:pPr>
    </w:p>
    <w:p w14:paraId="270FEC0A" w14:textId="77777777" w:rsidR="001E610C" w:rsidRPr="00381DC2" w:rsidRDefault="001E610C" w:rsidP="001E610C">
      <w:pPr>
        <w:rPr>
          <w:rFonts w:ascii="Times New Roman" w:eastAsia="Times New Roman" w:hAnsi="Times New Roman"/>
          <w:bCs/>
          <w:color w:val="000000"/>
        </w:rPr>
      </w:pPr>
      <w:r w:rsidRPr="00381DC2">
        <w:rPr>
          <w:rFonts w:ascii="Times New Roman" w:eastAsia="Times New Roman" w:hAnsi="Times New Roman"/>
          <w:bCs/>
          <w:color w:val="000000"/>
        </w:rPr>
        <w:t>Název a adresa výrobce biologické léčivé látky</w:t>
      </w:r>
    </w:p>
    <w:p w14:paraId="28DEFD7F" w14:textId="77777777" w:rsidR="001E610C" w:rsidRPr="00381DC2" w:rsidRDefault="001E610C" w:rsidP="001E610C">
      <w:pPr>
        <w:rPr>
          <w:rFonts w:ascii="Times New Roman" w:eastAsia="Times New Roman" w:hAnsi="Times New Roman"/>
          <w:bCs/>
          <w:color w:val="000000"/>
        </w:rPr>
      </w:pPr>
    </w:p>
    <w:p w14:paraId="0DAFBE04" w14:textId="77777777" w:rsidR="001E610C" w:rsidRPr="00381DC2" w:rsidRDefault="001E610C" w:rsidP="001E610C">
      <w:pPr>
        <w:rPr>
          <w:rFonts w:ascii="Times New Roman" w:eastAsia="Times New Roman" w:hAnsi="Times New Roman"/>
          <w:bCs/>
          <w:color w:val="000000"/>
        </w:rPr>
      </w:pPr>
      <w:r w:rsidRPr="00381DC2">
        <w:rPr>
          <w:rFonts w:ascii="Times New Roman" w:eastAsia="Times New Roman" w:hAnsi="Times New Roman"/>
          <w:bCs/>
          <w:color w:val="000000"/>
        </w:rPr>
        <w:t>Wyeth BioPharma Division of Wyeth Pharmaceuticals, LLC</w:t>
      </w:r>
    </w:p>
    <w:p w14:paraId="2A1960DE" w14:textId="77777777" w:rsidR="001E610C" w:rsidRPr="00381DC2" w:rsidRDefault="001E610C" w:rsidP="001E610C">
      <w:pPr>
        <w:rPr>
          <w:rFonts w:ascii="Times New Roman" w:eastAsia="Times New Roman" w:hAnsi="Times New Roman"/>
          <w:bCs/>
          <w:color w:val="000000"/>
        </w:rPr>
      </w:pPr>
      <w:r w:rsidRPr="00381DC2">
        <w:rPr>
          <w:rFonts w:ascii="Times New Roman" w:eastAsia="Times New Roman" w:hAnsi="Times New Roman"/>
          <w:bCs/>
          <w:color w:val="000000"/>
        </w:rPr>
        <w:t>1 Burtt Road</w:t>
      </w:r>
    </w:p>
    <w:p w14:paraId="2AA5EE14" w14:textId="77777777" w:rsidR="001E610C" w:rsidRPr="00381DC2" w:rsidRDefault="001E610C" w:rsidP="001E610C">
      <w:pPr>
        <w:rPr>
          <w:rFonts w:ascii="Times New Roman" w:eastAsia="Times New Roman" w:hAnsi="Times New Roman"/>
          <w:bCs/>
          <w:color w:val="000000"/>
        </w:rPr>
      </w:pPr>
      <w:r w:rsidRPr="00381DC2">
        <w:rPr>
          <w:rFonts w:ascii="Times New Roman" w:eastAsia="Times New Roman" w:hAnsi="Times New Roman"/>
          <w:bCs/>
          <w:color w:val="000000"/>
        </w:rPr>
        <w:t>Andover</w:t>
      </w:r>
    </w:p>
    <w:p w14:paraId="3AAB4F68" w14:textId="77777777" w:rsidR="001E610C" w:rsidRPr="00381DC2" w:rsidRDefault="001E610C" w:rsidP="001E610C">
      <w:pPr>
        <w:rPr>
          <w:rFonts w:ascii="Times New Roman" w:eastAsia="Times New Roman" w:hAnsi="Times New Roman"/>
          <w:bCs/>
          <w:color w:val="000000"/>
        </w:rPr>
      </w:pPr>
      <w:r w:rsidRPr="00381DC2">
        <w:rPr>
          <w:rFonts w:ascii="Times New Roman" w:eastAsia="Times New Roman" w:hAnsi="Times New Roman"/>
          <w:bCs/>
          <w:color w:val="000000"/>
        </w:rPr>
        <w:t>Massachusetts</w:t>
      </w:r>
    </w:p>
    <w:p w14:paraId="59120FF6" w14:textId="77777777" w:rsidR="001E610C" w:rsidRPr="00381DC2" w:rsidRDefault="001E610C" w:rsidP="001E610C">
      <w:pPr>
        <w:rPr>
          <w:rFonts w:ascii="Times New Roman" w:eastAsia="Times New Roman" w:hAnsi="Times New Roman"/>
          <w:bCs/>
          <w:color w:val="000000"/>
        </w:rPr>
      </w:pPr>
      <w:r w:rsidRPr="00381DC2">
        <w:rPr>
          <w:rFonts w:ascii="Times New Roman" w:eastAsia="Times New Roman" w:hAnsi="Times New Roman"/>
          <w:bCs/>
          <w:color w:val="000000"/>
        </w:rPr>
        <w:t>01810</w:t>
      </w:r>
    </w:p>
    <w:p w14:paraId="24FB3FA3" w14:textId="77777777" w:rsidR="001E610C" w:rsidRDefault="001B0558" w:rsidP="001E610C">
      <w:pPr>
        <w:rPr>
          <w:rFonts w:ascii="Times New Roman" w:eastAsia="Times New Roman" w:hAnsi="Times New Roman"/>
          <w:bCs/>
          <w:color w:val="000000"/>
        </w:rPr>
      </w:pPr>
      <w:r w:rsidRPr="00381DC2">
        <w:rPr>
          <w:rFonts w:ascii="Times New Roman" w:eastAsia="Times New Roman" w:hAnsi="Times New Roman"/>
          <w:bCs/>
          <w:color w:val="000000"/>
        </w:rPr>
        <w:t>USA</w:t>
      </w:r>
    </w:p>
    <w:p w14:paraId="0F4DCE18" w14:textId="77777777" w:rsidR="00630F51" w:rsidRDefault="00630F51" w:rsidP="001E610C">
      <w:pPr>
        <w:rPr>
          <w:rFonts w:ascii="Times New Roman" w:eastAsia="Times New Roman" w:hAnsi="Times New Roman"/>
          <w:bCs/>
          <w:color w:val="000000"/>
        </w:rPr>
      </w:pPr>
    </w:p>
    <w:p w14:paraId="2D1D93D4" w14:textId="5052769A" w:rsidR="00630F51" w:rsidRDefault="00630F51" w:rsidP="001E610C">
      <w:pPr>
        <w:rPr>
          <w:rFonts w:ascii="Times New Roman" w:eastAsia="Times New Roman" w:hAnsi="Times New Roman"/>
          <w:bCs/>
          <w:color w:val="000000"/>
        </w:rPr>
      </w:pPr>
      <w:r>
        <w:rPr>
          <w:rFonts w:ascii="Times New Roman" w:eastAsia="Times New Roman" w:hAnsi="Times New Roman"/>
          <w:bCs/>
          <w:color w:val="000000"/>
        </w:rPr>
        <w:t>nebo</w:t>
      </w:r>
    </w:p>
    <w:p w14:paraId="0E35B6AC" w14:textId="77777777" w:rsidR="00630F51" w:rsidRDefault="00630F51" w:rsidP="001E610C">
      <w:pPr>
        <w:rPr>
          <w:rFonts w:ascii="Times New Roman" w:eastAsia="Times New Roman" w:hAnsi="Times New Roman"/>
          <w:bCs/>
          <w:color w:val="000000"/>
        </w:rPr>
      </w:pPr>
    </w:p>
    <w:p w14:paraId="2D6F90A4" w14:textId="77777777" w:rsidR="00630F51" w:rsidRPr="00FB6AC2" w:rsidRDefault="00630F51" w:rsidP="00630F51">
      <w:pPr>
        <w:widowControl/>
        <w:autoSpaceDE w:val="0"/>
        <w:autoSpaceDN w:val="0"/>
        <w:adjustRightInd w:val="0"/>
        <w:rPr>
          <w:rFonts w:ascii="Times New Roman" w:hAnsi="Times New Roman"/>
          <w:color w:val="000000"/>
        </w:rPr>
      </w:pPr>
      <w:r w:rsidRPr="00FB6AC2">
        <w:rPr>
          <w:rFonts w:ascii="Times New Roman" w:hAnsi="Times New Roman"/>
          <w:color w:val="000000"/>
        </w:rPr>
        <w:t>Samsung Biologics Co. Ltd.</w:t>
      </w:r>
    </w:p>
    <w:p w14:paraId="2C0CA8BD" w14:textId="77777777" w:rsidR="00630F51" w:rsidRPr="00FB6AC2" w:rsidRDefault="00630F51" w:rsidP="00630F51">
      <w:pPr>
        <w:widowControl/>
        <w:autoSpaceDE w:val="0"/>
        <w:autoSpaceDN w:val="0"/>
        <w:adjustRightInd w:val="0"/>
        <w:rPr>
          <w:rFonts w:ascii="Times New Roman" w:hAnsi="Times New Roman"/>
          <w:color w:val="000000"/>
        </w:rPr>
      </w:pPr>
      <w:r w:rsidRPr="00FB6AC2">
        <w:rPr>
          <w:rFonts w:ascii="Times New Roman" w:hAnsi="Times New Roman"/>
          <w:color w:val="000000"/>
        </w:rPr>
        <w:t>300, Songdo bio-daero</w:t>
      </w:r>
    </w:p>
    <w:p w14:paraId="2A9144CC" w14:textId="7CB232BC" w:rsidR="00630F51" w:rsidRDefault="00630F51" w:rsidP="00630F51">
      <w:pPr>
        <w:rPr>
          <w:rFonts w:ascii="Times New Roman" w:hAnsi="Times New Roman"/>
          <w:color w:val="000000"/>
        </w:rPr>
      </w:pPr>
      <w:r w:rsidRPr="00FB6AC2">
        <w:rPr>
          <w:rFonts w:ascii="Times New Roman" w:hAnsi="Times New Roman"/>
          <w:color w:val="000000"/>
        </w:rPr>
        <w:t>Yeonsu-gu, Incheon</w:t>
      </w:r>
    </w:p>
    <w:p w14:paraId="5360AAF2" w14:textId="0DD89618" w:rsidR="00630F51" w:rsidRPr="00381DC2" w:rsidRDefault="00630F51" w:rsidP="00630F51">
      <w:pPr>
        <w:rPr>
          <w:rFonts w:ascii="Times New Roman" w:eastAsia="Times New Roman" w:hAnsi="Times New Roman"/>
          <w:bCs/>
          <w:color w:val="000000"/>
        </w:rPr>
      </w:pPr>
      <w:r>
        <w:rPr>
          <w:rFonts w:ascii="Times New Roman" w:eastAsia="Times New Roman" w:hAnsi="Times New Roman"/>
          <w:bCs/>
          <w:color w:val="000000"/>
        </w:rPr>
        <w:t>Korejská republika</w:t>
      </w:r>
    </w:p>
    <w:p w14:paraId="55C51FF0" w14:textId="77777777" w:rsidR="001E610C" w:rsidRPr="00381DC2" w:rsidRDefault="001E610C" w:rsidP="001E610C">
      <w:pPr>
        <w:rPr>
          <w:rFonts w:ascii="Times New Roman" w:eastAsia="Times New Roman" w:hAnsi="Times New Roman"/>
          <w:bCs/>
          <w:color w:val="000000"/>
        </w:rPr>
      </w:pPr>
    </w:p>
    <w:p w14:paraId="06671E38" w14:textId="7B943F98" w:rsidR="001E610C" w:rsidRPr="00381DC2" w:rsidRDefault="001E610C" w:rsidP="001E610C">
      <w:pPr>
        <w:rPr>
          <w:rFonts w:ascii="Times New Roman" w:eastAsia="Times New Roman" w:hAnsi="Times New Roman"/>
          <w:bCs/>
          <w:color w:val="000000"/>
        </w:rPr>
      </w:pPr>
      <w:r w:rsidRPr="00381DC2">
        <w:rPr>
          <w:rFonts w:ascii="Times New Roman" w:eastAsia="Times New Roman" w:hAnsi="Times New Roman"/>
          <w:bCs/>
          <w:color w:val="000000"/>
        </w:rPr>
        <w:t>Název a adresa výrobc</w:t>
      </w:r>
      <w:r w:rsidR="00630F51">
        <w:rPr>
          <w:rFonts w:ascii="Times New Roman" w:eastAsia="Times New Roman" w:hAnsi="Times New Roman"/>
          <w:bCs/>
          <w:color w:val="000000"/>
        </w:rPr>
        <w:t>e</w:t>
      </w:r>
      <w:r w:rsidRPr="00381DC2">
        <w:rPr>
          <w:rFonts w:ascii="Times New Roman" w:eastAsia="Times New Roman" w:hAnsi="Times New Roman"/>
          <w:bCs/>
          <w:color w:val="000000"/>
        </w:rPr>
        <w:t xml:space="preserve"> odpovědn</w:t>
      </w:r>
      <w:r w:rsidR="00630F51">
        <w:rPr>
          <w:rFonts w:ascii="Times New Roman" w:eastAsia="Times New Roman" w:hAnsi="Times New Roman"/>
          <w:bCs/>
          <w:color w:val="000000"/>
        </w:rPr>
        <w:t>ého</w:t>
      </w:r>
      <w:r w:rsidRPr="00381DC2">
        <w:rPr>
          <w:rFonts w:ascii="Times New Roman" w:eastAsia="Times New Roman" w:hAnsi="Times New Roman"/>
          <w:bCs/>
          <w:color w:val="000000"/>
        </w:rPr>
        <w:t xml:space="preserve"> za propouštění šarží</w:t>
      </w:r>
    </w:p>
    <w:p w14:paraId="3CFF10A1" w14:textId="77777777" w:rsidR="001E610C" w:rsidRPr="00381DC2" w:rsidRDefault="001E610C" w:rsidP="001E610C">
      <w:pPr>
        <w:rPr>
          <w:rFonts w:ascii="Times New Roman" w:eastAsia="Times New Roman" w:hAnsi="Times New Roman"/>
          <w:bCs/>
          <w:color w:val="000000"/>
        </w:rPr>
      </w:pPr>
    </w:p>
    <w:p w14:paraId="0D5C6F8C" w14:textId="77777777" w:rsidR="00125269" w:rsidRPr="00381DC2" w:rsidDel="0051337F" w:rsidRDefault="00125269" w:rsidP="00125269">
      <w:pPr>
        <w:autoSpaceDE w:val="0"/>
        <w:autoSpaceDN w:val="0"/>
        <w:adjustRightInd w:val="0"/>
        <w:ind w:right="120"/>
        <w:rPr>
          <w:del w:id="5" w:author="Author" w:date="2025-08-01T17:09:00Z" w16du:dateUtc="2025-08-01T13:09:00Z"/>
          <w:rFonts w:ascii="Times New Roman" w:hAnsi="Times New Roman"/>
          <w:color w:val="000000"/>
        </w:rPr>
      </w:pPr>
      <w:r w:rsidRPr="00381DC2">
        <w:rPr>
          <w:rFonts w:ascii="Times New Roman" w:hAnsi="Times New Roman"/>
          <w:color w:val="000000"/>
        </w:rPr>
        <w:t>Pfizer Service Company BV</w:t>
      </w:r>
    </w:p>
    <w:p w14:paraId="20942C7C" w14:textId="77777777" w:rsidR="00B428F5" w:rsidRDefault="00125269" w:rsidP="00125269">
      <w:pPr>
        <w:autoSpaceDE w:val="0"/>
        <w:autoSpaceDN w:val="0"/>
        <w:adjustRightInd w:val="0"/>
        <w:ind w:right="120"/>
        <w:rPr>
          <w:ins w:id="6" w:author="Author" w:date="2025-08-04T09:54:00Z" w16du:dateUtc="2025-08-04T07:54:00Z"/>
          <w:rFonts w:ascii="Times New Roman" w:hAnsi="Times New Roman"/>
          <w:color w:val="000000"/>
        </w:rPr>
      </w:pPr>
      <w:del w:id="7" w:author="Author" w:date="2025-08-01T17:09:00Z" w16du:dateUtc="2025-08-01T13:09:00Z">
        <w:r w:rsidRPr="00381DC2" w:rsidDel="0051337F">
          <w:rPr>
            <w:rFonts w:ascii="Times New Roman" w:hAnsi="Times New Roman"/>
            <w:color w:val="000000"/>
          </w:rPr>
          <w:delText>Hoge Wei 10</w:delText>
        </w:r>
      </w:del>
      <w:ins w:id="8" w:author="Author" w:date="2025-08-01T17:09:00Z" w16du:dateUtc="2025-08-01T13:09:00Z">
        <w:r w:rsidR="0051337F" w:rsidRPr="0051337F">
          <w:rPr>
            <w:rFonts w:ascii="Times New Roman" w:hAnsi="Times New Roman"/>
            <w:color w:val="000000"/>
          </w:rPr>
          <w:t xml:space="preserve"> </w:t>
        </w:r>
      </w:ins>
    </w:p>
    <w:p w14:paraId="2E300096" w14:textId="4307E2CA" w:rsidR="00125269" w:rsidRPr="00381DC2" w:rsidRDefault="0051337F" w:rsidP="00125269">
      <w:pPr>
        <w:autoSpaceDE w:val="0"/>
        <w:autoSpaceDN w:val="0"/>
        <w:adjustRightInd w:val="0"/>
        <w:ind w:right="120"/>
        <w:rPr>
          <w:rFonts w:ascii="Times New Roman" w:hAnsi="Times New Roman"/>
          <w:color w:val="000000"/>
        </w:rPr>
      </w:pPr>
      <w:ins w:id="9" w:author="Author" w:date="2025-08-01T17:09:00Z" w16du:dateUtc="2025-08-01T13:09:00Z">
        <w:r>
          <w:rPr>
            <w:rFonts w:ascii="Times New Roman" w:hAnsi="Times New Roman"/>
            <w:color w:val="000000"/>
          </w:rPr>
          <w:t>Hermeslaan 11</w:t>
        </w:r>
      </w:ins>
    </w:p>
    <w:p w14:paraId="02935336" w14:textId="63ADA8A9" w:rsidR="00125269" w:rsidRPr="00381DC2" w:rsidDel="00C7169E" w:rsidRDefault="00C7169E" w:rsidP="00125269">
      <w:pPr>
        <w:autoSpaceDE w:val="0"/>
        <w:autoSpaceDN w:val="0"/>
        <w:adjustRightInd w:val="0"/>
        <w:ind w:right="120"/>
        <w:rPr>
          <w:del w:id="10" w:author="Author" w:date="2025-08-04T06:57:00Z" w16du:dateUtc="2025-08-04T04:57:00Z"/>
          <w:rFonts w:ascii="Times New Roman" w:hAnsi="Times New Roman"/>
          <w:color w:val="000000"/>
        </w:rPr>
      </w:pPr>
      <w:ins w:id="11" w:author="Author" w:date="2025-08-04T06:57:00Z" w16du:dateUtc="2025-08-04T04:57:00Z">
        <w:r>
          <w:rPr>
            <w:rFonts w:ascii="Times New Roman" w:hAnsi="Times New Roman"/>
            <w:color w:val="000000"/>
          </w:rPr>
          <w:t xml:space="preserve">1932 </w:t>
        </w:r>
      </w:ins>
      <w:r w:rsidR="00125269" w:rsidRPr="00381DC2">
        <w:rPr>
          <w:rFonts w:ascii="Times New Roman" w:hAnsi="Times New Roman"/>
          <w:color w:val="000000"/>
        </w:rPr>
        <w:t>Zaventem</w:t>
      </w:r>
    </w:p>
    <w:p w14:paraId="68EBF47D" w14:textId="7AE3C465" w:rsidR="00125269" w:rsidRPr="00381DC2" w:rsidRDefault="00125269" w:rsidP="00125269">
      <w:pPr>
        <w:autoSpaceDE w:val="0"/>
        <w:autoSpaceDN w:val="0"/>
        <w:adjustRightInd w:val="0"/>
        <w:ind w:right="120"/>
        <w:rPr>
          <w:rFonts w:ascii="Times New Roman" w:hAnsi="Times New Roman"/>
          <w:color w:val="000000"/>
        </w:rPr>
      </w:pPr>
      <w:del w:id="12" w:author="Author" w:date="2025-08-01T17:09:00Z" w16du:dateUtc="2025-08-01T13:09:00Z">
        <w:r w:rsidRPr="00381DC2" w:rsidDel="0051337F">
          <w:rPr>
            <w:rFonts w:ascii="Times New Roman" w:hAnsi="Times New Roman"/>
            <w:color w:val="000000"/>
          </w:rPr>
          <w:delText>1930</w:delText>
        </w:r>
      </w:del>
    </w:p>
    <w:p w14:paraId="3F0F5041" w14:textId="77777777" w:rsidR="00125269" w:rsidRPr="00381DC2" w:rsidRDefault="00125269" w:rsidP="00125269">
      <w:pPr>
        <w:autoSpaceDE w:val="0"/>
        <w:autoSpaceDN w:val="0"/>
        <w:adjustRightInd w:val="0"/>
        <w:ind w:right="120"/>
        <w:rPr>
          <w:rFonts w:ascii="Times New Roman" w:eastAsia="Times New Roman" w:hAnsi="Times New Roman"/>
          <w:bCs/>
          <w:color w:val="000000"/>
        </w:rPr>
      </w:pPr>
      <w:r w:rsidRPr="00381DC2">
        <w:rPr>
          <w:rFonts w:ascii="Times New Roman" w:hAnsi="Times New Roman"/>
          <w:color w:val="000000"/>
        </w:rPr>
        <w:t>Belgie</w:t>
      </w:r>
    </w:p>
    <w:p w14:paraId="58E88488" w14:textId="77777777" w:rsidR="001E610C" w:rsidRPr="00381DC2" w:rsidRDefault="001E610C" w:rsidP="001E610C">
      <w:pPr>
        <w:rPr>
          <w:rFonts w:ascii="Times New Roman" w:eastAsia="Times New Roman" w:hAnsi="Times New Roman"/>
          <w:bCs/>
          <w:color w:val="000000"/>
        </w:rPr>
      </w:pPr>
    </w:p>
    <w:p w14:paraId="6B31407A" w14:textId="77777777" w:rsidR="001E610C" w:rsidRPr="00381DC2" w:rsidRDefault="001E610C" w:rsidP="001E610C">
      <w:pPr>
        <w:rPr>
          <w:rFonts w:ascii="Times New Roman" w:eastAsia="Times New Roman" w:hAnsi="Times New Roman"/>
          <w:bCs/>
          <w:color w:val="000000"/>
        </w:rPr>
      </w:pPr>
    </w:p>
    <w:p w14:paraId="5B8377D0" w14:textId="77777777" w:rsidR="001E610C" w:rsidRPr="00381DC2" w:rsidRDefault="001E610C" w:rsidP="00363CA4">
      <w:pPr>
        <w:pStyle w:val="Heading1"/>
        <w:ind w:left="720" w:hanging="720"/>
      </w:pPr>
      <w:r w:rsidRPr="00381DC2">
        <w:t>B.</w:t>
      </w:r>
      <w:r w:rsidRPr="00381DC2">
        <w:tab/>
        <w:t xml:space="preserve">PODMÍNKY NEBO OMEZENÍ VÝDEJE A POUŽITÍ </w:t>
      </w:r>
    </w:p>
    <w:p w14:paraId="5D984B31" w14:textId="77777777" w:rsidR="001E610C" w:rsidRPr="00381DC2" w:rsidRDefault="001E610C" w:rsidP="001E610C">
      <w:pPr>
        <w:rPr>
          <w:rFonts w:ascii="Times New Roman" w:eastAsia="Times New Roman" w:hAnsi="Times New Roman"/>
          <w:bCs/>
          <w:color w:val="000000"/>
        </w:rPr>
      </w:pPr>
    </w:p>
    <w:p w14:paraId="36896E78" w14:textId="77777777" w:rsidR="001E610C" w:rsidRPr="00381DC2" w:rsidRDefault="001E610C" w:rsidP="001E610C">
      <w:pPr>
        <w:rPr>
          <w:rFonts w:ascii="Times New Roman" w:eastAsia="Times New Roman" w:hAnsi="Times New Roman"/>
          <w:bCs/>
          <w:color w:val="000000"/>
        </w:rPr>
      </w:pPr>
      <w:r w:rsidRPr="00381DC2">
        <w:rPr>
          <w:rFonts w:ascii="Times New Roman" w:eastAsia="Times New Roman" w:hAnsi="Times New Roman"/>
          <w:bCs/>
          <w:color w:val="000000"/>
        </w:rPr>
        <w:t>Výdej léčivého přípravku je vázán na lékařský předpis s omezením (viz příloha I: Souhrn údajů o přípravku, bod 4.2).</w:t>
      </w:r>
    </w:p>
    <w:p w14:paraId="515FB900" w14:textId="77777777" w:rsidR="001E610C" w:rsidRPr="00381DC2" w:rsidRDefault="001E610C" w:rsidP="001E610C">
      <w:pPr>
        <w:rPr>
          <w:rFonts w:ascii="Times New Roman" w:eastAsia="Times New Roman" w:hAnsi="Times New Roman"/>
          <w:bCs/>
          <w:color w:val="000000"/>
        </w:rPr>
      </w:pPr>
    </w:p>
    <w:p w14:paraId="604912CF" w14:textId="77777777" w:rsidR="001E610C" w:rsidRPr="00381DC2" w:rsidRDefault="001E610C" w:rsidP="001E610C">
      <w:pPr>
        <w:rPr>
          <w:rFonts w:ascii="Times New Roman" w:eastAsia="Times New Roman" w:hAnsi="Times New Roman"/>
          <w:bCs/>
          <w:color w:val="000000"/>
        </w:rPr>
      </w:pPr>
    </w:p>
    <w:p w14:paraId="6E6378EC" w14:textId="77777777" w:rsidR="001E610C" w:rsidRPr="00381DC2" w:rsidRDefault="001E610C" w:rsidP="00363CA4">
      <w:pPr>
        <w:pStyle w:val="Heading1"/>
        <w:ind w:left="720" w:hanging="720"/>
      </w:pPr>
      <w:r w:rsidRPr="00381DC2">
        <w:t>C.</w:t>
      </w:r>
      <w:r w:rsidRPr="00381DC2">
        <w:tab/>
        <w:t>DALŠÍ PODMÍNKY A POŽADAVKY REGISTRACE</w:t>
      </w:r>
    </w:p>
    <w:p w14:paraId="7922DAE2" w14:textId="77777777" w:rsidR="001E610C" w:rsidRPr="00381DC2" w:rsidRDefault="001E610C" w:rsidP="001E610C">
      <w:pPr>
        <w:rPr>
          <w:rFonts w:ascii="Times New Roman" w:eastAsia="Times New Roman" w:hAnsi="Times New Roman"/>
          <w:bCs/>
          <w:color w:val="000000"/>
        </w:rPr>
      </w:pPr>
    </w:p>
    <w:p w14:paraId="493418B2" w14:textId="77777777" w:rsidR="001E610C" w:rsidRPr="00381DC2" w:rsidRDefault="001E610C" w:rsidP="001E610C">
      <w:pPr>
        <w:rPr>
          <w:rFonts w:ascii="Times New Roman" w:eastAsia="Times New Roman" w:hAnsi="Times New Roman"/>
          <w:b/>
          <w:bCs/>
          <w:color w:val="000000"/>
        </w:rPr>
      </w:pPr>
      <w:r w:rsidRPr="00381DC2">
        <w:rPr>
          <w:rFonts w:ascii="Times New Roman" w:eastAsia="Times New Roman" w:hAnsi="Times New Roman"/>
          <w:b/>
          <w:bCs/>
          <w:color w:val="000000"/>
        </w:rPr>
        <w:t>•</w:t>
      </w:r>
      <w:r w:rsidRPr="00381DC2">
        <w:rPr>
          <w:rFonts w:ascii="Times New Roman" w:eastAsia="Times New Roman" w:hAnsi="Times New Roman"/>
          <w:b/>
          <w:bCs/>
          <w:color w:val="000000"/>
        </w:rPr>
        <w:tab/>
        <w:t>Pravidelně aktualizované zprávy o bezpečnosti</w:t>
      </w:r>
      <w:r w:rsidR="008A4147" w:rsidRPr="00381DC2">
        <w:rPr>
          <w:rFonts w:ascii="Times New Roman" w:eastAsia="Times New Roman" w:hAnsi="Times New Roman"/>
          <w:b/>
          <w:bCs/>
          <w:color w:val="000000"/>
        </w:rPr>
        <w:t xml:space="preserve"> (PSUR)</w:t>
      </w:r>
    </w:p>
    <w:p w14:paraId="6EA44398" w14:textId="77777777" w:rsidR="001E610C" w:rsidRPr="00381DC2" w:rsidRDefault="001E610C" w:rsidP="001E610C">
      <w:pPr>
        <w:rPr>
          <w:rFonts w:ascii="Times New Roman" w:eastAsia="Times New Roman" w:hAnsi="Times New Roman"/>
          <w:bCs/>
          <w:color w:val="000000"/>
        </w:rPr>
      </w:pPr>
    </w:p>
    <w:p w14:paraId="2EC223BE" w14:textId="77777777" w:rsidR="001E610C" w:rsidRPr="00381DC2" w:rsidRDefault="001E610C" w:rsidP="001E610C">
      <w:pPr>
        <w:rPr>
          <w:rFonts w:ascii="Times New Roman" w:eastAsia="Times New Roman" w:hAnsi="Times New Roman"/>
          <w:bCs/>
          <w:color w:val="000000"/>
        </w:rPr>
      </w:pPr>
      <w:r w:rsidRPr="00381DC2">
        <w:rPr>
          <w:rFonts w:ascii="Times New Roman" w:eastAsia="Times New Roman" w:hAnsi="Times New Roman"/>
          <w:bCs/>
          <w:color w:val="000000"/>
        </w:rPr>
        <w:t xml:space="preserve">Požadavky pro předkládání </w:t>
      </w:r>
      <w:r w:rsidR="008A4147" w:rsidRPr="00381DC2">
        <w:rPr>
          <w:rFonts w:ascii="Times New Roman" w:eastAsia="Times New Roman" w:hAnsi="Times New Roman"/>
          <w:bCs/>
          <w:color w:val="000000"/>
        </w:rPr>
        <w:t>PSURů</w:t>
      </w:r>
      <w:r w:rsidRPr="00381DC2">
        <w:rPr>
          <w:rFonts w:ascii="Times New Roman" w:eastAsia="Times New Roman" w:hAnsi="Times New Roman"/>
          <w:bCs/>
          <w:color w:val="000000"/>
        </w:rPr>
        <w:t xml:space="preserve"> pro tento léčivý přípravek jsou uvedeny v seznamu referenčních dat Unie (seznam EURD) stanoveném v čl. 107c odst. 7 směrnice 2001/83/ES a jakékoli následné změny jsou zveřejněny na evropském webovém portálu pro léčivé přípravky.</w:t>
      </w:r>
    </w:p>
    <w:p w14:paraId="68E1FDDF" w14:textId="77777777" w:rsidR="001E610C" w:rsidRPr="00381DC2" w:rsidRDefault="001E610C" w:rsidP="001E610C">
      <w:pPr>
        <w:rPr>
          <w:rFonts w:ascii="Times New Roman" w:eastAsia="Times New Roman" w:hAnsi="Times New Roman"/>
          <w:bCs/>
          <w:color w:val="000000"/>
        </w:rPr>
      </w:pPr>
    </w:p>
    <w:p w14:paraId="40D549A6" w14:textId="77777777" w:rsidR="001E610C" w:rsidRPr="00381DC2" w:rsidRDefault="001E610C" w:rsidP="001E610C">
      <w:pPr>
        <w:rPr>
          <w:rFonts w:ascii="Times New Roman" w:eastAsia="Times New Roman" w:hAnsi="Times New Roman"/>
          <w:bCs/>
          <w:color w:val="000000"/>
        </w:rPr>
      </w:pPr>
    </w:p>
    <w:p w14:paraId="517745E3" w14:textId="77777777" w:rsidR="001E610C" w:rsidRPr="00381DC2" w:rsidRDefault="001E610C" w:rsidP="00363CA4">
      <w:pPr>
        <w:pStyle w:val="Heading1"/>
        <w:ind w:left="720" w:hanging="720"/>
      </w:pPr>
      <w:r w:rsidRPr="00381DC2">
        <w:t>D.</w:t>
      </w:r>
      <w:r w:rsidRPr="00381DC2">
        <w:tab/>
        <w:t>PODMÍNKY NEBO OMEZENÍ S OHLEDEM NA BEZPEČNÉ A ÚČINNÉ POUŽÍVÁNÍ LÉČIVÉHO PŘÍPRAVKU</w:t>
      </w:r>
    </w:p>
    <w:p w14:paraId="67C0F479" w14:textId="77777777" w:rsidR="001E610C" w:rsidRPr="00381DC2" w:rsidRDefault="001E610C" w:rsidP="001E610C">
      <w:pPr>
        <w:rPr>
          <w:rFonts w:ascii="Times New Roman" w:eastAsia="Times New Roman" w:hAnsi="Times New Roman"/>
          <w:bCs/>
          <w:color w:val="000000"/>
        </w:rPr>
      </w:pPr>
    </w:p>
    <w:p w14:paraId="706FAC15" w14:textId="77777777" w:rsidR="001E610C" w:rsidRPr="00381DC2" w:rsidRDefault="001E610C" w:rsidP="001E610C">
      <w:pPr>
        <w:rPr>
          <w:rFonts w:ascii="Times New Roman" w:eastAsia="Times New Roman" w:hAnsi="Times New Roman"/>
          <w:bCs/>
          <w:color w:val="000000"/>
        </w:rPr>
      </w:pPr>
      <w:r w:rsidRPr="00381DC2">
        <w:rPr>
          <w:rFonts w:ascii="Times New Roman" w:eastAsia="Times New Roman" w:hAnsi="Times New Roman"/>
          <w:bCs/>
          <w:color w:val="000000"/>
        </w:rPr>
        <w:t>•</w:t>
      </w:r>
      <w:r w:rsidRPr="00381DC2">
        <w:rPr>
          <w:rFonts w:ascii="Times New Roman" w:eastAsia="Times New Roman" w:hAnsi="Times New Roman"/>
          <w:bCs/>
          <w:color w:val="000000"/>
        </w:rPr>
        <w:tab/>
        <w:t>Plán řízení rizik (RMP)</w:t>
      </w:r>
    </w:p>
    <w:p w14:paraId="07299193" w14:textId="77777777" w:rsidR="001E610C" w:rsidRPr="00381DC2" w:rsidRDefault="001E610C" w:rsidP="001E610C">
      <w:pPr>
        <w:rPr>
          <w:rFonts w:ascii="Times New Roman" w:eastAsia="Times New Roman" w:hAnsi="Times New Roman"/>
          <w:bCs/>
          <w:color w:val="000000"/>
        </w:rPr>
      </w:pPr>
    </w:p>
    <w:p w14:paraId="60C27643" w14:textId="77777777" w:rsidR="001E610C" w:rsidRPr="00381DC2" w:rsidRDefault="001E610C" w:rsidP="001E610C">
      <w:pPr>
        <w:rPr>
          <w:rFonts w:ascii="Times New Roman" w:eastAsia="Times New Roman" w:hAnsi="Times New Roman"/>
          <w:bCs/>
          <w:color w:val="000000"/>
        </w:rPr>
      </w:pPr>
      <w:r w:rsidRPr="00381DC2">
        <w:rPr>
          <w:rFonts w:ascii="Times New Roman" w:eastAsia="Times New Roman" w:hAnsi="Times New Roman"/>
          <w:bCs/>
          <w:color w:val="000000"/>
        </w:rPr>
        <w:t>Držitel rozhodnutí o registraci uskuteční požadované činnosti a intervence v oblasti farmakovigilance podrobně popsané ve schváleném RMP uvedeném v modulu 1.8.2 registrace a ve veškerých schválených následných aktualizacích RMP.</w:t>
      </w:r>
    </w:p>
    <w:p w14:paraId="1F3FDB95" w14:textId="77777777" w:rsidR="001E610C" w:rsidRPr="00381DC2" w:rsidRDefault="001E610C" w:rsidP="001E610C">
      <w:pPr>
        <w:rPr>
          <w:rFonts w:ascii="Times New Roman" w:eastAsia="Times New Roman" w:hAnsi="Times New Roman"/>
          <w:bCs/>
          <w:color w:val="000000"/>
        </w:rPr>
      </w:pPr>
    </w:p>
    <w:p w14:paraId="6FD7A48A" w14:textId="77777777" w:rsidR="001E610C" w:rsidRPr="00381DC2" w:rsidRDefault="001E610C" w:rsidP="002F77B9">
      <w:pPr>
        <w:keepNext/>
        <w:keepLines/>
        <w:rPr>
          <w:rFonts w:ascii="Times New Roman" w:eastAsia="Times New Roman" w:hAnsi="Times New Roman"/>
          <w:bCs/>
          <w:color w:val="000000"/>
        </w:rPr>
      </w:pPr>
      <w:r w:rsidRPr="00381DC2">
        <w:rPr>
          <w:rFonts w:ascii="Times New Roman" w:eastAsia="Times New Roman" w:hAnsi="Times New Roman"/>
          <w:bCs/>
          <w:color w:val="000000"/>
        </w:rPr>
        <w:t>Aktualizovaný RMP je třeba předložit:</w:t>
      </w:r>
    </w:p>
    <w:p w14:paraId="3ED031ED" w14:textId="77777777" w:rsidR="001E610C" w:rsidRPr="00381DC2" w:rsidRDefault="001E610C" w:rsidP="001E610C">
      <w:pPr>
        <w:rPr>
          <w:rFonts w:ascii="Times New Roman" w:eastAsia="Times New Roman" w:hAnsi="Times New Roman"/>
          <w:bCs/>
          <w:color w:val="000000"/>
        </w:rPr>
      </w:pPr>
      <w:r w:rsidRPr="00381DC2">
        <w:rPr>
          <w:rFonts w:ascii="Times New Roman" w:eastAsia="Times New Roman" w:hAnsi="Times New Roman"/>
          <w:bCs/>
          <w:color w:val="000000"/>
        </w:rPr>
        <w:t>•</w:t>
      </w:r>
      <w:r w:rsidRPr="00381DC2">
        <w:rPr>
          <w:rFonts w:ascii="Times New Roman" w:eastAsia="Times New Roman" w:hAnsi="Times New Roman"/>
          <w:bCs/>
          <w:color w:val="000000"/>
        </w:rPr>
        <w:tab/>
        <w:t>na žádost Evropské agentury pro léčivé přípravky,</w:t>
      </w:r>
    </w:p>
    <w:p w14:paraId="54182B3C" w14:textId="77777777" w:rsidR="00D15122" w:rsidRPr="00381DC2" w:rsidRDefault="001E610C" w:rsidP="000F4242">
      <w:pPr>
        <w:rPr>
          <w:rFonts w:ascii="Times New Roman" w:eastAsia="Times New Roman" w:hAnsi="Times New Roman"/>
          <w:bCs/>
          <w:color w:val="000000"/>
        </w:rPr>
      </w:pPr>
      <w:r w:rsidRPr="00381DC2">
        <w:rPr>
          <w:rFonts w:ascii="Times New Roman" w:eastAsia="Times New Roman" w:hAnsi="Times New Roman"/>
          <w:bCs/>
          <w:color w:val="000000"/>
        </w:rPr>
        <w:t>•</w:t>
      </w:r>
      <w:r w:rsidRPr="00381DC2">
        <w:rPr>
          <w:rFonts w:ascii="Times New Roman" w:eastAsia="Times New Roman" w:hAnsi="Times New Roman"/>
          <w:bCs/>
          <w:color w:val="000000"/>
        </w:rPr>
        <w:tab/>
        <w:t xml:space="preserve">při každé změně systému řízení rizik, zejména v důsledku obdržení nových informací, </w:t>
      </w:r>
      <w:r w:rsidR="00AC7077" w:rsidRPr="00381DC2">
        <w:rPr>
          <w:rFonts w:ascii="Times New Roman" w:eastAsia="Times New Roman" w:hAnsi="Times New Roman"/>
          <w:bCs/>
          <w:color w:val="000000"/>
        </w:rPr>
        <w:tab/>
      </w:r>
      <w:r w:rsidRPr="00381DC2">
        <w:rPr>
          <w:rFonts w:ascii="Times New Roman" w:eastAsia="Times New Roman" w:hAnsi="Times New Roman"/>
          <w:bCs/>
          <w:color w:val="000000"/>
        </w:rPr>
        <w:t xml:space="preserve">které mohou vést k významným změnám poměru přínosů a rizik, nebo z důvodu </w:t>
      </w:r>
      <w:r w:rsidR="00AC7077" w:rsidRPr="00381DC2">
        <w:rPr>
          <w:rFonts w:ascii="Times New Roman" w:eastAsia="Times New Roman" w:hAnsi="Times New Roman"/>
          <w:bCs/>
          <w:color w:val="000000"/>
        </w:rPr>
        <w:tab/>
      </w:r>
      <w:r w:rsidRPr="00381DC2">
        <w:rPr>
          <w:rFonts w:ascii="Times New Roman" w:eastAsia="Times New Roman" w:hAnsi="Times New Roman"/>
          <w:bCs/>
          <w:color w:val="000000"/>
        </w:rPr>
        <w:t xml:space="preserve">dosažení </w:t>
      </w:r>
      <w:r w:rsidRPr="00381DC2">
        <w:rPr>
          <w:rFonts w:ascii="Times New Roman" w:eastAsia="Times New Roman" w:hAnsi="Times New Roman"/>
          <w:bCs/>
          <w:color w:val="000000"/>
        </w:rPr>
        <w:lastRenderedPageBreak/>
        <w:t>význačného milníku (v rámci farmakovigilance nebo minimalizace rizik).</w:t>
      </w:r>
    </w:p>
    <w:p w14:paraId="26AB1AE0" w14:textId="77777777" w:rsidR="00D15122" w:rsidRPr="00F60460" w:rsidRDefault="00D15122" w:rsidP="00C56DEB">
      <w:pPr>
        <w:jc w:val="center"/>
        <w:rPr>
          <w:rFonts w:ascii="Times New Roman" w:eastAsia="Times New Roman" w:hAnsi="Times New Roman"/>
          <w:bCs/>
          <w:color w:val="000000"/>
          <w:sz w:val="20"/>
          <w:szCs w:val="20"/>
        </w:rPr>
      </w:pPr>
    </w:p>
    <w:p w14:paraId="0D32D31A" w14:textId="77777777" w:rsidR="00D15122" w:rsidRPr="00F60460" w:rsidRDefault="00D15122" w:rsidP="00C56DEB">
      <w:pPr>
        <w:jc w:val="center"/>
        <w:rPr>
          <w:rFonts w:ascii="Times New Roman" w:eastAsia="Times New Roman" w:hAnsi="Times New Roman"/>
          <w:bCs/>
          <w:color w:val="000000"/>
          <w:sz w:val="20"/>
          <w:szCs w:val="20"/>
        </w:rPr>
      </w:pPr>
    </w:p>
    <w:p w14:paraId="71D94A1C" w14:textId="77777777" w:rsidR="00D15122" w:rsidRPr="00F60460" w:rsidRDefault="00D15122" w:rsidP="00C56DEB">
      <w:pPr>
        <w:jc w:val="center"/>
        <w:rPr>
          <w:rFonts w:ascii="Times New Roman" w:eastAsia="Times New Roman" w:hAnsi="Times New Roman"/>
          <w:bCs/>
          <w:color w:val="000000"/>
          <w:sz w:val="20"/>
          <w:szCs w:val="20"/>
        </w:rPr>
      </w:pPr>
    </w:p>
    <w:p w14:paraId="37FD00D2" w14:textId="77777777" w:rsidR="00D15122" w:rsidRPr="00F60460" w:rsidRDefault="00D15122" w:rsidP="00C56DEB">
      <w:pPr>
        <w:jc w:val="center"/>
        <w:rPr>
          <w:rFonts w:ascii="Times New Roman" w:eastAsia="Times New Roman" w:hAnsi="Times New Roman"/>
          <w:bCs/>
          <w:color w:val="000000"/>
          <w:sz w:val="20"/>
          <w:szCs w:val="20"/>
        </w:rPr>
      </w:pPr>
    </w:p>
    <w:p w14:paraId="00153A74" w14:textId="77777777" w:rsidR="00D15122" w:rsidRPr="00F60460" w:rsidRDefault="00D15122" w:rsidP="00C56DEB">
      <w:pPr>
        <w:jc w:val="center"/>
        <w:rPr>
          <w:rFonts w:ascii="Times New Roman" w:eastAsia="Times New Roman" w:hAnsi="Times New Roman"/>
          <w:bCs/>
          <w:color w:val="000000"/>
          <w:sz w:val="20"/>
          <w:szCs w:val="20"/>
        </w:rPr>
      </w:pPr>
    </w:p>
    <w:p w14:paraId="49703687" w14:textId="77777777" w:rsidR="00D15122" w:rsidRPr="00F60460" w:rsidRDefault="00D15122" w:rsidP="00C56DEB">
      <w:pPr>
        <w:jc w:val="center"/>
        <w:rPr>
          <w:rFonts w:ascii="Times New Roman" w:eastAsia="Times New Roman" w:hAnsi="Times New Roman"/>
          <w:bCs/>
          <w:color w:val="000000"/>
          <w:sz w:val="20"/>
          <w:szCs w:val="20"/>
        </w:rPr>
      </w:pPr>
    </w:p>
    <w:p w14:paraId="70E8B055" w14:textId="77777777" w:rsidR="00D15122" w:rsidRPr="00F60460" w:rsidRDefault="00D15122" w:rsidP="00C56DEB">
      <w:pPr>
        <w:jc w:val="center"/>
        <w:rPr>
          <w:rFonts w:ascii="Times New Roman" w:eastAsia="Times New Roman" w:hAnsi="Times New Roman"/>
          <w:bCs/>
          <w:color w:val="000000"/>
          <w:sz w:val="20"/>
          <w:szCs w:val="20"/>
        </w:rPr>
      </w:pPr>
    </w:p>
    <w:p w14:paraId="29C1ABCF" w14:textId="77777777" w:rsidR="00D15122" w:rsidRPr="00F60460" w:rsidRDefault="00D15122" w:rsidP="00C56DEB">
      <w:pPr>
        <w:jc w:val="center"/>
        <w:rPr>
          <w:rFonts w:ascii="Times New Roman" w:eastAsia="Times New Roman" w:hAnsi="Times New Roman"/>
          <w:bCs/>
          <w:color w:val="000000"/>
          <w:sz w:val="20"/>
          <w:szCs w:val="20"/>
        </w:rPr>
      </w:pPr>
    </w:p>
    <w:p w14:paraId="05E8F2A7" w14:textId="77777777" w:rsidR="00D15122" w:rsidRPr="00F60460" w:rsidRDefault="00D15122" w:rsidP="00C56DEB">
      <w:pPr>
        <w:jc w:val="center"/>
        <w:rPr>
          <w:rFonts w:ascii="Times New Roman" w:eastAsia="Times New Roman" w:hAnsi="Times New Roman"/>
          <w:bCs/>
          <w:color w:val="000000"/>
          <w:sz w:val="20"/>
          <w:szCs w:val="20"/>
        </w:rPr>
      </w:pPr>
    </w:p>
    <w:p w14:paraId="54B1AAF6" w14:textId="77777777" w:rsidR="00D15122" w:rsidRPr="00F60460" w:rsidRDefault="00D15122" w:rsidP="00C56DEB">
      <w:pPr>
        <w:jc w:val="center"/>
        <w:rPr>
          <w:rFonts w:ascii="Times New Roman" w:eastAsia="Times New Roman" w:hAnsi="Times New Roman"/>
          <w:bCs/>
          <w:color w:val="000000"/>
          <w:sz w:val="20"/>
          <w:szCs w:val="20"/>
        </w:rPr>
      </w:pPr>
    </w:p>
    <w:p w14:paraId="3EF88558" w14:textId="77777777" w:rsidR="00D15122" w:rsidRPr="00F60460" w:rsidRDefault="00D15122" w:rsidP="00C56DEB">
      <w:pPr>
        <w:jc w:val="center"/>
        <w:rPr>
          <w:rFonts w:ascii="Times New Roman" w:eastAsia="Times New Roman" w:hAnsi="Times New Roman"/>
          <w:bCs/>
          <w:color w:val="000000"/>
          <w:sz w:val="20"/>
          <w:szCs w:val="20"/>
        </w:rPr>
      </w:pPr>
    </w:p>
    <w:p w14:paraId="5F2062F9" w14:textId="77777777" w:rsidR="00D15122" w:rsidRPr="00F60460" w:rsidRDefault="00D15122" w:rsidP="00C56DEB">
      <w:pPr>
        <w:jc w:val="center"/>
        <w:rPr>
          <w:rFonts w:ascii="Times New Roman" w:eastAsia="Times New Roman" w:hAnsi="Times New Roman"/>
          <w:bCs/>
          <w:color w:val="000000"/>
          <w:sz w:val="20"/>
          <w:szCs w:val="20"/>
        </w:rPr>
      </w:pPr>
    </w:p>
    <w:p w14:paraId="7881DAC5" w14:textId="77777777" w:rsidR="00D15122" w:rsidRPr="00F60460" w:rsidRDefault="00D15122" w:rsidP="00C56DEB">
      <w:pPr>
        <w:jc w:val="center"/>
        <w:rPr>
          <w:rFonts w:ascii="Times New Roman" w:eastAsia="Times New Roman" w:hAnsi="Times New Roman"/>
          <w:bCs/>
          <w:color w:val="000000"/>
          <w:sz w:val="20"/>
          <w:szCs w:val="20"/>
        </w:rPr>
      </w:pPr>
    </w:p>
    <w:p w14:paraId="28B2C27C" w14:textId="77777777" w:rsidR="00D15122" w:rsidRPr="00F60460" w:rsidRDefault="00D15122" w:rsidP="00C56DEB">
      <w:pPr>
        <w:jc w:val="center"/>
        <w:rPr>
          <w:rFonts w:ascii="Times New Roman" w:eastAsia="Times New Roman" w:hAnsi="Times New Roman"/>
          <w:bCs/>
          <w:color w:val="000000"/>
          <w:sz w:val="20"/>
          <w:szCs w:val="20"/>
        </w:rPr>
      </w:pPr>
    </w:p>
    <w:p w14:paraId="6CDBDFE4" w14:textId="77777777" w:rsidR="00D15122" w:rsidRPr="00F60460" w:rsidRDefault="00D15122" w:rsidP="00C56DEB">
      <w:pPr>
        <w:jc w:val="center"/>
        <w:rPr>
          <w:rFonts w:ascii="Times New Roman" w:eastAsia="Times New Roman" w:hAnsi="Times New Roman"/>
          <w:bCs/>
          <w:color w:val="000000"/>
          <w:sz w:val="20"/>
          <w:szCs w:val="20"/>
        </w:rPr>
      </w:pPr>
    </w:p>
    <w:p w14:paraId="4A292DA8" w14:textId="77777777" w:rsidR="00D15122" w:rsidRPr="00F60460" w:rsidRDefault="00D15122" w:rsidP="00C56DEB">
      <w:pPr>
        <w:jc w:val="center"/>
        <w:rPr>
          <w:rFonts w:ascii="Times New Roman" w:eastAsia="Times New Roman" w:hAnsi="Times New Roman"/>
          <w:bCs/>
          <w:color w:val="000000"/>
          <w:sz w:val="20"/>
          <w:szCs w:val="20"/>
        </w:rPr>
      </w:pPr>
    </w:p>
    <w:p w14:paraId="28C95B60" w14:textId="77777777" w:rsidR="00D15122" w:rsidRPr="00F60460" w:rsidRDefault="00D15122" w:rsidP="00C56DEB">
      <w:pPr>
        <w:jc w:val="center"/>
        <w:rPr>
          <w:rFonts w:ascii="Times New Roman" w:eastAsia="Times New Roman" w:hAnsi="Times New Roman"/>
          <w:bCs/>
          <w:color w:val="000000"/>
          <w:sz w:val="20"/>
          <w:szCs w:val="20"/>
        </w:rPr>
      </w:pPr>
    </w:p>
    <w:p w14:paraId="4FC34771" w14:textId="77777777" w:rsidR="00D15122" w:rsidRPr="00F60460" w:rsidRDefault="00D15122" w:rsidP="00C56DEB">
      <w:pPr>
        <w:jc w:val="center"/>
        <w:rPr>
          <w:rFonts w:ascii="Times New Roman" w:eastAsia="Times New Roman" w:hAnsi="Times New Roman"/>
          <w:bCs/>
          <w:color w:val="000000"/>
          <w:sz w:val="20"/>
          <w:szCs w:val="20"/>
        </w:rPr>
      </w:pPr>
    </w:p>
    <w:p w14:paraId="1198A487" w14:textId="77777777" w:rsidR="00D15122" w:rsidRPr="00F60460" w:rsidRDefault="00D15122" w:rsidP="00C56DEB">
      <w:pPr>
        <w:jc w:val="center"/>
        <w:rPr>
          <w:rFonts w:ascii="Times New Roman" w:eastAsia="Times New Roman" w:hAnsi="Times New Roman"/>
          <w:bCs/>
          <w:color w:val="000000"/>
          <w:sz w:val="20"/>
          <w:szCs w:val="20"/>
        </w:rPr>
      </w:pPr>
    </w:p>
    <w:p w14:paraId="27EC86CB" w14:textId="2FBCB759" w:rsidR="00D15122" w:rsidRPr="00F60460" w:rsidRDefault="00D15122" w:rsidP="00350645">
      <w:pPr>
        <w:jc w:val="center"/>
        <w:rPr>
          <w:rFonts w:ascii="Times New Roman" w:eastAsia="Times New Roman" w:hAnsi="Times New Roman"/>
          <w:bCs/>
          <w:color w:val="000000"/>
          <w:sz w:val="18"/>
          <w:szCs w:val="18"/>
        </w:rPr>
      </w:pPr>
    </w:p>
    <w:p w14:paraId="75D2931E" w14:textId="77777777" w:rsidR="00012537" w:rsidRPr="00F60460" w:rsidRDefault="00012537" w:rsidP="00350645">
      <w:pPr>
        <w:jc w:val="center"/>
        <w:rPr>
          <w:rFonts w:ascii="Times New Roman" w:eastAsia="Times New Roman" w:hAnsi="Times New Roman"/>
          <w:bCs/>
          <w:color w:val="000000"/>
          <w:sz w:val="18"/>
          <w:szCs w:val="18"/>
        </w:rPr>
      </w:pPr>
    </w:p>
    <w:p w14:paraId="37FBD29E" w14:textId="77777777" w:rsidR="00C56DEB" w:rsidRPr="00F60460" w:rsidRDefault="00C56DEB" w:rsidP="00F36395">
      <w:pPr>
        <w:rPr>
          <w:rFonts w:ascii="Times New Roman" w:eastAsia="Times New Roman" w:hAnsi="Times New Roman"/>
          <w:bCs/>
          <w:color w:val="000000"/>
          <w:sz w:val="18"/>
          <w:szCs w:val="18"/>
        </w:rPr>
      </w:pPr>
    </w:p>
    <w:p w14:paraId="30147B09" w14:textId="77777777" w:rsidR="00F60460" w:rsidRPr="00F60460" w:rsidRDefault="00F60460" w:rsidP="00F36395">
      <w:pPr>
        <w:rPr>
          <w:rFonts w:ascii="Times New Roman" w:eastAsia="Times New Roman" w:hAnsi="Times New Roman"/>
          <w:bCs/>
          <w:color w:val="000000"/>
          <w:sz w:val="18"/>
          <w:szCs w:val="18"/>
        </w:rPr>
      </w:pPr>
    </w:p>
    <w:p w14:paraId="2E9DDE9F" w14:textId="77777777" w:rsidR="00F60460" w:rsidRPr="00F60460" w:rsidRDefault="00F60460" w:rsidP="00F36395">
      <w:pPr>
        <w:rPr>
          <w:rFonts w:ascii="Times New Roman" w:eastAsia="Times New Roman" w:hAnsi="Times New Roman"/>
          <w:bCs/>
          <w:color w:val="000000"/>
          <w:sz w:val="18"/>
          <w:szCs w:val="18"/>
        </w:rPr>
      </w:pPr>
    </w:p>
    <w:p w14:paraId="2FE1A4EF" w14:textId="77777777" w:rsidR="00F60460" w:rsidRPr="00F60460" w:rsidRDefault="00F60460" w:rsidP="00F36395">
      <w:pPr>
        <w:rPr>
          <w:rFonts w:ascii="Times New Roman" w:eastAsia="Times New Roman" w:hAnsi="Times New Roman"/>
          <w:bCs/>
          <w:color w:val="000000"/>
          <w:sz w:val="18"/>
          <w:szCs w:val="18"/>
        </w:rPr>
      </w:pPr>
    </w:p>
    <w:p w14:paraId="3AA2073B" w14:textId="77777777" w:rsidR="00F60460" w:rsidRPr="00F60460" w:rsidRDefault="00F60460" w:rsidP="00F36395">
      <w:pPr>
        <w:rPr>
          <w:rFonts w:ascii="Times New Roman" w:eastAsia="Times New Roman" w:hAnsi="Times New Roman"/>
          <w:bCs/>
          <w:color w:val="000000"/>
          <w:sz w:val="18"/>
          <w:szCs w:val="18"/>
        </w:rPr>
      </w:pPr>
    </w:p>
    <w:p w14:paraId="09C9B051" w14:textId="77777777" w:rsidR="00F60460" w:rsidRPr="00F60460" w:rsidRDefault="00F60460" w:rsidP="00F36395">
      <w:pPr>
        <w:rPr>
          <w:rFonts w:ascii="Times New Roman" w:eastAsia="Times New Roman" w:hAnsi="Times New Roman"/>
          <w:bCs/>
          <w:color w:val="000000"/>
          <w:sz w:val="18"/>
          <w:szCs w:val="18"/>
        </w:rPr>
      </w:pPr>
    </w:p>
    <w:p w14:paraId="07057775" w14:textId="77777777" w:rsidR="00F60460" w:rsidRPr="00F60460" w:rsidRDefault="00F60460" w:rsidP="00F36395">
      <w:pPr>
        <w:rPr>
          <w:rFonts w:ascii="Times New Roman" w:eastAsia="Times New Roman" w:hAnsi="Times New Roman"/>
          <w:bCs/>
          <w:color w:val="000000"/>
          <w:sz w:val="18"/>
          <w:szCs w:val="18"/>
        </w:rPr>
      </w:pPr>
    </w:p>
    <w:p w14:paraId="49CCED8F" w14:textId="77777777" w:rsidR="00F60460" w:rsidRPr="00F60460" w:rsidRDefault="00F60460" w:rsidP="00F36395">
      <w:pPr>
        <w:rPr>
          <w:rFonts w:ascii="Times New Roman" w:eastAsia="Times New Roman" w:hAnsi="Times New Roman"/>
          <w:bCs/>
          <w:color w:val="000000"/>
          <w:sz w:val="18"/>
          <w:szCs w:val="18"/>
        </w:rPr>
      </w:pPr>
    </w:p>
    <w:p w14:paraId="1CFC7793" w14:textId="77777777" w:rsidR="00F60460" w:rsidRPr="00F60460" w:rsidRDefault="00F60460" w:rsidP="00F36395">
      <w:pPr>
        <w:rPr>
          <w:rFonts w:ascii="Times New Roman" w:eastAsia="Times New Roman" w:hAnsi="Times New Roman"/>
          <w:bCs/>
          <w:color w:val="000000"/>
          <w:sz w:val="18"/>
          <w:szCs w:val="18"/>
        </w:rPr>
      </w:pPr>
    </w:p>
    <w:p w14:paraId="0FE3AEBD" w14:textId="77777777" w:rsidR="00F60460" w:rsidRPr="00F60460" w:rsidRDefault="00F60460" w:rsidP="00F36395">
      <w:pPr>
        <w:rPr>
          <w:rFonts w:ascii="Times New Roman" w:eastAsia="Times New Roman" w:hAnsi="Times New Roman"/>
          <w:bCs/>
          <w:color w:val="000000"/>
          <w:sz w:val="18"/>
          <w:szCs w:val="18"/>
        </w:rPr>
      </w:pPr>
    </w:p>
    <w:p w14:paraId="7316DC62" w14:textId="77777777" w:rsidR="00F60460" w:rsidRPr="00F60460" w:rsidRDefault="00F60460" w:rsidP="00F36395">
      <w:pPr>
        <w:rPr>
          <w:rFonts w:ascii="Times New Roman" w:eastAsia="Times New Roman" w:hAnsi="Times New Roman"/>
          <w:bCs/>
          <w:color w:val="000000"/>
          <w:sz w:val="18"/>
          <w:szCs w:val="18"/>
        </w:rPr>
      </w:pPr>
    </w:p>
    <w:p w14:paraId="7181C05B" w14:textId="77777777" w:rsidR="00F60460" w:rsidRPr="00F60460" w:rsidRDefault="00F60460" w:rsidP="00F36395">
      <w:pPr>
        <w:rPr>
          <w:rFonts w:ascii="Times New Roman" w:eastAsia="Times New Roman" w:hAnsi="Times New Roman"/>
          <w:bCs/>
          <w:color w:val="000000"/>
          <w:sz w:val="18"/>
          <w:szCs w:val="18"/>
        </w:rPr>
      </w:pPr>
    </w:p>
    <w:p w14:paraId="1084BF4D" w14:textId="77777777" w:rsidR="00F60460" w:rsidRPr="00F60460" w:rsidRDefault="00F60460" w:rsidP="00F36395">
      <w:pPr>
        <w:rPr>
          <w:rFonts w:ascii="Times New Roman" w:eastAsia="Times New Roman" w:hAnsi="Times New Roman"/>
          <w:bCs/>
          <w:color w:val="000000"/>
          <w:sz w:val="18"/>
          <w:szCs w:val="18"/>
        </w:rPr>
      </w:pPr>
    </w:p>
    <w:p w14:paraId="0753C0A6" w14:textId="77777777" w:rsidR="00F60460" w:rsidRPr="00F60460" w:rsidRDefault="00F60460" w:rsidP="00F36395">
      <w:pPr>
        <w:rPr>
          <w:rFonts w:ascii="Times New Roman" w:eastAsia="Times New Roman" w:hAnsi="Times New Roman"/>
          <w:bCs/>
          <w:color w:val="000000"/>
          <w:sz w:val="18"/>
          <w:szCs w:val="18"/>
        </w:rPr>
      </w:pPr>
    </w:p>
    <w:p w14:paraId="632D39EB" w14:textId="77777777" w:rsidR="00F60460" w:rsidRPr="00F60460" w:rsidRDefault="00F60460" w:rsidP="00F36395">
      <w:pPr>
        <w:rPr>
          <w:rFonts w:ascii="Times New Roman" w:eastAsia="Times New Roman" w:hAnsi="Times New Roman"/>
          <w:bCs/>
          <w:color w:val="000000"/>
          <w:sz w:val="18"/>
          <w:szCs w:val="18"/>
        </w:rPr>
      </w:pPr>
    </w:p>
    <w:p w14:paraId="69C9D334" w14:textId="77777777" w:rsidR="00F60460" w:rsidRPr="00F60460" w:rsidRDefault="00F60460" w:rsidP="00F36395">
      <w:pPr>
        <w:rPr>
          <w:rFonts w:ascii="Times New Roman" w:eastAsia="Times New Roman" w:hAnsi="Times New Roman"/>
          <w:bCs/>
          <w:color w:val="000000"/>
          <w:sz w:val="18"/>
          <w:szCs w:val="18"/>
        </w:rPr>
      </w:pPr>
    </w:p>
    <w:p w14:paraId="0517B33B" w14:textId="77777777" w:rsidR="00F60460" w:rsidRPr="00F60460" w:rsidRDefault="00F60460" w:rsidP="00F36395">
      <w:pPr>
        <w:rPr>
          <w:rFonts w:ascii="Times New Roman" w:eastAsia="Times New Roman" w:hAnsi="Times New Roman"/>
          <w:bCs/>
          <w:color w:val="000000"/>
          <w:sz w:val="18"/>
          <w:szCs w:val="18"/>
        </w:rPr>
      </w:pPr>
    </w:p>
    <w:p w14:paraId="3063E7C4" w14:textId="77777777" w:rsidR="00F60460" w:rsidRPr="00F60460" w:rsidRDefault="00F60460" w:rsidP="00F36395">
      <w:pPr>
        <w:rPr>
          <w:rFonts w:ascii="Times New Roman" w:eastAsia="Times New Roman" w:hAnsi="Times New Roman"/>
          <w:bCs/>
          <w:color w:val="000000"/>
          <w:sz w:val="18"/>
          <w:szCs w:val="18"/>
        </w:rPr>
      </w:pPr>
    </w:p>
    <w:p w14:paraId="55219F53" w14:textId="77777777" w:rsidR="00F60460" w:rsidRPr="00F60460" w:rsidRDefault="00F60460" w:rsidP="00F36395">
      <w:pPr>
        <w:rPr>
          <w:rFonts w:ascii="Times New Roman" w:eastAsia="Times New Roman" w:hAnsi="Times New Roman"/>
          <w:bCs/>
          <w:color w:val="000000"/>
          <w:sz w:val="18"/>
          <w:szCs w:val="18"/>
        </w:rPr>
      </w:pPr>
    </w:p>
    <w:p w14:paraId="00D2E900" w14:textId="77777777" w:rsidR="00F60460" w:rsidRPr="00F60460" w:rsidRDefault="00F60460" w:rsidP="00F36395">
      <w:pPr>
        <w:rPr>
          <w:rFonts w:ascii="Times New Roman" w:eastAsia="Times New Roman" w:hAnsi="Times New Roman"/>
          <w:bCs/>
          <w:color w:val="000000"/>
          <w:sz w:val="18"/>
          <w:szCs w:val="18"/>
        </w:rPr>
      </w:pPr>
    </w:p>
    <w:p w14:paraId="018AAD6A" w14:textId="77777777" w:rsidR="00F60460" w:rsidRPr="00F60460" w:rsidRDefault="00F60460" w:rsidP="00F36395">
      <w:pPr>
        <w:rPr>
          <w:rFonts w:ascii="Times New Roman" w:eastAsia="Times New Roman" w:hAnsi="Times New Roman"/>
          <w:bCs/>
          <w:color w:val="000000"/>
          <w:sz w:val="18"/>
          <w:szCs w:val="18"/>
        </w:rPr>
      </w:pPr>
    </w:p>
    <w:p w14:paraId="5DA6A736" w14:textId="77777777" w:rsidR="00F60460" w:rsidRPr="00F60460" w:rsidRDefault="00F60460" w:rsidP="00F36395">
      <w:pPr>
        <w:rPr>
          <w:rFonts w:ascii="Times New Roman" w:eastAsia="Times New Roman" w:hAnsi="Times New Roman"/>
          <w:bCs/>
          <w:color w:val="000000"/>
          <w:sz w:val="18"/>
          <w:szCs w:val="18"/>
        </w:rPr>
      </w:pPr>
    </w:p>
    <w:p w14:paraId="3764C906" w14:textId="77777777" w:rsidR="00F60460" w:rsidRPr="00F60460" w:rsidRDefault="00F60460" w:rsidP="00F36395">
      <w:pPr>
        <w:rPr>
          <w:rFonts w:ascii="Times New Roman" w:eastAsia="Times New Roman" w:hAnsi="Times New Roman"/>
          <w:bCs/>
          <w:color w:val="000000"/>
          <w:sz w:val="18"/>
          <w:szCs w:val="18"/>
        </w:rPr>
      </w:pPr>
    </w:p>
    <w:p w14:paraId="5358CD6C" w14:textId="77777777" w:rsidR="00F60460" w:rsidRPr="00F60460" w:rsidRDefault="00F60460" w:rsidP="00F36395">
      <w:pPr>
        <w:rPr>
          <w:rFonts w:ascii="Times New Roman" w:eastAsia="Times New Roman" w:hAnsi="Times New Roman"/>
          <w:bCs/>
          <w:color w:val="000000"/>
          <w:sz w:val="18"/>
          <w:szCs w:val="18"/>
        </w:rPr>
      </w:pPr>
    </w:p>
    <w:p w14:paraId="3AC3F961" w14:textId="77777777" w:rsidR="00F60460" w:rsidRPr="00F60460" w:rsidRDefault="00F60460" w:rsidP="00F36395">
      <w:pPr>
        <w:rPr>
          <w:rFonts w:ascii="Times New Roman" w:eastAsia="Times New Roman" w:hAnsi="Times New Roman"/>
          <w:bCs/>
          <w:color w:val="000000"/>
          <w:sz w:val="18"/>
          <w:szCs w:val="18"/>
        </w:rPr>
      </w:pPr>
    </w:p>
    <w:p w14:paraId="1F0941B3" w14:textId="77777777" w:rsidR="00F60460" w:rsidRPr="00F60460" w:rsidRDefault="00F60460" w:rsidP="00F36395">
      <w:pPr>
        <w:rPr>
          <w:rFonts w:ascii="Times New Roman" w:eastAsia="Times New Roman" w:hAnsi="Times New Roman"/>
          <w:bCs/>
          <w:color w:val="000000"/>
          <w:sz w:val="18"/>
          <w:szCs w:val="18"/>
        </w:rPr>
      </w:pPr>
    </w:p>
    <w:p w14:paraId="08789F59" w14:textId="77777777" w:rsidR="00F60460" w:rsidRPr="00F60460" w:rsidRDefault="00F60460" w:rsidP="00F36395">
      <w:pPr>
        <w:rPr>
          <w:rFonts w:ascii="Times New Roman" w:eastAsia="Times New Roman" w:hAnsi="Times New Roman"/>
          <w:bCs/>
          <w:color w:val="000000"/>
          <w:sz w:val="18"/>
          <w:szCs w:val="18"/>
        </w:rPr>
      </w:pPr>
    </w:p>
    <w:p w14:paraId="28E35248" w14:textId="77777777" w:rsidR="00F60460" w:rsidRPr="00F60460" w:rsidRDefault="00F60460" w:rsidP="00F36395">
      <w:pPr>
        <w:rPr>
          <w:rFonts w:ascii="Times New Roman" w:eastAsia="Times New Roman" w:hAnsi="Times New Roman"/>
          <w:bCs/>
          <w:color w:val="000000"/>
          <w:sz w:val="18"/>
          <w:szCs w:val="18"/>
        </w:rPr>
      </w:pPr>
    </w:p>
    <w:p w14:paraId="1087E6BE" w14:textId="77777777" w:rsidR="00F60460" w:rsidRPr="00F60460" w:rsidRDefault="00F60460" w:rsidP="00F36395">
      <w:pPr>
        <w:rPr>
          <w:rFonts w:ascii="Times New Roman" w:eastAsia="Times New Roman" w:hAnsi="Times New Roman"/>
          <w:bCs/>
          <w:color w:val="000000"/>
          <w:sz w:val="18"/>
          <w:szCs w:val="18"/>
        </w:rPr>
      </w:pPr>
    </w:p>
    <w:p w14:paraId="01FE7112" w14:textId="77777777" w:rsidR="00F60460" w:rsidRPr="00F60460" w:rsidRDefault="00F60460" w:rsidP="00F36395">
      <w:pPr>
        <w:rPr>
          <w:rFonts w:ascii="Times New Roman" w:eastAsia="Times New Roman" w:hAnsi="Times New Roman"/>
          <w:bCs/>
          <w:color w:val="000000"/>
          <w:sz w:val="18"/>
          <w:szCs w:val="18"/>
        </w:rPr>
      </w:pPr>
    </w:p>
    <w:p w14:paraId="6F0C1402" w14:textId="77777777" w:rsidR="00F60460" w:rsidRPr="00F60460" w:rsidRDefault="00F60460" w:rsidP="00F36395">
      <w:pPr>
        <w:rPr>
          <w:rFonts w:ascii="Times New Roman" w:eastAsia="Times New Roman" w:hAnsi="Times New Roman"/>
          <w:bCs/>
          <w:color w:val="000000"/>
          <w:sz w:val="18"/>
          <w:szCs w:val="18"/>
        </w:rPr>
      </w:pPr>
    </w:p>
    <w:p w14:paraId="6E02FDFF" w14:textId="77777777" w:rsidR="00F60460" w:rsidRPr="00F60460" w:rsidRDefault="00F60460" w:rsidP="00F36395">
      <w:pPr>
        <w:rPr>
          <w:rFonts w:ascii="Times New Roman" w:eastAsia="Times New Roman" w:hAnsi="Times New Roman"/>
          <w:bCs/>
          <w:color w:val="000000"/>
          <w:sz w:val="18"/>
          <w:szCs w:val="18"/>
        </w:rPr>
      </w:pPr>
    </w:p>
    <w:p w14:paraId="6F51E866" w14:textId="77777777" w:rsidR="00F60460" w:rsidRPr="00F60460" w:rsidRDefault="00F60460" w:rsidP="00F36395">
      <w:pPr>
        <w:rPr>
          <w:rFonts w:ascii="Times New Roman" w:eastAsia="Times New Roman" w:hAnsi="Times New Roman"/>
          <w:bCs/>
          <w:color w:val="000000"/>
          <w:sz w:val="18"/>
          <w:szCs w:val="18"/>
        </w:rPr>
      </w:pPr>
    </w:p>
    <w:p w14:paraId="1C719DD4" w14:textId="77777777" w:rsidR="00F60460" w:rsidRPr="00F60460" w:rsidRDefault="00F60460" w:rsidP="00F36395">
      <w:pPr>
        <w:rPr>
          <w:rFonts w:ascii="Times New Roman" w:eastAsia="Times New Roman" w:hAnsi="Times New Roman"/>
          <w:bCs/>
          <w:color w:val="000000"/>
          <w:sz w:val="18"/>
          <w:szCs w:val="18"/>
        </w:rPr>
      </w:pPr>
    </w:p>
    <w:p w14:paraId="71D1FB4A" w14:textId="77777777" w:rsidR="00F60460" w:rsidRPr="00F60460" w:rsidRDefault="00F60460" w:rsidP="00F36395">
      <w:pPr>
        <w:rPr>
          <w:rFonts w:ascii="Times New Roman" w:eastAsia="Times New Roman" w:hAnsi="Times New Roman"/>
          <w:bCs/>
          <w:color w:val="000000"/>
          <w:sz w:val="18"/>
          <w:szCs w:val="18"/>
        </w:rPr>
      </w:pPr>
    </w:p>
    <w:p w14:paraId="2E78F666" w14:textId="77777777" w:rsidR="00F60460" w:rsidRPr="00F60460" w:rsidRDefault="00F60460" w:rsidP="00F36395">
      <w:pPr>
        <w:rPr>
          <w:rFonts w:ascii="Times New Roman" w:eastAsia="Times New Roman" w:hAnsi="Times New Roman"/>
          <w:bCs/>
          <w:color w:val="000000"/>
          <w:sz w:val="18"/>
          <w:szCs w:val="18"/>
        </w:rPr>
      </w:pPr>
    </w:p>
    <w:p w14:paraId="757DC933" w14:textId="77777777" w:rsidR="00F60460" w:rsidRPr="00F60460" w:rsidRDefault="00F60460" w:rsidP="00F36395">
      <w:pPr>
        <w:rPr>
          <w:rFonts w:ascii="Times New Roman" w:eastAsia="Times New Roman" w:hAnsi="Times New Roman"/>
          <w:bCs/>
          <w:color w:val="000000"/>
          <w:sz w:val="18"/>
          <w:szCs w:val="18"/>
        </w:rPr>
      </w:pPr>
    </w:p>
    <w:p w14:paraId="11DE2E16" w14:textId="77777777" w:rsidR="00F60460" w:rsidRPr="00F60460" w:rsidRDefault="00F60460" w:rsidP="00F36395">
      <w:pPr>
        <w:rPr>
          <w:rFonts w:ascii="Times New Roman" w:eastAsia="Times New Roman" w:hAnsi="Times New Roman"/>
          <w:bCs/>
          <w:color w:val="000000"/>
          <w:sz w:val="18"/>
          <w:szCs w:val="18"/>
        </w:rPr>
      </w:pPr>
    </w:p>
    <w:p w14:paraId="3261408F" w14:textId="77777777" w:rsidR="00F60460" w:rsidRPr="00F60460" w:rsidRDefault="00F60460" w:rsidP="00F36395">
      <w:pPr>
        <w:rPr>
          <w:rFonts w:ascii="Times New Roman" w:eastAsia="Times New Roman" w:hAnsi="Times New Roman"/>
          <w:bCs/>
          <w:color w:val="000000"/>
          <w:sz w:val="18"/>
          <w:szCs w:val="18"/>
        </w:rPr>
      </w:pPr>
    </w:p>
    <w:p w14:paraId="2579BC70" w14:textId="77777777" w:rsidR="00F60460" w:rsidRPr="00F60460" w:rsidRDefault="00F60460" w:rsidP="00F36395">
      <w:pPr>
        <w:rPr>
          <w:rFonts w:ascii="Times New Roman" w:eastAsia="Times New Roman" w:hAnsi="Times New Roman"/>
          <w:bCs/>
          <w:color w:val="000000"/>
          <w:sz w:val="18"/>
          <w:szCs w:val="18"/>
        </w:rPr>
      </w:pPr>
    </w:p>
    <w:p w14:paraId="6AC1C92E" w14:textId="77777777" w:rsidR="00F60460" w:rsidRPr="00F60460" w:rsidRDefault="00F60460" w:rsidP="00F36395">
      <w:pPr>
        <w:rPr>
          <w:rFonts w:ascii="Times New Roman" w:eastAsia="Times New Roman" w:hAnsi="Times New Roman"/>
          <w:bCs/>
          <w:color w:val="000000"/>
          <w:sz w:val="18"/>
          <w:szCs w:val="18"/>
        </w:rPr>
      </w:pPr>
    </w:p>
    <w:p w14:paraId="3C1EB219" w14:textId="77777777" w:rsidR="00F60460" w:rsidRPr="00F60460" w:rsidRDefault="00F60460" w:rsidP="00F36395">
      <w:pPr>
        <w:rPr>
          <w:rFonts w:ascii="Times New Roman" w:eastAsia="Times New Roman" w:hAnsi="Times New Roman"/>
          <w:bCs/>
          <w:color w:val="000000"/>
          <w:sz w:val="18"/>
          <w:szCs w:val="18"/>
        </w:rPr>
      </w:pPr>
    </w:p>
    <w:p w14:paraId="1392DAAB" w14:textId="77777777" w:rsidR="00F60460" w:rsidRPr="00F60460" w:rsidRDefault="00F60460" w:rsidP="00F36395">
      <w:pPr>
        <w:rPr>
          <w:rFonts w:ascii="Times New Roman" w:eastAsia="Times New Roman" w:hAnsi="Times New Roman"/>
          <w:bCs/>
          <w:color w:val="000000"/>
          <w:sz w:val="18"/>
          <w:szCs w:val="18"/>
        </w:rPr>
      </w:pPr>
    </w:p>
    <w:p w14:paraId="1625ACD4" w14:textId="77777777" w:rsidR="00F60460" w:rsidRPr="00F60460" w:rsidRDefault="00F60460" w:rsidP="00F36395">
      <w:pPr>
        <w:rPr>
          <w:rFonts w:ascii="Times New Roman" w:eastAsia="Times New Roman" w:hAnsi="Times New Roman"/>
          <w:bCs/>
          <w:color w:val="000000"/>
          <w:sz w:val="18"/>
          <w:szCs w:val="18"/>
        </w:rPr>
      </w:pPr>
    </w:p>
    <w:p w14:paraId="1ED0830B" w14:textId="77777777" w:rsidR="00F60460" w:rsidRPr="00F60460" w:rsidRDefault="00F60460" w:rsidP="00F36395">
      <w:pPr>
        <w:rPr>
          <w:rFonts w:ascii="Times New Roman" w:eastAsia="Times New Roman" w:hAnsi="Times New Roman"/>
          <w:bCs/>
          <w:color w:val="000000"/>
          <w:sz w:val="18"/>
          <w:szCs w:val="18"/>
        </w:rPr>
      </w:pPr>
    </w:p>
    <w:p w14:paraId="71663334" w14:textId="77777777" w:rsidR="00F60460" w:rsidRPr="00F60460" w:rsidRDefault="00F60460" w:rsidP="00F36395">
      <w:pPr>
        <w:rPr>
          <w:rFonts w:ascii="Times New Roman" w:eastAsia="Times New Roman" w:hAnsi="Times New Roman"/>
          <w:bCs/>
          <w:color w:val="000000"/>
          <w:sz w:val="18"/>
          <w:szCs w:val="18"/>
        </w:rPr>
      </w:pPr>
    </w:p>
    <w:p w14:paraId="0DE23FB8" w14:textId="77777777" w:rsidR="00F60460" w:rsidRPr="00F60460" w:rsidRDefault="00F60460" w:rsidP="00F36395">
      <w:pPr>
        <w:rPr>
          <w:rFonts w:ascii="Times New Roman" w:eastAsia="Times New Roman" w:hAnsi="Times New Roman"/>
          <w:bCs/>
          <w:color w:val="000000"/>
          <w:sz w:val="18"/>
          <w:szCs w:val="18"/>
        </w:rPr>
      </w:pPr>
    </w:p>
    <w:p w14:paraId="63228203" w14:textId="77777777" w:rsidR="00F60460" w:rsidRPr="00F60460" w:rsidRDefault="00F60460" w:rsidP="00F36395">
      <w:pPr>
        <w:rPr>
          <w:rFonts w:ascii="Times New Roman" w:eastAsia="Times New Roman" w:hAnsi="Times New Roman"/>
          <w:bCs/>
          <w:color w:val="000000"/>
          <w:sz w:val="18"/>
          <w:szCs w:val="18"/>
        </w:rPr>
      </w:pPr>
    </w:p>
    <w:p w14:paraId="37F757C5" w14:textId="77777777" w:rsidR="00F60460" w:rsidRPr="00F60460" w:rsidRDefault="00F60460" w:rsidP="00F36395">
      <w:pPr>
        <w:rPr>
          <w:rFonts w:ascii="Times New Roman" w:eastAsia="Times New Roman" w:hAnsi="Times New Roman"/>
          <w:bCs/>
          <w:color w:val="000000"/>
          <w:sz w:val="18"/>
          <w:szCs w:val="18"/>
        </w:rPr>
      </w:pPr>
    </w:p>
    <w:p w14:paraId="37824B0B" w14:textId="77777777" w:rsidR="00F60460" w:rsidRPr="00F60460" w:rsidRDefault="00F60460" w:rsidP="00F36395">
      <w:pPr>
        <w:rPr>
          <w:rFonts w:ascii="Times New Roman" w:eastAsia="Times New Roman" w:hAnsi="Times New Roman"/>
          <w:bCs/>
          <w:color w:val="000000"/>
          <w:sz w:val="18"/>
          <w:szCs w:val="18"/>
        </w:rPr>
      </w:pPr>
    </w:p>
    <w:p w14:paraId="4FA6C40E" w14:textId="77777777" w:rsidR="00F60460" w:rsidRPr="00F60460" w:rsidRDefault="00F60460" w:rsidP="00F36395">
      <w:pPr>
        <w:rPr>
          <w:rFonts w:ascii="Times New Roman" w:eastAsia="Times New Roman" w:hAnsi="Times New Roman"/>
          <w:bCs/>
          <w:color w:val="000000"/>
          <w:sz w:val="18"/>
          <w:szCs w:val="18"/>
        </w:rPr>
      </w:pPr>
    </w:p>
    <w:p w14:paraId="0CDA9C03" w14:textId="77777777" w:rsidR="00F60460" w:rsidRPr="00F60460" w:rsidRDefault="00F60460" w:rsidP="00F36395">
      <w:pPr>
        <w:rPr>
          <w:rFonts w:ascii="Times New Roman" w:eastAsia="Times New Roman" w:hAnsi="Times New Roman"/>
          <w:bCs/>
          <w:color w:val="000000"/>
          <w:sz w:val="18"/>
          <w:szCs w:val="18"/>
        </w:rPr>
      </w:pPr>
    </w:p>
    <w:p w14:paraId="467CF265" w14:textId="77777777" w:rsidR="00F60460" w:rsidRPr="00F60460" w:rsidRDefault="00F60460" w:rsidP="00F36395">
      <w:pPr>
        <w:rPr>
          <w:rFonts w:ascii="Times New Roman" w:eastAsia="Times New Roman" w:hAnsi="Times New Roman"/>
          <w:bCs/>
          <w:color w:val="000000"/>
          <w:sz w:val="18"/>
          <w:szCs w:val="18"/>
        </w:rPr>
      </w:pPr>
    </w:p>
    <w:p w14:paraId="412FB8CD" w14:textId="77777777" w:rsidR="00F60460" w:rsidRPr="00F60460" w:rsidRDefault="00F60460" w:rsidP="00F36395">
      <w:pPr>
        <w:rPr>
          <w:rFonts w:ascii="Times New Roman" w:eastAsia="Times New Roman" w:hAnsi="Times New Roman"/>
          <w:bCs/>
          <w:color w:val="000000"/>
          <w:sz w:val="18"/>
          <w:szCs w:val="18"/>
        </w:rPr>
      </w:pPr>
    </w:p>
    <w:p w14:paraId="238F093C" w14:textId="77777777" w:rsidR="00F60460" w:rsidRPr="00F60460" w:rsidRDefault="00F60460" w:rsidP="00F36395">
      <w:pPr>
        <w:rPr>
          <w:rFonts w:ascii="Times New Roman" w:eastAsia="Times New Roman" w:hAnsi="Times New Roman"/>
          <w:bCs/>
          <w:color w:val="000000"/>
          <w:sz w:val="18"/>
          <w:szCs w:val="18"/>
        </w:rPr>
      </w:pPr>
    </w:p>
    <w:p w14:paraId="6A8CFAEC" w14:textId="77777777" w:rsidR="00F60460" w:rsidRPr="00F60460" w:rsidRDefault="00F60460" w:rsidP="00F36395">
      <w:pPr>
        <w:rPr>
          <w:rFonts w:ascii="Times New Roman" w:eastAsia="Times New Roman" w:hAnsi="Times New Roman"/>
          <w:bCs/>
          <w:color w:val="000000"/>
          <w:sz w:val="18"/>
          <w:szCs w:val="18"/>
        </w:rPr>
      </w:pPr>
    </w:p>
    <w:p w14:paraId="68D949A3" w14:textId="77777777" w:rsidR="00F60460" w:rsidRPr="00F60460" w:rsidRDefault="00F60460" w:rsidP="00F36395">
      <w:pPr>
        <w:rPr>
          <w:rFonts w:ascii="Times New Roman" w:eastAsia="Times New Roman" w:hAnsi="Times New Roman"/>
          <w:bCs/>
          <w:color w:val="000000"/>
          <w:sz w:val="18"/>
          <w:szCs w:val="18"/>
        </w:rPr>
      </w:pPr>
    </w:p>
    <w:p w14:paraId="3A79C382" w14:textId="77777777" w:rsidR="00F60460" w:rsidRPr="00F60460" w:rsidRDefault="00F60460" w:rsidP="00F36395">
      <w:pPr>
        <w:rPr>
          <w:rFonts w:ascii="Times New Roman" w:eastAsia="Times New Roman" w:hAnsi="Times New Roman"/>
          <w:bCs/>
          <w:color w:val="000000"/>
          <w:sz w:val="18"/>
          <w:szCs w:val="18"/>
        </w:rPr>
      </w:pPr>
    </w:p>
    <w:p w14:paraId="0EC0D10F" w14:textId="77777777" w:rsidR="00F60460" w:rsidRPr="00F60460" w:rsidRDefault="00F60460" w:rsidP="00F36395">
      <w:pPr>
        <w:rPr>
          <w:rFonts w:ascii="Times New Roman" w:eastAsia="Times New Roman" w:hAnsi="Times New Roman"/>
          <w:bCs/>
          <w:color w:val="000000"/>
          <w:sz w:val="18"/>
          <w:szCs w:val="18"/>
        </w:rPr>
      </w:pPr>
    </w:p>
    <w:p w14:paraId="046F6D77" w14:textId="77777777" w:rsidR="00F60460" w:rsidRPr="00F60460" w:rsidRDefault="00F60460" w:rsidP="00F36395">
      <w:pPr>
        <w:rPr>
          <w:rFonts w:ascii="Times New Roman" w:eastAsia="Times New Roman" w:hAnsi="Times New Roman"/>
          <w:bCs/>
          <w:color w:val="000000"/>
          <w:sz w:val="18"/>
          <w:szCs w:val="18"/>
        </w:rPr>
      </w:pPr>
    </w:p>
    <w:p w14:paraId="1067A2CA" w14:textId="77777777" w:rsidR="00F60460" w:rsidRPr="00F60460" w:rsidRDefault="00F60460" w:rsidP="00F36395">
      <w:pPr>
        <w:rPr>
          <w:rFonts w:ascii="Times New Roman" w:eastAsia="Times New Roman" w:hAnsi="Times New Roman"/>
          <w:bCs/>
          <w:color w:val="000000"/>
          <w:sz w:val="18"/>
          <w:szCs w:val="18"/>
        </w:rPr>
      </w:pPr>
    </w:p>
    <w:p w14:paraId="1E697E63" w14:textId="77777777" w:rsidR="00F60460" w:rsidRPr="00F60460" w:rsidRDefault="00F60460" w:rsidP="00F36395">
      <w:pPr>
        <w:rPr>
          <w:rFonts w:ascii="Times New Roman" w:eastAsia="Times New Roman" w:hAnsi="Times New Roman"/>
          <w:bCs/>
          <w:color w:val="000000"/>
          <w:sz w:val="18"/>
          <w:szCs w:val="18"/>
        </w:rPr>
      </w:pPr>
    </w:p>
    <w:p w14:paraId="51765AE4" w14:textId="77777777" w:rsidR="00F60460" w:rsidRPr="00F60460" w:rsidRDefault="00F60460" w:rsidP="00F36395">
      <w:pPr>
        <w:rPr>
          <w:rFonts w:ascii="Times New Roman" w:eastAsia="Times New Roman" w:hAnsi="Times New Roman"/>
          <w:bCs/>
          <w:color w:val="000000"/>
          <w:sz w:val="18"/>
          <w:szCs w:val="18"/>
        </w:rPr>
      </w:pPr>
    </w:p>
    <w:p w14:paraId="744837BC" w14:textId="77777777" w:rsidR="00F60460" w:rsidRPr="00F60460" w:rsidRDefault="00F60460" w:rsidP="00F36395">
      <w:pPr>
        <w:rPr>
          <w:rFonts w:ascii="Times New Roman" w:eastAsia="Times New Roman" w:hAnsi="Times New Roman"/>
          <w:bCs/>
          <w:color w:val="000000"/>
          <w:sz w:val="18"/>
          <w:szCs w:val="18"/>
        </w:rPr>
      </w:pPr>
    </w:p>
    <w:p w14:paraId="3BF6AABB" w14:textId="77777777" w:rsidR="00F60460" w:rsidRPr="00F60460" w:rsidRDefault="00F60460" w:rsidP="00F36395">
      <w:pPr>
        <w:rPr>
          <w:rFonts w:ascii="Times New Roman" w:eastAsia="Times New Roman" w:hAnsi="Times New Roman"/>
          <w:bCs/>
          <w:color w:val="000000"/>
          <w:sz w:val="18"/>
          <w:szCs w:val="18"/>
        </w:rPr>
      </w:pPr>
    </w:p>
    <w:p w14:paraId="0ECCABCE" w14:textId="77777777" w:rsidR="00F60460" w:rsidRPr="00F60460" w:rsidRDefault="00F60460" w:rsidP="00F36395">
      <w:pPr>
        <w:rPr>
          <w:rFonts w:ascii="Times New Roman" w:eastAsia="Times New Roman" w:hAnsi="Times New Roman"/>
          <w:bCs/>
          <w:color w:val="000000"/>
          <w:sz w:val="18"/>
          <w:szCs w:val="18"/>
        </w:rPr>
      </w:pPr>
    </w:p>
    <w:p w14:paraId="411F7500" w14:textId="77777777" w:rsidR="00F60460" w:rsidRPr="00F60460" w:rsidRDefault="00F60460" w:rsidP="00F36395">
      <w:pPr>
        <w:rPr>
          <w:rFonts w:ascii="Times New Roman" w:eastAsia="Times New Roman" w:hAnsi="Times New Roman"/>
          <w:bCs/>
          <w:color w:val="000000"/>
          <w:sz w:val="18"/>
          <w:szCs w:val="18"/>
        </w:rPr>
      </w:pPr>
    </w:p>
    <w:p w14:paraId="7E6C4CE7" w14:textId="77777777" w:rsidR="00F60460" w:rsidRPr="00F60460" w:rsidRDefault="00F60460" w:rsidP="00F36395">
      <w:pPr>
        <w:rPr>
          <w:rFonts w:ascii="Times New Roman" w:eastAsia="Times New Roman" w:hAnsi="Times New Roman"/>
          <w:bCs/>
          <w:color w:val="000000"/>
          <w:sz w:val="18"/>
          <w:szCs w:val="18"/>
        </w:rPr>
      </w:pPr>
    </w:p>
    <w:p w14:paraId="52CBCC11" w14:textId="77777777" w:rsidR="00E17659" w:rsidRPr="00F60460" w:rsidRDefault="00E17659" w:rsidP="00350645">
      <w:pPr>
        <w:jc w:val="center"/>
        <w:rPr>
          <w:rFonts w:ascii="Times New Roman" w:eastAsia="Times New Roman" w:hAnsi="Times New Roman"/>
          <w:bCs/>
          <w:color w:val="000000"/>
          <w:sz w:val="18"/>
          <w:szCs w:val="18"/>
        </w:rPr>
      </w:pPr>
    </w:p>
    <w:p w14:paraId="6F608BC1" w14:textId="77777777" w:rsidR="00D15122" w:rsidRPr="00381DC2" w:rsidRDefault="009B0756" w:rsidP="00D76DBA">
      <w:pPr>
        <w:jc w:val="center"/>
        <w:rPr>
          <w:rFonts w:ascii="Times New Roman" w:hAnsi="Times New Roman"/>
          <w:b/>
          <w:color w:val="000000"/>
        </w:rPr>
      </w:pPr>
      <w:r w:rsidRPr="00381DC2">
        <w:rPr>
          <w:rFonts w:ascii="Times New Roman" w:hAnsi="Times New Roman"/>
          <w:b/>
          <w:color w:val="000000"/>
        </w:rPr>
        <w:t>PŘÍLOHA III</w:t>
      </w:r>
    </w:p>
    <w:p w14:paraId="65DE5450" w14:textId="77777777" w:rsidR="00D15122" w:rsidRPr="00381DC2" w:rsidRDefault="00D15122" w:rsidP="00D76DBA">
      <w:pPr>
        <w:tabs>
          <w:tab w:val="left" w:pos="3754"/>
        </w:tabs>
        <w:jc w:val="center"/>
        <w:rPr>
          <w:rFonts w:ascii="Times New Roman" w:hAnsi="Times New Roman"/>
          <w:b/>
          <w:color w:val="000000"/>
        </w:rPr>
      </w:pPr>
    </w:p>
    <w:p w14:paraId="1D555BCE" w14:textId="77777777" w:rsidR="00D15122" w:rsidRPr="00381DC2" w:rsidRDefault="009B0756" w:rsidP="00D76DBA">
      <w:pPr>
        <w:tabs>
          <w:tab w:val="left" w:pos="3754"/>
        </w:tabs>
        <w:jc w:val="center"/>
        <w:rPr>
          <w:rFonts w:ascii="Times New Roman" w:hAnsi="Times New Roman"/>
          <w:b/>
          <w:color w:val="000000"/>
        </w:rPr>
      </w:pPr>
      <w:r w:rsidRPr="00381DC2">
        <w:rPr>
          <w:rFonts w:ascii="Times New Roman" w:hAnsi="Times New Roman"/>
          <w:b/>
          <w:color w:val="000000"/>
        </w:rPr>
        <w:t>OZNAČENÍ NA OBALU A PŘÍBALOVÁ INFORMACE</w:t>
      </w:r>
    </w:p>
    <w:p w14:paraId="6EAFA009" w14:textId="77777777" w:rsidR="00C56DEB" w:rsidRPr="00381DC2" w:rsidRDefault="00C56DEB" w:rsidP="00F60460">
      <w:pPr>
        <w:widowControl/>
        <w:rPr>
          <w:rFonts w:ascii="Times New Roman" w:eastAsia="Times New Roman" w:hAnsi="Times New Roman"/>
          <w:bCs/>
          <w:color w:val="000000"/>
        </w:rPr>
      </w:pPr>
      <w:r w:rsidRPr="00381DC2">
        <w:rPr>
          <w:rFonts w:ascii="Times New Roman" w:eastAsia="Times New Roman" w:hAnsi="Times New Roman"/>
          <w:bCs/>
          <w:color w:val="000000"/>
        </w:rPr>
        <w:br w:type="page"/>
      </w:r>
    </w:p>
    <w:p w14:paraId="629B6DEE" w14:textId="77777777" w:rsidR="00D15122" w:rsidRPr="00F60460" w:rsidRDefault="00D15122" w:rsidP="00C56DEB">
      <w:pPr>
        <w:jc w:val="center"/>
        <w:rPr>
          <w:rFonts w:ascii="Times New Roman" w:eastAsia="Times New Roman" w:hAnsi="Times New Roman"/>
          <w:bCs/>
          <w:color w:val="000000"/>
          <w:sz w:val="20"/>
          <w:szCs w:val="20"/>
        </w:rPr>
      </w:pPr>
    </w:p>
    <w:p w14:paraId="7FD53C9E" w14:textId="77777777" w:rsidR="00D15122" w:rsidRPr="00F60460" w:rsidRDefault="00D15122" w:rsidP="00C56DEB">
      <w:pPr>
        <w:jc w:val="center"/>
        <w:rPr>
          <w:rFonts w:ascii="Times New Roman" w:eastAsia="Times New Roman" w:hAnsi="Times New Roman"/>
          <w:bCs/>
          <w:color w:val="000000"/>
          <w:sz w:val="20"/>
          <w:szCs w:val="20"/>
        </w:rPr>
      </w:pPr>
    </w:p>
    <w:p w14:paraId="32836E96" w14:textId="77777777" w:rsidR="00D15122" w:rsidRPr="00F60460" w:rsidRDefault="00D15122" w:rsidP="00C56DEB">
      <w:pPr>
        <w:jc w:val="center"/>
        <w:rPr>
          <w:rFonts w:ascii="Times New Roman" w:eastAsia="Times New Roman" w:hAnsi="Times New Roman"/>
          <w:bCs/>
          <w:color w:val="000000"/>
          <w:sz w:val="20"/>
          <w:szCs w:val="20"/>
        </w:rPr>
      </w:pPr>
    </w:p>
    <w:p w14:paraId="77364DA0" w14:textId="77777777" w:rsidR="00D15122" w:rsidRPr="00F60460" w:rsidRDefault="00D15122" w:rsidP="00C56DEB">
      <w:pPr>
        <w:jc w:val="center"/>
        <w:rPr>
          <w:rFonts w:ascii="Times New Roman" w:eastAsia="Times New Roman" w:hAnsi="Times New Roman"/>
          <w:bCs/>
          <w:color w:val="000000"/>
          <w:sz w:val="20"/>
          <w:szCs w:val="20"/>
        </w:rPr>
      </w:pPr>
    </w:p>
    <w:p w14:paraId="794CEADB" w14:textId="77777777" w:rsidR="00D15122" w:rsidRPr="00F60460" w:rsidRDefault="00D15122" w:rsidP="00C56DEB">
      <w:pPr>
        <w:jc w:val="center"/>
        <w:rPr>
          <w:rFonts w:ascii="Times New Roman" w:eastAsia="Times New Roman" w:hAnsi="Times New Roman"/>
          <w:bCs/>
          <w:color w:val="000000"/>
          <w:sz w:val="20"/>
          <w:szCs w:val="20"/>
        </w:rPr>
      </w:pPr>
    </w:p>
    <w:p w14:paraId="16DADDF4" w14:textId="77777777" w:rsidR="00D15122" w:rsidRPr="00F60460" w:rsidRDefault="00D15122" w:rsidP="00C56DEB">
      <w:pPr>
        <w:jc w:val="center"/>
        <w:rPr>
          <w:rFonts w:ascii="Times New Roman" w:eastAsia="Times New Roman" w:hAnsi="Times New Roman"/>
          <w:bCs/>
          <w:color w:val="000000"/>
          <w:sz w:val="20"/>
          <w:szCs w:val="20"/>
        </w:rPr>
      </w:pPr>
    </w:p>
    <w:p w14:paraId="65819FFF" w14:textId="77777777" w:rsidR="00D15122" w:rsidRPr="00F60460" w:rsidRDefault="00D15122" w:rsidP="00C56DEB">
      <w:pPr>
        <w:jc w:val="center"/>
        <w:rPr>
          <w:rFonts w:ascii="Times New Roman" w:eastAsia="Times New Roman" w:hAnsi="Times New Roman"/>
          <w:bCs/>
          <w:color w:val="000000"/>
          <w:sz w:val="20"/>
          <w:szCs w:val="20"/>
        </w:rPr>
      </w:pPr>
    </w:p>
    <w:p w14:paraId="38E3E8FB" w14:textId="77777777" w:rsidR="00D15122" w:rsidRPr="00F60460" w:rsidRDefault="00D15122" w:rsidP="00C56DEB">
      <w:pPr>
        <w:jc w:val="center"/>
        <w:rPr>
          <w:rFonts w:ascii="Times New Roman" w:eastAsia="Times New Roman" w:hAnsi="Times New Roman"/>
          <w:bCs/>
          <w:color w:val="000000"/>
          <w:sz w:val="20"/>
          <w:szCs w:val="20"/>
        </w:rPr>
      </w:pPr>
    </w:p>
    <w:p w14:paraId="1A6DBBE1" w14:textId="77777777" w:rsidR="00D15122" w:rsidRPr="00F60460" w:rsidRDefault="00D15122" w:rsidP="00C56DEB">
      <w:pPr>
        <w:jc w:val="center"/>
        <w:rPr>
          <w:rFonts w:ascii="Times New Roman" w:eastAsia="Times New Roman" w:hAnsi="Times New Roman"/>
          <w:bCs/>
          <w:color w:val="000000"/>
          <w:sz w:val="20"/>
          <w:szCs w:val="20"/>
        </w:rPr>
      </w:pPr>
    </w:p>
    <w:p w14:paraId="7ECD6048" w14:textId="77777777" w:rsidR="00D15122" w:rsidRPr="00F60460" w:rsidRDefault="00D15122" w:rsidP="00C56DEB">
      <w:pPr>
        <w:jc w:val="center"/>
        <w:rPr>
          <w:rFonts w:ascii="Times New Roman" w:eastAsia="Times New Roman" w:hAnsi="Times New Roman"/>
          <w:bCs/>
          <w:color w:val="000000"/>
          <w:sz w:val="20"/>
          <w:szCs w:val="20"/>
        </w:rPr>
      </w:pPr>
    </w:p>
    <w:p w14:paraId="27F3972E" w14:textId="77777777" w:rsidR="00D15122" w:rsidRPr="00F60460" w:rsidRDefault="00D15122" w:rsidP="00C56DEB">
      <w:pPr>
        <w:jc w:val="center"/>
        <w:rPr>
          <w:rFonts w:ascii="Times New Roman" w:eastAsia="Times New Roman" w:hAnsi="Times New Roman"/>
          <w:bCs/>
          <w:color w:val="000000"/>
          <w:sz w:val="20"/>
          <w:szCs w:val="20"/>
        </w:rPr>
      </w:pPr>
    </w:p>
    <w:p w14:paraId="46FB7E47" w14:textId="77777777" w:rsidR="00D15122" w:rsidRPr="00F60460" w:rsidRDefault="00D15122" w:rsidP="00C56DEB">
      <w:pPr>
        <w:jc w:val="center"/>
        <w:rPr>
          <w:rFonts w:ascii="Times New Roman" w:eastAsia="Times New Roman" w:hAnsi="Times New Roman"/>
          <w:bCs/>
          <w:color w:val="000000"/>
          <w:sz w:val="20"/>
          <w:szCs w:val="20"/>
        </w:rPr>
      </w:pPr>
    </w:p>
    <w:p w14:paraId="392836F8" w14:textId="77777777" w:rsidR="00D15122" w:rsidRPr="00F60460" w:rsidRDefault="00D15122" w:rsidP="00C56DEB">
      <w:pPr>
        <w:jc w:val="center"/>
        <w:rPr>
          <w:rFonts w:ascii="Times New Roman" w:eastAsia="Times New Roman" w:hAnsi="Times New Roman"/>
          <w:bCs/>
          <w:color w:val="000000"/>
          <w:sz w:val="20"/>
          <w:szCs w:val="20"/>
        </w:rPr>
      </w:pPr>
    </w:p>
    <w:p w14:paraId="56D1A561" w14:textId="77777777" w:rsidR="00D15122" w:rsidRPr="00F60460" w:rsidRDefault="00D15122" w:rsidP="00C56DEB">
      <w:pPr>
        <w:jc w:val="center"/>
        <w:rPr>
          <w:rFonts w:ascii="Times New Roman" w:eastAsia="Times New Roman" w:hAnsi="Times New Roman"/>
          <w:bCs/>
          <w:color w:val="000000"/>
          <w:sz w:val="20"/>
          <w:szCs w:val="20"/>
        </w:rPr>
      </w:pPr>
    </w:p>
    <w:p w14:paraId="43C2598C" w14:textId="77777777" w:rsidR="00D15122" w:rsidRPr="00F60460" w:rsidRDefault="00D15122" w:rsidP="00C56DEB">
      <w:pPr>
        <w:jc w:val="center"/>
        <w:rPr>
          <w:rFonts w:ascii="Times New Roman" w:eastAsia="Times New Roman" w:hAnsi="Times New Roman"/>
          <w:bCs/>
          <w:color w:val="000000"/>
          <w:sz w:val="20"/>
          <w:szCs w:val="20"/>
        </w:rPr>
      </w:pPr>
    </w:p>
    <w:p w14:paraId="11F22B80" w14:textId="77777777" w:rsidR="00D15122" w:rsidRPr="00F60460" w:rsidRDefault="00D15122" w:rsidP="00C56DEB">
      <w:pPr>
        <w:jc w:val="center"/>
        <w:rPr>
          <w:rFonts w:ascii="Times New Roman" w:eastAsia="Times New Roman" w:hAnsi="Times New Roman"/>
          <w:bCs/>
          <w:color w:val="000000"/>
          <w:sz w:val="20"/>
          <w:szCs w:val="20"/>
        </w:rPr>
      </w:pPr>
    </w:p>
    <w:p w14:paraId="127B8699" w14:textId="77777777" w:rsidR="00D15122" w:rsidRPr="00F60460" w:rsidRDefault="00D15122" w:rsidP="00C56DEB">
      <w:pPr>
        <w:jc w:val="center"/>
        <w:rPr>
          <w:rFonts w:ascii="Times New Roman" w:eastAsia="Times New Roman" w:hAnsi="Times New Roman"/>
          <w:bCs/>
          <w:color w:val="000000"/>
          <w:sz w:val="20"/>
          <w:szCs w:val="20"/>
        </w:rPr>
      </w:pPr>
    </w:p>
    <w:p w14:paraId="27E75ECB" w14:textId="2A62D22C" w:rsidR="00D15122" w:rsidRPr="00F60460" w:rsidRDefault="00D15122" w:rsidP="00C56DEB">
      <w:pPr>
        <w:jc w:val="center"/>
        <w:rPr>
          <w:rFonts w:ascii="Times New Roman" w:eastAsia="Times New Roman" w:hAnsi="Times New Roman"/>
          <w:bCs/>
          <w:color w:val="000000"/>
          <w:sz w:val="20"/>
          <w:szCs w:val="20"/>
        </w:rPr>
      </w:pPr>
    </w:p>
    <w:p w14:paraId="2C25A798" w14:textId="77777777" w:rsidR="00012537" w:rsidRPr="00F60460" w:rsidRDefault="00012537" w:rsidP="00C56DEB">
      <w:pPr>
        <w:jc w:val="center"/>
        <w:rPr>
          <w:rFonts w:ascii="Times New Roman" w:eastAsia="Times New Roman" w:hAnsi="Times New Roman"/>
          <w:bCs/>
          <w:color w:val="000000"/>
          <w:sz w:val="20"/>
          <w:szCs w:val="20"/>
        </w:rPr>
      </w:pPr>
    </w:p>
    <w:p w14:paraId="722C68F6" w14:textId="77777777" w:rsidR="00D15122" w:rsidRPr="00F60460" w:rsidRDefault="00D15122" w:rsidP="00C56DEB">
      <w:pPr>
        <w:jc w:val="center"/>
        <w:rPr>
          <w:rFonts w:ascii="Times New Roman" w:eastAsia="Times New Roman" w:hAnsi="Times New Roman"/>
          <w:bCs/>
          <w:color w:val="000000"/>
          <w:sz w:val="20"/>
          <w:szCs w:val="20"/>
        </w:rPr>
      </w:pPr>
    </w:p>
    <w:p w14:paraId="2CC38FB1" w14:textId="77777777" w:rsidR="00D15122" w:rsidRPr="00F60460" w:rsidRDefault="00D15122" w:rsidP="00C56DEB">
      <w:pPr>
        <w:jc w:val="center"/>
        <w:rPr>
          <w:rFonts w:ascii="Times New Roman" w:eastAsia="Times New Roman" w:hAnsi="Times New Roman"/>
          <w:bCs/>
          <w:color w:val="000000"/>
          <w:sz w:val="20"/>
          <w:szCs w:val="20"/>
        </w:rPr>
      </w:pPr>
    </w:p>
    <w:p w14:paraId="656C498C" w14:textId="77777777" w:rsidR="00D15122" w:rsidRPr="00F60460" w:rsidRDefault="00D15122" w:rsidP="00F36395">
      <w:pPr>
        <w:rPr>
          <w:rFonts w:ascii="Times New Roman" w:eastAsia="Times New Roman" w:hAnsi="Times New Roman"/>
          <w:bCs/>
          <w:color w:val="000000"/>
          <w:sz w:val="20"/>
          <w:szCs w:val="20"/>
        </w:rPr>
      </w:pPr>
    </w:p>
    <w:p w14:paraId="064E6E4F" w14:textId="77777777" w:rsidR="00D15122" w:rsidRPr="00F60460" w:rsidRDefault="00D15122" w:rsidP="00350645">
      <w:pPr>
        <w:jc w:val="center"/>
        <w:rPr>
          <w:rFonts w:ascii="Times New Roman" w:eastAsia="Times New Roman" w:hAnsi="Times New Roman"/>
          <w:bCs/>
          <w:color w:val="000000"/>
          <w:sz w:val="18"/>
          <w:szCs w:val="18"/>
        </w:rPr>
      </w:pPr>
    </w:p>
    <w:p w14:paraId="09EA7623" w14:textId="77777777" w:rsidR="00784A39" w:rsidRPr="00381DC2" w:rsidRDefault="00363CA4" w:rsidP="00363CA4">
      <w:pPr>
        <w:pStyle w:val="Heading1"/>
        <w:ind w:left="720" w:hanging="720"/>
        <w:jc w:val="center"/>
      </w:pPr>
      <w:bookmarkStart w:id="13" w:name="A._LABELLING"/>
      <w:bookmarkEnd w:id="13"/>
      <w:r w:rsidRPr="00381DC2">
        <w:t xml:space="preserve">A. </w:t>
      </w:r>
      <w:r w:rsidR="00193D64" w:rsidRPr="00381DC2">
        <w:t>OZNAČENÍ NA OBALU</w:t>
      </w:r>
    </w:p>
    <w:p w14:paraId="02C2E15A" w14:textId="77777777" w:rsidR="00433E0A" w:rsidRPr="00381DC2" w:rsidRDefault="00C56DEB" w:rsidP="00F60460">
      <w:pPr>
        <w:pStyle w:val="ListParagraph"/>
        <w:rPr>
          <w:rFonts w:ascii="Times New Roman" w:eastAsia="Times New Roman" w:hAnsi="Times New Roman"/>
          <w:bCs/>
          <w:color w:val="000000"/>
        </w:rPr>
      </w:pPr>
      <w:r w:rsidRPr="00381DC2">
        <w:rPr>
          <w:rFonts w:ascii="Times New Roman" w:hAnsi="Times New Roman"/>
          <w:b/>
          <w:color w:val="000000"/>
        </w:rPr>
        <w:br w:type="page"/>
      </w:r>
    </w:p>
    <w:p w14:paraId="094BFBDC" w14:textId="677E9741"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w:lastRenderedPageBreak/>
        <mc:AlternateContent>
          <mc:Choice Requires="wps">
            <w:drawing>
              <wp:inline distT="0" distB="0" distL="0" distR="0" wp14:anchorId="1FF384F9" wp14:editId="5141E1C1">
                <wp:extent cx="5897880" cy="487680"/>
                <wp:effectExtent l="0" t="0" r="7620" b="7620"/>
                <wp:docPr id="8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89DB20" w14:textId="77777777" w:rsidR="00AB7DC1" w:rsidRPr="004457FE" w:rsidRDefault="00AB7DC1" w:rsidP="004457FE">
                            <w:pPr>
                              <w:rPr>
                                <w:rFonts w:ascii="Times New Roman" w:hAnsi="Times New Roman"/>
                                <w:b/>
                                <w:spacing w:val="-2"/>
                              </w:rPr>
                            </w:pPr>
                            <w:r w:rsidRPr="004457FE">
                              <w:rPr>
                                <w:rFonts w:ascii="Times New Roman" w:hAnsi="Times New Roman"/>
                                <w:b/>
                                <w:spacing w:val="-2"/>
                              </w:rPr>
                              <w:t>ÚDAJE UVÁDĚNÉ NA VNĚJŠÍM OBALU</w:t>
                            </w:r>
                          </w:p>
                          <w:p w14:paraId="4EA81BE3" w14:textId="77777777" w:rsidR="00AB7DC1" w:rsidRPr="007A269F" w:rsidRDefault="00AB7DC1" w:rsidP="00433E0A">
                            <w:pPr>
                              <w:rPr>
                                <w:rFonts w:ascii="Times New Roman" w:eastAsia="Times New Roman" w:hAnsi="Times New Roman"/>
                                <w:bCs/>
                              </w:rPr>
                            </w:pPr>
                          </w:p>
                          <w:p w14:paraId="2242B553" w14:textId="77777777" w:rsidR="00AB7DC1" w:rsidRPr="007A269F" w:rsidRDefault="00AB7DC1" w:rsidP="00D76DBA">
                            <w:pPr>
                              <w:spacing w:line="252" w:lineRule="exact"/>
                              <w:rPr>
                                <w:rFonts w:ascii="Times New Roman" w:eastAsia="Times New Roman" w:hAnsi="Times New Roman"/>
                              </w:rPr>
                            </w:pPr>
                            <w:r w:rsidRPr="000B4005">
                              <w:rPr>
                                <w:rFonts w:ascii="Times New Roman" w:hAnsi="Times New Roman"/>
                                <w:b/>
                                <w:spacing w:val="-1"/>
                              </w:rPr>
                              <w:t>KRABIČKA</w:t>
                            </w:r>
                          </w:p>
                          <w:p w14:paraId="7432ED2B" w14:textId="77777777" w:rsidR="00AB7DC1" w:rsidRPr="007A269F" w:rsidRDefault="00AB7DC1" w:rsidP="004457FE">
                            <w:pPr>
                              <w:spacing w:line="252"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type w14:anchorId="1FF384F9" id="_x0000_t202" coordsize="21600,21600" o:spt="202" path="m,l,21600r21600,l21600,xe">
                <v:stroke joinstyle="miter"/>
                <v:path gradientshapeok="t" o:connecttype="rect"/>
              </v:shapetype>
              <v:shape id="Text Box 183" o:spid="_x0000_s1026"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" filled="f" strokeweight=".20497mm">
                <v:textbox inset="0,0,0,0">
                  <w:txbxContent>
                    <w:p w14:paraId="0789DB20" w14:textId="77777777" w:rsidR="00AB7DC1" w:rsidRPr="004457FE" w:rsidRDefault="00AB7DC1" w:rsidP="004457FE">
                      <w:pPr>
                        <w:rPr>
                          <w:rFonts w:ascii="Times New Roman" w:hAnsi="Times New Roman"/>
                          <w:b/>
                          <w:spacing w:val="-2"/>
                        </w:rPr>
                      </w:pPr>
                      <w:r w:rsidRPr="004457FE">
                        <w:rPr>
                          <w:rFonts w:ascii="Times New Roman" w:hAnsi="Times New Roman"/>
                          <w:b/>
                          <w:spacing w:val="-2"/>
                        </w:rPr>
                        <w:t>ÚDAJE UVÁDĚNÉ NA VNĚJŠÍM OBALU</w:t>
                      </w:r>
                    </w:p>
                    <w:p w14:paraId="4EA81BE3" w14:textId="77777777" w:rsidR="00AB7DC1" w:rsidRPr="007A269F" w:rsidRDefault="00AB7DC1" w:rsidP="00433E0A">
                      <w:pPr>
                        <w:rPr>
                          <w:rFonts w:ascii="Times New Roman" w:eastAsia="Times New Roman" w:hAnsi="Times New Roman"/>
                          <w:bCs/>
                        </w:rPr>
                      </w:pPr>
                    </w:p>
                    <w:p w14:paraId="2242B553" w14:textId="77777777" w:rsidR="00AB7DC1" w:rsidRPr="007A269F" w:rsidRDefault="00AB7DC1" w:rsidP="00D76DBA">
                      <w:pPr>
                        <w:spacing w:line="252" w:lineRule="exact"/>
                        <w:rPr>
                          <w:rFonts w:ascii="Times New Roman" w:eastAsia="Times New Roman" w:hAnsi="Times New Roman"/>
                        </w:rPr>
                      </w:pPr>
                      <w:r w:rsidRPr="000B4005">
                        <w:rPr>
                          <w:rFonts w:ascii="Times New Roman" w:hAnsi="Times New Roman"/>
                          <w:b/>
                          <w:spacing w:val="-1"/>
                        </w:rPr>
                        <w:t>KRABIČKA</w:t>
                      </w:r>
                    </w:p>
                    <w:p w14:paraId="7432ED2B" w14:textId="77777777" w:rsidR="00AB7DC1" w:rsidRPr="007A269F" w:rsidRDefault="00AB7DC1" w:rsidP="004457FE">
                      <w:pPr>
                        <w:spacing w:line="252" w:lineRule="exact"/>
                        <w:ind w:left="102"/>
                        <w:rPr>
                          <w:rFonts w:ascii="Times New Roman" w:eastAsia="Times New Roman" w:hAnsi="Times New Roman"/>
                        </w:rPr>
                      </w:pPr>
                    </w:p>
                  </w:txbxContent>
                </v:textbox>
                <w10:anchorlock/>
              </v:shape>
            </w:pict>
          </mc:Fallback>
        </mc:AlternateContent>
      </w:r>
    </w:p>
    <w:p w14:paraId="4309E950" w14:textId="77777777" w:rsidR="00433E0A" w:rsidRPr="00381DC2" w:rsidRDefault="00433E0A" w:rsidP="00433E0A">
      <w:pPr>
        <w:rPr>
          <w:rFonts w:ascii="Times New Roman" w:eastAsia="Times New Roman" w:hAnsi="Times New Roman"/>
          <w:bCs/>
          <w:color w:val="000000"/>
        </w:rPr>
      </w:pPr>
    </w:p>
    <w:p w14:paraId="6E4869FB" w14:textId="77777777" w:rsidR="00433E0A" w:rsidRPr="00381DC2" w:rsidRDefault="00433E0A" w:rsidP="00433E0A">
      <w:pPr>
        <w:rPr>
          <w:rFonts w:ascii="Times New Roman" w:eastAsia="Times New Roman" w:hAnsi="Times New Roman"/>
          <w:bCs/>
          <w:color w:val="000000"/>
        </w:rPr>
      </w:pPr>
    </w:p>
    <w:p w14:paraId="6B16C17C" w14:textId="19354639"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5C40FA2E" wp14:editId="66F3273D">
                <wp:extent cx="5897880" cy="167640"/>
                <wp:effectExtent l="0" t="0" r="7620" b="3810"/>
                <wp:docPr id="8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0F13D1" w14:textId="77777777" w:rsidR="00AB7DC1" w:rsidRDefault="00AB7DC1" w:rsidP="004457FE">
                            <w:pPr>
                              <w:tabs>
                                <w:tab w:val="left" w:pos="668"/>
                              </w:tabs>
                              <w:spacing w:line="251" w:lineRule="exact"/>
                              <w:ind w:left="102"/>
                              <w:rPr>
                                <w:rFonts w:ascii="Times New Roman" w:eastAsia="Times New Roman" w:hAnsi="Times New Roman"/>
                              </w:rPr>
                            </w:pPr>
                            <w:r>
                              <w:rPr>
                                <w:rFonts w:ascii="Times New Roman"/>
                                <w:b/>
                              </w:rPr>
                              <w:t>1.</w:t>
                            </w:r>
                            <w:r>
                              <w:tab/>
                            </w:r>
                            <w:r w:rsidRPr="000B4005">
                              <w:rPr>
                                <w:rFonts w:ascii="Times New Roman" w:hAnsi="Times New Roman"/>
                                <w:b/>
                                <w:spacing w:val="-1"/>
                              </w:rPr>
                              <w:t>NÁZEV LÉČIVÉHO PŘÍPRAVKU</w:t>
                            </w:r>
                          </w:p>
                          <w:p w14:paraId="527831DC"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5C40FA2E" id="Text Box 182" o:spid="_x0000_s102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" filled="f" strokeweight=".20497mm">
                <v:textbox inset="0,0,0,0">
                  <w:txbxContent>
                    <w:p w14:paraId="790F13D1" w14:textId="77777777" w:rsidR="00AB7DC1" w:rsidRDefault="00AB7DC1" w:rsidP="004457FE">
                      <w:pPr>
                        <w:tabs>
                          <w:tab w:val="left" w:pos="668"/>
                        </w:tabs>
                        <w:spacing w:line="251" w:lineRule="exact"/>
                        <w:ind w:left="102"/>
                        <w:rPr>
                          <w:rFonts w:ascii="Times New Roman" w:eastAsia="Times New Roman" w:hAnsi="Times New Roman"/>
                        </w:rPr>
                      </w:pPr>
                      <w:r>
                        <w:rPr>
                          <w:rFonts w:ascii="Times New Roman"/>
                          <w:b/>
                        </w:rPr>
                        <w:t>1.</w:t>
                      </w:r>
                      <w:r>
                        <w:tab/>
                      </w:r>
                      <w:r w:rsidRPr="000B4005">
                        <w:rPr>
                          <w:rFonts w:ascii="Times New Roman" w:hAnsi="Times New Roman"/>
                          <w:b/>
                          <w:spacing w:val="-1"/>
                        </w:rPr>
                        <w:t>NÁZEV LÉČIVÉHO PŘÍPRAVKU</w:t>
                      </w:r>
                    </w:p>
                    <w:p w14:paraId="527831DC"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6309A343" w14:textId="77777777" w:rsidR="00433E0A" w:rsidRPr="00381DC2" w:rsidRDefault="00433E0A" w:rsidP="00433E0A">
      <w:pPr>
        <w:rPr>
          <w:rFonts w:ascii="Times New Roman" w:eastAsia="Times New Roman" w:hAnsi="Times New Roman"/>
          <w:bCs/>
          <w:color w:val="000000"/>
        </w:rPr>
      </w:pPr>
    </w:p>
    <w:p w14:paraId="03C92CDE" w14:textId="77777777" w:rsidR="00433E0A" w:rsidRPr="00381DC2" w:rsidRDefault="00CC0FAB" w:rsidP="00433E0A">
      <w:pPr>
        <w:rPr>
          <w:rFonts w:ascii="Times New Roman" w:eastAsia="Times New Roman" w:hAnsi="Times New Roman"/>
          <w:bCs/>
          <w:color w:val="000000"/>
        </w:rPr>
      </w:pPr>
      <w:r w:rsidRPr="00381DC2">
        <w:rPr>
          <w:rFonts w:ascii="Times New Roman" w:eastAsia="Times New Roman" w:hAnsi="Times New Roman"/>
          <w:bCs/>
          <w:color w:val="000000"/>
        </w:rPr>
        <w:t>Zirabev</w:t>
      </w:r>
      <w:r w:rsidR="00433E0A" w:rsidRPr="00381DC2">
        <w:rPr>
          <w:rFonts w:ascii="Times New Roman" w:eastAsia="Times New Roman" w:hAnsi="Times New Roman"/>
          <w:bCs/>
          <w:color w:val="000000"/>
        </w:rPr>
        <w:t xml:space="preserve"> 25 mg/ml koncentrát pro infuzní roztok</w:t>
      </w:r>
    </w:p>
    <w:p w14:paraId="57CAE6DC" w14:textId="77777777" w:rsidR="00433E0A" w:rsidRPr="00381DC2" w:rsidRDefault="00433E0A" w:rsidP="00433E0A">
      <w:pPr>
        <w:rPr>
          <w:rFonts w:ascii="Times New Roman" w:eastAsia="Times New Roman" w:hAnsi="Times New Roman"/>
          <w:bCs/>
          <w:color w:val="000000"/>
        </w:rPr>
      </w:pPr>
      <w:r w:rsidRPr="0030327F">
        <w:rPr>
          <w:rFonts w:ascii="Times New Roman" w:eastAsia="Times New Roman" w:hAnsi="Times New Roman"/>
          <w:bCs/>
          <w:color w:val="000000"/>
        </w:rPr>
        <w:t>bevacizumab</w:t>
      </w:r>
      <w:r w:rsidR="00F46433" w:rsidRPr="0030327F">
        <w:rPr>
          <w:rFonts w:ascii="Times New Roman" w:eastAsia="Times New Roman" w:hAnsi="Times New Roman"/>
          <w:bCs/>
          <w:color w:val="000000"/>
        </w:rPr>
        <w:t>um</w:t>
      </w:r>
    </w:p>
    <w:p w14:paraId="1E077831" w14:textId="77777777" w:rsidR="00433E0A" w:rsidRPr="00381DC2" w:rsidRDefault="00433E0A" w:rsidP="00433E0A">
      <w:pPr>
        <w:rPr>
          <w:rFonts w:ascii="Times New Roman" w:eastAsia="Times New Roman" w:hAnsi="Times New Roman"/>
          <w:bCs/>
          <w:color w:val="000000"/>
        </w:rPr>
      </w:pPr>
    </w:p>
    <w:p w14:paraId="1F9AA35B" w14:textId="77777777" w:rsidR="00433E0A" w:rsidRPr="00381DC2" w:rsidRDefault="00433E0A" w:rsidP="00433E0A">
      <w:pPr>
        <w:rPr>
          <w:rFonts w:ascii="Times New Roman" w:eastAsia="Times New Roman" w:hAnsi="Times New Roman"/>
          <w:bCs/>
          <w:color w:val="000000"/>
        </w:rPr>
      </w:pPr>
    </w:p>
    <w:p w14:paraId="0A798C57" w14:textId="0C5A2618"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43CA999E" wp14:editId="4EF44725">
                <wp:extent cx="5897880" cy="167640"/>
                <wp:effectExtent l="0" t="0" r="7620" b="3810"/>
                <wp:docPr id="8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5D6521" w14:textId="77777777" w:rsidR="00AB7DC1" w:rsidRDefault="00AB7DC1" w:rsidP="004457FE">
                            <w:pPr>
                              <w:tabs>
                                <w:tab w:val="left" w:pos="668"/>
                              </w:tabs>
                              <w:spacing w:line="251" w:lineRule="exact"/>
                              <w:ind w:left="102"/>
                              <w:rPr>
                                <w:rFonts w:ascii="Times New Roman" w:eastAsia="Times New Roman" w:hAnsi="Times New Roman"/>
                              </w:rPr>
                            </w:pPr>
                            <w:r>
                              <w:rPr>
                                <w:rFonts w:ascii="Times New Roman"/>
                                <w:b/>
                              </w:rPr>
                              <w:t>2.</w:t>
                            </w:r>
                            <w:r>
                              <w:tab/>
                            </w:r>
                            <w:r w:rsidRPr="000B4005">
                              <w:rPr>
                                <w:rFonts w:ascii="Times New Roman" w:hAnsi="Times New Roman"/>
                                <w:b/>
                                <w:spacing w:val="-1"/>
                              </w:rPr>
                              <w:t>OBSAH LÉČIVÉ LÁTKY / LÉČIVÝCH LÁTEK</w:t>
                            </w:r>
                          </w:p>
                          <w:p w14:paraId="1DFD915C"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43CA999E" id="Text Box 181" o:spid="_x0000_s102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uV45DwIA&#10;APkDAAAOAAAAAAAAAAAAAAAAAC4CAABkcnMvZTJvRG9jLnhtbFBLAQItABQABgAIAAAAIQADFS6c&#10;3AAAAAQBAAAPAAAAAAAAAAAAAAAAAGkEAABkcnMvZG93bnJldi54bWxQSwUGAAAAAAQABADzAAAA&#10;cgUAAAAA&#10;" filled="f" strokeweight=".20497mm">
                <v:textbox inset="0,0,0,0">
                  <w:txbxContent>
                    <w:p w14:paraId="545D6521" w14:textId="77777777" w:rsidR="00AB7DC1" w:rsidRDefault="00AB7DC1" w:rsidP="004457FE">
                      <w:pPr>
                        <w:tabs>
                          <w:tab w:val="left" w:pos="668"/>
                        </w:tabs>
                        <w:spacing w:line="251" w:lineRule="exact"/>
                        <w:ind w:left="102"/>
                        <w:rPr>
                          <w:rFonts w:ascii="Times New Roman" w:eastAsia="Times New Roman" w:hAnsi="Times New Roman"/>
                        </w:rPr>
                      </w:pPr>
                      <w:r>
                        <w:rPr>
                          <w:rFonts w:ascii="Times New Roman"/>
                          <w:b/>
                        </w:rPr>
                        <w:t>2.</w:t>
                      </w:r>
                      <w:r>
                        <w:tab/>
                      </w:r>
                      <w:r w:rsidRPr="000B4005">
                        <w:rPr>
                          <w:rFonts w:ascii="Times New Roman" w:hAnsi="Times New Roman"/>
                          <w:b/>
                          <w:spacing w:val="-1"/>
                        </w:rPr>
                        <w:t>OBSAH LÉČIVÉ LÁTKY / LÉČIVÝCH LÁTEK</w:t>
                      </w:r>
                    </w:p>
                    <w:p w14:paraId="1DFD915C"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74099482" w14:textId="77777777" w:rsidR="00433E0A" w:rsidRPr="00381DC2" w:rsidRDefault="00433E0A" w:rsidP="00433E0A">
      <w:pPr>
        <w:rPr>
          <w:rFonts w:ascii="Times New Roman" w:eastAsia="Times New Roman" w:hAnsi="Times New Roman"/>
          <w:bCs/>
          <w:color w:val="000000"/>
        </w:rPr>
      </w:pPr>
    </w:p>
    <w:p w14:paraId="2E933431"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 xml:space="preserve">Jedna injekční lahvička obsahuje </w:t>
      </w:r>
      <w:r w:rsidRPr="0030327F">
        <w:rPr>
          <w:rFonts w:ascii="Times New Roman" w:eastAsia="Times New Roman" w:hAnsi="Times New Roman"/>
          <w:bCs/>
          <w:color w:val="000000"/>
        </w:rPr>
        <w:t>bevacizumabum</w:t>
      </w:r>
      <w:r w:rsidRPr="00381DC2">
        <w:rPr>
          <w:rFonts w:ascii="Times New Roman" w:eastAsia="Times New Roman" w:hAnsi="Times New Roman"/>
          <w:bCs/>
          <w:color w:val="000000"/>
        </w:rPr>
        <w:t xml:space="preserve"> 100 mg.</w:t>
      </w:r>
    </w:p>
    <w:p w14:paraId="6046041B" w14:textId="77777777" w:rsidR="00433E0A" w:rsidRPr="00381DC2" w:rsidRDefault="00433E0A" w:rsidP="00433E0A">
      <w:pPr>
        <w:rPr>
          <w:rFonts w:ascii="Times New Roman" w:eastAsia="Times New Roman" w:hAnsi="Times New Roman"/>
          <w:bCs/>
          <w:color w:val="000000"/>
        </w:rPr>
      </w:pPr>
    </w:p>
    <w:p w14:paraId="79186482" w14:textId="77777777" w:rsidR="00433E0A" w:rsidRPr="00381DC2" w:rsidRDefault="00433E0A" w:rsidP="00433E0A">
      <w:pPr>
        <w:rPr>
          <w:rFonts w:ascii="Times New Roman" w:eastAsia="Times New Roman" w:hAnsi="Times New Roman"/>
          <w:bCs/>
          <w:color w:val="000000"/>
        </w:rPr>
      </w:pPr>
    </w:p>
    <w:p w14:paraId="37D4D43A" w14:textId="3DA8EF6F"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4E74133F" wp14:editId="0E89204D">
                <wp:extent cx="5897880" cy="167640"/>
                <wp:effectExtent l="0" t="0" r="7620" b="3810"/>
                <wp:docPr id="83"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8D695E" w14:textId="77777777" w:rsidR="00AB7DC1" w:rsidRDefault="00AB7DC1" w:rsidP="004457FE">
                            <w:pPr>
                              <w:tabs>
                                <w:tab w:val="left" w:pos="668"/>
                              </w:tabs>
                              <w:spacing w:line="252" w:lineRule="exact"/>
                              <w:ind w:left="102"/>
                              <w:rPr>
                                <w:rFonts w:ascii="Times New Roman" w:eastAsia="Times New Roman" w:hAnsi="Times New Roman"/>
                              </w:rPr>
                            </w:pPr>
                            <w:r>
                              <w:rPr>
                                <w:rFonts w:ascii="Times New Roman"/>
                                <w:b/>
                              </w:rPr>
                              <w:t>3.</w:t>
                            </w:r>
                            <w:r>
                              <w:tab/>
                            </w:r>
                            <w:r w:rsidRPr="000B4005">
                              <w:rPr>
                                <w:rFonts w:ascii="Times New Roman" w:hAnsi="Times New Roman"/>
                                <w:b/>
                                <w:spacing w:val="-1"/>
                              </w:rPr>
                              <w:t>SEZNAM POMOCNÝCH LÁTEK</w:t>
                            </w:r>
                          </w:p>
                          <w:p w14:paraId="5010234C" w14:textId="77777777" w:rsidR="00AB7DC1" w:rsidRDefault="00AB7DC1" w:rsidP="00433E0A">
                            <w:pPr>
                              <w:tabs>
                                <w:tab w:val="left" w:pos="668"/>
                              </w:tabs>
                              <w:spacing w:line="252"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4E74133F" id="Text Box 180" o:spid="_x0000_s102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sDwIAAPkDAAAOAAAAZHJzL2Uyb0RvYy54bWysU9tu2zAMfR+wfxD0vjhpty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XbPJVClKfXHkP8qMCyZFQcaagZXRzuQ0zViPIUkpI5uNPG5MEax4aK&#10;ry5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NS/RsDwIA&#10;APkDAAAOAAAAAAAAAAAAAAAAAC4CAABkcnMvZTJvRG9jLnhtbFBLAQItABQABgAIAAAAIQADFS6c&#10;3AAAAAQBAAAPAAAAAAAAAAAAAAAAAGkEAABkcnMvZG93bnJldi54bWxQSwUGAAAAAAQABADzAAAA&#10;cgUAAAAA&#10;" filled="f" strokeweight=".20497mm">
                <v:textbox inset="0,0,0,0">
                  <w:txbxContent>
                    <w:p w14:paraId="548D695E" w14:textId="77777777" w:rsidR="00AB7DC1" w:rsidRDefault="00AB7DC1" w:rsidP="004457FE">
                      <w:pPr>
                        <w:tabs>
                          <w:tab w:val="left" w:pos="668"/>
                        </w:tabs>
                        <w:spacing w:line="252" w:lineRule="exact"/>
                        <w:ind w:left="102"/>
                        <w:rPr>
                          <w:rFonts w:ascii="Times New Roman" w:eastAsia="Times New Roman" w:hAnsi="Times New Roman"/>
                        </w:rPr>
                      </w:pPr>
                      <w:r>
                        <w:rPr>
                          <w:rFonts w:ascii="Times New Roman"/>
                          <w:b/>
                        </w:rPr>
                        <w:t>3.</w:t>
                      </w:r>
                      <w:r>
                        <w:tab/>
                      </w:r>
                      <w:r w:rsidRPr="000B4005">
                        <w:rPr>
                          <w:rFonts w:ascii="Times New Roman" w:hAnsi="Times New Roman"/>
                          <w:b/>
                          <w:spacing w:val="-1"/>
                        </w:rPr>
                        <w:t>SEZNAM POMOCNÝCH LÁTEK</w:t>
                      </w:r>
                    </w:p>
                    <w:p w14:paraId="5010234C" w14:textId="77777777" w:rsidR="00AB7DC1" w:rsidRDefault="00AB7DC1" w:rsidP="00433E0A">
                      <w:pPr>
                        <w:tabs>
                          <w:tab w:val="left" w:pos="668"/>
                        </w:tabs>
                        <w:spacing w:line="252" w:lineRule="exact"/>
                        <w:ind w:left="102"/>
                        <w:rPr>
                          <w:rFonts w:ascii="Times New Roman" w:eastAsia="Times New Roman" w:hAnsi="Times New Roman"/>
                        </w:rPr>
                      </w:pPr>
                    </w:p>
                  </w:txbxContent>
                </v:textbox>
                <w10:anchorlock/>
              </v:shape>
            </w:pict>
          </mc:Fallback>
        </mc:AlternateContent>
      </w:r>
    </w:p>
    <w:p w14:paraId="7ADE786D" w14:textId="77777777" w:rsidR="00433E0A" w:rsidRPr="00381DC2" w:rsidRDefault="00433E0A" w:rsidP="00433E0A">
      <w:pPr>
        <w:rPr>
          <w:rFonts w:ascii="Times New Roman" w:eastAsia="Times New Roman" w:hAnsi="Times New Roman"/>
          <w:bCs/>
          <w:color w:val="000000"/>
        </w:rPr>
      </w:pPr>
    </w:p>
    <w:p w14:paraId="43BEF91D"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 xml:space="preserve">Sacharóza, kyselina jantarová, </w:t>
      </w:r>
      <w:r w:rsidR="00E756C9" w:rsidRPr="00381DC2">
        <w:rPr>
          <w:rFonts w:ascii="Times New Roman" w:eastAsia="Times New Roman" w:hAnsi="Times New Roman"/>
          <w:bCs/>
          <w:color w:val="000000"/>
        </w:rPr>
        <w:t>dinatrium-</w:t>
      </w:r>
      <w:r w:rsidRPr="00381DC2">
        <w:rPr>
          <w:rFonts w:ascii="Times New Roman" w:eastAsia="Times New Roman" w:hAnsi="Times New Roman"/>
          <w:bCs/>
          <w:color w:val="000000"/>
        </w:rPr>
        <w:t xml:space="preserve">edetát, polysorbát 80, hydroxid sodný, voda </w:t>
      </w:r>
      <w:r w:rsidR="00E756C9" w:rsidRPr="00381DC2">
        <w:rPr>
          <w:rFonts w:ascii="Times New Roman" w:eastAsia="Times New Roman" w:hAnsi="Times New Roman"/>
          <w:bCs/>
          <w:color w:val="000000"/>
        </w:rPr>
        <w:t>pro</w:t>
      </w:r>
      <w:r w:rsidRPr="00381DC2">
        <w:rPr>
          <w:rFonts w:ascii="Times New Roman" w:eastAsia="Times New Roman" w:hAnsi="Times New Roman"/>
          <w:bCs/>
          <w:color w:val="000000"/>
        </w:rPr>
        <w:t xml:space="preserve"> injekc</w:t>
      </w:r>
      <w:r w:rsidR="003E684C" w:rsidRPr="00381DC2">
        <w:rPr>
          <w:rFonts w:ascii="Times New Roman" w:eastAsia="Times New Roman" w:hAnsi="Times New Roman"/>
          <w:bCs/>
          <w:color w:val="000000"/>
        </w:rPr>
        <w:t>i</w:t>
      </w:r>
      <w:r w:rsidRPr="00381DC2">
        <w:rPr>
          <w:rFonts w:ascii="Times New Roman" w:eastAsia="Times New Roman" w:hAnsi="Times New Roman"/>
          <w:bCs/>
          <w:color w:val="000000"/>
        </w:rPr>
        <w:t>.</w:t>
      </w:r>
    </w:p>
    <w:p w14:paraId="1067AFC5" w14:textId="77777777" w:rsidR="00433E0A" w:rsidRPr="00381DC2" w:rsidRDefault="00433E0A" w:rsidP="00433E0A">
      <w:pPr>
        <w:rPr>
          <w:rFonts w:ascii="Times New Roman" w:eastAsia="Times New Roman" w:hAnsi="Times New Roman"/>
          <w:bCs/>
          <w:color w:val="000000"/>
        </w:rPr>
      </w:pPr>
    </w:p>
    <w:p w14:paraId="74CED10F" w14:textId="77777777" w:rsidR="00433E0A" w:rsidRPr="00381DC2" w:rsidRDefault="00433E0A" w:rsidP="00433E0A">
      <w:pPr>
        <w:rPr>
          <w:rFonts w:ascii="Times New Roman" w:eastAsia="Times New Roman" w:hAnsi="Times New Roman"/>
          <w:bCs/>
          <w:color w:val="000000"/>
        </w:rPr>
      </w:pPr>
    </w:p>
    <w:p w14:paraId="3D372B01" w14:textId="720913D1"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5613315A" wp14:editId="2E2C3C11">
                <wp:extent cx="5897880" cy="167640"/>
                <wp:effectExtent l="0" t="0" r="7620" b="3810"/>
                <wp:docPr id="82"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3FD1A2" w14:textId="77777777" w:rsidR="00AB7DC1" w:rsidRDefault="00AB7DC1" w:rsidP="004457FE">
                            <w:pPr>
                              <w:tabs>
                                <w:tab w:val="left" w:pos="668"/>
                              </w:tabs>
                              <w:spacing w:line="251" w:lineRule="exact"/>
                              <w:ind w:left="102"/>
                              <w:rPr>
                                <w:rFonts w:ascii="Times New Roman" w:eastAsia="Times New Roman" w:hAnsi="Times New Roman"/>
                              </w:rPr>
                            </w:pPr>
                            <w:r>
                              <w:rPr>
                                <w:rFonts w:ascii="Times New Roman"/>
                                <w:b/>
                              </w:rPr>
                              <w:t>4.</w:t>
                            </w:r>
                            <w:r>
                              <w:tab/>
                            </w:r>
                            <w:r w:rsidRPr="000B4005">
                              <w:rPr>
                                <w:rFonts w:ascii="Times New Roman" w:hAnsi="Times New Roman"/>
                                <w:b/>
                                <w:spacing w:val="-2"/>
                              </w:rPr>
                              <w:t>LÉKOVÁ FORMA A OBSAH BALENÍ</w:t>
                            </w:r>
                          </w:p>
                          <w:p w14:paraId="155A2346"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5613315A" id="Text Box 179" o:spid="_x0000_s103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EfDwIAAPkDAAAOAAAAZHJzL2Uyb0RvYy54bWysU9tu2zAMfR+wfxD0vjjpui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VlnkohytNrjyF+VGBZMiqONNSMLg73IaZqRHkKSckc3Glj8mCNY0PF&#10;V29XV1NfYHSTnCksYFfvDLKDSNLIK7dGnpdhVkcSqNG24utzkCgTGx9ck7NEoc1kUyXGHelJjEzc&#10;xLEemW4qfpkSJLZqaB6JL4RJj/R/yOgBf3M2kBYrHn7tBSrOzCdHnCfhngw8GfXJEE7S04pHziZz&#10;FyeB7z3qrifkaaoObmgurc6UPVdxLJf0lZk8/oUk4JfnHPX8Y7dP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VkNEfDwIA&#10;APkDAAAOAAAAAAAAAAAAAAAAAC4CAABkcnMvZTJvRG9jLnhtbFBLAQItABQABgAIAAAAIQADFS6c&#10;3AAAAAQBAAAPAAAAAAAAAAAAAAAAAGkEAABkcnMvZG93bnJldi54bWxQSwUGAAAAAAQABADzAAAA&#10;cgUAAAAA&#10;" filled="f" strokeweight=".20497mm">
                <v:textbox inset="0,0,0,0">
                  <w:txbxContent>
                    <w:p w14:paraId="723FD1A2" w14:textId="77777777" w:rsidR="00AB7DC1" w:rsidRDefault="00AB7DC1" w:rsidP="004457FE">
                      <w:pPr>
                        <w:tabs>
                          <w:tab w:val="left" w:pos="668"/>
                        </w:tabs>
                        <w:spacing w:line="251" w:lineRule="exact"/>
                        <w:ind w:left="102"/>
                        <w:rPr>
                          <w:rFonts w:ascii="Times New Roman" w:eastAsia="Times New Roman" w:hAnsi="Times New Roman"/>
                        </w:rPr>
                      </w:pPr>
                      <w:r>
                        <w:rPr>
                          <w:rFonts w:ascii="Times New Roman"/>
                          <w:b/>
                        </w:rPr>
                        <w:t>4.</w:t>
                      </w:r>
                      <w:r>
                        <w:tab/>
                      </w:r>
                      <w:r w:rsidRPr="000B4005">
                        <w:rPr>
                          <w:rFonts w:ascii="Times New Roman" w:hAnsi="Times New Roman"/>
                          <w:b/>
                          <w:spacing w:val="-2"/>
                        </w:rPr>
                        <w:t>LÉKOVÁ FORMA A OBSAH BALENÍ</w:t>
                      </w:r>
                    </w:p>
                    <w:p w14:paraId="155A2346"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08799743" w14:textId="77777777" w:rsidR="00433E0A" w:rsidRPr="00381DC2" w:rsidRDefault="00433E0A" w:rsidP="00433E0A">
      <w:pPr>
        <w:rPr>
          <w:rFonts w:ascii="Times New Roman" w:eastAsia="Times New Roman" w:hAnsi="Times New Roman"/>
          <w:bCs/>
          <w:color w:val="000000"/>
        </w:rPr>
      </w:pPr>
    </w:p>
    <w:p w14:paraId="3BACAD46"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 xml:space="preserve">Koncentrát pro infuzní roztok </w:t>
      </w:r>
    </w:p>
    <w:p w14:paraId="6A80184A"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1 injekční lahvička s objemem 4 ml</w:t>
      </w:r>
    </w:p>
    <w:p w14:paraId="4F30C21F"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100 mg/4 ml</w:t>
      </w:r>
    </w:p>
    <w:p w14:paraId="1C94070A" w14:textId="77777777" w:rsidR="00433E0A" w:rsidRPr="00381DC2" w:rsidRDefault="00433E0A" w:rsidP="00433E0A">
      <w:pPr>
        <w:rPr>
          <w:rFonts w:ascii="Times New Roman" w:eastAsia="Times New Roman" w:hAnsi="Times New Roman"/>
          <w:bCs/>
          <w:color w:val="000000"/>
        </w:rPr>
      </w:pPr>
    </w:p>
    <w:p w14:paraId="75DED40F" w14:textId="77777777" w:rsidR="00433E0A" w:rsidRPr="00381DC2" w:rsidRDefault="00433E0A" w:rsidP="00433E0A">
      <w:pPr>
        <w:rPr>
          <w:rFonts w:ascii="Times New Roman" w:eastAsia="Times New Roman" w:hAnsi="Times New Roman"/>
          <w:bCs/>
          <w:color w:val="000000"/>
        </w:rPr>
      </w:pPr>
    </w:p>
    <w:p w14:paraId="007A43F5" w14:textId="72C6E18D"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39591EE4" wp14:editId="4D9BF305">
                <wp:extent cx="5897880" cy="167640"/>
                <wp:effectExtent l="0" t="0" r="7620" b="3810"/>
                <wp:docPr id="81"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EDFA3A" w14:textId="77777777" w:rsidR="00AB7DC1" w:rsidRDefault="00AB7DC1" w:rsidP="004457FE">
                            <w:pPr>
                              <w:tabs>
                                <w:tab w:val="left" w:pos="668"/>
                              </w:tabs>
                              <w:spacing w:line="251" w:lineRule="exact"/>
                              <w:ind w:left="102"/>
                              <w:rPr>
                                <w:rFonts w:ascii="Times New Roman" w:eastAsia="Times New Roman" w:hAnsi="Times New Roman"/>
                              </w:rPr>
                            </w:pPr>
                            <w:r>
                              <w:rPr>
                                <w:rFonts w:ascii="Times New Roman"/>
                                <w:b/>
                              </w:rPr>
                              <w:t>5.</w:t>
                            </w:r>
                            <w:r>
                              <w:tab/>
                            </w:r>
                            <w:r w:rsidRPr="000B4005">
                              <w:rPr>
                                <w:rFonts w:ascii="Times New Roman" w:hAnsi="Times New Roman"/>
                                <w:b/>
                                <w:spacing w:val="-1"/>
                              </w:rPr>
                              <w:t>ZPŮSOB A CESTA/CESTY PODÁNÍ</w:t>
                            </w:r>
                          </w:p>
                          <w:p w14:paraId="54A56C58"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39591EE4" id="Text Box 178" o:spid="_x0000_s103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tKDgIAAPk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ohqSpDUqqE5kl4I0zzS/yGjB/zF2UCzWPHwcy9QcWY+OtI8De7ZwLNRnw3hJD2teORsMndx&#10;GvC9R931hDx11cEt9aXVWbKnKk7l0nxlJU9/IQ3w83OOevqx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OZie0oOAgAA&#10;+QMAAA4AAAAAAAAAAAAAAAAALgIAAGRycy9lMm9Eb2MueG1sUEsBAi0AFAAGAAgAAAAhAAMVLpzc&#10;AAAABAEAAA8AAAAAAAAAAAAAAAAAaAQAAGRycy9kb3ducmV2LnhtbFBLBQYAAAAABAAEAPMAAABx&#10;BQAAAAA=&#10;" filled="f" strokeweight=".20497mm">
                <v:textbox inset="0,0,0,0">
                  <w:txbxContent>
                    <w:p w14:paraId="50EDFA3A" w14:textId="77777777" w:rsidR="00AB7DC1" w:rsidRDefault="00AB7DC1" w:rsidP="004457FE">
                      <w:pPr>
                        <w:tabs>
                          <w:tab w:val="left" w:pos="668"/>
                        </w:tabs>
                        <w:spacing w:line="251" w:lineRule="exact"/>
                        <w:ind w:left="102"/>
                        <w:rPr>
                          <w:rFonts w:ascii="Times New Roman" w:eastAsia="Times New Roman" w:hAnsi="Times New Roman"/>
                        </w:rPr>
                      </w:pPr>
                      <w:r>
                        <w:rPr>
                          <w:rFonts w:ascii="Times New Roman"/>
                          <w:b/>
                        </w:rPr>
                        <w:t>5.</w:t>
                      </w:r>
                      <w:r>
                        <w:tab/>
                      </w:r>
                      <w:r w:rsidRPr="000B4005">
                        <w:rPr>
                          <w:rFonts w:ascii="Times New Roman" w:hAnsi="Times New Roman"/>
                          <w:b/>
                          <w:spacing w:val="-1"/>
                        </w:rPr>
                        <w:t>ZPŮSOB A CESTA/CESTY PODÁNÍ</w:t>
                      </w:r>
                    </w:p>
                    <w:p w14:paraId="54A56C58"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6D8DAEE5" w14:textId="77777777" w:rsidR="00433E0A" w:rsidRPr="00381DC2" w:rsidRDefault="00433E0A" w:rsidP="00433E0A">
      <w:pPr>
        <w:rPr>
          <w:rFonts w:ascii="Times New Roman" w:eastAsia="Times New Roman" w:hAnsi="Times New Roman"/>
          <w:bCs/>
          <w:color w:val="000000"/>
        </w:rPr>
      </w:pPr>
    </w:p>
    <w:p w14:paraId="6F7B7D6D" w14:textId="77777777" w:rsidR="00433E0A" w:rsidRPr="00381DC2" w:rsidRDefault="00E756C9" w:rsidP="00433E0A">
      <w:pPr>
        <w:rPr>
          <w:rFonts w:ascii="Times New Roman" w:eastAsia="Times New Roman" w:hAnsi="Times New Roman"/>
          <w:bCs/>
          <w:color w:val="000000"/>
        </w:rPr>
      </w:pPr>
      <w:r w:rsidRPr="00381DC2">
        <w:rPr>
          <w:rFonts w:ascii="Times New Roman" w:eastAsia="Times New Roman" w:hAnsi="Times New Roman"/>
          <w:bCs/>
          <w:color w:val="000000"/>
        </w:rPr>
        <w:t>I</w:t>
      </w:r>
      <w:r w:rsidR="00433E0A" w:rsidRPr="00381DC2">
        <w:rPr>
          <w:rFonts w:ascii="Times New Roman" w:eastAsia="Times New Roman" w:hAnsi="Times New Roman"/>
          <w:bCs/>
          <w:color w:val="000000"/>
        </w:rPr>
        <w:t xml:space="preserve">ntravenózní </w:t>
      </w:r>
      <w:r w:rsidR="00113343" w:rsidRPr="00381DC2">
        <w:rPr>
          <w:rFonts w:ascii="Times New Roman" w:eastAsia="Times New Roman" w:hAnsi="Times New Roman"/>
          <w:bCs/>
          <w:color w:val="000000"/>
        </w:rPr>
        <w:t xml:space="preserve">podání </w:t>
      </w:r>
      <w:r w:rsidR="00433E0A" w:rsidRPr="00381DC2">
        <w:rPr>
          <w:rFonts w:ascii="Times New Roman" w:eastAsia="Times New Roman" w:hAnsi="Times New Roman"/>
          <w:bCs/>
          <w:color w:val="000000"/>
        </w:rPr>
        <w:t xml:space="preserve">po naředění </w:t>
      </w:r>
    </w:p>
    <w:p w14:paraId="6F87BC1A"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Před použitím si přečtěte příbalovou informaci.</w:t>
      </w:r>
    </w:p>
    <w:p w14:paraId="454814E0" w14:textId="77777777" w:rsidR="00433E0A" w:rsidRPr="00381DC2" w:rsidRDefault="00433E0A" w:rsidP="00433E0A">
      <w:pPr>
        <w:rPr>
          <w:rFonts w:ascii="Times New Roman" w:eastAsia="Times New Roman" w:hAnsi="Times New Roman"/>
          <w:bCs/>
          <w:color w:val="000000"/>
        </w:rPr>
      </w:pPr>
    </w:p>
    <w:p w14:paraId="7955B0B6" w14:textId="77777777" w:rsidR="00433E0A" w:rsidRPr="00381DC2" w:rsidRDefault="00433E0A" w:rsidP="00433E0A">
      <w:pPr>
        <w:rPr>
          <w:rFonts w:ascii="Times New Roman" w:eastAsia="Times New Roman" w:hAnsi="Times New Roman"/>
          <w:bCs/>
          <w:color w:val="000000"/>
        </w:rPr>
      </w:pPr>
    </w:p>
    <w:p w14:paraId="67692010" w14:textId="270DAAC7" w:rsidR="00113343" w:rsidRPr="00381DC2" w:rsidRDefault="00F8155D" w:rsidP="00113343">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2B02D876" wp14:editId="1BC671EF">
                <wp:extent cx="5897880" cy="335915"/>
                <wp:effectExtent l="0" t="0" r="7620" b="6985"/>
                <wp:docPr id="12"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3591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C2BA4A" w14:textId="77777777" w:rsidR="00AB7DC1" w:rsidRPr="00CC0FAB" w:rsidRDefault="00AB7DC1" w:rsidP="00F07B21">
                            <w:pPr>
                              <w:spacing w:line="225" w:lineRule="exact"/>
                              <w:ind w:left="709" w:hanging="567"/>
                              <w:rPr>
                                <w:rFonts w:ascii="Times New Roman" w:hAnsi="Times New Roman"/>
                                <w:b/>
                                <w:spacing w:val="-1"/>
                              </w:rPr>
                            </w:pPr>
                            <w:r w:rsidRPr="00113343">
                              <w:rPr>
                                <w:rFonts w:ascii="Times New Roman"/>
                                <w:b/>
                                <w:bCs/>
                              </w:rPr>
                              <w:t>6.</w:t>
                            </w:r>
                            <w:r w:rsidRPr="00113343">
                              <w:rPr>
                                <w:rFonts w:ascii="Times New Roman"/>
                                <w:b/>
                                <w:bCs/>
                              </w:rPr>
                              <w:tab/>
                            </w:r>
                            <w:r w:rsidRPr="000B4005">
                              <w:rPr>
                                <w:rFonts w:ascii="Times New Roman" w:hAnsi="Times New Roman"/>
                                <w:b/>
                                <w:spacing w:val="-1"/>
                              </w:rPr>
                              <w:t>ZVLÁŠTNÍ UPOZORNĚNÍ, ŽE LÉČIVÝ PŘÍPRAVEK MUSÍ BÝT UCHOVÁVÁN MIMO</w:t>
                            </w:r>
                            <w:r>
                              <w:rPr>
                                <w:rFonts w:ascii="Times New Roman" w:hAnsi="Times New Roman"/>
                                <w:b/>
                                <w:spacing w:val="-1"/>
                              </w:rPr>
                              <w:t xml:space="preserve"> DOHLED A DOSAH DĚTÍ</w:t>
                            </w:r>
                          </w:p>
                        </w:txbxContent>
                      </wps:txbx>
                      <wps:bodyPr rot="0" vert="horz" wrap="square" lIns="0" tIns="0" rIns="0" bIns="0" anchor="t" anchorCtr="0" upright="1">
                        <a:noAutofit/>
                      </wps:bodyPr>
                    </wps:wsp>
                  </a:graphicData>
                </a:graphic>
              </wp:inline>
            </w:drawing>
          </mc:Choice>
          <mc:Fallback>
            <w:pict>
              <v:shape w14:anchorId="2B02D876" id="_x0000_s1032" type="#_x0000_t202" style="width:464.4pt;height:2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" filled="f" strokeweight=".20497mm">
                <v:textbox inset="0,0,0,0">
                  <w:txbxContent>
                    <w:p w14:paraId="7CC2BA4A" w14:textId="77777777" w:rsidR="00AB7DC1" w:rsidRPr="00CC0FAB" w:rsidRDefault="00AB7DC1" w:rsidP="00F07B21">
                      <w:pPr>
                        <w:spacing w:line="225" w:lineRule="exact"/>
                        <w:ind w:left="709" w:hanging="567"/>
                        <w:rPr>
                          <w:rFonts w:ascii="Times New Roman" w:hAnsi="Times New Roman"/>
                          <w:b/>
                          <w:spacing w:val="-1"/>
                        </w:rPr>
                      </w:pPr>
                      <w:r w:rsidRPr="00113343">
                        <w:rPr>
                          <w:rFonts w:ascii="Times New Roman"/>
                          <w:b/>
                          <w:bCs/>
                        </w:rPr>
                        <w:t>6.</w:t>
                      </w:r>
                      <w:r w:rsidRPr="00113343">
                        <w:rPr>
                          <w:rFonts w:ascii="Times New Roman"/>
                          <w:b/>
                          <w:bCs/>
                        </w:rPr>
                        <w:tab/>
                      </w:r>
                      <w:r w:rsidRPr="000B4005">
                        <w:rPr>
                          <w:rFonts w:ascii="Times New Roman" w:hAnsi="Times New Roman"/>
                          <w:b/>
                          <w:spacing w:val="-1"/>
                        </w:rPr>
                        <w:t>ZVLÁŠTNÍ UPOZORNĚNÍ, ŽE LÉČIVÝ PŘÍPRAVEK MUSÍ BÝT UCHOVÁVÁN MIMO</w:t>
                      </w:r>
                      <w:r>
                        <w:rPr>
                          <w:rFonts w:ascii="Times New Roman" w:hAnsi="Times New Roman"/>
                          <w:b/>
                          <w:spacing w:val="-1"/>
                        </w:rPr>
                        <w:t xml:space="preserve"> DOHLED A DOSAH DĚTÍ</w:t>
                      </w:r>
                    </w:p>
                  </w:txbxContent>
                </v:textbox>
                <w10:anchorlock/>
              </v:shape>
            </w:pict>
          </mc:Fallback>
        </mc:AlternateContent>
      </w:r>
    </w:p>
    <w:p w14:paraId="47000005" w14:textId="77777777" w:rsidR="00433E0A" w:rsidRPr="00381DC2" w:rsidRDefault="00433E0A" w:rsidP="00433E0A">
      <w:pPr>
        <w:rPr>
          <w:rFonts w:ascii="Times New Roman" w:eastAsia="Times New Roman" w:hAnsi="Times New Roman"/>
          <w:bCs/>
          <w:color w:val="000000"/>
        </w:rPr>
      </w:pPr>
    </w:p>
    <w:p w14:paraId="660DA378"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Uchovávejte mimo dohled a dosah dětí.</w:t>
      </w:r>
    </w:p>
    <w:p w14:paraId="344522C3" w14:textId="77777777" w:rsidR="00433E0A" w:rsidRPr="00381DC2" w:rsidRDefault="00433E0A" w:rsidP="00433E0A">
      <w:pPr>
        <w:rPr>
          <w:rFonts w:ascii="Times New Roman" w:eastAsia="Times New Roman" w:hAnsi="Times New Roman"/>
          <w:bCs/>
          <w:color w:val="000000"/>
        </w:rPr>
      </w:pPr>
    </w:p>
    <w:p w14:paraId="5B536975" w14:textId="77777777" w:rsidR="00433E0A" w:rsidRPr="00381DC2" w:rsidRDefault="00433E0A" w:rsidP="00433E0A">
      <w:pPr>
        <w:rPr>
          <w:rFonts w:ascii="Times New Roman" w:eastAsia="Times New Roman" w:hAnsi="Times New Roman"/>
          <w:bCs/>
          <w:color w:val="000000"/>
        </w:rPr>
      </w:pPr>
    </w:p>
    <w:p w14:paraId="2A018672" w14:textId="5C7131CE"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2736F339" wp14:editId="37B601D6">
                <wp:extent cx="5897880" cy="166370"/>
                <wp:effectExtent l="0" t="0" r="7620" b="5080"/>
                <wp:docPr id="6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C43616" w14:textId="77777777" w:rsidR="00AB7DC1" w:rsidRDefault="00AB7DC1" w:rsidP="004457FE">
                            <w:pPr>
                              <w:tabs>
                                <w:tab w:val="left" w:pos="668"/>
                              </w:tabs>
                              <w:spacing w:line="250" w:lineRule="exact"/>
                              <w:ind w:left="102"/>
                              <w:rPr>
                                <w:rFonts w:ascii="Times New Roman" w:eastAsia="Times New Roman" w:hAnsi="Times New Roman"/>
                              </w:rPr>
                            </w:pPr>
                            <w:r>
                              <w:rPr>
                                <w:rFonts w:ascii="Times New Roman"/>
                                <w:b/>
                              </w:rPr>
                              <w:t>7.</w:t>
                            </w:r>
                            <w:r>
                              <w:tab/>
                            </w:r>
                            <w:r w:rsidRPr="000B4005">
                              <w:rPr>
                                <w:rFonts w:ascii="Times New Roman" w:hAnsi="Times New Roman"/>
                                <w:b/>
                              </w:rPr>
                              <w:t>DALŠÍ ZVLÁŠTNÍ UPOZORNĚNÍ, POKUD JE POTŘEBNÉ</w:t>
                            </w:r>
                          </w:p>
                          <w:p w14:paraId="3C5BAB2E" w14:textId="77777777" w:rsidR="00AB7DC1" w:rsidRDefault="00AB7DC1" w:rsidP="00433E0A">
                            <w:pPr>
                              <w:tabs>
                                <w:tab w:val="left" w:pos="668"/>
                              </w:tabs>
                              <w:spacing w:line="250"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2736F339" id="Text Box 177" o:spid="_x0000_s103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Ms8LF0OAgAA&#10;+QMAAA4AAAAAAAAAAAAAAAAALgIAAGRycy9lMm9Eb2MueG1sUEsBAi0AFAAGAAgAAAAhABAe8gHc&#10;AAAABAEAAA8AAAAAAAAAAAAAAAAAaAQAAGRycy9kb3ducmV2LnhtbFBLBQYAAAAABAAEAPMAAABx&#10;BQAAAAA=&#10;" filled="f" strokeweight=".20497mm">
                <v:textbox inset="0,0,0,0">
                  <w:txbxContent>
                    <w:p w14:paraId="02C43616" w14:textId="77777777" w:rsidR="00AB7DC1" w:rsidRDefault="00AB7DC1" w:rsidP="004457FE">
                      <w:pPr>
                        <w:tabs>
                          <w:tab w:val="left" w:pos="668"/>
                        </w:tabs>
                        <w:spacing w:line="250" w:lineRule="exact"/>
                        <w:ind w:left="102"/>
                        <w:rPr>
                          <w:rFonts w:ascii="Times New Roman" w:eastAsia="Times New Roman" w:hAnsi="Times New Roman"/>
                        </w:rPr>
                      </w:pPr>
                      <w:r>
                        <w:rPr>
                          <w:rFonts w:ascii="Times New Roman"/>
                          <w:b/>
                        </w:rPr>
                        <w:t>7.</w:t>
                      </w:r>
                      <w:r>
                        <w:tab/>
                      </w:r>
                      <w:r w:rsidRPr="000B4005">
                        <w:rPr>
                          <w:rFonts w:ascii="Times New Roman" w:hAnsi="Times New Roman"/>
                          <w:b/>
                        </w:rPr>
                        <w:t>DALŠÍ ZVLÁŠTNÍ UPOZORNĚNÍ, POKUD JE POTŘEBNÉ</w:t>
                      </w:r>
                    </w:p>
                    <w:p w14:paraId="3C5BAB2E" w14:textId="77777777" w:rsidR="00AB7DC1" w:rsidRDefault="00AB7DC1" w:rsidP="00433E0A">
                      <w:pPr>
                        <w:tabs>
                          <w:tab w:val="left" w:pos="668"/>
                        </w:tabs>
                        <w:spacing w:line="250" w:lineRule="exact"/>
                        <w:ind w:left="102"/>
                        <w:rPr>
                          <w:rFonts w:ascii="Times New Roman" w:eastAsia="Times New Roman" w:hAnsi="Times New Roman"/>
                        </w:rPr>
                      </w:pPr>
                    </w:p>
                  </w:txbxContent>
                </v:textbox>
                <w10:anchorlock/>
              </v:shape>
            </w:pict>
          </mc:Fallback>
        </mc:AlternateContent>
      </w:r>
    </w:p>
    <w:p w14:paraId="178F8E32" w14:textId="77777777" w:rsidR="00433E0A" w:rsidRPr="00381DC2" w:rsidRDefault="00433E0A" w:rsidP="00433E0A">
      <w:pPr>
        <w:rPr>
          <w:rFonts w:ascii="Times New Roman" w:eastAsia="Times New Roman" w:hAnsi="Times New Roman"/>
          <w:bCs/>
          <w:color w:val="000000"/>
        </w:rPr>
      </w:pPr>
    </w:p>
    <w:p w14:paraId="794ED247" w14:textId="77777777" w:rsidR="00433E0A" w:rsidRPr="00381DC2" w:rsidRDefault="00433E0A" w:rsidP="00433E0A">
      <w:pPr>
        <w:rPr>
          <w:rFonts w:ascii="Times New Roman" w:eastAsia="Times New Roman" w:hAnsi="Times New Roman"/>
          <w:bCs/>
          <w:color w:val="000000"/>
        </w:rPr>
      </w:pPr>
    </w:p>
    <w:p w14:paraId="5FE5DDE2" w14:textId="300E1754"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021D88B5" wp14:editId="6F4E75E7">
                <wp:extent cx="5897880" cy="167640"/>
                <wp:effectExtent l="0" t="0" r="7620" b="3810"/>
                <wp:docPr id="6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E29117" w14:textId="77777777" w:rsidR="00AB7DC1" w:rsidRDefault="00AB7DC1" w:rsidP="004457FE">
                            <w:pPr>
                              <w:tabs>
                                <w:tab w:val="left" w:pos="668"/>
                              </w:tabs>
                              <w:spacing w:line="251" w:lineRule="exact"/>
                              <w:ind w:left="102"/>
                              <w:rPr>
                                <w:rFonts w:ascii="Times New Roman" w:eastAsia="Times New Roman" w:hAnsi="Times New Roman"/>
                              </w:rPr>
                            </w:pPr>
                            <w:r>
                              <w:rPr>
                                <w:rFonts w:ascii="Times New Roman"/>
                                <w:b/>
                              </w:rPr>
                              <w:t>8.</w:t>
                            </w:r>
                            <w:r>
                              <w:tab/>
                            </w:r>
                            <w:r w:rsidRPr="000B4005">
                              <w:rPr>
                                <w:rFonts w:ascii="Times New Roman" w:hAnsi="Times New Roman"/>
                                <w:b/>
                                <w:spacing w:val="-1"/>
                              </w:rPr>
                              <w:t>POUŽITELNOST</w:t>
                            </w:r>
                          </w:p>
                          <w:p w14:paraId="5FE4DC58"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021D88B5" id="Text Box 176" o:spid="_x0000_s103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IPDz1IOAgAA&#10;+QMAAA4AAAAAAAAAAAAAAAAALgIAAGRycy9lMm9Eb2MueG1sUEsBAi0AFAAGAAgAAAAhAAMVLpzc&#10;AAAABAEAAA8AAAAAAAAAAAAAAAAAaAQAAGRycy9kb3ducmV2LnhtbFBLBQYAAAAABAAEAPMAAABx&#10;BQAAAAA=&#10;" filled="f" strokeweight=".20497mm">
                <v:textbox inset="0,0,0,0">
                  <w:txbxContent>
                    <w:p w14:paraId="05E29117" w14:textId="77777777" w:rsidR="00AB7DC1" w:rsidRDefault="00AB7DC1" w:rsidP="004457FE">
                      <w:pPr>
                        <w:tabs>
                          <w:tab w:val="left" w:pos="668"/>
                        </w:tabs>
                        <w:spacing w:line="251" w:lineRule="exact"/>
                        <w:ind w:left="102"/>
                        <w:rPr>
                          <w:rFonts w:ascii="Times New Roman" w:eastAsia="Times New Roman" w:hAnsi="Times New Roman"/>
                        </w:rPr>
                      </w:pPr>
                      <w:r>
                        <w:rPr>
                          <w:rFonts w:ascii="Times New Roman"/>
                          <w:b/>
                        </w:rPr>
                        <w:t>8.</w:t>
                      </w:r>
                      <w:r>
                        <w:tab/>
                      </w:r>
                      <w:r w:rsidRPr="000B4005">
                        <w:rPr>
                          <w:rFonts w:ascii="Times New Roman" w:hAnsi="Times New Roman"/>
                          <w:b/>
                          <w:spacing w:val="-1"/>
                        </w:rPr>
                        <w:t>POUŽITELNOST</w:t>
                      </w:r>
                    </w:p>
                    <w:p w14:paraId="5FE4DC58"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107E1D1E" w14:textId="77777777" w:rsidR="00433E0A" w:rsidRPr="00381DC2" w:rsidRDefault="00433E0A" w:rsidP="00433E0A">
      <w:pPr>
        <w:rPr>
          <w:rFonts w:ascii="Times New Roman" w:eastAsia="Times New Roman" w:hAnsi="Times New Roman"/>
          <w:bCs/>
          <w:color w:val="000000"/>
        </w:rPr>
      </w:pPr>
    </w:p>
    <w:p w14:paraId="512FBE98"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EXP</w:t>
      </w:r>
    </w:p>
    <w:p w14:paraId="2FAFBDFD" w14:textId="77777777" w:rsidR="00433E0A" w:rsidRPr="00381DC2" w:rsidRDefault="00433E0A" w:rsidP="00433E0A">
      <w:pPr>
        <w:rPr>
          <w:rFonts w:ascii="Times New Roman" w:eastAsia="Times New Roman" w:hAnsi="Times New Roman"/>
          <w:bCs/>
          <w:color w:val="000000"/>
        </w:rPr>
      </w:pPr>
    </w:p>
    <w:p w14:paraId="0418548D" w14:textId="77777777" w:rsidR="00433E0A" w:rsidRPr="00381DC2" w:rsidRDefault="00433E0A" w:rsidP="00433E0A">
      <w:pPr>
        <w:rPr>
          <w:rFonts w:ascii="Times New Roman" w:eastAsia="Times New Roman" w:hAnsi="Times New Roman"/>
          <w:bCs/>
          <w:color w:val="000000"/>
        </w:rPr>
      </w:pPr>
    </w:p>
    <w:p w14:paraId="34705D32" w14:textId="43914C7D"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421247AB" wp14:editId="6BC36F4A">
                <wp:extent cx="5897880" cy="167640"/>
                <wp:effectExtent l="0" t="0" r="7620" b="3810"/>
                <wp:docPr id="6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FEDF3A" w14:textId="77777777" w:rsidR="00AB7DC1" w:rsidRDefault="00AB7DC1" w:rsidP="004457FE">
                            <w:pPr>
                              <w:tabs>
                                <w:tab w:val="left" w:pos="668"/>
                              </w:tabs>
                              <w:spacing w:line="251" w:lineRule="exact"/>
                              <w:ind w:left="102"/>
                              <w:rPr>
                                <w:rFonts w:ascii="Times New Roman" w:eastAsia="Times New Roman" w:hAnsi="Times New Roman"/>
                              </w:rPr>
                            </w:pPr>
                            <w:r>
                              <w:rPr>
                                <w:rFonts w:ascii="Times New Roman"/>
                                <w:b/>
                              </w:rPr>
                              <w:t>9.</w:t>
                            </w:r>
                            <w:r>
                              <w:tab/>
                            </w:r>
                            <w:r w:rsidRPr="000B4005">
                              <w:rPr>
                                <w:rFonts w:ascii="Times New Roman" w:hAnsi="Times New Roman"/>
                                <w:b/>
                                <w:spacing w:val="-1"/>
                              </w:rPr>
                              <w:t>ZVLÁŠTNÍ PODMÍNKY PRO UCHOVÁVÁNÍ</w:t>
                            </w:r>
                          </w:p>
                          <w:p w14:paraId="5EC68B83"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421247AB" id="Text Box 175" o:spid="_x0000_s103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AxZQcOAgAA&#10;+QMAAA4AAAAAAAAAAAAAAAAALgIAAGRycy9lMm9Eb2MueG1sUEsBAi0AFAAGAAgAAAAhAAMVLpzc&#10;AAAABAEAAA8AAAAAAAAAAAAAAAAAaAQAAGRycy9kb3ducmV2LnhtbFBLBQYAAAAABAAEAPMAAABx&#10;BQAAAAA=&#10;" filled="f" strokeweight=".20497mm">
                <v:textbox inset="0,0,0,0">
                  <w:txbxContent>
                    <w:p w14:paraId="3AFEDF3A" w14:textId="77777777" w:rsidR="00AB7DC1" w:rsidRDefault="00AB7DC1" w:rsidP="004457FE">
                      <w:pPr>
                        <w:tabs>
                          <w:tab w:val="left" w:pos="668"/>
                        </w:tabs>
                        <w:spacing w:line="251" w:lineRule="exact"/>
                        <w:ind w:left="102"/>
                        <w:rPr>
                          <w:rFonts w:ascii="Times New Roman" w:eastAsia="Times New Roman" w:hAnsi="Times New Roman"/>
                        </w:rPr>
                      </w:pPr>
                      <w:r>
                        <w:rPr>
                          <w:rFonts w:ascii="Times New Roman"/>
                          <w:b/>
                        </w:rPr>
                        <w:t>9.</w:t>
                      </w:r>
                      <w:r>
                        <w:tab/>
                      </w:r>
                      <w:r w:rsidRPr="000B4005">
                        <w:rPr>
                          <w:rFonts w:ascii="Times New Roman" w:hAnsi="Times New Roman"/>
                          <w:b/>
                          <w:spacing w:val="-1"/>
                        </w:rPr>
                        <w:t>ZVLÁŠTNÍ PODMÍNKY PRO UCHOVÁVÁNÍ</w:t>
                      </w:r>
                    </w:p>
                    <w:p w14:paraId="5EC68B83"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55B414F0" w14:textId="77777777" w:rsidR="00433E0A" w:rsidRPr="00381DC2" w:rsidRDefault="00433E0A" w:rsidP="00433E0A">
      <w:pPr>
        <w:rPr>
          <w:rFonts w:ascii="Times New Roman" w:eastAsia="Times New Roman" w:hAnsi="Times New Roman"/>
          <w:bCs/>
          <w:color w:val="000000"/>
        </w:rPr>
      </w:pPr>
    </w:p>
    <w:p w14:paraId="789429DA"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 xml:space="preserve">Uchovávejte v chladničce. </w:t>
      </w:r>
    </w:p>
    <w:p w14:paraId="67169B43"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Chraňte před mrazem.</w:t>
      </w:r>
    </w:p>
    <w:p w14:paraId="694F37F9"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Uchovávejte injekční lahvičku v krabičce, aby byl přípravek chráněn před světlem.</w:t>
      </w:r>
    </w:p>
    <w:p w14:paraId="1F23351C" w14:textId="77777777" w:rsidR="00433E0A" w:rsidRPr="00381DC2" w:rsidRDefault="00433E0A" w:rsidP="00433E0A">
      <w:pPr>
        <w:rPr>
          <w:rFonts w:ascii="Times New Roman" w:eastAsia="Times New Roman" w:hAnsi="Times New Roman"/>
          <w:bCs/>
          <w:color w:val="000000"/>
        </w:rPr>
      </w:pPr>
    </w:p>
    <w:p w14:paraId="24B92AFF" w14:textId="77777777" w:rsidR="00433E0A" w:rsidRPr="00381DC2" w:rsidRDefault="00433E0A" w:rsidP="00433E0A">
      <w:pPr>
        <w:rPr>
          <w:rFonts w:ascii="Times New Roman" w:eastAsia="Times New Roman" w:hAnsi="Times New Roman"/>
          <w:bCs/>
          <w:color w:val="000000"/>
        </w:rPr>
      </w:pPr>
    </w:p>
    <w:p w14:paraId="6EB33879" w14:textId="11F2F8CB"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w:lastRenderedPageBreak/>
        <mc:AlternateContent>
          <mc:Choice Requires="wps">
            <w:drawing>
              <wp:inline distT="0" distB="0" distL="0" distR="0" wp14:anchorId="525442A4" wp14:editId="653734D7">
                <wp:extent cx="5897880" cy="365760"/>
                <wp:effectExtent l="0" t="0" r="7620" b="0"/>
                <wp:docPr id="6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6576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88C150" w14:textId="77777777" w:rsidR="00AB7DC1" w:rsidRPr="001A6CB5" w:rsidRDefault="00AB7DC1" w:rsidP="00433E0A">
                            <w:pPr>
                              <w:tabs>
                                <w:tab w:val="left" w:pos="668"/>
                              </w:tabs>
                              <w:ind w:left="668" w:right="373" w:hanging="567"/>
                              <w:rPr>
                                <w:rFonts w:ascii="Times New Roman" w:eastAsia="Times New Roman" w:hAnsi="Times New Roman"/>
                              </w:rPr>
                            </w:pPr>
                            <w:r w:rsidRPr="00E93E96">
                              <w:rPr>
                                <w:rFonts w:ascii="Times New Roman" w:hAnsi="Times New Roman"/>
                                <w:b/>
                              </w:rPr>
                              <w:t>10.</w:t>
                            </w:r>
                            <w:r w:rsidRPr="00E93E96">
                              <w:rPr>
                                <w:rFonts w:ascii="Times New Roman" w:hAnsi="Times New Roman"/>
                                <w:b/>
                              </w:rPr>
                              <w:tab/>
                            </w:r>
                            <w:r w:rsidRPr="00346B81">
                              <w:rPr>
                                <w:rFonts w:ascii="Times New Roman" w:hAnsi="Times New Roman"/>
                                <w:b/>
                              </w:rPr>
                              <w:t>ZVLÁŠTNÍ OPATŘENÍ PRO LIKVIDACI NEPOUŽITÝCH LÉČIVÝCH PŘÍPRAVKŮ NEBO ODPADU Z NICH, POKUD JE TO VHODNÉ</w:t>
                            </w:r>
                          </w:p>
                        </w:txbxContent>
                      </wps:txbx>
                      <wps:bodyPr rot="0" vert="horz" wrap="square" lIns="0" tIns="0" rIns="0" bIns="0" anchor="t" anchorCtr="0" upright="1">
                        <a:noAutofit/>
                      </wps:bodyPr>
                    </wps:wsp>
                  </a:graphicData>
                </a:graphic>
              </wp:inline>
            </w:drawing>
          </mc:Choice>
          <mc:Fallback>
            <w:pict>
              <v:shape w14:anchorId="525442A4" id="Text Box 174" o:spid="_x0000_s1036" type="#_x0000_t202" style="width:464.4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" filled="f" strokeweight=".20497mm">
                <v:textbox inset="0,0,0,0">
                  <w:txbxContent>
                    <w:p w14:paraId="7B88C150" w14:textId="77777777" w:rsidR="00AB7DC1" w:rsidRPr="001A6CB5" w:rsidRDefault="00AB7DC1" w:rsidP="00433E0A">
                      <w:pPr>
                        <w:tabs>
                          <w:tab w:val="left" w:pos="668"/>
                        </w:tabs>
                        <w:ind w:left="668" w:right="373" w:hanging="567"/>
                        <w:rPr>
                          <w:rFonts w:ascii="Times New Roman" w:eastAsia="Times New Roman" w:hAnsi="Times New Roman"/>
                        </w:rPr>
                      </w:pPr>
                      <w:r w:rsidRPr="00E93E96">
                        <w:rPr>
                          <w:rFonts w:ascii="Times New Roman" w:hAnsi="Times New Roman"/>
                          <w:b/>
                        </w:rPr>
                        <w:t>10.</w:t>
                      </w:r>
                      <w:r w:rsidRPr="00E93E96">
                        <w:rPr>
                          <w:rFonts w:ascii="Times New Roman" w:hAnsi="Times New Roman"/>
                          <w:b/>
                        </w:rPr>
                        <w:tab/>
                      </w:r>
                      <w:r w:rsidRPr="00346B81">
                        <w:rPr>
                          <w:rFonts w:ascii="Times New Roman" w:hAnsi="Times New Roman"/>
                          <w:b/>
                        </w:rPr>
                        <w:t>ZVLÁŠTNÍ OPATŘENÍ PRO LIKVIDACI NEPOUŽITÝCH LÉČIVÝCH PŘÍPRAVKŮ NEBO ODPADU Z NICH, POKUD JE TO VHODNÉ</w:t>
                      </w:r>
                    </w:p>
                  </w:txbxContent>
                </v:textbox>
                <w10:anchorlock/>
              </v:shape>
            </w:pict>
          </mc:Fallback>
        </mc:AlternateContent>
      </w:r>
    </w:p>
    <w:p w14:paraId="6C8A70DE" w14:textId="77777777" w:rsidR="00433E0A" w:rsidRPr="00381DC2" w:rsidRDefault="00433E0A" w:rsidP="00433E0A">
      <w:pPr>
        <w:rPr>
          <w:rFonts w:ascii="Times New Roman" w:eastAsia="Times New Roman" w:hAnsi="Times New Roman"/>
          <w:bCs/>
          <w:color w:val="000000"/>
        </w:rPr>
      </w:pPr>
    </w:p>
    <w:p w14:paraId="1618D8AE" w14:textId="77777777" w:rsidR="00433E0A" w:rsidRPr="00381DC2" w:rsidRDefault="00433E0A" w:rsidP="00433E0A">
      <w:pPr>
        <w:rPr>
          <w:rFonts w:ascii="Times New Roman" w:eastAsia="Times New Roman" w:hAnsi="Times New Roman"/>
          <w:bCs/>
          <w:color w:val="000000"/>
        </w:rPr>
      </w:pPr>
    </w:p>
    <w:p w14:paraId="523D5191" w14:textId="3C38D54B"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058D5E0E" wp14:editId="1506AD73">
                <wp:extent cx="5897880" cy="166370"/>
                <wp:effectExtent l="0" t="0" r="7620" b="5080"/>
                <wp:docPr id="6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0C1431" w14:textId="77777777" w:rsidR="00AB7DC1" w:rsidRDefault="00AB7DC1" w:rsidP="00E7038C">
                            <w:pPr>
                              <w:tabs>
                                <w:tab w:val="left" w:pos="668"/>
                              </w:tabs>
                              <w:spacing w:line="250" w:lineRule="exact"/>
                              <w:ind w:left="102"/>
                              <w:rPr>
                                <w:rFonts w:ascii="Times New Roman" w:eastAsia="Times New Roman" w:hAnsi="Times New Roman"/>
                              </w:rPr>
                            </w:pPr>
                            <w:r>
                              <w:rPr>
                                <w:rFonts w:ascii="Times New Roman"/>
                                <w:b/>
                              </w:rPr>
                              <w:t>11.</w:t>
                            </w:r>
                            <w:r>
                              <w:tab/>
                            </w:r>
                            <w:r w:rsidRPr="00AE6657">
                              <w:rPr>
                                <w:rFonts w:ascii="Times New Roman" w:hAnsi="Times New Roman"/>
                                <w:b/>
                                <w:spacing w:val="-1"/>
                              </w:rPr>
                              <w:t>NÁZEV A ADRESA DRŽITELE ROZHODNUTÍ O REGISTRACI</w:t>
                            </w:r>
                          </w:p>
                          <w:p w14:paraId="7F6F6CDF" w14:textId="77777777" w:rsidR="00AB7DC1" w:rsidRDefault="00AB7DC1" w:rsidP="00433E0A">
                            <w:pPr>
                              <w:tabs>
                                <w:tab w:val="left" w:pos="668"/>
                              </w:tabs>
                              <w:spacing w:line="250"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058D5E0E" id="Text Box 173" o:spid="_x0000_s1037"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" filled="f" strokeweight=".20497mm">
                <v:textbox inset="0,0,0,0">
                  <w:txbxContent>
                    <w:p w14:paraId="190C1431" w14:textId="77777777" w:rsidR="00AB7DC1" w:rsidRDefault="00AB7DC1" w:rsidP="00E7038C">
                      <w:pPr>
                        <w:tabs>
                          <w:tab w:val="left" w:pos="668"/>
                        </w:tabs>
                        <w:spacing w:line="250" w:lineRule="exact"/>
                        <w:ind w:left="102"/>
                        <w:rPr>
                          <w:rFonts w:ascii="Times New Roman" w:eastAsia="Times New Roman" w:hAnsi="Times New Roman"/>
                        </w:rPr>
                      </w:pPr>
                      <w:r>
                        <w:rPr>
                          <w:rFonts w:ascii="Times New Roman"/>
                          <w:b/>
                        </w:rPr>
                        <w:t>11.</w:t>
                      </w:r>
                      <w:r>
                        <w:tab/>
                      </w:r>
                      <w:r w:rsidRPr="00AE6657">
                        <w:rPr>
                          <w:rFonts w:ascii="Times New Roman" w:hAnsi="Times New Roman"/>
                          <w:b/>
                          <w:spacing w:val="-1"/>
                        </w:rPr>
                        <w:t>NÁZEV A ADRESA DRŽITELE ROZHODNUTÍ O REGISTRACI</w:t>
                      </w:r>
                    </w:p>
                    <w:p w14:paraId="7F6F6CDF" w14:textId="77777777" w:rsidR="00AB7DC1" w:rsidRDefault="00AB7DC1" w:rsidP="00433E0A">
                      <w:pPr>
                        <w:tabs>
                          <w:tab w:val="left" w:pos="668"/>
                        </w:tabs>
                        <w:spacing w:line="250" w:lineRule="exact"/>
                        <w:ind w:left="102"/>
                        <w:rPr>
                          <w:rFonts w:ascii="Times New Roman" w:eastAsia="Times New Roman" w:hAnsi="Times New Roman"/>
                        </w:rPr>
                      </w:pPr>
                    </w:p>
                  </w:txbxContent>
                </v:textbox>
                <w10:anchorlock/>
              </v:shape>
            </w:pict>
          </mc:Fallback>
        </mc:AlternateContent>
      </w:r>
    </w:p>
    <w:p w14:paraId="156F1706" w14:textId="77777777" w:rsidR="00433E0A" w:rsidRPr="00381DC2" w:rsidRDefault="00433E0A" w:rsidP="00433E0A">
      <w:pPr>
        <w:rPr>
          <w:rFonts w:ascii="Times New Roman" w:eastAsia="Times New Roman" w:hAnsi="Times New Roman"/>
          <w:bCs/>
          <w:color w:val="000000"/>
        </w:rPr>
      </w:pPr>
    </w:p>
    <w:p w14:paraId="61D2F182"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Pfizer Europe MA EEIG</w:t>
      </w:r>
    </w:p>
    <w:p w14:paraId="7487E822"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 xml:space="preserve">Boulevard de la Plaine 17 </w:t>
      </w:r>
    </w:p>
    <w:p w14:paraId="1CE14D60"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 xml:space="preserve">1050 </w:t>
      </w:r>
      <w:r w:rsidR="00B8703E" w:rsidRPr="00381DC2">
        <w:rPr>
          <w:rFonts w:ascii="Times New Roman" w:eastAsia="Times New Roman" w:hAnsi="Times New Roman"/>
          <w:bCs/>
          <w:color w:val="000000"/>
        </w:rPr>
        <w:t>Bruxelles</w:t>
      </w:r>
    </w:p>
    <w:p w14:paraId="0A621A72"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Belgie</w:t>
      </w:r>
    </w:p>
    <w:p w14:paraId="709D2E39" w14:textId="77777777" w:rsidR="00433E0A" w:rsidRPr="00381DC2" w:rsidRDefault="00433E0A" w:rsidP="00433E0A">
      <w:pPr>
        <w:rPr>
          <w:rFonts w:ascii="Times New Roman" w:eastAsia="Times New Roman" w:hAnsi="Times New Roman"/>
          <w:bCs/>
          <w:color w:val="000000"/>
        </w:rPr>
      </w:pPr>
    </w:p>
    <w:p w14:paraId="5903445B" w14:textId="77777777" w:rsidR="00433E0A" w:rsidRPr="00381DC2" w:rsidRDefault="00433E0A" w:rsidP="00433E0A">
      <w:pPr>
        <w:rPr>
          <w:rFonts w:ascii="Times New Roman" w:eastAsia="Times New Roman" w:hAnsi="Times New Roman"/>
          <w:bCs/>
          <w:color w:val="000000"/>
        </w:rPr>
      </w:pPr>
    </w:p>
    <w:p w14:paraId="6D623671" w14:textId="499164FD"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1B5DF5B6" wp14:editId="0869453A">
                <wp:extent cx="5897880" cy="167640"/>
                <wp:effectExtent l="0" t="0" r="7620" b="3810"/>
                <wp:docPr id="6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5F9982"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12.</w:t>
                            </w:r>
                            <w:r>
                              <w:tab/>
                            </w:r>
                            <w:r w:rsidRPr="00AE6657">
                              <w:rPr>
                                <w:rFonts w:ascii="Times New Roman" w:hAnsi="Times New Roman"/>
                                <w:b/>
                                <w:spacing w:val="-1"/>
                              </w:rPr>
                              <w:t>REGISTRAČNÍ ČÍSLO/ČÍSLA</w:t>
                            </w:r>
                          </w:p>
                          <w:p w14:paraId="0B90E007"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1B5DF5B6" id="Text Box 172" o:spid="_x0000_s103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DGnExuDwIA&#10;APoDAAAOAAAAAAAAAAAAAAAAAC4CAABkcnMvZTJvRG9jLnhtbFBLAQItABQABgAIAAAAIQADFS6c&#10;3AAAAAQBAAAPAAAAAAAAAAAAAAAAAGkEAABkcnMvZG93bnJldi54bWxQSwUGAAAAAAQABADzAAAA&#10;cgUAAAAA&#10;" filled="f" strokeweight=".20497mm">
                <v:textbox inset="0,0,0,0">
                  <w:txbxContent>
                    <w:p w14:paraId="415F9982"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12.</w:t>
                      </w:r>
                      <w:r>
                        <w:tab/>
                      </w:r>
                      <w:r w:rsidRPr="00AE6657">
                        <w:rPr>
                          <w:rFonts w:ascii="Times New Roman" w:hAnsi="Times New Roman"/>
                          <w:b/>
                          <w:spacing w:val="-1"/>
                        </w:rPr>
                        <w:t>REGISTRAČNÍ ČÍSLO/ČÍSLA</w:t>
                      </w:r>
                    </w:p>
                    <w:p w14:paraId="0B90E007"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6BCF6FA7" w14:textId="77777777" w:rsidR="00433E0A" w:rsidRPr="00381DC2" w:rsidRDefault="00433E0A" w:rsidP="00433E0A">
      <w:pPr>
        <w:rPr>
          <w:rFonts w:ascii="Times New Roman" w:eastAsia="Times New Roman" w:hAnsi="Times New Roman"/>
          <w:bCs/>
          <w:color w:val="000000"/>
        </w:rPr>
      </w:pPr>
    </w:p>
    <w:p w14:paraId="0FFB5B5F" w14:textId="77777777" w:rsidR="00AC7077" w:rsidRPr="00381DC2" w:rsidRDefault="00AC7077" w:rsidP="00AC7077">
      <w:pPr>
        <w:rPr>
          <w:rFonts w:ascii="Times New Roman" w:hAnsi="Times New Roman"/>
          <w:color w:val="000000"/>
        </w:rPr>
      </w:pPr>
      <w:r w:rsidRPr="00381DC2">
        <w:rPr>
          <w:rFonts w:ascii="Times New Roman" w:hAnsi="Times New Roman"/>
          <w:color w:val="000000"/>
        </w:rPr>
        <w:t>EU/1/18/1344/001</w:t>
      </w:r>
    </w:p>
    <w:p w14:paraId="38ED0F2C" w14:textId="77777777" w:rsidR="00433E0A" w:rsidRPr="00381DC2" w:rsidRDefault="00433E0A" w:rsidP="00433E0A">
      <w:pPr>
        <w:rPr>
          <w:rFonts w:ascii="Times New Roman" w:eastAsia="Times New Roman" w:hAnsi="Times New Roman"/>
          <w:bCs/>
          <w:color w:val="000000"/>
        </w:rPr>
      </w:pPr>
    </w:p>
    <w:p w14:paraId="796BE5A5" w14:textId="77777777" w:rsidR="00A45DD1" w:rsidRPr="00381DC2" w:rsidRDefault="00A45DD1" w:rsidP="00433E0A">
      <w:pPr>
        <w:rPr>
          <w:rFonts w:ascii="Times New Roman" w:eastAsia="Times New Roman" w:hAnsi="Times New Roman"/>
          <w:bCs/>
          <w:color w:val="000000"/>
        </w:rPr>
      </w:pPr>
    </w:p>
    <w:p w14:paraId="3B55E2E7" w14:textId="358359F1"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7EA80A8D" wp14:editId="537E760B">
                <wp:extent cx="5897880" cy="167640"/>
                <wp:effectExtent l="0" t="0" r="7620" b="3810"/>
                <wp:docPr id="6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3E73E0" w14:textId="77777777" w:rsidR="00AB7DC1" w:rsidRDefault="00AB7DC1" w:rsidP="00E7038C">
                            <w:pPr>
                              <w:tabs>
                                <w:tab w:val="left" w:pos="668"/>
                              </w:tabs>
                              <w:spacing w:line="252" w:lineRule="exact"/>
                              <w:ind w:left="102"/>
                              <w:rPr>
                                <w:rFonts w:ascii="Times New Roman" w:eastAsia="Times New Roman" w:hAnsi="Times New Roman"/>
                              </w:rPr>
                            </w:pPr>
                            <w:r>
                              <w:rPr>
                                <w:rFonts w:ascii="Times New Roman"/>
                                <w:b/>
                              </w:rPr>
                              <w:t>13.</w:t>
                            </w:r>
                            <w:r>
                              <w:tab/>
                            </w:r>
                            <w:r w:rsidRPr="00AE6657">
                              <w:rPr>
                                <w:rFonts w:ascii="Times New Roman" w:hAnsi="Times New Roman"/>
                                <w:b/>
                                <w:spacing w:val="-1"/>
                              </w:rPr>
                              <w:t>ČÍSLO ŠARŽE</w:t>
                            </w:r>
                          </w:p>
                          <w:p w14:paraId="44F01AC3" w14:textId="77777777" w:rsidR="00AB7DC1" w:rsidRDefault="00AB7DC1" w:rsidP="00433E0A">
                            <w:pPr>
                              <w:tabs>
                                <w:tab w:val="left" w:pos="668"/>
                              </w:tabs>
                              <w:spacing w:line="252"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7EA80A8D" id="Text Box 171" o:spid="_x0000_s103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uY7DwIAAPoDAAAOAAAAZHJzL2Uyb0RvYy54bWysU9tu2zAMfR+wfxD0vjhpty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m9zVwpRnl57DPGjAsuSUXGkpmZ0cbgPMVUjylNISubgThuTG2scGyq+&#10;ulx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1buY7DwIA&#10;APoDAAAOAAAAAAAAAAAAAAAAAC4CAABkcnMvZTJvRG9jLnhtbFBLAQItABQABgAIAAAAIQADFS6c&#10;3AAAAAQBAAAPAAAAAAAAAAAAAAAAAGkEAABkcnMvZG93bnJldi54bWxQSwUGAAAAAAQABADzAAAA&#10;cgUAAAAA&#10;" filled="f" strokeweight=".20497mm">
                <v:textbox inset="0,0,0,0">
                  <w:txbxContent>
                    <w:p w14:paraId="263E73E0" w14:textId="77777777" w:rsidR="00AB7DC1" w:rsidRDefault="00AB7DC1" w:rsidP="00E7038C">
                      <w:pPr>
                        <w:tabs>
                          <w:tab w:val="left" w:pos="668"/>
                        </w:tabs>
                        <w:spacing w:line="252" w:lineRule="exact"/>
                        <w:ind w:left="102"/>
                        <w:rPr>
                          <w:rFonts w:ascii="Times New Roman" w:eastAsia="Times New Roman" w:hAnsi="Times New Roman"/>
                        </w:rPr>
                      </w:pPr>
                      <w:r>
                        <w:rPr>
                          <w:rFonts w:ascii="Times New Roman"/>
                          <w:b/>
                        </w:rPr>
                        <w:t>13.</w:t>
                      </w:r>
                      <w:r>
                        <w:tab/>
                      </w:r>
                      <w:r w:rsidRPr="00AE6657">
                        <w:rPr>
                          <w:rFonts w:ascii="Times New Roman" w:hAnsi="Times New Roman"/>
                          <w:b/>
                          <w:spacing w:val="-1"/>
                        </w:rPr>
                        <w:t>ČÍSLO ŠARŽE</w:t>
                      </w:r>
                    </w:p>
                    <w:p w14:paraId="44F01AC3" w14:textId="77777777" w:rsidR="00AB7DC1" w:rsidRDefault="00AB7DC1" w:rsidP="00433E0A">
                      <w:pPr>
                        <w:tabs>
                          <w:tab w:val="left" w:pos="668"/>
                        </w:tabs>
                        <w:spacing w:line="252" w:lineRule="exact"/>
                        <w:ind w:left="102"/>
                        <w:rPr>
                          <w:rFonts w:ascii="Times New Roman" w:eastAsia="Times New Roman" w:hAnsi="Times New Roman"/>
                        </w:rPr>
                      </w:pPr>
                    </w:p>
                  </w:txbxContent>
                </v:textbox>
                <w10:anchorlock/>
              </v:shape>
            </w:pict>
          </mc:Fallback>
        </mc:AlternateContent>
      </w:r>
    </w:p>
    <w:p w14:paraId="68EE8A69" w14:textId="77777777" w:rsidR="00433E0A" w:rsidRPr="00381DC2" w:rsidRDefault="00433E0A" w:rsidP="00433E0A">
      <w:pPr>
        <w:rPr>
          <w:rFonts w:ascii="Times New Roman" w:eastAsia="Times New Roman" w:hAnsi="Times New Roman"/>
          <w:bCs/>
          <w:color w:val="000000"/>
        </w:rPr>
      </w:pPr>
    </w:p>
    <w:p w14:paraId="2240DDD3" w14:textId="77777777" w:rsidR="00433E0A" w:rsidRPr="00381DC2" w:rsidRDefault="00346B81" w:rsidP="00433E0A">
      <w:pPr>
        <w:rPr>
          <w:rFonts w:ascii="Times New Roman" w:eastAsia="Times New Roman" w:hAnsi="Times New Roman"/>
          <w:bCs/>
          <w:color w:val="000000"/>
        </w:rPr>
      </w:pPr>
      <w:r w:rsidRPr="00381DC2">
        <w:rPr>
          <w:rFonts w:ascii="Times New Roman" w:eastAsia="Times New Roman" w:hAnsi="Times New Roman"/>
          <w:bCs/>
          <w:color w:val="000000"/>
        </w:rPr>
        <w:t>Lot</w:t>
      </w:r>
    </w:p>
    <w:p w14:paraId="2D8AAEE9" w14:textId="77777777" w:rsidR="00433E0A" w:rsidRPr="00381DC2" w:rsidRDefault="00433E0A" w:rsidP="00433E0A">
      <w:pPr>
        <w:rPr>
          <w:rFonts w:ascii="Times New Roman" w:eastAsia="Times New Roman" w:hAnsi="Times New Roman"/>
          <w:bCs/>
          <w:color w:val="000000"/>
        </w:rPr>
      </w:pPr>
    </w:p>
    <w:p w14:paraId="3C64F085" w14:textId="77777777" w:rsidR="00433E0A" w:rsidRPr="00381DC2" w:rsidRDefault="00433E0A" w:rsidP="00433E0A">
      <w:pPr>
        <w:rPr>
          <w:rFonts w:ascii="Times New Roman" w:eastAsia="Times New Roman" w:hAnsi="Times New Roman"/>
          <w:bCs/>
          <w:color w:val="000000"/>
        </w:rPr>
      </w:pPr>
    </w:p>
    <w:p w14:paraId="076BE9EC" w14:textId="61CF3AC6"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0FA9AF59" wp14:editId="35D90630">
                <wp:extent cx="5897880" cy="167640"/>
                <wp:effectExtent l="0" t="0" r="7620" b="3810"/>
                <wp:docPr id="6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701D49"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14.</w:t>
                            </w:r>
                            <w:r>
                              <w:tab/>
                            </w:r>
                            <w:r w:rsidRPr="00AE6657">
                              <w:rPr>
                                <w:rFonts w:ascii="Times New Roman" w:hAnsi="Times New Roman"/>
                                <w:b/>
                                <w:spacing w:val="-2"/>
                              </w:rPr>
                              <w:t>KLASIFIKACE PRO VÝDEJ</w:t>
                            </w:r>
                          </w:p>
                          <w:p w14:paraId="45201F35"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0FA9AF59" id="Text Box 170" o:spid="_x0000_s104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NIDwIAAPoDAAAOAAAAZHJzL2Uyb0RvYy54bWysU9tu2zAMfR+wfxD0vjjpu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W59tVqvySXJt1iulp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ttcNIDwIA&#10;APoDAAAOAAAAAAAAAAAAAAAAAC4CAABkcnMvZTJvRG9jLnhtbFBLAQItABQABgAIAAAAIQADFS6c&#10;3AAAAAQBAAAPAAAAAAAAAAAAAAAAAGkEAABkcnMvZG93bnJldi54bWxQSwUGAAAAAAQABADzAAAA&#10;cgUAAAAA&#10;" filled="f" strokeweight=".20497mm">
                <v:textbox inset="0,0,0,0">
                  <w:txbxContent>
                    <w:p w14:paraId="01701D49"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14.</w:t>
                      </w:r>
                      <w:r>
                        <w:tab/>
                      </w:r>
                      <w:r w:rsidRPr="00AE6657">
                        <w:rPr>
                          <w:rFonts w:ascii="Times New Roman" w:hAnsi="Times New Roman"/>
                          <w:b/>
                          <w:spacing w:val="-2"/>
                        </w:rPr>
                        <w:t>KLASIFIKACE PRO VÝDEJ</w:t>
                      </w:r>
                    </w:p>
                    <w:p w14:paraId="45201F35"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51F9C0C6" w14:textId="77777777" w:rsidR="00433E0A" w:rsidRPr="00381DC2" w:rsidRDefault="00433E0A" w:rsidP="00433E0A">
      <w:pPr>
        <w:rPr>
          <w:rFonts w:ascii="Times New Roman" w:eastAsia="Times New Roman" w:hAnsi="Times New Roman"/>
          <w:bCs/>
          <w:color w:val="000000"/>
        </w:rPr>
      </w:pPr>
    </w:p>
    <w:p w14:paraId="7565550D" w14:textId="77777777" w:rsidR="00E17659" w:rsidRPr="00381DC2" w:rsidRDefault="00E17659" w:rsidP="00433E0A">
      <w:pPr>
        <w:rPr>
          <w:rFonts w:ascii="Times New Roman" w:eastAsia="Times New Roman" w:hAnsi="Times New Roman"/>
          <w:bCs/>
          <w:color w:val="000000"/>
        </w:rPr>
      </w:pPr>
    </w:p>
    <w:p w14:paraId="4B7CCDDB" w14:textId="22D47FEF"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7BB8A100" wp14:editId="708B15E9">
                <wp:extent cx="5897880" cy="167640"/>
                <wp:effectExtent l="0" t="0" r="7620" b="3810"/>
                <wp:docPr id="6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F513AC"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15.</w:t>
                            </w:r>
                            <w:r>
                              <w:tab/>
                            </w:r>
                            <w:r w:rsidRPr="00AE6657">
                              <w:rPr>
                                <w:rFonts w:ascii="Times New Roman" w:hAnsi="Times New Roman"/>
                                <w:b/>
                                <w:spacing w:val="-1"/>
                              </w:rPr>
                              <w:t>NÁVOD K POUŽITÍ</w:t>
                            </w:r>
                          </w:p>
                          <w:p w14:paraId="00007BA4"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7BB8A100" id="Text Box 169" o:spid="_x0000_s104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eR2kdDwIA&#10;APoDAAAOAAAAAAAAAAAAAAAAAC4CAABkcnMvZTJvRG9jLnhtbFBLAQItABQABgAIAAAAIQADFS6c&#10;3AAAAAQBAAAPAAAAAAAAAAAAAAAAAGkEAABkcnMvZG93bnJldi54bWxQSwUGAAAAAAQABADzAAAA&#10;cgUAAAAA&#10;" filled="f" strokeweight=".20497mm">
                <v:textbox inset="0,0,0,0">
                  <w:txbxContent>
                    <w:p w14:paraId="27F513AC"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15.</w:t>
                      </w:r>
                      <w:r>
                        <w:tab/>
                      </w:r>
                      <w:r w:rsidRPr="00AE6657">
                        <w:rPr>
                          <w:rFonts w:ascii="Times New Roman" w:hAnsi="Times New Roman"/>
                          <w:b/>
                          <w:spacing w:val="-1"/>
                        </w:rPr>
                        <w:t>NÁVOD K POUŽITÍ</w:t>
                      </w:r>
                    </w:p>
                    <w:p w14:paraId="00007BA4"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0DF22766" w14:textId="77777777" w:rsidR="00433E0A" w:rsidRPr="00381DC2" w:rsidRDefault="00433E0A" w:rsidP="00433E0A">
      <w:pPr>
        <w:rPr>
          <w:rFonts w:ascii="Times New Roman" w:eastAsia="Times New Roman" w:hAnsi="Times New Roman"/>
          <w:bCs/>
          <w:color w:val="000000"/>
        </w:rPr>
      </w:pPr>
    </w:p>
    <w:p w14:paraId="1DDE298E" w14:textId="77777777" w:rsidR="00433E0A" w:rsidRPr="00381DC2" w:rsidRDefault="00433E0A" w:rsidP="00433E0A">
      <w:pPr>
        <w:rPr>
          <w:rFonts w:ascii="Times New Roman" w:eastAsia="Times New Roman" w:hAnsi="Times New Roman"/>
          <w:bCs/>
          <w:color w:val="000000"/>
        </w:rPr>
      </w:pPr>
    </w:p>
    <w:p w14:paraId="6EECFA95" w14:textId="7AE2D1C7"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75057BA0" wp14:editId="5932548F">
                <wp:extent cx="5897880" cy="167640"/>
                <wp:effectExtent l="0" t="0" r="7620" b="3810"/>
                <wp:docPr id="6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2B8D1A"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16.</w:t>
                            </w:r>
                            <w:r>
                              <w:tab/>
                            </w:r>
                            <w:r w:rsidRPr="00AE6657">
                              <w:rPr>
                                <w:rFonts w:ascii="Times New Roman" w:hAnsi="Times New Roman"/>
                                <w:b/>
                                <w:spacing w:val="-1"/>
                              </w:rPr>
                              <w:t>INFORMACE V BRAILLOVĚ PÍSMU</w:t>
                            </w:r>
                          </w:p>
                          <w:p w14:paraId="2AD0E661"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75057BA0" id="Text Box 168" o:spid="_x0000_s104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tQluMOAgAA&#10;+gMAAA4AAAAAAAAAAAAAAAAALgIAAGRycy9lMm9Eb2MueG1sUEsBAi0AFAAGAAgAAAAhAAMVLpzc&#10;AAAABAEAAA8AAAAAAAAAAAAAAAAAaAQAAGRycy9kb3ducmV2LnhtbFBLBQYAAAAABAAEAPMAAABx&#10;BQAAAAA=&#10;" filled="f" strokeweight=".20497mm">
                <v:textbox inset="0,0,0,0">
                  <w:txbxContent>
                    <w:p w14:paraId="1D2B8D1A"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16.</w:t>
                      </w:r>
                      <w:r>
                        <w:tab/>
                      </w:r>
                      <w:r w:rsidRPr="00AE6657">
                        <w:rPr>
                          <w:rFonts w:ascii="Times New Roman" w:hAnsi="Times New Roman"/>
                          <w:b/>
                          <w:spacing w:val="-1"/>
                        </w:rPr>
                        <w:t>INFORMACE V BRAILLOVĚ PÍSMU</w:t>
                      </w:r>
                    </w:p>
                    <w:p w14:paraId="2AD0E661"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145629B5" w14:textId="77777777" w:rsidR="00433E0A" w:rsidRPr="00381DC2" w:rsidRDefault="00433E0A" w:rsidP="00433E0A">
      <w:pPr>
        <w:rPr>
          <w:rFonts w:ascii="Times New Roman" w:eastAsia="Times New Roman" w:hAnsi="Times New Roman"/>
          <w:bCs/>
          <w:color w:val="000000"/>
        </w:rPr>
      </w:pPr>
    </w:p>
    <w:p w14:paraId="488AB6BB"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highlight w:val="lightGray"/>
        </w:rPr>
        <w:t>Nevyžaduje se – odůvodnění přijato.</w:t>
      </w:r>
    </w:p>
    <w:p w14:paraId="0C9103B2" w14:textId="77777777" w:rsidR="00433E0A" w:rsidRPr="00381DC2" w:rsidRDefault="00433E0A" w:rsidP="00433E0A">
      <w:pPr>
        <w:rPr>
          <w:rFonts w:ascii="Times New Roman" w:eastAsia="Times New Roman" w:hAnsi="Times New Roman"/>
          <w:bCs/>
          <w:color w:val="000000"/>
        </w:rPr>
      </w:pPr>
    </w:p>
    <w:p w14:paraId="32477C63" w14:textId="77777777" w:rsidR="00433E0A" w:rsidRPr="00381DC2" w:rsidRDefault="00433E0A" w:rsidP="00433E0A">
      <w:pPr>
        <w:rPr>
          <w:rFonts w:ascii="Times New Roman" w:eastAsia="Times New Roman" w:hAnsi="Times New Roman"/>
          <w:bCs/>
          <w:color w:val="000000"/>
        </w:rPr>
      </w:pPr>
    </w:p>
    <w:p w14:paraId="7B7BA8B2" w14:textId="60F3F2A1"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6E64A86D" wp14:editId="7B074521">
                <wp:extent cx="5904230" cy="180340"/>
                <wp:effectExtent l="0" t="0" r="1270" b="0"/>
                <wp:docPr id="5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EF8752" w14:textId="77777777" w:rsidR="00AB7DC1" w:rsidRDefault="00AB7DC1" w:rsidP="00E7038C">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JEDINEČNÝ IDENTIFIKÁTOR – 2D ČÁROVÝ KÓD</w:t>
                            </w:r>
                          </w:p>
                          <w:p w14:paraId="6A273C90" w14:textId="77777777" w:rsidR="00AB7DC1" w:rsidRDefault="00AB7DC1" w:rsidP="00433E0A">
                            <w:pPr>
                              <w:tabs>
                                <w:tab w:val="left" w:pos="673"/>
                              </w:tabs>
                              <w:spacing w:before="19" w:line="252" w:lineRule="exact"/>
                              <w:ind w:left="106"/>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6E64A86D" id="Text Box 167" o:spid="_x0000_s1043"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IOU0FEPAgAA&#10;+gMAAA4AAAAAAAAAAAAAAAAALgIAAGRycy9lMm9Eb2MueG1sUEsBAi0AFAAGAAgAAAAhADsaUi7b&#10;AAAABAEAAA8AAAAAAAAAAAAAAAAAaQQAAGRycy9kb3ducmV2LnhtbFBLBQYAAAAABAAEAPMAAABx&#10;BQAAAAA=&#10;" filled="f" strokeweight=".58pt">
                <v:textbox inset="0,0,0,0">
                  <w:txbxContent>
                    <w:p w14:paraId="72EF8752" w14:textId="77777777" w:rsidR="00AB7DC1" w:rsidRDefault="00AB7DC1" w:rsidP="00E7038C">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JEDINEČNÝ IDENTIFIKÁTOR – 2D ČÁROVÝ KÓD</w:t>
                      </w:r>
                    </w:p>
                    <w:p w14:paraId="6A273C90" w14:textId="77777777" w:rsidR="00AB7DC1" w:rsidRDefault="00AB7DC1" w:rsidP="00433E0A">
                      <w:pPr>
                        <w:tabs>
                          <w:tab w:val="left" w:pos="673"/>
                        </w:tabs>
                        <w:spacing w:before="19" w:line="252" w:lineRule="exact"/>
                        <w:ind w:left="106"/>
                        <w:rPr>
                          <w:rFonts w:ascii="Times New Roman" w:eastAsia="Times New Roman" w:hAnsi="Times New Roman"/>
                        </w:rPr>
                      </w:pPr>
                    </w:p>
                  </w:txbxContent>
                </v:textbox>
                <w10:anchorlock/>
              </v:shape>
            </w:pict>
          </mc:Fallback>
        </mc:AlternateContent>
      </w:r>
    </w:p>
    <w:p w14:paraId="5203A07C" w14:textId="77777777" w:rsidR="00433E0A" w:rsidRPr="00381DC2" w:rsidRDefault="00433E0A" w:rsidP="00433E0A">
      <w:pPr>
        <w:rPr>
          <w:rFonts w:ascii="Times New Roman" w:eastAsia="Times New Roman" w:hAnsi="Times New Roman"/>
          <w:bCs/>
          <w:color w:val="000000"/>
        </w:rPr>
      </w:pPr>
    </w:p>
    <w:p w14:paraId="70309D92"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highlight w:val="lightGray"/>
        </w:rPr>
        <w:t>2D čárový kód s jedinečným identifikátorem.</w:t>
      </w:r>
    </w:p>
    <w:p w14:paraId="1419D2CB" w14:textId="77777777" w:rsidR="00433E0A" w:rsidRPr="00381DC2" w:rsidRDefault="00433E0A" w:rsidP="00433E0A">
      <w:pPr>
        <w:rPr>
          <w:rFonts w:ascii="Times New Roman" w:eastAsia="Times New Roman" w:hAnsi="Times New Roman"/>
          <w:bCs/>
          <w:color w:val="000000"/>
        </w:rPr>
      </w:pPr>
    </w:p>
    <w:p w14:paraId="3DB866D3" w14:textId="77777777" w:rsidR="00433E0A" w:rsidRPr="00381DC2" w:rsidRDefault="00433E0A" w:rsidP="00433E0A">
      <w:pPr>
        <w:rPr>
          <w:rFonts w:ascii="Times New Roman" w:eastAsia="Times New Roman" w:hAnsi="Times New Roman"/>
          <w:bCs/>
          <w:color w:val="000000"/>
        </w:rPr>
      </w:pPr>
    </w:p>
    <w:p w14:paraId="664D8584" w14:textId="0E86EDA8"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269E4ED1" wp14:editId="1AB0DFD0">
                <wp:extent cx="5904230" cy="180340"/>
                <wp:effectExtent l="0" t="0" r="1270" b="0"/>
                <wp:docPr id="5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4FD5D2" w14:textId="77777777" w:rsidR="00AB7DC1" w:rsidRDefault="00AB7DC1" w:rsidP="00E7038C">
                            <w:pPr>
                              <w:tabs>
                                <w:tab w:val="left" w:pos="673"/>
                              </w:tabs>
                              <w:spacing w:before="19" w:line="252" w:lineRule="exact"/>
                              <w:ind w:left="106"/>
                              <w:rPr>
                                <w:rFonts w:ascii="Times New Roman" w:eastAsia="Times New Roman" w:hAnsi="Times New Roman"/>
                              </w:rPr>
                            </w:pPr>
                            <w:r>
                              <w:rPr>
                                <w:rFonts w:ascii="Times New Roman"/>
                                <w:b/>
                              </w:rPr>
                              <w:t>18.</w:t>
                            </w:r>
                            <w:r>
                              <w:tab/>
                            </w:r>
                            <w:r w:rsidRPr="00AE6657">
                              <w:rPr>
                                <w:rFonts w:ascii="Times New Roman" w:hAnsi="Times New Roman"/>
                                <w:b/>
                                <w:spacing w:val="-1"/>
                              </w:rPr>
                              <w:t>JEDINEČNÝ IDENTIFIKÁTOR – DATA ČITELNÁ OKEM</w:t>
                            </w:r>
                          </w:p>
                          <w:p w14:paraId="53CA9C59" w14:textId="77777777" w:rsidR="00AB7DC1" w:rsidRDefault="00AB7DC1" w:rsidP="00433E0A">
                            <w:pPr>
                              <w:tabs>
                                <w:tab w:val="left" w:pos="673"/>
                              </w:tabs>
                              <w:spacing w:before="19" w:line="252" w:lineRule="exact"/>
                              <w:ind w:left="106"/>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269E4ED1" id="Text Box 166" o:spid="_x0000_s1044"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" filled="f" strokeweight=".58pt">
                <v:textbox inset="0,0,0,0">
                  <w:txbxContent>
                    <w:p w14:paraId="2A4FD5D2" w14:textId="77777777" w:rsidR="00AB7DC1" w:rsidRDefault="00AB7DC1" w:rsidP="00E7038C">
                      <w:pPr>
                        <w:tabs>
                          <w:tab w:val="left" w:pos="673"/>
                        </w:tabs>
                        <w:spacing w:before="19" w:line="252" w:lineRule="exact"/>
                        <w:ind w:left="106"/>
                        <w:rPr>
                          <w:rFonts w:ascii="Times New Roman" w:eastAsia="Times New Roman" w:hAnsi="Times New Roman"/>
                        </w:rPr>
                      </w:pPr>
                      <w:r>
                        <w:rPr>
                          <w:rFonts w:ascii="Times New Roman"/>
                          <w:b/>
                        </w:rPr>
                        <w:t>18.</w:t>
                      </w:r>
                      <w:r>
                        <w:tab/>
                      </w:r>
                      <w:r w:rsidRPr="00AE6657">
                        <w:rPr>
                          <w:rFonts w:ascii="Times New Roman" w:hAnsi="Times New Roman"/>
                          <w:b/>
                          <w:spacing w:val="-1"/>
                        </w:rPr>
                        <w:t>JEDINEČNÝ IDENTIFIKÁTOR – DATA ČITELNÁ OKEM</w:t>
                      </w:r>
                    </w:p>
                    <w:p w14:paraId="53CA9C59" w14:textId="77777777" w:rsidR="00AB7DC1" w:rsidRDefault="00AB7DC1" w:rsidP="00433E0A">
                      <w:pPr>
                        <w:tabs>
                          <w:tab w:val="left" w:pos="673"/>
                        </w:tabs>
                        <w:spacing w:before="19" w:line="252" w:lineRule="exact"/>
                        <w:ind w:left="106"/>
                        <w:rPr>
                          <w:rFonts w:ascii="Times New Roman" w:eastAsia="Times New Roman" w:hAnsi="Times New Roman"/>
                        </w:rPr>
                      </w:pPr>
                    </w:p>
                  </w:txbxContent>
                </v:textbox>
                <w10:anchorlock/>
              </v:shape>
            </w:pict>
          </mc:Fallback>
        </mc:AlternateContent>
      </w:r>
    </w:p>
    <w:p w14:paraId="47080320" w14:textId="77777777" w:rsidR="00433E0A" w:rsidRPr="00381DC2" w:rsidRDefault="00433E0A" w:rsidP="00433E0A">
      <w:pPr>
        <w:rPr>
          <w:rFonts w:ascii="Times New Roman" w:eastAsia="Times New Roman" w:hAnsi="Times New Roman"/>
          <w:bCs/>
          <w:color w:val="000000"/>
        </w:rPr>
      </w:pPr>
    </w:p>
    <w:p w14:paraId="196CCB3A"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PC</w:t>
      </w:r>
    </w:p>
    <w:p w14:paraId="7DBD396C"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SN</w:t>
      </w:r>
    </w:p>
    <w:p w14:paraId="5F50DDC4"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NN</w:t>
      </w:r>
    </w:p>
    <w:p w14:paraId="3C589A05" w14:textId="77777777" w:rsidR="00433E0A" w:rsidRPr="00381DC2" w:rsidRDefault="00E17659" w:rsidP="00363CA4">
      <w:pPr>
        <w:widowControl/>
        <w:rPr>
          <w:rFonts w:ascii="Times New Roman" w:eastAsia="Times New Roman" w:hAnsi="Times New Roman"/>
          <w:bCs/>
          <w:color w:val="000000"/>
        </w:rPr>
      </w:pPr>
      <w:r w:rsidRPr="00381DC2">
        <w:rPr>
          <w:rFonts w:ascii="Times New Roman" w:eastAsia="Times New Roman" w:hAnsi="Times New Roman"/>
          <w:bCs/>
          <w:color w:val="000000"/>
        </w:rPr>
        <w:br w:type="page"/>
      </w:r>
    </w:p>
    <w:p w14:paraId="2E198849" w14:textId="7C77E556"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w:lastRenderedPageBreak/>
        <mc:AlternateContent>
          <mc:Choice Requires="wps">
            <w:drawing>
              <wp:inline distT="0" distB="0" distL="0" distR="0" wp14:anchorId="22426D16" wp14:editId="2BE49D6B">
                <wp:extent cx="5897880" cy="504825"/>
                <wp:effectExtent l="0" t="0" r="7620" b="9525"/>
                <wp:docPr id="8"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0482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3BD006" w14:textId="77777777" w:rsidR="00AB7DC1" w:rsidRPr="007A269F" w:rsidRDefault="00AB7DC1" w:rsidP="00E7038C">
                            <w:pPr>
                              <w:spacing w:line="251" w:lineRule="exact"/>
                              <w:ind w:left="102"/>
                              <w:rPr>
                                <w:rFonts w:ascii="Times New Roman" w:eastAsia="Times New Roman" w:hAnsi="Times New Roman"/>
                              </w:rPr>
                            </w:pPr>
                            <w:r w:rsidRPr="00AE6657">
                              <w:rPr>
                                <w:rFonts w:ascii="Times New Roman" w:hAnsi="Times New Roman"/>
                                <w:b/>
                                <w:spacing w:val="-1"/>
                              </w:rPr>
                              <w:t>MINIMÁLNÍ ÚDAJE UVÁDĚNÉ NA MALÉM VNITŘNÍM OBALU</w:t>
                            </w:r>
                          </w:p>
                          <w:p w14:paraId="1AA8459B" w14:textId="77777777" w:rsidR="00AB7DC1" w:rsidRPr="007A269F" w:rsidRDefault="00AB7DC1" w:rsidP="00433E0A">
                            <w:pPr>
                              <w:rPr>
                                <w:rFonts w:ascii="Times New Roman" w:eastAsia="Times New Roman" w:hAnsi="Times New Roman"/>
                              </w:rPr>
                            </w:pPr>
                          </w:p>
                          <w:p w14:paraId="44831377" w14:textId="77777777" w:rsidR="00AB7DC1" w:rsidRPr="007A269F" w:rsidRDefault="00AB7DC1" w:rsidP="00E7038C">
                            <w:pPr>
                              <w:ind w:left="102"/>
                              <w:rPr>
                                <w:rFonts w:ascii="Times New Roman" w:eastAsia="Times New Roman" w:hAnsi="Times New Roman"/>
                              </w:rPr>
                            </w:pPr>
                            <w:r w:rsidRPr="00AE6657">
                              <w:rPr>
                                <w:rFonts w:ascii="Times New Roman" w:hAnsi="Times New Roman"/>
                                <w:b/>
                                <w:spacing w:val="-2"/>
                              </w:rPr>
                              <w:t>INJEKČNÍ LAHVIČKA</w:t>
                            </w:r>
                          </w:p>
                          <w:p w14:paraId="738E92FF" w14:textId="77777777" w:rsidR="00AB7DC1" w:rsidRPr="007A269F" w:rsidRDefault="00AB7DC1" w:rsidP="00E7038C">
                            <w:pPr>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22426D16" id="Text Box 165" o:spid="_x0000_s1045" type="#_x0000_t202" style="width:464.4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" filled="f" strokeweight=".20497mm">
                <v:textbox inset="0,0,0,0">
                  <w:txbxContent>
                    <w:p w14:paraId="1D3BD006" w14:textId="77777777" w:rsidR="00AB7DC1" w:rsidRPr="007A269F" w:rsidRDefault="00AB7DC1" w:rsidP="00E7038C">
                      <w:pPr>
                        <w:spacing w:line="251" w:lineRule="exact"/>
                        <w:ind w:left="102"/>
                        <w:rPr>
                          <w:rFonts w:ascii="Times New Roman" w:eastAsia="Times New Roman" w:hAnsi="Times New Roman"/>
                        </w:rPr>
                      </w:pPr>
                      <w:r w:rsidRPr="00AE6657">
                        <w:rPr>
                          <w:rFonts w:ascii="Times New Roman" w:hAnsi="Times New Roman"/>
                          <w:b/>
                          <w:spacing w:val="-1"/>
                        </w:rPr>
                        <w:t>MINIMÁLNÍ ÚDAJE UVÁDĚNÉ NA MALÉM VNITŘNÍM OBALU</w:t>
                      </w:r>
                    </w:p>
                    <w:p w14:paraId="1AA8459B" w14:textId="77777777" w:rsidR="00AB7DC1" w:rsidRPr="007A269F" w:rsidRDefault="00AB7DC1" w:rsidP="00433E0A">
                      <w:pPr>
                        <w:rPr>
                          <w:rFonts w:ascii="Times New Roman" w:eastAsia="Times New Roman" w:hAnsi="Times New Roman"/>
                        </w:rPr>
                      </w:pPr>
                    </w:p>
                    <w:p w14:paraId="44831377" w14:textId="77777777" w:rsidR="00AB7DC1" w:rsidRPr="007A269F" w:rsidRDefault="00AB7DC1" w:rsidP="00E7038C">
                      <w:pPr>
                        <w:ind w:left="102"/>
                        <w:rPr>
                          <w:rFonts w:ascii="Times New Roman" w:eastAsia="Times New Roman" w:hAnsi="Times New Roman"/>
                        </w:rPr>
                      </w:pPr>
                      <w:r w:rsidRPr="00AE6657">
                        <w:rPr>
                          <w:rFonts w:ascii="Times New Roman" w:hAnsi="Times New Roman"/>
                          <w:b/>
                          <w:spacing w:val="-2"/>
                        </w:rPr>
                        <w:t>INJEKČNÍ LAHVIČKA</w:t>
                      </w:r>
                    </w:p>
                    <w:p w14:paraId="738E92FF" w14:textId="77777777" w:rsidR="00AB7DC1" w:rsidRPr="007A269F" w:rsidRDefault="00AB7DC1" w:rsidP="00E7038C">
                      <w:pPr>
                        <w:ind w:left="102"/>
                        <w:rPr>
                          <w:rFonts w:ascii="Times New Roman" w:eastAsia="Times New Roman" w:hAnsi="Times New Roman"/>
                        </w:rPr>
                      </w:pPr>
                    </w:p>
                  </w:txbxContent>
                </v:textbox>
                <w10:anchorlock/>
              </v:shape>
            </w:pict>
          </mc:Fallback>
        </mc:AlternateContent>
      </w:r>
    </w:p>
    <w:p w14:paraId="248E2386" w14:textId="77777777" w:rsidR="00433E0A" w:rsidRPr="00381DC2" w:rsidRDefault="00433E0A" w:rsidP="00433E0A">
      <w:pPr>
        <w:rPr>
          <w:rFonts w:ascii="Times New Roman" w:eastAsia="Times New Roman" w:hAnsi="Times New Roman"/>
          <w:bCs/>
          <w:color w:val="000000"/>
        </w:rPr>
      </w:pPr>
    </w:p>
    <w:p w14:paraId="7BF59EB2" w14:textId="77777777" w:rsidR="00433E0A" w:rsidRPr="00381DC2" w:rsidRDefault="00433E0A" w:rsidP="00433E0A">
      <w:pPr>
        <w:rPr>
          <w:rFonts w:ascii="Times New Roman" w:eastAsia="Times New Roman" w:hAnsi="Times New Roman"/>
          <w:bCs/>
          <w:color w:val="000000"/>
        </w:rPr>
      </w:pPr>
    </w:p>
    <w:p w14:paraId="18D61CC2" w14:textId="65E1EF13"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695FB191" wp14:editId="4AD4EF02">
                <wp:extent cx="5897880" cy="167640"/>
                <wp:effectExtent l="0" t="0" r="7620" b="3810"/>
                <wp:docPr id="56"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BAB590"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w:t>
                            </w:r>
                            <w:r>
                              <w:tab/>
                            </w:r>
                            <w:r w:rsidRPr="00AE6657">
                              <w:rPr>
                                <w:rFonts w:ascii="Times New Roman" w:hAnsi="Times New Roman"/>
                                <w:b/>
                                <w:spacing w:val="-1"/>
                              </w:rPr>
                              <w:t>NÁZEV LÉČIVÉHO PŘÍPRAVKU A CESTA/CESTY PODÁNÍ</w:t>
                            </w:r>
                          </w:p>
                          <w:p w14:paraId="7ED44181"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695FB191" id="Text Box 164" o:spid="_x0000_s104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OygXjMOAgAA&#10;+gMAAA4AAAAAAAAAAAAAAAAALgIAAGRycy9lMm9Eb2MueG1sUEsBAi0AFAAGAAgAAAAhAAMVLpzc&#10;AAAABAEAAA8AAAAAAAAAAAAAAAAAaAQAAGRycy9kb3ducmV2LnhtbFBLBQYAAAAABAAEAPMAAABx&#10;BQAAAAA=&#10;" filled="f" strokeweight=".20497mm">
                <v:textbox inset="0,0,0,0">
                  <w:txbxContent>
                    <w:p w14:paraId="7DBAB590"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w:t>
                      </w:r>
                      <w:r>
                        <w:tab/>
                      </w:r>
                      <w:r w:rsidRPr="00AE6657">
                        <w:rPr>
                          <w:rFonts w:ascii="Times New Roman" w:hAnsi="Times New Roman"/>
                          <w:b/>
                          <w:spacing w:val="-1"/>
                        </w:rPr>
                        <w:t>NÁZEV LÉČIVÉHO PŘÍPRAVKU A CESTA/CESTY PODÁNÍ</w:t>
                      </w:r>
                    </w:p>
                    <w:p w14:paraId="7ED44181"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691A0F52" w14:textId="77777777" w:rsidR="00433E0A" w:rsidRPr="00381DC2" w:rsidRDefault="00433E0A" w:rsidP="00433E0A">
      <w:pPr>
        <w:rPr>
          <w:rFonts w:ascii="Times New Roman" w:eastAsia="Times New Roman" w:hAnsi="Times New Roman"/>
          <w:bCs/>
          <w:color w:val="000000"/>
        </w:rPr>
      </w:pPr>
    </w:p>
    <w:p w14:paraId="27CABC9E" w14:textId="77777777" w:rsidR="00433E0A" w:rsidRPr="00381DC2" w:rsidRDefault="00CC0FAB" w:rsidP="00433E0A">
      <w:pPr>
        <w:rPr>
          <w:rFonts w:ascii="Times New Roman" w:eastAsia="Times New Roman" w:hAnsi="Times New Roman"/>
          <w:bCs/>
          <w:color w:val="000000"/>
        </w:rPr>
      </w:pPr>
      <w:r w:rsidRPr="00381DC2">
        <w:rPr>
          <w:rFonts w:ascii="Times New Roman" w:eastAsia="Times New Roman" w:hAnsi="Times New Roman"/>
          <w:bCs/>
          <w:color w:val="000000"/>
        </w:rPr>
        <w:t>Zirabev</w:t>
      </w:r>
      <w:r w:rsidR="00433E0A" w:rsidRPr="00381DC2">
        <w:rPr>
          <w:rFonts w:ascii="Times New Roman" w:eastAsia="Times New Roman" w:hAnsi="Times New Roman"/>
          <w:bCs/>
          <w:color w:val="000000"/>
        </w:rPr>
        <w:t xml:space="preserve"> 25 mg/ml sterilní koncentrát</w:t>
      </w:r>
    </w:p>
    <w:p w14:paraId="27B2CE98" w14:textId="77777777" w:rsidR="00433E0A" w:rsidRPr="00381DC2" w:rsidRDefault="00433E0A" w:rsidP="00433E0A">
      <w:pPr>
        <w:rPr>
          <w:rFonts w:ascii="Times New Roman" w:eastAsia="Times New Roman" w:hAnsi="Times New Roman"/>
          <w:bCs/>
          <w:color w:val="000000"/>
        </w:rPr>
      </w:pPr>
      <w:r w:rsidRPr="0030327F">
        <w:rPr>
          <w:rFonts w:ascii="Times New Roman" w:eastAsia="Times New Roman" w:hAnsi="Times New Roman"/>
          <w:bCs/>
          <w:color w:val="000000"/>
        </w:rPr>
        <w:t>bevacizumab</w:t>
      </w:r>
      <w:r w:rsidR="00F46433" w:rsidRPr="0030327F">
        <w:rPr>
          <w:rFonts w:ascii="Times New Roman" w:eastAsia="Times New Roman" w:hAnsi="Times New Roman"/>
          <w:bCs/>
          <w:color w:val="000000"/>
        </w:rPr>
        <w:t>um</w:t>
      </w:r>
    </w:p>
    <w:p w14:paraId="11AC64DA" w14:textId="77777777" w:rsidR="00F54962" w:rsidRPr="00381DC2" w:rsidRDefault="00EE54CF" w:rsidP="00433E0A">
      <w:pPr>
        <w:rPr>
          <w:rFonts w:ascii="Times New Roman" w:eastAsia="Times New Roman" w:hAnsi="Times New Roman"/>
          <w:bCs/>
          <w:color w:val="000000"/>
        </w:rPr>
      </w:pPr>
      <w:r w:rsidRPr="00381DC2">
        <w:rPr>
          <w:rFonts w:ascii="Times New Roman" w:eastAsia="Times New Roman" w:hAnsi="Times New Roman"/>
          <w:bCs/>
          <w:color w:val="000000"/>
        </w:rPr>
        <w:t>i.v. po naředění</w:t>
      </w:r>
    </w:p>
    <w:p w14:paraId="1DA5CB8D" w14:textId="77777777" w:rsidR="00F54962" w:rsidRPr="00381DC2" w:rsidRDefault="00F54962" w:rsidP="00433E0A">
      <w:pPr>
        <w:rPr>
          <w:rFonts w:ascii="Times New Roman" w:eastAsia="Times New Roman" w:hAnsi="Times New Roman"/>
          <w:bCs/>
          <w:color w:val="000000"/>
        </w:rPr>
      </w:pPr>
    </w:p>
    <w:p w14:paraId="7C7E9737" w14:textId="77777777" w:rsidR="00A45DD1" w:rsidRPr="00381DC2" w:rsidRDefault="00A45DD1" w:rsidP="00433E0A">
      <w:pPr>
        <w:rPr>
          <w:rFonts w:ascii="Times New Roman" w:eastAsia="Times New Roman" w:hAnsi="Times New Roman"/>
          <w:bCs/>
          <w:color w:val="000000"/>
        </w:rPr>
      </w:pPr>
    </w:p>
    <w:p w14:paraId="1F7C25A0" w14:textId="3EDA7571" w:rsidR="00F54962" w:rsidRPr="00381DC2" w:rsidRDefault="00F8155D" w:rsidP="00F54962">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172BF9F2" wp14:editId="642D747B">
                <wp:extent cx="5897880" cy="167640"/>
                <wp:effectExtent l="0" t="0" r="7620" b="3810"/>
                <wp:docPr id="1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B9B4C9" w14:textId="77777777" w:rsidR="00AB7DC1" w:rsidRDefault="00AB7DC1" w:rsidP="00F54962">
                            <w:pPr>
                              <w:tabs>
                                <w:tab w:val="left" w:pos="668"/>
                              </w:tabs>
                              <w:spacing w:line="251" w:lineRule="exact"/>
                              <w:ind w:left="102"/>
                              <w:rPr>
                                <w:rFonts w:ascii="Times New Roman" w:eastAsia="Times New Roman" w:hAnsi="Times New Roman"/>
                              </w:rPr>
                            </w:pPr>
                            <w:r>
                              <w:rPr>
                                <w:rFonts w:ascii="Times New Roman"/>
                                <w:b/>
                              </w:rPr>
                              <w:t>2.</w:t>
                            </w:r>
                            <w:r>
                              <w:tab/>
                            </w:r>
                            <w:r w:rsidRPr="00AE6657">
                              <w:rPr>
                                <w:rFonts w:ascii="Times New Roman" w:hAnsi="Times New Roman"/>
                                <w:b/>
                                <w:spacing w:val="-1"/>
                              </w:rPr>
                              <w:t>ZPŮSOB PODÁNÍ</w:t>
                            </w:r>
                          </w:p>
                          <w:p w14:paraId="6E5940E8" w14:textId="77777777" w:rsidR="00AB7DC1" w:rsidRDefault="00AB7DC1" w:rsidP="00F54962">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172BF9F2" id="Text Box 163" o:spid="_x0000_s104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BfUvRmDwIA&#10;APoDAAAOAAAAAAAAAAAAAAAAAC4CAABkcnMvZTJvRG9jLnhtbFBLAQItABQABgAIAAAAIQADFS6c&#10;3AAAAAQBAAAPAAAAAAAAAAAAAAAAAGkEAABkcnMvZG93bnJldi54bWxQSwUGAAAAAAQABADzAAAA&#10;cgUAAAAA&#10;" filled="f" strokeweight=".20497mm">
                <v:textbox inset="0,0,0,0">
                  <w:txbxContent>
                    <w:p w14:paraId="0BB9B4C9" w14:textId="77777777" w:rsidR="00AB7DC1" w:rsidRDefault="00AB7DC1" w:rsidP="00F54962">
                      <w:pPr>
                        <w:tabs>
                          <w:tab w:val="left" w:pos="668"/>
                        </w:tabs>
                        <w:spacing w:line="251" w:lineRule="exact"/>
                        <w:ind w:left="102"/>
                        <w:rPr>
                          <w:rFonts w:ascii="Times New Roman" w:eastAsia="Times New Roman" w:hAnsi="Times New Roman"/>
                        </w:rPr>
                      </w:pPr>
                      <w:r>
                        <w:rPr>
                          <w:rFonts w:ascii="Times New Roman"/>
                          <w:b/>
                        </w:rPr>
                        <w:t>2.</w:t>
                      </w:r>
                      <w:r>
                        <w:tab/>
                      </w:r>
                      <w:r w:rsidRPr="00AE6657">
                        <w:rPr>
                          <w:rFonts w:ascii="Times New Roman" w:hAnsi="Times New Roman"/>
                          <w:b/>
                          <w:spacing w:val="-1"/>
                        </w:rPr>
                        <w:t>ZPŮSOB PODÁNÍ</w:t>
                      </w:r>
                    </w:p>
                    <w:p w14:paraId="6E5940E8" w14:textId="77777777" w:rsidR="00AB7DC1" w:rsidRDefault="00AB7DC1" w:rsidP="00F54962">
                      <w:pPr>
                        <w:tabs>
                          <w:tab w:val="left" w:pos="668"/>
                        </w:tabs>
                        <w:spacing w:line="251" w:lineRule="exact"/>
                        <w:ind w:left="102"/>
                        <w:rPr>
                          <w:rFonts w:ascii="Times New Roman" w:eastAsia="Times New Roman" w:hAnsi="Times New Roman"/>
                        </w:rPr>
                      </w:pPr>
                    </w:p>
                  </w:txbxContent>
                </v:textbox>
                <w10:anchorlock/>
              </v:shape>
            </w:pict>
          </mc:Fallback>
        </mc:AlternateContent>
      </w:r>
    </w:p>
    <w:p w14:paraId="78BC1C5A" w14:textId="77777777" w:rsidR="00F54962" w:rsidRPr="00381DC2" w:rsidRDefault="00F54962" w:rsidP="00433E0A">
      <w:pPr>
        <w:rPr>
          <w:rFonts w:ascii="Times New Roman" w:eastAsia="Times New Roman" w:hAnsi="Times New Roman"/>
          <w:bCs/>
          <w:color w:val="000000"/>
        </w:rPr>
      </w:pPr>
    </w:p>
    <w:p w14:paraId="63988F7F" w14:textId="77777777" w:rsidR="00433E0A" w:rsidRPr="00381DC2" w:rsidRDefault="00433E0A" w:rsidP="00433E0A">
      <w:pPr>
        <w:rPr>
          <w:rFonts w:ascii="Times New Roman" w:eastAsia="Times New Roman" w:hAnsi="Times New Roman"/>
          <w:bCs/>
          <w:color w:val="000000"/>
        </w:rPr>
      </w:pPr>
    </w:p>
    <w:p w14:paraId="6EC5DD11" w14:textId="75009BF7"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0D206C78" wp14:editId="02A0FC6D">
                <wp:extent cx="5897880" cy="166370"/>
                <wp:effectExtent l="0" t="0" r="7620" b="5080"/>
                <wp:docPr id="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189877" w14:textId="77777777" w:rsidR="00AB7DC1" w:rsidRDefault="00AB7DC1" w:rsidP="00E7038C">
                            <w:pPr>
                              <w:tabs>
                                <w:tab w:val="left" w:pos="668"/>
                              </w:tabs>
                              <w:spacing w:line="250" w:lineRule="exact"/>
                              <w:ind w:left="102"/>
                              <w:rPr>
                                <w:rFonts w:ascii="Times New Roman" w:eastAsia="Times New Roman" w:hAnsi="Times New Roman"/>
                              </w:rPr>
                            </w:pPr>
                            <w:r>
                              <w:rPr>
                                <w:rFonts w:ascii="Times New Roman"/>
                                <w:b/>
                              </w:rPr>
                              <w:t>3.</w:t>
                            </w:r>
                            <w:r>
                              <w:tab/>
                            </w:r>
                            <w:r w:rsidRPr="00AE6657">
                              <w:rPr>
                                <w:rFonts w:ascii="Times New Roman" w:hAnsi="Times New Roman"/>
                                <w:b/>
                                <w:spacing w:val="-1"/>
                              </w:rPr>
                              <w:t>POUŽITELNOST</w:t>
                            </w:r>
                          </w:p>
                          <w:p w14:paraId="599DF036" w14:textId="77777777" w:rsidR="00AB7DC1" w:rsidRDefault="00AB7DC1" w:rsidP="00433E0A">
                            <w:pPr>
                              <w:tabs>
                                <w:tab w:val="left" w:pos="668"/>
                              </w:tabs>
                              <w:spacing w:line="250"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0D206C78" id="Text Box 162" o:spid="_x0000_s1048"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Ap37l5DwIA&#10;APoDAAAOAAAAAAAAAAAAAAAAAC4CAABkcnMvZTJvRG9jLnhtbFBLAQItABQABgAIAAAAIQAQHvIB&#10;3AAAAAQBAAAPAAAAAAAAAAAAAAAAAGkEAABkcnMvZG93bnJldi54bWxQSwUGAAAAAAQABADzAAAA&#10;cgUAAAAA&#10;" filled="f" strokeweight=".20497mm">
                <v:textbox inset="0,0,0,0">
                  <w:txbxContent>
                    <w:p w14:paraId="5B189877" w14:textId="77777777" w:rsidR="00AB7DC1" w:rsidRDefault="00AB7DC1" w:rsidP="00E7038C">
                      <w:pPr>
                        <w:tabs>
                          <w:tab w:val="left" w:pos="668"/>
                        </w:tabs>
                        <w:spacing w:line="250" w:lineRule="exact"/>
                        <w:ind w:left="102"/>
                        <w:rPr>
                          <w:rFonts w:ascii="Times New Roman" w:eastAsia="Times New Roman" w:hAnsi="Times New Roman"/>
                        </w:rPr>
                      </w:pPr>
                      <w:r>
                        <w:rPr>
                          <w:rFonts w:ascii="Times New Roman"/>
                          <w:b/>
                        </w:rPr>
                        <w:t>3.</w:t>
                      </w:r>
                      <w:r>
                        <w:tab/>
                      </w:r>
                      <w:r w:rsidRPr="00AE6657">
                        <w:rPr>
                          <w:rFonts w:ascii="Times New Roman" w:hAnsi="Times New Roman"/>
                          <w:b/>
                          <w:spacing w:val="-1"/>
                        </w:rPr>
                        <w:t>POUŽITELNOST</w:t>
                      </w:r>
                    </w:p>
                    <w:p w14:paraId="599DF036" w14:textId="77777777" w:rsidR="00AB7DC1" w:rsidRDefault="00AB7DC1" w:rsidP="00433E0A">
                      <w:pPr>
                        <w:tabs>
                          <w:tab w:val="left" w:pos="668"/>
                        </w:tabs>
                        <w:spacing w:line="250" w:lineRule="exact"/>
                        <w:ind w:left="102"/>
                        <w:rPr>
                          <w:rFonts w:ascii="Times New Roman" w:eastAsia="Times New Roman" w:hAnsi="Times New Roman"/>
                        </w:rPr>
                      </w:pPr>
                    </w:p>
                  </w:txbxContent>
                </v:textbox>
                <w10:anchorlock/>
              </v:shape>
            </w:pict>
          </mc:Fallback>
        </mc:AlternateContent>
      </w:r>
    </w:p>
    <w:p w14:paraId="37BEBE87" w14:textId="77777777" w:rsidR="00433E0A" w:rsidRPr="00381DC2" w:rsidRDefault="00433E0A" w:rsidP="00433E0A">
      <w:pPr>
        <w:rPr>
          <w:rFonts w:ascii="Times New Roman" w:eastAsia="Times New Roman" w:hAnsi="Times New Roman"/>
          <w:bCs/>
          <w:color w:val="000000"/>
        </w:rPr>
      </w:pPr>
    </w:p>
    <w:p w14:paraId="2BA00382"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EXP</w:t>
      </w:r>
    </w:p>
    <w:p w14:paraId="34B34A20" w14:textId="77777777" w:rsidR="00433E0A" w:rsidRPr="00381DC2" w:rsidRDefault="00433E0A" w:rsidP="00433E0A">
      <w:pPr>
        <w:rPr>
          <w:rFonts w:ascii="Times New Roman" w:eastAsia="Times New Roman" w:hAnsi="Times New Roman"/>
          <w:bCs/>
          <w:color w:val="000000"/>
        </w:rPr>
      </w:pPr>
    </w:p>
    <w:p w14:paraId="5D2F746E" w14:textId="77777777" w:rsidR="00433E0A" w:rsidRPr="00381DC2" w:rsidRDefault="00433E0A" w:rsidP="00433E0A">
      <w:pPr>
        <w:rPr>
          <w:rFonts w:ascii="Times New Roman" w:eastAsia="Times New Roman" w:hAnsi="Times New Roman"/>
          <w:bCs/>
          <w:color w:val="000000"/>
        </w:rPr>
      </w:pPr>
    </w:p>
    <w:p w14:paraId="009292C1" w14:textId="3CDC14D6"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2FEDE9DF" wp14:editId="78324DB5">
                <wp:extent cx="5897880" cy="167640"/>
                <wp:effectExtent l="0" t="0" r="7620" b="3810"/>
                <wp:docPr id="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3BAAC"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4.</w:t>
                            </w:r>
                            <w:r>
                              <w:tab/>
                            </w:r>
                            <w:r w:rsidRPr="00AE6657">
                              <w:rPr>
                                <w:rFonts w:ascii="Times New Roman" w:hAnsi="Times New Roman"/>
                                <w:b/>
                                <w:spacing w:val="-1"/>
                              </w:rPr>
                              <w:t>ČÍSLO ŠARŽE</w:t>
                            </w:r>
                          </w:p>
                          <w:p w14:paraId="50FD07B0"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2FEDE9DF" id="Text Box 161" o:spid="_x0000_s1049"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HNEAIAAPoDAAAOAAAAZHJzL2Uyb0RvYy54bWysU9tu2zAMfR+wfxD0vjhJty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v01QykZ9fO/Tho4KORaPgSENN6OL44EOsRuTnkJjMwr02Jg3WWNYX&#10;fH21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ObehzRAC&#10;AAD6AwAADgAAAAAAAAAAAAAAAAAuAgAAZHJzL2Uyb0RvYy54bWxQSwECLQAUAAYACAAAACEAAxUu&#10;nNwAAAAEAQAADwAAAAAAAAAAAAAAAABqBAAAZHJzL2Rvd25yZXYueG1sUEsFBgAAAAAEAAQA8wAA&#10;AHMFAAAAAA==&#10;" filled="f" strokeweight=".20497mm">
                <v:textbox inset="0,0,0,0">
                  <w:txbxContent>
                    <w:p w14:paraId="1463BAAC"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4.</w:t>
                      </w:r>
                      <w:r>
                        <w:tab/>
                      </w:r>
                      <w:r w:rsidRPr="00AE6657">
                        <w:rPr>
                          <w:rFonts w:ascii="Times New Roman" w:hAnsi="Times New Roman"/>
                          <w:b/>
                          <w:spacing w:val="-1"/>
                        </w:rPr>
                        <w:t>ČÍSLO ŠARŽE</w:t>
                      </w:r>
                    </w:p>
                    <w:p w14:paraId="50FD07B0"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1214B415" w14:textId="77777777" w:rsidR="00433E0A" w:rsidRPr="00381DC2" w:rsidRDefault="00433E0A" w:rsidP="00433E0A">
      <w:pPr>
        <w:rPr>
          <w:rFonts w:ascii="Times New Roman" w:eastAsia="Times New Roman" w:hAnsi="Times New Roman"/>
          <w:bCs/>
          <w:color w:val="000000"/>
        </w:rPr>
      </w:pPr>
    </w:p>
    <w:p w14:paraId="3F4D456C" w14:textId="77777777" w:rsidR="00346B81" w:rsidRPr="00381DC2" w:rsidRDefault="00346B81" w:rsidP="00433E0A">
      <w:pPr>
        <w:rPr>
          <w:rFonts w:ascii="Times New Roman" w:eastAsia="Times New Roman" w:hAnsi="Times New Roman"/>
          <w:bCs/>
          <w:color w:val="000000"/>
        </w:rPr>
      </w:pPr>
      <w:r w:rsidRPr="00381DC2">
        <w:rPr>
          <w:rFonts w:ascii="Times New Roman" w:eastAsia="Times New Roman" w:hAnsi="Times New Roman"/>
          <w:bCs/>
          <w:color w:val="000000"/>
        </w:rPr>
        <w:t>Lot</w:t>
      </w:r>
    </w:p>
    <w:p w14:paraId="126D23A1" w14:textId="77777777" w:rsidR="00433E0A" w:rsidRPr="00381DC2" w:rsidRDefault="00433E0A" w:rsidP="00433E0A">
      <w:pPr>
        <w:rPr>
          <w:rFonts w:ascii="Times New Roman" w:eastAsia="Times New Roman" w:hAnsi="Times New Roman"/>
          <w:bCs/>
          <w:color w:val="000000"/>
        </w:rPr>
      </w:pPr>
    </w:p>
    <w:p w14:paraId="7FFC9C1E" w14:textId="77777777" w:rsidR="00433E0A" w:rsidRPr="00381DC2" w:rsidRDefault="00433E0A" w:rsidP="00433E0A">
      <w:pPr>
        <w:rPr>
          <w:rFonts w:ascii="Times New Roman" w:eastAsia="Times New Roman" w:hAnsi="Times New Roman"/>
          <w:bCs/>
          <w:color w:val="000000"/>
        </w:rPr>
      </w:pPr>
    </w:p>
    <w:p w14:paraId="18FE39CA" w14:textId="1226EBD8"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5531E547" wp14:editId="66FCFA9B">
                <wp:extent cx="5897880" cy="167640"/>
                <wp:effectExtent l="0" t="0" r="7620" b="3810"/>
                <wp:docPr id="5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33FB41" w14:textId="77777777" w:rsidR="00AB7DC1" w:rsidRDefault="00AB7DC1" w:rsidP="00E7038C">
                            <w:pPr>
                              <w:tabs>
                                <w:tab w:val="left" w:pos="668"/>
                              </w:tabs>
                              <w:spacing w:line="252" w:lineRule="exact"/>
                              <w:ind w:left="102"/>
                              <w:rPr>
                                <w:rFonts w:ascii="Times New Roman" w:eastAsia="Times New Roman" w:hAnsi="Times New Roman"/>
                              </w:rPr>
                            </w:pPr>
                            <w:r>
                              <w:rPr>
                                <w:rFonts w:ascii="Times New Roman"/>
                                <w:b/>
                              </w:rPr>
                              <w:t>5.</w:t>
                            </w:r>
                            <w:r>
                              <w:tab/>
                            </w:r>
                            <w:r w:rsidRPr="00AE6657">
                              <w:rPr>
                                <w:rFonts w:ascii="Times New Roman" w:hAnsi="Times New Roman"/>
                                <w:b/>
                                <w:spacing w:val="-1"/>
                              </w:rPr>
                              <w:t>OBSAH UDANÝ JAKO HMOTNOST, OBJEM NEBO POČET</w:t>
                            </w:r>
                          </w:p>
                          <w:p w14:paraId="443ACBD9" w14:textId="77777777" w:rsidR="00AB7DC1" w:rsidRDefault="00AB7DC1" w:rsidP="00433E0A">
                            <w:pPr>
                              <w:tabs>
                                <w:tab w:val="left" w:pos="668"/>
                              </w:tabs>
                              <w:spacing w:line="252"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5531E547" id="Text Box 160" o:spid="_x0000_s105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IS+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YWyEvhAC&#10;AAD6AwAADgAAAAAAAAAAAAAAAAAuAgAAZHJzL2Uyb0RvYy54bWxQSwECLQAUAAYACAAAACEAAxUu&#10;nNwAAAAEAQAADwAAAAAAAAAAAAAAAABqBAAAZHJzL2Rvd25yZXYueG1sUEsFBgAAAAAEAAQA8wAA&#10;AHMFAAAAAA==&#10;" filled="f" strokeweight=".20497mm">
                <v:textbox inset="0,0,0,0">
                  <w:txbxContent>
                    <w:p w14:paraId="6B33FB41" w14:textId="77777777" w:rsidR="00AB7DC1" w:rsidRDefault="00AB7DC1" w:rsidP="00E7038C">
                      <w:pPr>
                        <w:tabs>
                          <w:tab w:val="left" w:pos="668"/>
                        </w:tabs>
                        <w:spacing w:line="252" w:lineRule="exact"/>
                        <w:ind w:left="102"/>
                        <w:rPr>
                          <w:rFonts w:ascii="Times New Roman" w:eastAsia="Times New Roman" w:hAnsi="Times New Roman"/>
                        </w:rPr>
                      </w:pPr>
                      <w:r>
                        <w:rPr>
                          <w:rFonts w:ascii="Times New Roman"/>
                          <w:b/>
                        </w:rPr>
                        <w:t>5.</w:t>
                      </w:r>
                      <w:r>
                        <w:tab/>
                      </w:r>
                      <w:r w:rsidRPr="00AE6657">
                        <w:rPr>
                          <w:rFonts w:ascii="Times New Roman" w:hAnsi="Times New Roman"/>
                          <w:b/>
                          <w:spacing w:val="-1"/>
                        </w:rPr>
                        <w:t>OBSAH UDANÝ JAKO HMOTNOST, OBJEM NEBO POČET</w:t>
                      </w:r>
                    </w:p>
                    <w:p w14:paraId="443ACBD9" w14:textId="77777777" w:rsidR="00AB7DC1" w:rsidRDefault="00AB7DC1" w:rsidP="00433E0A">
                      <w:pPr>
                        <w:tabs>
                          <w:tab w:val="left" w:pos="668"/>
                        </w:tabs>
                        <w:spacing w:line="252" w:lineRule="exact"/>
                        <w:ind w:left="102"/>
                        <w:rPr>
                          <w:rFonts w:ascii="Times New Roman" w:eastAsia="Times New Roman" w:hAnsi="Times New Roman"/>
                        </w:rPr>
                      </w:pPr>
                    </w:p>
                  </w:txbxContent>
                </v:textbox>
                <w10:anchorlock/>
              </v:shape>
            </w:pict>
          </mc:Fallback>
        </mc:AlternateContent>
      </w:r>
    </w:p>
    <w:p w14:paraId="6BFBBCD8" w14:textId="77777777" w:rsidR="00433E0A" w:rsidRPr="00381DC2" w:rsidRDefault="00433E0A" w:rsidP="00433E0A">
      <w:pPr>
        <w:rPr>
          <w:rFonts w:ascii="Times New Roman" w:eastAsia="Times New Roman" w:hAnsi="Times New Roman"/>
          <w:bCs/>
          <w:color w:val="000000"/>
        </w:rPr>
      </w:pPr>
    </w:p>
    <w:p w14:paraId="338888BB"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100 mg/4 ml</w:t>
      </w:r>
    </w:p>
    <w:p w14:paraId="17F234E5" w14:textId="77777777" w:rsidR="00433E0A" w:rsidRPr="00381DC2" w:rsidRDefault="00433E0A" w:rsidP="00433E0A">
      <w:pPr>
        <w:rPr>
          <w:rFonts w:ascii="Times New Roman" w:eastAsia="Times New Roman" w:hAnsi="Times New Roman"/>
          <w:bCs/>
          <w:color w:val="000000"/>
        </w:rPr>
      </w:pPr>
    </w:p>
    <w:p w14:paraId="41E3E931" w14:textId="77777777" w:rsidR="00433E0A" w:rsidRPr="00381DC2" w:rsidRDefault="00433E0A" w:rsidP="00433E0A">
      <w:pPr>
        <w:rPr>
          <w:rFonts w:ascii="Times New Roman" w:eastAsia="Times New Roman" w:hAnsi="Times New Roman"/>
          <w:bCs/>
          <w:color w:val="000000"/>
        </w:rPr>
      </w:pPr>
    </w:p>
    <w:p w14:paraId="5F75D8E3" w14:textId="16687CFB" w:rsidR="00433E0A" w:rsidRPr="00381DC2" w:rsidRDefault="00F8155D" w:rsidP="00433E0A">
      <w:pPr>
        <w:rPr>
          <w:rFonts w:ascii="Times New Roman" w:hAnsi="Times New Roman"/>
          <w:color w:val="000000"/>
        </w:rPr>
      </w:pPr>
      <w:r w:rsidRPr="00381DC2">
        <w:rPr>
          <w:rFonts w:ascii="Times New Roman" w:hAnsi="Times New Roman"/>
          <w:noProof/>
          <w:color w:val="000000"/>
          <w:lang w:bidi="ar-SA"/>
        </w:rPr>
        <mc:AlternateContent>
          <mc:Choice Requires="wps">
            <w:drawing>
              <wp:inline distT="0" distB="0" distL="0" distR="0" wp14:anchorId="7635C9C1" wp14:editId="7336BFC9">
                <wp:extent cx="5897880" cy="167640"/>
                <wp:effectExtent l="0" t="0" r="7620" b="3810"/>
                <wp:docPr id="5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DAA9F4"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6.</w:t>
                            </w:r>
                            <w:r>
                              <w:tab/>
                            </w:r>
                            <w:r w:rsidRPr="00AE6657">
                              <w:rPr>
                                <w:rFonts w:ascii="Times New Roman" w:hAnsi="Times New Roman"/>
                                <w:b/>
                                <w:spacing w:val="-1"/>
                              </w:rPr>
                              <w:t>JINÉ</w:t>
                            </w:r>
                          </w:p>
                          <w:p w14:paraId="73B6B45A"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7635C9C1" id="Text Box 159" o:spid="_x0000_s105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7rEAIAAPoDAAAOAAAAZHJzL2Uyb0RvYy54bWysU9tu2zAMfR+wfxD0vjjJ1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Hm1uV5vNuSS5Fus1qt3aSqZyM+vHfrwUUHHolFwpKEmdHF88CFWI/JzSExm4V4bkwZrLOsL&#10;vn67vh77AqOr6IxhHptyb5AdRZRGWqk18rwM63QggRrdFXxzCRJ5ZOODrVKWILQZbarE2ImeyMjI&#10;TRjKgemq4Mur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0p4u6xAC&#10;AAD6AwAADgAAAAAAAAAAAAAAAAAuAgAAZHJzL2Uyb0RvYy54bWxQSwECLQAUAAYACAAAACEAAxUu&#10;nNwAAAAEAQAADwAAAAAAAAAAAAAAAABqBAAAZHJzL2Rvd25yZXYueG1sUEsFBgAAAAAEAAQA8wAA&#10;AHMFAAAAAA==&#10;" filled="f" strokeweight=".20497mm">
                <v:textbox inset="0,0,0,0">
                  <w:txbxContent>
                    <w:p w14:paraId="24DAA9F4"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6.</w:t>
                      </w:r>
                      <w:r>
                        <w:tab/>
                      </w:r>
                      <w:r w:rsidRPr="00AE6657">
                        <w:rPr>
                          <w:rFonts w:ascii="Times New Roman" w:hAnsi="Times New Roman"/>
                          <w:b/>
                          <w:spacing w:val="-1"/>
                        </w:rPr>
                        <w:t>JINÉ</w:t>
                      </w:r>
                    </w:p>
                    <w:p w14:paraId="73B6B45A"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470E5F5F" w14:textId="77777777" w:rsidR="00202F93" w:rsidRPr="00381DC2" w:rsidRDefault="00202F93" w:rsidP="00433E0A">
      <w:pPr>
        <w:rPr>
          <w:rFonts w:ascii="Times New Roman" w:eastAsia="Times New Roman" w:hAnsi="Times New Roman"/>
          <w:bCs/>
          <w:color w:val="000000"/>
        </w:rPr>
      </w:pPr>
    </w:p>
    <w:p w14:paraId="0D6D905D" w14:textId="77777777" w:rsidR="00433E0A" w:rsidRPr="00381DC2" w:rsidRDefault="00A45DD1" w:rsidP="00363CA4">
      <w:pPr>
        <w:widowControl/>
        <w:rPr>
          <w:rFonts w:ascii="Times New Roman" w:eastAsia="Times New Roman" w:hAnsi="Times New Roman"/>
          <w:bCs/>
          <w:color w:val="000000"/>
        </w:rPr>
      </w:pPr>
      <w:r w:rsidRPr="00381DC2">
        <w:rPr>
          <w:rFonts w:ascii="Times New Roman" w:eastAsia="Times New Roman" w:hAnsi="Times New Roman"/>
          <w:bCs/>
          <w:color w:val="000000"/>
        </w:rPr>
        <w:br w:type="page"/>
      </w:r>
    </w:p>
    <w:p w14:paraId="3F47F2E3" w14:textId="2B1F2B24"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w:lastRenderedPageBreak/>
        <mc:AlternateContent>
          <mc:Choice Requires="wps">
            <w:drawing>
              <wp:inline distT="0" distB="0" distL="0" distR="0" wp14:anchorId="0889DFB6" wp14:editId="5CF12B83">
                <wp:extent cx="5897880" cy="487680"/>
                <wp:effectExtent l="0" t="0" r="7620" b="7620"/>
                <wp:docPr id="50"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48768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BE8707" w14:textId="77777777" w:rsidR="00AB7DC1" w:rsidRPr="007A269F" w:rsidRDefault="00AB7DC1" w:rsidP="00E7038C">
                            <w:pPr>
                              <w:spacing w:line="251" w:lineRule="exact"/>
                              <w:ind w:left="102"/>
                              <w:rPr>
                                <w:rFonts w:ascii="Times New Roman" w:eastAsia="Times New Roman" w:hAnsi="Times New Roman"/>
                              </w:rPr>
                            </w:pPr>
                            <w:r w:rsidRPr="00AE6657">
                              <w:rPr>
                                <w:rFonts w:ascii="Times New Roman" w:hAnsi="Times New Roman"/>
                                <w:b/>
                                <w:spacing w:val="-2"/>
                              </w:rPr>
                              <w:t>ÚDAJE UVÁDĚNÉ NA VNĚJŠÍM OBALU</w:t>
                            </w:r>
                          </w:p>
                          <w:p w14:paraId="074EF79B" w14:textId="77777777" w:rsidR="00AB7DC1" w:rsidRPr="007A269F" w:rsidRDefault="00AB7DC1" w:rsidP="00433E0A">
                            <w:pPr>
                              <w:rPr>
                                <w:rFonts w:ascii="Times New Roman" w:eastAsia="Times New Roman" w:hAnsi="Times New Roman"/>
                              </w:rPr>
                            </w:pPr>
                          </w:p>
                          <w:p w14:paraId="7B7DA3B0" w14:textId="77777777" w:rsidR="00AB7DC1" w:rsidRPr="007A269F" w:rsidRDefault="00AB7DC1" w:rsidP="00E7038C">
                            <w:pPr>
                              <w:spacing w:line="252" w:lineRule="exact"/>
                              <w:ind w:left="102"/>
                              <w:rPr>
                                <w:rFonts w:ascii="Times New Roman" w:eastAsia="Times New Roman" w:hAnsi="Times New Roman"/>
                              </w:rPr>
                            </w:pPr>
                            <w:r w:rsidRPr="00AE6657">
                              <w:rPr>
                                <w:rFonts w:ascii="Times New Roman" w:hAnsi="Times New Roman"/>
                                <w:b/>
                                <w:spacing w:val="-1"/>
                              </w:rPr>
                              <w:t>KRABIČKA</w:t>
                            </w:r>
                          </w:p>
                          <w:p w14:paraId="1DFD817D" w14:textId="77777777" w:rsidR="00AB7DC1" w:rsidRPr="007A269F" w:rsidRDefault="00AB7DC1" w:rsidP="00E7038C">
                            <w:pPr>
                              <w:spacing w:line="252"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0889DFB6" id="Text Box 158" o:spid="_x0000_s1052" type="#_x0000_t202" style="width:464.4pt;height:3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" filled="f" strokeweight=".20497mm">
                <v:textbox inset="0,0,0,0">
                  <w:txbxContent>
                    <w:p w14:paraId="6BBE8707" w14:textId="77777777" w:rsidR="00AB7DC1" w:rsidRPr="007A269F" w:rsidRDefault="00AB7DC1" w:rsidP="00E7038C">
                      <w:pPr>
                        <w:spacing w:line="251" w:lineRule="exact"/>
                        <w:ind w:left="102"/>
                        <w:rPr>
                          <w:rFonts w:ascii="Times New Roman" w:eastAsia="Times New Roman" w:hAnsi="Times New Roman"/>
                        </w:rPr>
                      </w:pPr>
                      <w:r w:rsidRPr="00AE6657">
                        <w:rPr>
                          <w:rFonts w:ascii="Times New Roman" w:hAnsi="Times New Roman"/>
                          <w:b/>
                          <w:spacing w:val="-2"/>
                        </w:rPr>
                        <w:t>ÚDAJE UVÁDĚNÉ NA VNĚJŠÍM OBALU</w:t>
                      </w:r>
                    </w:p>
                    <w:p w14:paraId="074EF79B" w14:textId="77777777" w:rsidR="00AB7DC1" w:rsidRPr="007A269F" w:rsidRDefault="00AB7DC1" w:rsidP="00433E0A">
                      <w:pPr>
                        <w:rPr>
                          <w:rFonts w:ascii="Times New Roman" w:eastAsia="Times New Roman" w:hAnsi="Times New Roman"/>
                        </w:rPr>
                      </w:pPr>
                    </w:p>
                    <w:p w14:paraId="7B7DA3B0" w14:textId="77777777" w:rsidR="00AB7DC1" w:rsidRPr="007A269F" w:rsidRDefault="00AB7DC1" w:rsidP="00E7038C">
                      <w:pPr>
                        <w:spacing w:line="252" w:lineRule="exact"/>
                        <w:ind w:left="102"/>
                        <w:rPr>
                          <w:rFonts w:ascii="Times New Roman" w:eastAsia="Times New Roman" w:hAnsi="Times New Roman"/>
                        </w:rPr>
                      </w:pPr>
                      <w:r w:rsidRPr="00AE6657">
                        <w:rPr>
                          <w:rFonts w:ascii="Times New Roman" w:hAnsi="Times New Roman"/>
                          <w:b/>
                          <w:spacing w:val="-1"/>
                        </w:rPr>
                        <w:t>KRABIČKA</w:t>
                      </w:r>
                    </w:p>
                    <w:p w14:paraId="1DFD817D" w14:textId="77777777" w:rsidR="00AB7DC1" w:rsidRPr="007A269F" w:rsidRDefault="00AB7DC1" w:rsidP="00E7038C">
                      <w:pPr>
                        <w:spacing w:line="252" w:lineRule="exact"/>
                        <w:ind w:left="102"/>
                        <w:rPr>
                          <w:rFonts w:ascii="Times New Roman" w:eastAsia="Times New Roman" w:hAnsi="Times New Roman"/>
                        </w:rPr>
                      </w:pPr>
                    </w:p>
                  </w:txbxContent>
                </v:textbox>
                <w10:anchorlock/>
              </v:shape>
            </w:pict>
          </mc:Fallback>
        </mc:AlternateContent>
      </w:r>
    </w:p>
    <w:p w14:paraId="463DC3A9" w14:textId="77777777" w:rsidR="00433E0A" w:rsidRPr="00381DC2" w:rsidRDefault="00433E0A" w:rsidP="00433E0A">
      <w:pPr>
        <w:rPr>
          <w:rFonts w:ascii="Times New Roman" w:eastAsia="Times New Roman" w:hAnsi="Times New Roman"/>
          <w:bCs/>
          <w:color w:val="000000"/>
        </w:rPr>
      </w:pPr>
    </w:p>
    <w:p w14:paraId="4A87F207" w14:textId="77777777" w:rsidR="00433E0A" w:rsidRPr="00381DC2" w:rsidRDefault="00433E0A" w:rsidP="00433E0A">
      <w:pPr>
        <w:rPr>
          <w:rFonts w:ascii="Times New Roman" w:eastAsia="Times New Roman" w:hAnsi="Times New Roman"/>
          <w:bCs/>
          <w:color w:val="000000"/>
        </w:rPr>
      </w:pPr>
    </w:p>
    <w:p w14:paraId="5C5CC2E5" w14:textId="0A914903"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2C58007E" wp14:editId="7DFDBEE5">
                <wp:extent cx="5897880" cy="167640"/>
                <wp:effectExtent l="0" t="0" r="7620" b="3810"/>
                <wp:docPr id="49"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EA017B"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w:t>
                            </w:r>
                            <w:r>
                              <w:tab/>
                            </w:r>
                            <w:r w:rsidRPr="00AE6657">
                              <w:rPr>
                                <w:rFonts w:ascii="Times New Roman" w:hAnsi="Times New Roman"/>
                                <w:b/>
                                <w:spacing w:val="-1"/>
                              </w:rPr>
                              <w:t>NÁZEV LÉČIVÉHO PŘÍPRAVKU</w:t>
                            </w:r>
                          </w:p>
                          <w:p w14:paraId="7047987C"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2C58007E" id="Text Box 157" o:spid="_x0000_s105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0e3tADwIA&#10;APoDAAAOAAAAAAAAAAAAAAAAAC4CAABkcnMvZTJvRG9jLnhtbFBLAQItABQABgAIAAAAIQADFS6c&#10;3AAAAAQBAAAPAAAAAAAAAAAAAAAAAGkEAABkcnMvZG93bnJldi54bWxQSwUGAAAAAAQABADzAAAA&#10;cgUAAAAA&#10;" filled="f" strokeweight=".20497mm">
                <v:textbox inset="0,0,0,0">
                  <w:txbxContent>
                    <w:p w14:paraId="14EA017B"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w:t>
                      </w:r>
                      <w:r>
                        <w:tab/>
                      </w:r>
                      <w:r w:rsidRPr="00AE6657">
                        <w:rPr>
                          <w:rFonts w:ascii="Times New Roman" w:hAnsi="Times New Roman"/>
                          <w:b/>
                          <w:spacing w:val="-1"/>
                        </w:rPr>
                        <w:t>NÁZEV LÉČIVÉHO PŘÍPRAVKU</w:t>
                      </w:r>
                    </w:p>
                    <w:p w14:paraId="7047987C"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6DADA88D" w14:textId="77777777" w:rsidR="00433E0A" w:rsidRPr="00381DC2" w:rsidRDefault="00433E0A" w:rsidP="00433E0A">
      <w:pPr>
        <w:rPr>
          <w:rFonts w:ascii="Times New Roman" w:eastAsia="Times New Roman" w:hAnsi="Times New Roman"/>
          <w:bCs/>
          <w:color w:val="000000"/>
        </w:rPr>
      </w:pPr>
    </w:p>
    <w:p w14:paraId="3A280F80" w14:textId="77777777" w:rsidR="00F46433" w:rsidRPr="00381DC2" w:rsidRDefault="00CC0FAB" w:rsidP="00433E0A">
      <w:pPr>
        <w:rPr>
          <w:rFonts w:ascii="Times New Roman" w:eastAsia="Times New Roman" w:hAnsi="Times New Roman"/>
          <w:bCs/>
          <w:color w:val="000000"/>
        </w:rPr>
      </w:pPr>
      <w:r w:rsidRPr="00381DC2">
        <w:rPr>
          <w:rFonts w:ascii="Times New Roman" w:eastAsia="Times New Roman" w:hAnsi="Times New Roman"/>
          <w:bCs/>
          <w:color w:val="000000"/>
        </w:rPr>
        <w:t>Zirabev</w:t>
      </w:r>
      <w:r w:rsidR="00433E0A" w:rsidRPr="00381DC2">
        <w:rPr>
          <w:rFonts w:ascii="Times New Roman" w:eastAsia="Times New Roman" w:hAnsi="Times New Roman"/>
          <w:bCs/>
          <w:color w:val="000000"/>
        </w:rPr>
        <w:t xml:space="preserve"> 25 mg/ml koncentrát pro infuzní roztok</w:t>
      </w:r>
    </w:p>
    <w:p w14:paraId="2DE77918" w14:textId="77777777" w:rsidR="00433E0A" w:rsidRPr="00381DC2" w:rsidRDefault="00433E0A" w:rsidP="00433E0A">
      <w:pPr>
        <w:rPr>
          <w:rFonts w:ascii="Times New Roman" w:eastAsia="Times New Roman" w:hAnsi="Times New Roman"/>
          <w:bCs/>
          <w:color w:val="000000"/>
        </w:rPr>
      </w:pPr>
      <w:r w:rsidRPr="0030327F">
        <w:rPr>
          <w:rFonts w:ascii="Times New Roman" w:eastAsia="Times New Roman" w:hAnsi="Times New Roman"/>
          <w:bCs/>
          <w:color w:val="000000"/>
        </w:rPr>
        <w:t>bevacizumabu</w:t>
      </w:r>
      <w:r w:rsidR="00F46433" w:rsidRPr="0030327F">
        <w:rPr>
          <w:rFonts w:ascii="Times New Roman" w:eastAsia="Times New Roman" w:hAnsi="Times New Roman"/>
          <w:bCs/>
          <w:color w:val="000000"/>
        </w:rPr>
        <w:t>m</w:t>
      </w:r>
    </w:p>
    <w:p w14:paraId="241D4E29" w14:textId="77777777" w:rsidR="00433E0A" w:rsidRPr="00381DC2" w:rsidRDefault="00433E0A" w:rsidP="00433E0A">
      <w:pPr>
        <w:rPr>
          <w:rFonts w:ascii="Times New Roman" w:eastAsia="Times New Roman" w:hAnsi="Times New Roman"/>
          <w:bCs/>
          <w:color w:val="000000"/>
        </w:rPr>
      </w:pPr>
    </w:p>
    <w:p w14:paraId="134C3677" w14:textId="77777777" w:rsidR="00433E0A" w:rsidRPr="00381DC2" w:rsidRDefault="00433E0A" w:rsidP="00433E0A">
      <w:pPr>
        <w:rPr>
          <w:rFonts w:ascii="Times New Roman" w:eastAsia="Times New Roman" w:hAnsi="Times New Roman"/>
          <w:bCs/>
          <w:color w:val="000000"/>
        </w:rPr>
      </w:pPr>
    </w:p>
    <w:p w14:paraId="6DD23637" w14:textId="16041127"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47179E2A" wp14:editId="33671E59">
                <wp:extent cx="5897880" cy="167640"/>
                <wp:effectExtent l="0" t="0" r="7620" b="3810"/>
                <wp:docPr id="4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67781D"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2.</w:t>
                            </w:r>
                            <w:r>
                              <w:tab/>
                            </w:r>
                            <w:r w:rsidRPr="00AE6657">
                              <w:rPr>
                                <w:rFonts w:ascii="Times New Roman" w:hAnsi="Times New Roman"/>
                                <w:b/>
                                <w:spacing w:val="-1"/>
                              </w:rPr>
                              <w:t>OBSAH LÉČIVÉ LÁTKY / LÉČIVÝCH LÁTEK</w:t>
                            </w:r>
                          </w:p>
                          <w:p w14:paraId="7877A3EF"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47179E2A" id="Text Box 156" o:spid="_x0000_s105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tz+a8xAC&#10;AAD6AwAADgAAAAAAAAAAAAAAAAAuAgAAZHJzL2Uyb0RvYy54bWxQSwECLQAUAAYACAAAACEAAxUu&#10;nNwAAAAEAQAADwAAAAAAAAAAAAAAAABqBAAAZHJzL2Rvd25yZXYueG1sUEsFBgAAAAAEAAQA8wAA&#10;AHMFAAAAAA==&#10;" filled="f" strokeweight=".20497mm">
                <v:textbox inset="0,0,0,0">
                  <w:txbxContent>
                    <w:p w14:paraId="0C67781D"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2.</w:t>
                      </w:r>
                      <w:r>
                        <w:tab/>
                      </w:r>
                      <w:r w:rsidRPr="00AE6657">
                        <w:rPr>
                          <w:rFonts w:ascii="Times New Roman" w:hAnsi="Times New Roman"/>
                          <w:b/>
                          <w:spacing w:val="-1"/>
                        </w:rPr>
                        <w:t>OBSAH LÉČIVÉ LÁTKY / LÉČIVÝCH LÁTEK</w:t>
                      </w:r>
                    </w:p>
                    <w:p w14:paraId="7877A3EF"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3476C4A8" w14:textId="77777777" w:rsidR="00433E0A" w:rsidRPr="00381DC2" w:rsidRDefault="00433E0A" w:rsidP="00433E0A">
      <w:pPr>
        <w:rPr>
          <w:rFonts w:ascii="Times New Roman" w:eastAsia="Times New Roman" w:hAnsi="Times New Roman"/>
          <w:bCs/>
          <w:color w:val="000000"/>
        </w:rPr>
      </w:pPr>
    </w:p>
    <w:p w14:paraId="4B63316E"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 xml:space="preserve">Jedna injekční lahvička obsahuje </w:t>
      </w:r>
      <w:r w:rsidRPr="0030327F">
        <w:rPr>
          <w:rFonts w:ascii="Times New Roman" w:eastAsia="Times New Roman" w:hAnsi="Times New Roman"/>
          <w:bCs/>
          <w:color w:val="000000"/>
        </w:rPr>
        <w:t>bevacizumabum</w:t>
      </w:r>
      <w:r w:rsidRPr="00381DC2">
        <w:rPr>
          <w:rFonts w:ascii="Times New Roman" w:eastAsia="Times New Roman" w:hAnsi="Times New Roman"/>
          <w:bCs/>
          <w:color w:val="000000"/>
        </w:rPr>
        <w:t xml:space="preserve"> 400 mg.</w:t>
      </w:r>
    </w:p>
    <w:p w14:paraId="376C1EFB" w14:textId="77777777" w:rsidR="00433E0A" w:rsidRPr="00381DC2" w:rsidRDefault="00433E0A" w:rsidP="00433E0A">
      <w:pPr>
        <w:rPr>
          <w:rFonts w:ascii="Times New Roman" w:eastAsia="Times New Roman" w:hAnsi="Times New Roman"/>
          <w:bCs/>
          <w:color w:val="000000"/>
        </w:rPr>
      </w:pPr>
    </w:p>
    <w:p w14:paraId="49ED4ABD" w14:textId="77777777" w:rsidR="00433E0A" w:rsidRPr="00381DC2" w:rsidRDefault="00433E0A" w:rsidP="00433E0A">
      <w:pPr>
        <w:rPr>
          <w:rFonts w:ascii="Times New Roman" w:eastAsia="Times New Roman" w:hAnsi="Times New Roman"/>
          <w:bCs/>
          <w:color w:val="000000"/>
        </w:rPr>
      </w:pPr>
    </w:p>
    <w:p w14:paraId="2F592069" w14:textId="327B087C"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701B9A88" wp14:editId="234F40F0">
                <wp:extent cx="5897880" cy="167640"/>
                <wp:effectExtent l="0" t="0" r="7620" b="3810"/>
                <wp:docPr id="47"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D1206A" w14:textId="77777777" w:rsidR="00AB7DC1" w:rsidRDefault="00AB7DC1" w:rsidP="00E7038C">
                            <w:pPr>
                              <w:tabs>
                                <w:tab w:val="left" w:pos="668"/>
                              </w:tabs>
                              <w:spacing w:line="252" w:lineRule="exact"/>
                              <w:ind w:left="102"/>
                              <w:rPr>
                                <w:rFonts w:ascii="Times New Roman" w:eastAsia="Times New Roman" w:hAnsi="Times New Roman"/>
                              </w:rPr>
                            </w:pPr>
                            <w:r>
                              <w:rPr>
                                <w:rFonts w:ascii="Times New Roman"/>
                                <w:b/>
                              </w:rPr>
                              <w:t>3.</w:t>
                            </w:r>
                            <w:r>
                              <w:tab/>
                            </w:r>
                            <w:r w:rsidRPr="00AE6657">
                              <w:rPr>
                                <w:rFonts w:ascii="Times New Roman" w:hAnsi="Times New Roman"/>
                                <w:b/>
                                <w:spacing w:val="-1"/>
                              </w:rPr>
                              <w:t>SEZNAM POMOCNÝCH LÁTEK</w:t>
                            </w:r>
                          </w:p>
                          <w:p w14:paraId="77D55753" w14:textId="77777777" w:rsidR="00AB7DC1" w:rsidRDefault="00AB7DC1" w:rsidP="00433E0A">
                            <w:pPr>
                              <w:tabs>
                                <w:tab w:val="left" w:pos="668"/>
                              </w:tabs>
                              <w:spacing w:line="252"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701B9A88" id="Text Box 155" o:spid="_x0000_s105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EzTCmDwIA&#10;APoDAAAOAAAAAAAAAAAAAAAAAC4CAABkcnMvZTJvRG9jLnhtbFBLAQItABQABgAIAAAAIQADFS6c&#10;3AAAAAQBAAAPAAAAAAAAAAAAAAAAAGkEAABkcnMvZG93bnJldi54bWxQSwUGAAAAAAQABADzAAAA&#10;cgUAAAAA&#10;" filled="f" strokeweight=".20497mm">
                <v:textbox inset="0,0,0,0">
                  <w:txbxContent>
                    <w:p w14:paraId="3ED1206A" w14:textId="77777777" w:rsidR="00AB7DC1" w:rsidRDefault="00AB7DC1" w:rsidP="00E7038C">
                      <w:pPr>
                        <w:tabs>
                          <w:tab w:val="left" w:pos="668"/>
                        </w:tabs>
                        <w:spacing w:line="252" w:lineRule="exact"/>
                        <w:ind w:left="102"/>
                        <w:rPr>
                          <w:rFonts w:ascii="Times New Roman" w:eastAsia="Times New Roman" w:hAnsi="Times New Roman"/>
                        </w:rPr>
                      </w:pPr>
                      <w:r>
                        <w:rPr>
                          <w:rFonts w:ascii="Times New Roman"/>
                          <w:b/>
                        </w:rPr>
                        <w:t>3.</w:t>
                      </w:r>
                      <w:r>
                        <w:tab/>
                      </w:r>
                      <w:r w:rsidRPr="00AE6657">
                        <w:rPr>
                          <w:rFonts w:ascii="Times New Roman" w:hAnsi="Times New Roman"/>
                          <w:b/>
                          <w:spacing w:val="-1"/>
                        </w:rPr>
                        <w:t>SEZNAM POMOCNÝCH LÁTEK</w:t>
                      </w:r>
                    </w:p>
                    <w:p w14:paraId="77D55753" w14:textId="77777777" w:rsidR="00AB7DC1" w:rsidRDefault="00AB7DC1" w:rsidP="00433E0A">
                      <w:pPr>
                        <w:tabs>
                          <w:tab w:val="left" w:pos="668"/>
                        </w:tabs>
                        <w:spacing w:line="252" w:lineRule="exact"/>
                        <w:ind w:left="102"/>
                        <w:rPr>
                          <w:rFonts w:ascii="Times New Roman" w:eastAsia="Times New Roman" w:hAnsi="Times New Roman"/>
                        </w:rPr>
                      </w:pPr>
                    </w:p>
                  </w:txbxContent>
                </v:textbox>
                <w10:anchorlock/>
              </v:shape>
            </w:pict>
          </mc:Fallback>
        </mc:AlternateContent>
      </w:r>
    </w:p>
    <w:p w14:paraId="093D1744" w14:textId="77777777" w:rsidR="00433E0A" w:rsidRPr="00381DC2" w:rsidRDefault="00433E0A" w:rsidP="00433E0A">
      <w:pPr>
        <w:rPr>
          <w:rFonts w:ascii="Times New Roman" w:eastAsia="Times New Roman" w:hAnsi="Times New Roman"/>
          <w:bCs/>
          <w:color w:val="000000"/>
        </w:rPr>
      </w:pPr>
    </w:p>
    <w:p w14:paraId="07B24B3F"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 xml:space="preserve">Sacharóza, kyselina jantarová, </w:t>
      </w:r>
      <w:r w:rsidR="00E756C9" w:rsidRPr="00381DC2">
        <w:rPr>
          <w:rFonts w:ascii="Times New Roman" w:eastAsia="Times New Roman" w:hAnsi="Times New Roman"/>
          <w:bCs/>
          <w:color w:val="000000"/>
        </w:rPr>
        <w:t>dinatrium-</w:t>
      </w:r>
      <w:r w:rsidRPr="00381DC2">
        <w:rPr>
          <w:rFonts w:ascii="Times New Roman" w:eastAsia="Times New Roman" w:hAnsi="Times New Roman"/>
          <w:bCs/>
          <w:color w:val="000000"/>
        </w:rPr>
        <w:t>edetát, polysor</w:t>
      </w:r>
      <w:r w:rsidR="003E684C" w:rsidRPr="00381DC2">
        <w:rPr>
          <w:rFonts w:ascii="Times New Roman" w:eastAsia="Times New Roman" w:hAnsi="Times New Roman"/>
          <w:bCs/>
          <w:color w:val="000000"/>
        </w:rPr>
        <w:t xml:space="preserve">bát 80, hydroxid sodný, voda </w:t>
      </w:r>
      <w:r w:rsidR="00E756C9" w:rsidRPr="00381DC2">
        <w:rPr>
          <w:rFonts w:ascii="Times New Roman" w:eastAsia="Times New Roman" w:hAnsi="Times New Roman"/>
          <w:bCs/>
          <w:color w:val="000000"/>
        </w:rPr>
        <w:t>pro</w:t>
      </w:r>
      <w:r w:rsidRPr="00381DC2">
        <w:rPr>
          <w:rFonts w:ascii="Times New Roman" w:eastAsia="Times New Roman" w:hAnsi="Times New Roman"/>
          <w:bCs/>
          <w:color w:val="000000"/>
        </w:rPr>
        <w:t xml:space="preserve"> injekc</w:t>
      </w:r>
      <w:r w:rsidR="003E684C" w:rsidRPr="00381DC2">
        <w:rPr>
          <w:rFonts w:ascii="Times New Roman" w:eastAsia="Times New Roman" w:hAnsi="Times New Roman"/>
          <w:bCs/>
          <w:color w:val="000000"/>
        </w:rPr>
        <w:t>i</w:t>
      </w:r>
      <w:r w:rsidRPr="00381DC2">
        <w:rPr>
          <w:rFonts w:ascii="Times New Roman" w:eastAsia="Times New Roman" w:hAnsi="Times New Roman"/>
          <w:bCs/>
          <w:color w:val="000000"/>
        </w:rPr>
        <w:t>.</w:t>
      </w:r>
    </w:p>
    <w:p w14:paraId="5DFD648F" w14:textId="77777777" w:rsidR="00433E0A" w:rsidRPr="00381DC2" w:rsidRDefault="00433E0A" w:rsidP="00433E0A">
      <w:pPr>
        <w:rPr>
          <w:rFonts w:ascii="Times New Roman" w:eastAsia="Times New Roman" w:hAnsi="Times New Roman"/>
          <w:bCs/>
          <w:color w:val="000000"/>
        </w:rPr>
      </w:pPr>
    </w:p>
    <w:p w14:paraId="5D07B663" w14:textId="77777777" w:rsidR="00433E0A" w:rsidRPr="00381DC2" w:rsidRDefault="00433E0A" w:rsidP="00433E0A">
      <w:pPr>
        <w:rPr>
          <w:rFonts w:ascii="Times New Roman" w:eastAsia="Times New Roman" w:hAnsi="Times New Roman"/>
          <w:bCs/>
          <w:color w:val="000000"/>
        </w:rPr>
      </w:pPr>
    </w:p>
    <w:p w14:paraId="0BECD826" w14:textId="2408A070"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6E04351C" wp14:editId="04BB646F">
                <wp:extent cx="5897880" cy="167640"/>
                <wp:effectExtent l="0" t="0" r="7620" b="3810"/>
                <wp:docPr id="46"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810D27"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4.</w:t>
                            </w:r>
                            <w:r>
                              <w:tab/>
                            </w:r>
                            <w:r w:rsidRPr="00AE6657">
                              <w:rPr>
                                <w:rFonts w:ascii="Times New Roman" w:hAnsi="Times New Roman"/>
                                <w:b/>
                                <w:spacing w:val="-2"/>
                              </w:rPr>
                              <w:t>LÉKOVÁ FORMA A OBSAH BALENÍ</w:t>
                            </w:r>
                          </w:p>
                          <w:p w14:paraId="49E273A0"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6E04351C" id="Text Box 154" o:spid="_x0000_s105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GNh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IzS3LV0DySYAiTIekBUdAD/uZsIDNWPPzaC1ScmU+ORE/OPQV4CupTIJykoxWPnE3h&#10;Lk4O33vUXU/I01gd3NBgWp01e+7i2C8ZLEt5fAzJwS/3uer5yW6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Ao6GNhDwIA&#10;APoDAAAOAAAAAAAAAAAAAAAAAC4CAABkcnMvZTJvRG9jLnhtbFBLAQItABQABgAIAAAAIQADFS6c&#10;3AAAAAQBAAAPAAAAAAAAAAAAAAAAAGkEAABkcnMvZG93bnJldi54bWxQSwUGAAAAAAQABADzAAAA&#10;cgUAAAAA&#10;" filled="f" strokeweight=".20497mm">
                <v:textbox inset="0,0,0,0">
                  <w:txbxContent>
                    <w:p w14:paraId="38810D27"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4.</w:t>
                      </w:r>
                      <w:r>
                        <w:tab/>
                      </w:r>
                      <w:r w:rsidRPr="00AE6657">
                        <w:rPr>
                          <w:rFonts w:ascii="Times New Roman" w:hAnsi="Times New Roman"/>
                          <w:b/>
                          <w:spacing w:val="-2"/>
                        </w:rPr>
                        <w:t>LÉKOVÁ FORMA A OBSAH BALENÍ</w:t>
                      </w:r>
                    </w:p>
                    <w:p w14:paraId="49E273A0"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182CD7AA" w14:textId="77777777" w:rsidR="00433E0A" w:rsidRPr="00381DC2" w:rsidRDefault="00433E0A" w:rsidP="00433E0A">
      <w:pPr>
        <w:rPr>
          <w:rFonts w:ascii="Times New Roman" w:eastAsia="Times New Roman" w:hAnsi="Times New Roman"/>
          <w:bCs/>
          <w:color w:val="000000"/>
        </w:rPr>
      </w:pPr>
    </w:p>
    <w:p w14:paraId="0B5A4E88"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 xml:space="preserve">Koncentrát pro infuzní roztok </w:t>
      </w:r>
    </w:p>
    <w:p w14:paraId="22836C9C"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1 injekční lahvička s objemem 16 ml</w:t>
      </w:r>
    </w:p>
    <w:p w14:paraId="26EA4ECD"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400 mg/16 ml</w:t>
      </w:r>
    </w:p>
    <w:p w14:paraId="05DDD5CF" w14:textId="77777777" w:rsidR="00433E0A" w:rsidRPr="00381DC2" w:rsidRDefault="00433E0A" w:rsidP="00433E0A">
      <w:pPr>
        <w:rPr>
          <w:rFonts w:ascii="Times New Roman" w:eastAsia="Times New Roman" w:hAnsi="Times New Roman"/>
          <w:bCs/>
          <w:color w:val="000000"/>
        </w:rPr>
      </w:pPr>
    </w:p>
    <w:p w14:paraId="2A6016AE" w14:textId="77777777" w:rsidR="00433E0A" w:rsidRPr="00381DC2" w:rsidRDefault="00433E0A" w:rsidP="00433E0A">
      <w:pPr>
        <w:rPr>
          <w:rFonts w:ascii="Times New Roman" w:eastAsia="Times New Roman" w:hAnsi="Times New Roman"/>
          <w:bCs/>
          <w:color w:val="000000"/>
        </w:rPr>
      </w:pPr>
    </w:p>
    <w:p w14:paraId="4352D8B1" w14:textId="53918EE3"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32766DFB" wp14:editId="07689E67">
                <wp:extent cx="5897880" cy="167640"/>
                <wp:effectExtent l="0" t="0" r="7620" b="3810"/>
                <wp:docPr id="45"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BBA9CDE"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5.</w:t>
                            </w:r>
                            <w:r>
                              <w:tab/>
                            </w:r>
                            <w:r w:rsidRPr="00AE6657">
                              <w:rPr>
                                <w:rFonts w:ascii="Times New Roman" w:hAnsi="Times New Roman"/>
                                <w:b/>
                                <w:spacing w:val="-1"/>
                              </w:rPr>
                              <w:t>ZPŮSOB A CESTA/CESTY PODÁNÍ</w:t>
                            </w:r>
                          </w:p>
                          <w:p w14:paraId="7120E9F4"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32766DFB" id="Text Box 153" o:spid="_x0000_s105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k0DwIAAPoDAAAOAAAAZHJzL2Uyb0RvYy54bWysU8tu2zAQvBfoPxC817KT1n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XbPJVClKfTHkP8qMCyFFQcaagZXRzuQ0zdiPJUki5zcKeNyYM1jg0V&#10;X12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bGsk0DwIA&#10;APoDAAAOAAAAAAAAAAAAAAAAAC4CAABkcnMvZTJvRG9jLnhtbFBLAQItABQABgAIAAAAIQADFS6c&#10;3AAAAAQBAAAPAAAAAAAAAAAAAAAAAGkEAABkcnMvZG93bnJldi54bWxQSwUGAAAAAAQABADzAAAA&#10;cgUAAAAA&#10;" filled="f" strokeweight=".20497mm">
                <v:textbox inset="0,0,0,0">
                  <w:txbxContent>
                    <w:p w14:paraId="6BBA9CDE"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5.</w:t>
                      </w:r>
                      <w:r>
                        <w:tab/>
                      </w:r>
                      <w:r w:rsidRPr="00AE6657">
                        <w:rPr>
                          <w:rFonts w:ascii="Times New Roman" w:hAnsi="Times New Roman"/>
                          <w:b/>
                          <w:spacing w:val="-1"/>
                        </w:rPr>
                        <w:t>ZPŮSOB A CESTA/CESTY PODÁNÍ</w:t>
                      </w:r>
                    </w:p>
                    <w:p w14:paraId="7120E9F4"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5C4FE314" w14:textId="77777777" w:rsidR="00433E0A" w:rsidRPr="00381DC2" w:rsidRDefault="00433E0A" w:rsidP="00433E0A">
      <w:pPr>
        <w:rPr>
          <w:rFonts w:ascii="Times New Roman" w:eastAsia="Times New Roman" w:hAnsi="Times New Roman"/>
          <w:bCs/>
          <w:color w:val="000000"/>
        </w:rPr>
      </w:pPr>
    </w:p>
    <w:p w14:paraId="7FC75BDD" w14:textId="77777777" w:rsidR="00433E0A" w:rsidRPr="00381DC2" w:rsidRDefault="00E756C9" w:rsidP="00433E0A">
      <w:pPr>
        <w:rPr>
          <w:rFonts w:ascii="Times New Roman" w:eastAsia="Times New Roman" w:hAnsi="Times New Roman"/>
          <w:bCs/>
          <w:color w:val="000000"/>
        </w:rPr>
      </w:pPr>
      <w:r w:rsidRPr="00381DC2">
        <w:rPr>
          <w:rFonts w:ascii="Times New Roman" w:eastAsia="Times New Roman" w:hAnsi="Times New Roman"/>
          <w:bCs/>
          <w:color w:val="000000"/>
        </w:rPr>
        <w:t>I</w:t>
      </w:r>
      <w:r w:rsidR="00433E0A" w:rsidRPr="00381DC2">
        <w:rPr>
          <w:rFonts w:ascii="Times New Roman" w:eastAsia="Times New Roman" w:hAnsi="Times New Roman"/>
          <w:bCs/>
          <w:color w:val="000000"/>
        </w:rPr>
        <w:t xml:space="preserve">ntravenózní </w:t>
      </w:r>
      <w:r w:rsidR="00113343" w:rsidRPr="00381DC2">
        <w:rPr>
          <w:rFonts w:ascii="Times New Roman" w:eastAsia="Times New Roman" w:hAnsi="Times New Roman"/>
          <w:bCs/>
          <w:color w:val="000000"/>
        </w:rPr>
        <w:t xml:space="preserve">podání </w:t>
      </w:r>
      <w:r w:rsidR="00433E0A" w:rsidRPr="00381DC2">
        <w:rPr>
          <w:rFonts w:ascii="Times New Roman" w:eastAsia="Times New Roman" w:hAnsi="Times New Roman"/>
          <w:bCs/>
          <w:color w:val="000000"/>
        </w:rPr>
        <w:t xml:space="preserve">po naředění </w:t>
      </w:r>
    </w:p>
    <w:p w14:paraId="1E1C392E"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Před použitím si přečtěte příbalovou informaci.</w:t>
      </w:r>
    </w:p>
    <w:p w14:paraId="3BCA51FC" w14:textId="77777777" w:rsidR="00433E0A" w:rsidRPr="00381DC2" w:rsidRDefault="00433E0A" w:rsidP="00433E0A">
      <w:pPr>
        <w:rPr>
          <w:rFonts w:ascii="Times New Roman" w:eastAsia="Times New Roman" w:hAnsi="Times New Roman"/>
          <w:bCs/>
          <w:color w:val="000000"/>
        </w:rPr>
      </w:pPr>
    </w:p>
    <w:p w14:paraId="5BB7F3D5" w14:textId="77777777" w:rsidR="00433E0A" w:rsidRPr="00381DC2" w:rsidRDefault="00433E0A" w:rsidP="00433E0A">
      <w:pPr>
        <w:rPr>
          <w:rFonts w:ascii="Times New Roman" w:eastAsia="Times New Roman" w:hAnsi="Times New Roman"/>
          <w:bCs/>
          <w:color w:val="000000"/>
        </w:rPr>
      </w:pPr>
    </w:p>
    <w:p w14:paraId="3B121090" w14:textId="1B3A1BC9"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g">
            <w:drawing>
              <wp:inline distT="0" distB="0" distL="0" distR="0" wp14:anchorId="046604F0" wp14:editId="684E3452">
                <wp:extent cx="5911850" cy="335280"/>
                <wp:effectExtent l="0" t="0" r="0" b="0"/>
                <wp:docPr id="3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0" cy="335280"/>
                          <a:chOff x="0" y="0"/>
                          <a:chExt cx="9310" cy="528"/>
                        </a:xfrm>
                      </wpg:grpSpPr>
                      <wpg:grpSp>
                        <wpg:cNvPr id="35" name="Group 35"/>
                        <wpg:cNvGrpSpPr>
                          <a:grpSpLocks/>
                        </wpg:cNvGrpSpPr>
                        <wpg:grpSpPr bwMode="auto">
                          <a:xfrm>
                            <a:off x="6" y="6"/>
                            <a:ext cx="9298" cy="2"/>
                            <a:chOff x="6" y="6"/>
                            <a:chExt cx="9298" cy="2"/>
                          </a:xfrm>
                        </wpg:grpSpPr>
                        <wps:wsp>
                          <wps:cNvPr id="36" name="Freeform 36"/>
                          <wps:cNvSpPr>
                            <a:spLocks/>
                          </wps:cNvSpPr>
                          <wps:spPr bwMode="auto">
                            <a:xfrm>
                              <a:off x="6" y="6"/>
                              <a:ext cx="9298" cy="2"/>
                            </a:xfrm>
                            <a:custGeom>
                              <a:avLst/>
                              <a:gdLst>
                                <a:gd name="T0" fmla="+- 0 6 6"/>
                                <a:gd name="T1" fmla="*/ T0 w 9298"/>
                                <a:gd name="T2" fmla="+- 0 9303 6"/>
                                <a:gd name="T3" fmla="*/ T2 w 9298"/>
                              </a:gdLst>
                              <a:ahLst/>
                              <a:cxnLst>
                                <a:cxn ang="0">
                                  <a:pos x="T1" y="0"/>
                                </a:cxn>
                                <a:cxn ang="0">
                                  <a:pos x="T3" y="0"/>
                                </a:cxn>
                              </a:cxnLst>
                              <a:rect l="0" t="0" r="r" b="b"/>
                              <a:pathLst>
                                <a:path w="9298">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33"/>
                        <wpg:cNvGrpSpPr>
                          <a:grpSpLocks/>
                        </wpg:cNvGrpSpPr>
                        <wpg:grpSpPr bwMode="auto">
                          <a:xfrm>
                            <a:off x="11" y="11"/>
                            <a:ext cx="2" cy="507"/>
                            <a:chOff x="11" y="11"/>
                            <a:chExt cx="2" cy="507"/>
                          </a:xfrm>
                        </wpg:grpSpPr>
                        <wps:wsp>
                          <wps:cNvPr id="38" name="Freeform 34"/>
                          <wps:cNvSpPr>
                            <a:spLocks/>
                          </wps:cNvSpPr>
                          <wps:spPr bwMode="auto">
                            <a:xfrm>
                              <a:off x="11" y="11"/>
                              <a:ext cx="2" cy="507"/>
                            </a:xfrm>
                            <a:custGeom>
                              <a:avLst/>
                              <a:gdLst>
                                <a:gd name="T0" fmla="+- 0 11 11"/>
                                <a:gd name="T1" fmla="*/ 11 h 507"/>
                                <a:gd name="T2" fmla="+- 0 517 11"/>
                                <a:gd name="T3" fmla="*/ 517 h 507"/>
                              </a:gdLst>
                              <a:ahLst/>
                              <a:cxnLst>
                                <a:cxn ang="0">
                                  <a:pos x="0" y="T1"/>
                                </a:cxn>
                                <a:cxn ang="0">
                                  <a:pos x="0" y="T3"/>
                                </a:cxn>
                              </a:cxnLst>
                              <a:rect l="0" t="0" r="r" b="b"/>
                              <a:pathLst>
                                <a:path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31"/>
                        <wpg:cNvGrpSpPr>
                          <a:grpSpLocks/>
                        </wpg:cNvGrpSpPr>
                        <wpg:grpSpPr bwMode="auto">
                          <a:xfrm>
                            <a:off x="6" y="522"/>
                            <a:ext cx="9298" cy="2"/>
                            <a:chOff x="6" y="522"/>
                            <a:chExt cx="9298" cy="2"/>
                          </a:xfrm>
                        </wpg:grpSpPr>
                        <wps:wsp>
                          <wps:cNvPr id="40" name="Freeform 32"/>
                          <wps:cNvSpPr>
                            <a:spLocks/>
                          </wps:cNvSpPr>
                          <wps:spPr bwMode="auto">
                            <a:xfrm>
                              <a:off x="6" y="522"/>
                              <a:ext cx="9298" cy="2"/>
                            </a:xfrm>
                            <a:custGeom>
                              <a:avLst/>
                              <a:gdLst>
                                <a:gd name="T0" fmla="+- 0 6 6"/>
                                <a:gd name="T1" fmla="*/ T0 w 9298"/>
                                <a:gd name="T2" fmla="+- 0 9303 6"/>
                                <a:gd name="T3" fmla="*/ T2 w 9298"/>
                              </a:gdLst>
                              <a:ahLst/>
                              <a:cxnLst>
                                <a:cxn ang="0">
                                  <a:pos x="T1" y="0"/>
                                </a:cxn>
                                <a:cxn ang="0">
                                  <a:pos x="T3" y="0"/>
                                </a:cxn>
                              </a:cxnLst>
                              <a:rect l="0" t="0" r="r" b="b"/>
                              <a:pathLst>
                                <a:path w="9298">
                                  <a:moveTo>
                                    <a:pt x="0" y="0"/>
                                  </a:moveTo>
                                  <a:lnTo>
                                    <a:pt x="92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27"/>
                        <wpg:cNvGrpSpPr>
                          <a:grpSpLocks/>
                        </wpg:cNvGrpSpPr>
                        <wpg:grpSpPr bwMode="auto">
                          <a:xfrm>
                            <a:off x="9299" y="11"/>
                            <a:ext cx="2" cy="507"/>
                            <a:chOff x="9299" y="11"/>
                            <a:chExt cx="2" cy="507"/>
                          </a:xfrm>
                        </wpg:grpSpPr>
                        <wps:wsp>
                          <wps:cNvPr id="42" name="Freeform 30"/>
                          <wps:cNvSpPr>
                            <a:spLocks/>
                          </wps:cNvSpPr>
                          <wps:spPr bwMode="auto">
                            <a:xfrm>
                              <a:off x="9299" y="11"/>
                              <a:ext cx="2" cy="507"/>
                            </a:xfrm>
                            <a:custGeom>
                              <a:avLst/>
                              <a:gdLst>
                                <a:gd name="T0" fmla="+- 0 11 11"/>
                                <a:gd name="T1" fmla="*/ 11 h 507"/>
                                <a:gd name="T2" fmla="+- 0 517 11"/>
                                <a:gd name="T3" fmla="*/ 517 h 507"/>
                              </a:gdLst>
                              <a:ahLst/>
                              <a:cxnLst>
                                <a:cxn ang="0">
                                  <a:pos x="0" y="T1"/>
                                </a:cxn>
                                <a:cxn ang="0">
                                  <a:pos x="0" y="T3"/>
                                </a:cxn>
                              </a:cxnLst>
                              <a:rect l="0" t="0" r="r" b="b"/>
                              <a:pathLst>
                                <a:path h="507">
                                  <a:moveTo>
                                    <a:pt x="0" y="0"/>
                                  </a:moveTo>
                                  <a:lnTo>
                                    <a:pt x="0" y="506"/>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Text Box 29"/>
                          <wps:cNvSpPr txBox="1">
                            <a:spLocks noChangeArrowheads="1"/>
                          </wps:cNvSpPr>
                          <wps:spPr bwMode="auto">
                            <a:xfrm>
                              <a:off x="119" y="37"/>
                              <a:ext cx="1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D6C0B" w14:textId="77777777" w:rsidR="00AB7DC1" w:rsidRDefault="00AB7DC1" w:rsidP="00433E0A">
                                <w:pPr>
                                  <w:spacing w:line="221" w:lineRule="exact"/>
                                  <w:rPr>
                                    <w:rFonts w:ascii="Times New Roman" w:eastAsia="Times New Roman" w:hAnsi="Times New Roman"/>
                                  </w:rPr>
                                </w:pPr>
                                <w:r>
                                  <w:rPr>
                                    <w:rFonts w:ascii="Times New Roman"/>
                                    <w:b/>
                                  </w:rPr>
                                  <w:t>6.</w:t>
                                </w:r>
                              </w:p>
                            </w:txbxContent>
                          </wps:txbx>
                          <wps:bodyPr rot="0" vert="horz" wrap="square" lIns="0" tIns="0" rIns="0" bIns="0" anchor="t" anchorCtr="0" upright="1">
                            <a:noAutofit/>
                          </wps:bodyPr>
                        </wps:wsp>
                        <wps:wsp>
                          <wps:cNvPr id="44" name="Text Box 28"/>
                          <wps:cNvSpPr txBox="1">
                            <a:spLocks noChangeArrowheads="1"/>
                          </wps:cNvSpPr>
                          <wps:spPr bwMode="auto">
                            <a:xfrm>
                              <a:off x="685" y="37"/>
                              <a:ext cx="8355" cy="4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5FAD2" w14:textId="77777777" w:rsidR="00AB7DC1" w:rsidRPr="007A269F" w:rsidRDefault="00AB7DC1" w:rsidP="00CC0FAB">
                                <w:pPr>
                                  <w:spacing w:line="225" w:lineRule="exact"/>
                                  <w:rPr>
                                    <w:rFonts w:ascii="Times New Roman" w:eastAsia="Times New Roman" w:hAnsi="Times New Roman"/>
                                  </w:rPr>
                                </w:pPr>
                                <w:r w:rsidRPr="00AE6657">
                                  <w:rPr>
                                    <w:rFonts w:ascii="Times New Roman" w:hAnsi="Times New Roman"/>
                                    <w:b/>
                                    <w:spacing w:val="-1"/>
                                  </w:rPr>
                                  <w:t>ZVLÁŠTNÍ UPOZORNĚNÍ, ŽE LÉČIVÝ PŘÍPRAVEK MUSÍ BÝT UCHOVÁVÁN MIMO</w:t>
                                </w:r>
                                <w:r>
                                  <w:rPr>
                                    <w:rFonts w:ascii="Times New Roman" w:hAnsi="Times New Roman"/>
                                    <w:b/>
                                    <w:spacing w:val="-1"/>
                                  </w:rPr>
                                  <w:t xml:space="preserve"> DOHLED A DOSAH DĚTÍ</w:t>
                                </w:r>
                              </w:p>
                            </w:txbxContent>
                          </wps:txbx>
                          <wps:bodyPr rot="0" vert="horz" wrap="square" lIns="0" tIns="0" rIns="0" bIns="0" anchor="t" anchorCtr="0" upright="1">
                            <a:noAutofit/>
                          </wps:bodyPr>
                        </wps:wsp>
                      </wpg:grpSp>
                    </wpg:wgp>
                  </a:graphicData>
                </a:graphic>
              </wp:inline>
            </w:drawing>
          </mc:Choice>
          <mc:Fallback>
            <w:pict>
              <v:group w14:anchorId="046604F0" id="Group 26" o:spid="_x0000_s1058" style="width:465.5pt;height:26.4pt;mso-position-horizontal-relative:char;mso-position-vertical-relative:line" coordsize="931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">
                <v:group id="Group 35" o:spid="_x0000_s1059" style="position:absolute;left:6;top:6;width:9298;height:2" coordorigin="6,6"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6" o:spid="_x0000_s1060" style="position:absolute;left:6;top:6;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" path="m,l9297,e" filled="f" strokeweight=".58pt">
                    <v:path arrowok="t" o:connecttype="custom" o:connectlocs="0,0;9297,0" o:connectangles="0,0"/>
                  </v:shape>
                </v:group>
                <v:group id="Group 33" o:spid="_x0000_s1061" style="position:absolute;left:11;top:11;width:2;height:507" coordorigin="11,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4" o:spid="_x0000_s1062" style="position:absolute;left:11;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" path="m,l,506e" filled="f" strokeweight=".20497mm">
                    <v:path arrowok="t" o:connecttype="custom" o:connectlocs="0,11;0,517" o:connectangles="0,0"/>
                  </v:shape>
                </v:group>
                <v:group id="Group 31" o:spid="_x0000_s1063" style="position:absolute;left:6;top:522;width:9298;height:2" coordorigin="6,522"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2" o:spid="_x0000_s1064" style="position:absolute;left:6;top:522;width:9298;height:2;visibility:visible;mso-wrap-style:square;v-text-anchor:top" coordsize="9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" path="m,l9297,e" filled="f" strokeweight=".58pt">
                    <v:path arrowok="t" o:connecttype="custom" o:connectlocs="0,0;9297,0" o:connectangles="0,0"/>
                  </v:shape>
                </v:group>
                <v:group id="Group 27" o:spid="_x0000_s1065" style="position:absolute;left:9299;top:11;width:2;height:507" coordorigin="9299,11"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30" o:spid="_x0000_s1066" style="position:absolute;left:9299;top:11;width:2;height:507;visibility:visible;mso-wrap-style:square;v-text-anchor:top" coordsize="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" path="m,l,506e" filled="f" strokeweight=".20497mm">
                    <v:path arrowok="t" o:connecttype="custom" o:connectlocs="0,11;0,517" o:connectangles="0,0"/>
                  </v:shape>
                  <v:shape id="Text Box 29" o:spid="_x0000_s1067" type="#_x0000_t202" style="position:absolute;left:119;top:37;width:1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DDD6C0B" w14:textId="77777777" w:rsidR="00AB7DC1" w:rsidRDefault="00AB7DC1" w:rsidP="00433E0A">
                          <w:pPr>
                            <w:spacing w:line="221" w:lineRule="exact"/>
                            <w:rPr>
                              <w:rFonts w:ascii="Times New Roman" w:eastAsia="Times New Roman" w:hAnsi="Times New Roman"/>
                            </w:rPr>
                          </w:pPr>
                          <w:r>
                            <w:rPr>
                              <w:rFonts w:ascii="Times New Roman"/>
                              <w:b/>
                            </w:rPr>
                            <w:t>6.</w:t>
                          </w:r>
                        </w:p>
                      </w:txbxContent>
                    </v:textbox>
                  </v:shape>
                  <v:shape id="Text Box 28" o:spid="_x0000_s1068" type="#_x0000_t202" style="position:absolute;left:685;top:37;width:8355;height: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4525FAD2" w14:textId="77777777" w:rsidR="00AB7DC1" w:rsidRPr="007A269F" w:rsidRDefault="00AB7DC1" w:rsidP="00CC0FAB">
                          <w:pPr>
                            <w:spacing w:line="225" w:lineRule="exact"/>
                            <w:rPr>
                              <w:rFonts w:ascii="Times New Roman" w:eastAsia="Times New Roman" w:hAnsi="Times New Roman"/>
                            </w:rPr>
                          </w:pPr>
                          <w:r w:rsidRPr="00AE6657">
                            <w:rPr>
                              <w:rFonts w:ascii="Times New Roman" w:hAnsi="Times New Roman"/>
                              <w:b/>
                              <w:spacing w:val="-1"/>
                            </w:rPr>
                            <w:t>ZVLÁŠTNÍ UPOZORNĚNÍ, ŽE LÉČIVÝ PŘÍPRAVEK MUSÍ BÝT UCHOVÁVÁN MIMO</w:t>
                          </w:r>
                          <w:r>
                            <w:rPr>
                              <w:rFonts w:ascii="Times New Roman" w:hAnsi="Times New Roman"/>
                              <w:b/>
                              <w:spacing w:val="-1"/>
                            </w:rPr>
                            <w:t xml:space="preserve"> DOHLED A DOSAH DĚTÍ</w:t>
                          </w:r>
                        </w:p>
                      </w:txbxContent>
                    </v:textbox>
                  </v:shape>
                </v:group>
                <w10:anchorlock/>
              </v:group>
            </w:pict>
          </mc:Fallback>
        </mc:AlternateContent>
      </w:r>
    </w:p>
    <w:p w14:paraId="3F124A84" w14:textId="77777777" w:rsidR="00433E0A" w:rsidRPr="00381DC2" w:rsidRDefault="00433E0A" w:rsidP="00433E0A">
      <w:pPr>
        <w:rPr>
          <w:rFonts w:ascii="Times New Roman" w:eastAsia="Times New Roman" w:hAnsi="Times New Roman"/>
          <w:bCs/>
          <w:color w:val="000000"/>
        </w:rPr>
      </w:pPr>
    </w:p>
    <w:p w14:paraId="3BC17A80"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Uchovávejte mimo dohled a dosah dětí.</w:t>
      </w:r>
    </w:p>
    <w:p w14:paraId="08856475" w14:textId="77777777" w:rsidR="00433E0A" w:rsidRPr="00381DC2" w:rsidRDefault="00433E0A" w:rsidP="00433E0A">
      <w:pPr>
        <w:rPr>
          <w:rFonts w:ascii="Times New Roman" w:eastAsia="Times New Roman" w:hAnsi="Times New Roman"/>
          <w:bCs/>
          <w:color w:val="000000"/>
        </w:rPr>
      </w:pPr>
    </w:p>
    <w:p w14:paraId="006B9BD3" w14:textId="77777777" w:rsidR="00433E0A" w:rsidRPr="00381DC2" w:rsidRDefault="00433E0A" w:rsidP="00433E0A">
      <w:pPr>
        <w:rPr>
          <w:rFonts w:ascii="Times New Roman" w:eastAsia="Times New Roman" w:hAnsi="Times New Roman"/>
          <w:bCs/>
          <w:color w:val="000000"/>
        </w:rPr>
      </w:pPr>
    </w:p>
    <w:p w14:paraId="3B458D6C" w14:textId="7115427E"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58D81AFE" wp14:editId="52A723CD">
                <wp:extent cx="5897880" cy="166370"/>
                <wp:effectExtent l="0" t="0" r="7620" b="5080"/>
                <wp:docPr id="3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8FB999" w14:textId="77777777" w:rsidR="00AB7DC1" w:rsidRDefault="00AB7DC1" w:rsidP="00E7038C">
                            <w:pPr>
                              <w:tabs>
                                <w:tab w:val="left" w:pos="668"/>
                              </w:tabs>
                              <w:spacing w:line="250" w:lineRule="exact"/>
                              <w:ind w:left="102"/>
                              <w:rPr>
                                <w:rFonts w:ascii="Times New Roman" w:eastAsia="Times New Roman" w:hAnsi="Times New Roman"/>
                              </w:rPr>
                            </w:pPr>
                            <w:r>
                              <w:rPr>
                                <w:rFonts w:ascii="Times New Roman"/>
                                <w:b/>
                              </w:rPr>
                              <w:t>7.</w:t>
                            </w:r>
                            <w:r>
                              <w:tab/>
                            </w:r>
                            <w:r w:rsidRPr="00AE6657">
                              <w:rPr>
                                <w:rFonts w:ascii="Times New Roman" w:hAnsi="Times New Roman"/>
                                <w:b/>
                              </w:rPr>
                              <w:t>DALŠÍ ZVLÁŠTNÍ UPOZORNĚNÍ, POKUD JE POTŘEBNÉ</w:t>
                            </w:r>
                          </w:p>
                          <w:p w14:paraId="6CD0136C" w14:textId="77777777" w:rsidR="00AB7DC1" w:rsidRDefault="00AB7DC1" w:rsidP="00433E0A">
                            <w:pPr>
                              <w:tabs>
                                <w:tab w:val="left" w:pos="668"/>
                              </w:tabs>
                              <w:spacing w:line="250"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58D81AFE" id="Text Box 152" o:spid="_x0000_s1069"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" filled="f" strokeweight=".20497mm">
                <v:textbox inset="0,0,0,0">
                  <w:txbxContent>
                    <w:p w14:paraId="688FB999" w14:textId="77777777" w:rsidR="00AB7DC1" w:rsidRDefault="00AB7DC1" w:rsidP="00E7038C">
                      <w:pPr>
                        <w:tabs>
                          <w:tab w:val="left" w:pos="668"/>
                        </w:tabs>
                        <w:spacing w:line="250" w:lineRule="exact"/>
                        <w:ind w:left="102"/>
                        <w:rPr>
                          <w:rFonts w:ascii="Times New Roman" w:eastAsia="Times New Roman" w:hAnsi="Times New Roman"/>
                        </w:rPr>
                      </w:pPr>
                      <w:r>
                        <w:rPr>
                          <w:rFonts w:ascii="Times New Roman"/>
                          <w:b/>
                        </w:rPr>
                        <w:t>7.</w:t>
                      </w:r>
                      <w:r>
                        <w:tab/>
                      </w:r>
                      <w:r w:rsidRPr="00AE6657">
                        <w:rPr>
                          <w:rFonts w:ascii="Times New Roman" w:hAnsi="Times New Roman"/>
                          <w:b/>
                        </w:rPr>
                        <w:t>DALŠÍ ZVLÁŠTNÍ UPOZORNĚNÍ, POKUD JE POTŘEBNÉ</w:t>
                      </w:r>
                    </w:p>
                    <w:p w14:paraId="6CD0136C" w14:textId="77777777" w:rsidR="00AB7DC1" w:rsidRDefault="00AB7DC1" w:rsidP="00433E0A">
                      <w:pPr>
                        <w:tabs>
                          <w:tab w:val="left" w:pos="668"/>
                        </w:tabs>
                        <w:spacing w:line="250" w:lineRule="exact"/>
                        <w:ind w:left="102"/>
                        <w:rPr>
                          <w:rFonts w:ascii="Times New Roman" w:eastAsia="Times New Roman" w:hAnsi="Times New Roman"/>
                        </w:rPr>
                      </w:pPr>
                    </w:p>
                  </w:txbxContent>
                </v:textbox>
                <w10:anchorlock/>
              </v:shape>
            </w:pict>
          </mc:Fallback>
        </mc:AlternateContent>
      </w:r>
    </w:p>
    <w:p w14:paraId="764F42AC" w14:textId="77777777" w:rsidR="00433E0A" w:rsidRPr="00381DC2" w:rsidRDefault="00433E0A" w:rsidP="00433E0A">
      <w:pPr>
        <w:rPr>
          <w:rFonts w:ascii="Times New Roman" w:eastAsia="Times New Roman" w:hAnsi="Times New Roman"/>
          <w:bCs/>
          <w:color w:val="000000"/>
        </w:rPr>
      </w:pPr>
    </w:p>
    <w:p w14:paraId="59BDAF01" w14:textId="77777777" w:rsidR="00433E0A" w:rsidRPr="00381DC2" w:rsidRDefault="00433E0A" w:rsidP="00433E0A">
      <w:pPr>
        <w:rPr>
          <w:rFonts w:ascii="Times New Roman" w:eastAsia="Times New Roman" w:hAnsi="Times New Roman"/>
          <w:bCs/>
          <w:color w:val="000000"/>
        </w:rPr>
      </w:pPr>
    </w:p>
    <w:p w14:paraId="5CEF9034" w14:textId="47C59FE2"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759057C4" wp14:editId="2A2425A9">
                <wp:extent cx="5897880" cy="167640"/>
                <wp:effectExtent l="0" t="0" r="7620" b="3810"/>
                <wp:docPr id="32"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82762F"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8.</w:t>
                            </w:r>
                            <w:r>
                              <w:tab/>
                            </w:r>
                            <w:r w:rsidRPr="00AE6657">
                              <w:rPr>
                                <w:rFonts w:ascii="Times New Roman" w:hAnsi="Times New Roman"/>
                                <w:b/>
                                <w:spacing w:val="-1"/>
                              </w:rPr>
                              <w:t>POUŽITELNOS</w:t>
                            </w:r>
                            <w:r>
                              <w:rPr>
                                <w:rFonts w:ascii="Times New Roman"/>
                                <w:b/>
                                <w:spacing w:val="-1"/>
                              </w:rPr>
                              <w:t>T</w:t>
                            </w:r>
                          </w:p>
                          <w:p w14:paraId="04FC97D5"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759057C4" id="Text Box 151" o:spid="_x0000_s1070"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FtYTuRAC&#10;AAD6AwAADgAAAAAAAAAAAAAAAAAuAgAAZHJzL2Uyb0RvYy54bWxQSwECLQAUAAYACAAAACEAAxUu&#10;nNwAAAAEAQAADwAAAAAAAAAAAAAAAABqBAAAZHJzL2Rvd25yZXYueG1sUEsFBgAAAAAEAAQA8wAA&#10;AHMFAAAAAA==&#10;" filled="f" strokeweight=".20497mm">
                <v:textbox inset="0,0,0,0">
                  <w:txbxContent>
                    <w:p w14:paraId="0182762F"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8.</w:t>
                      </w:r>
                      <w:r>
                        <w:tab/>
                      </w:r>
                      <w:r w:rsidRPr="00AE6657">
                        <w:rPr>
                          <w:rFonts w:ascii="Times New Roman" w:hAnsi="Times New Roman"/>
                          <w:b/>
                          <w:spacing w:val="-1"/>
                        </w:rPr>
                        <w:t>POUŽITELNOS</w:t>
                      </w:r>
                      <w:r>
                        <w:rPr>
                          <w:rFonts w:ascii="Times New Roman"/>
                          <w:b/>
                          <w:spacing w:val="-1"/>
                        </w:rPr>
                        <w:t>T</w:t>
                      </w:r>
                    </w:p>
                    <w:p w14:paraId="04FC97D5"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6D7C08BC" w14:textId="77777777" w:rsidR="00433E0A" w:rsidRPr="00381DC2" w:rsidRDefault="00433E0A" w:rsidP="00433E0A">
      <w:pPr>
        <w:rPr>
          <w:rFonts w:ascii="Times New Roman" w:eastAsia="Times New Roman" w:hAnsi="Times New Roman"/>
          <w:bCs/>
          <w:color w:val="000000"/>
        </w:rPr>
      </w:pPr>
    </w:p>
    <w:p w14:paraId="4A67F913"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EXP</w:t>
      </w:r>
    </w:p>
    <w:p w14:paraId="11CB3395" w14:textId="77777777" w:rsidR="00433E0A" w:rsidRPr="00381DC2" w:rsidRDefault="00433E0A" w:rsidP="00433E0A">
      <w:pPr>
        <w:rPr>
          <w:rFonts w:ascii="Times New Roman" w:eastAsia="Times New Roman" w:hAnsi="Times New Roman"/>
          <w:bCs/>
          <w:color w:val="000000"/>
        </w:rPr>
      </w:pPr>
    </w:p>
    <w:p w14:paraId="3B86A143" w14:textId="77777777" w:rsidR="00433E0A" w:rsidRPr="00381DC2" w:rsidRDefault="00433E0A" w:rsidP="00433E0A">
      <w:pPr>
        <w:rPr>
          <w:rFonts w:ascii="Times New Roman" w:eastAsia="Times New Roman" w:hAnsi="Times New Roman"/>
          <w:bCs/>
          <w:color w:val="000000"/>
        </w:rPr>
      </w:pPr>
    </w:p>
    <w:p w14:paraId="36E561C7" w14:textId="5A96D269"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3D83DDB5" wp14:editId="6CD5A138">
                <wp:extent cx="5897880" cy="167640"/>
                <wp:effectExtent l="0" t="0" r="7620" b="3810"/>
                <wp:docPr id="31"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9E8CF8"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9.</w:t>
                            </w:r>
                            <w:r>
                              <w:tab/>
                            </w:r>
                            <w:r w:rsidRPr="00AE6657">
                              <w:rPr>
                                <w:rFonts w:ascii="Times New Roman" w:hAnsi="Times New Roman"/>
                                <w:b/>
                                <w:spacing w:val="-1"/>
                              </w:rPr>
                              <w:t>ZVLÁŠTNÍ PODMÍNKY PRO UCHOVÁVÁNÍ</w:t>
                            </w:r>
                          </w:p>
                          <w:p w14:paraId="1F92C3C3"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3D83DDB5" id="Text Box 150" o:spid="_x0000_s1071"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w8HsRxAC&#10;AAD6AwAADgAAAAAAAAAAAAAAAAAuAgAAZHJzL2Uyb0RvYy54bWxQSwECLQAUAAYACAAAACEAAxUu&#10;nNwAAAAEAQAADwAAAAAAAAAAAAAAAABqBAAAZHJzL2Rvd25yZXYueG1sUEsFBgAAAAAEAAQA8wAA&#10;AHMFAAAAAA==&#10;" filled="f" strokeweight=".20497mm">
                <v:textbox inset="0,0,0,0">
                  <w:txbxContent>
                    <w:p w14:paraId="2A9E8CF8"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9.</w:t>
                      </w:r>
                      <w:r>
                        <w:tab/>
                      </w:r>
                      <w:r w:rsidRPr="00AE6657">
                        <w:rPr>
                          <w:rFonts w:ascii="Times New Roman" w:hAnsi="Times New Roman"/>
                          <w:b/>
                          <w:spacing w:val="-1"/>
                        </w:rPr>
                        <w:t>ZVLÁŠTNÍ PODMÍNKY PRO UCHOVÁVÁNÍ</w:t>
                      </w:r>
                    </w:p>
                    <w:p w14:paraId="1F92C3C3"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18E4F25A" w14:textId="77777777" w:rsidR="00433E0A" w:rsidRPr="00381DC2" w:rsidRDefault="00433E0A" w:rsidP="00433E0A">
      <w:pPr>
        <w:rPr>
          <w:rFonts w:ascii="Times New Roman" w:eastAsia="Times New Roman" w:hAnsi="Times New Roman"/>
          <w:bCs/>
          <w:color w:val="000000"/>
        </w:rPr>
      </w:pPr>
    </w:p>
    <w:p w14:paraId="22321F1E"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 xml:space="preserve">Uchovávejte v chladničce. </w:t>
      </w:r>
    </w:p>
    <w:p w14:paraId="77E0931E"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Chraňte před mrazem.</w:t>
      </w:r>
    </w:p>
    <w:p w14:paraId="7D78E233"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Uchovávejte injekční lahvičku v krabičce, aby byl přípravek chráněn před světlem.</w:t>
      </w:r>
    </w:p>
    <w:p w14:paraId="218ACBEB" w14:textId="77777777" w:rsidR="00433E0A" w:rsidRDefault="00433E0A" w:rsidP="00433E0A">
      <w:pPr>
        <w:rPr>
          <w:rFonts w:ascii="Times New Roman" w:eastAsia="Times New Roman" w:hAnsi="Times New Roman"/>
          <w:bCs/>
          <w:color w:val="000000"/>
        </w:rPr>
      </w:pPr>
    </w:p>
    <w:p w14:paraId="78A1EEAA" w14:textId="77777777" w:rsidR="00CA111F" w:rsidRPr="00381DC2" w:rsidRDefault="00CA111F" w:rsidP="00433E0A">
      <w:pPr>
        <w:rPr>
          <w:rFonts w:ascii="Times New Roman" w:eastAsia="Times New Roman" w:hAnsi="Times New Roman"/>
          <w:bCs/>
          <w:color w:val="000000"/>
        </w:rPr>
      </w:pPr>
    </w:p>
    <w:p w14:paraId="64BDC6EB" w14:textId="58E69573"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w:lastRenderedPageBreak/>
        <mc:AlternateContent>
          <mc:Choice Requires="wps">
            <w:drawing>
              <wp:inline distT="0" distB="0" distL="0" distR="0" wp14:anchorId="06DD4AFD" wp14:editId="06ADE994">
                <wp:extent cx="5897880" cy="351155"/>
                <wp:effectExtent l="0" t="0" r="7620" b="0"/>
                <wp:docPr id="30"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35115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5F4BA3" w14:textId="77777777" w:rsidR="00AB7DC1" w:rsidRDefault="00AB7DC1" w:rsidP="00433E0A">
                            <w:pPr>
                              <w:tabs>
                                <w:tab w:val="left" w:pos="668"/>
                              </w:tabs>
                              <w:ind w:left="668" w:right="373" w:hanging="567"/>
                              <w:rPr>
                                <w:rFonts w:ascii="Times New Roman" w:eastAsia="Times New Roman" w:hAnsi="Times New Roman"/>
                              </w:rPr>
                            </w:pPr>
                            <w:r>
                              <w:rPr>
                                <w:rFonts w:ascii="Times New Roman"/>
                                <w:b/>
                              </w:rPr>
                              <w:t>10.</w:t>
                            </w:r>
                            <w:r>
                              <w:tab/>
                            </w:r>
                            <w:r w:rsidRPr="00AE6657">
                              <w:rPr>
                                <w:rFonts w:ascii="Times New Roman" w:hAnsi="Times New Roman"/>
                                <w:b/>
                                <w:spacing w:val="-1"/>
                              </w:rPr>
                              <w:t>ZVLÁŠTNÍ OPATŘENÍ PRO LIKVIDACI NEPOUŽITÝCH LÉČIVÝCH PŘÍPRAVKŮ NEBO ODPADU Z NICH, POKUD JE TO VHODNÉ</w:t>
                            </w:r>
                          </w:p>
                        </w:txbxContent>
                      </wps:txbx>
                      <wps:bodyPr rot="0" vert="horz" wrap="square" lIns="0" tIns="0" rIns="0" bIns="0" anchor="t" anchorCtr="0" upright="1">
                        <a:noAutofit/>
                      </wps:bodyPr>
                    </wps:wsp>
                  </a:graphicData>
                </a:graphic>
              </wp:inline>
            </w:drawing>
          </mc:Choice>
          <mc:Fallback>
            <w:pict>
              <v:shape w14:anchorId="06DD4AFD" id="Text Box 149" o:spid="_x0000_s1072" type="#_x0000_t202" style="width:464.4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" filled="f" strokeweight=".20497mm">
                <v:textbox inset="0,0,0,0">
                  <w:txbxContent>
                    <w:p w14:paraId="565F4BA3" w14:textId="77777777" w:rsidR="00AB7DC1" w:rsidRDefault="00AB7DC1" w:rsidP="00433E0A">
                      <w:pPr>
                        <w:tabs>
                          <w:tab w:val="left" w:pos="668"/>
                        </w:tabs>
                        <w:ind w:left="668" w:right="373" w:hanging="567"/>
                        <w:rPr>
                          <w:rFonts w:ascii="Times New Roman" w:eastAsia="Times New Roman" w:hAnsi="Times New Roman"/>
                        </w:rPr>
                      </w:pPr>
                      <w:r>
                        <w:rPr>
                          <w:rFonts w:ascii="Times New Roman"/>
                          <w:b/>
                        </w:rPr>
                        <w:t>10.</w:t>
                      </w:r>
                      <w:r>
                        <w:tab/>
                      </w:r>
                      <w:r w:rsidRPr="00AE6657">
                        <w:rPr>
                          <w:rFonts w:ascii="Times New Roman" w:hAnsi="Times New Roman"/>
                          <w:b/>
                          <w:spacing w:val="-1"/>
                        </w:rPr>
                        <w:t>ZVLÁŠTNÍ OPATŘENÍ PRO LIKVIDACI NEPOUŽITÝCH LÉČIVÝCH PŘÍPRAVKŮ NEBO ODPADU Z NICH, POKUD JE TO VHODNÉ</w:t>
                      </w:r>
                    </w:p>
                  </w:txbxContent>
                </v:textbox>
                <w10:anchorlock/>
              </v:shape>
            </w:pict>
          </mc:Fallback>
        </mc:AlternateContent>
      </w:r>
    </w:p>
    <w:p w14:paraId="5F850953" w14:textId="77777777" w:rsidR="00433E0A" w:rsidRPr="00381DC2" w:rsidRDefault="00433E0A" w:rsidP="00433E0A">
      <w:pPr>
        <w:rPr>
          <w:rFonts w:ascii="Times New Roman" w:eastAsia="Times New Roman" w:hAnsi="Times New Roman"/>
          <w:bCs/>
          <w:color w:val="000000"/>
        </w:rPr>
      </w:pPr>
    </w:p>
    <w:p w14:paraId="0DC39AD5" w14:textId="77777777" w:rsidR="00433E0A" w:rsidRPr="00381DC2" w:rsidRDefault="00433E0A" w:rsidP="00433E0A">
      <w:pPr>
        <w:rPr>
          <w:rFonts w:ascii="Times New Roman" w:eastAsia="Times New Roman" w:hAnsi="Times New Roman"/>
          <w:bCs/>
          <w:color w:val="000000"/>
        </w:rPr>
      </w:pPr>
    </w:p>
    <w:p w14:paraId="2417A384" w14:textId="010C7CBE"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72928467" wp14:editId="62D784BF">
                <wp:extent cx="5897880" cy="166370"/>
                <wp:effectExtent l="0" t="0" r="7620" b="5080"/>
                <wp:docPr id="29"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79F714" w14:textId="77777777" w:rsidR="00AB7DC1" w:rsidRDefault="00AB7DC1" w:rsidP="00E7038C">
                            <w:pPr>
                              <w:tabs>
                                <w:tab w:val="left" w:pos="668"/>
                              </w:tabs>
                              <w:spacing w:line="250" w:lineRule="exact"/>
                              <w:ind w:left="102"/>
                              <w:rPr>
                                <w:rFonts w:ascii="Times New Roman" w:eastAsia="Times New Roman" w:hAnsi="Times New Roman"/>
                              </w:rPr>
                            </w:pPr>
                            <w:r>
                              <w:rPr>
                                <w:rFonts w:ascii="Times New Roman"/>
                                <w:b/>
                              </w:rPr>
                              <w:t>11.</w:t>
                            </w:r>
                            <w:r>
                              <w:tab/>
                            </w:r>
                            <w:r w:rsidRPr="00AE6657">
                              <w:rPr>
                                <w:rFonts w:ascii="Times New Roman" w:hAnsi="Times New Roman"/>
                                <w:b/>
                                <w:spacing w:val="-1"/>
                              </w:rPr>
                              <w:t>NÁZEV A ADRESA DRŽITELE ROZHODNUTÍ O REGISTRACI</w:t>
                            </w:r>
                          </w:p>
                          <w:p w14:paraId="02088473" w14:textId="77777777" w:rsidR="00AB7DC1" w:rsidRDefault="00AB7DC1" w:rsidP="00433E0A">
                            <w:pPr>
                              <w:tabs>
                                <w:tab w:val="left" w:pos="668"/>
                              </w:tabs>
                              <w:spacing w:line="250"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72928467" id="Text Box 148" o:spid="_x0000_s1073"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" filled="f" strokeweight=".20497mm">
                <v:textbox inset="0,0,0,0">
                  <w:txbxContent>
                    <w:p w14:paraId="2079F714" w14:textId="77777777" w:rsidR="00AB7DC1" w:rsidRDefault="00AB7DC1" w:rsidP="00E7038C">
                      <w:pPr>
                        <w:tabs>
                          <w:tab w:val="left" w:pos="668"/>
                        </w:tabs>
                        <w:spacing w:line="250" w:lineRule="exact"/>
                        <w:ind w:left="102"/>
                        <w:rPr>
                          <w:rFonts w:ascii="Times New Roman" w:eastAsia="Times New Roman" w:hAnsi="Times New Roman"/>
                        </w:rPr>
                      </w:pPr>
                      <w:r>
                        <w:rPr>
                          <w:rFonts w:ascii="Times New Roman"/>
                          <w:b/>
                        </w:rPr>
                        <w:t>11.</w:t>
                      </w:r>
                      <w:r>
                        <w:tab/>
                      </w:r>
                      <w:r w:rsidRPr="00AE6657">
                        <w:rPr>
                          <w:rFonts w:ascii="Times New Roman" w:hAnsi="Times New Roman"/>
                          <w:b/>
                          <w:spacing w:val="-1"/>
                        </w:rPr>
                        <w:t>NÁZEV A ADRESA DRŽITELE ROZHODNUTÍ O REGISTRACI</w:t>
                      </w:r>
                    </w:p>
                    <w:p w14:paraId="02088473" w14:textId="77777777" w:rsidR="00AB7DC1" w:rsidRDefault="00AB7DC1" w:rsidP="00433E0A">
                      <w:pPr>
                        <w:tabs>
                          <w:tab w:val="left" w:pos="668"/>
                        </w:tabs>
                        <w:spacing w:line="250" w:lineRule="exact"/>
                        <w:ind w:left="102"/>
                        <w:rPr>
                          <w:rFonts w:ascii="Times New Roman" w:eastAsia="Times New Roman" w:hAnsi="Times New Roman"/>
                        </w:rPr>
                      </w:pPr>
                    </w:p>
                  </w:txbxContent>
                </v:textbox>
                <w10:anchorlock/>
              </v:shape>
            </w:pict>
          </mc:Fallback>
        </mc:AlternateContent>
      </w:r>
    </w:p>
    <w:p w14:paraId="39E8B307" w14:textId="77777777" w:rsidR="00433E0A" w:rsidRPr="00381DC2" w:rsidRDefault="00433E0A" w:rsidP="00433E0A">
      <w:pPr>
        <w:rPr>
          <w:rFonts w:ascii="Times New Roman" w:eastAsia="Times New Roman" w:hAnsi="Times New Roman"/>
          <w:bCs/>
          <w:color w:val="000000"/>
        </w:rPr>
      </w:pPr>
    </w:p>
    <w:p w14:paraId="2F28F699"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Pfizer Europe MA EEIG</w:t>
      </w:r>
    </w:p>
    <w:p w14:paraId="51892A5E"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 xml:space="preserve">Boulevard de la Plaine 17 </w:t>
      </w:r>
    </w:p>
    <w:p w14:paraId="162B2960"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 xml:space="preserve">1050 </w:t>
      </w:r>
      <w:r w:rsidR="00B8703E" w:rsidRPr="00381DC2">
        <w:rPr>
          <w:rFonts w:ascii="Times New Roman" w:eastAsia="Times New Roman" w:hAnsi="Times New Roman"/>
          <w:bCs/>
          <w:color w:val="000000"/>
        </w:rPr>
        <w:t>Bruxelles</w:t>
      </w:r>
    </w:p>
    <w:p w14:paraId="10DEF775"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Belgie</w:t>
      </w:r>
    </w:p>
    <w:p w14:paraId="54C80417" w14:textId="77777777" w:rsidR="00433E0A" w:rsidRPr="00381DC2" w:rsidRDefault="00433E0A" w:rsidP="00433E0A">
      <w:pPr>
        <w:rPr>
          <w:rFonts w:ascii="Times New Roman" w:eastAsia="Times New Roman" w:hAnsi="Times New Roman"/>
          <w:bCs/>
          <w:color w:val="000000"/>
        </w:rPr>
      </w:pPr>
    </w:p>
    <w:p w14:paraId="1851D63A" w14:textId="77777777" w:rsidR="00433E0A" w:rsidRPr="00381DC2" w:rsidRDefault="00433E0A" w:rsidP="00433E0A">
      <w:pPr>
        <w:rPr>
          <w:rFonts w:ascii="Times New Roman" w:eastAsia="Times New Roman" w:hAnsi="Times New Roman"/>
          <w:bCs/>
          <w:color w:val="000000"/>
        </w:rPr>
      </w:pPr>
    </w:p>
    <w:p w14:paraId="169429D1" w14:textId="1221AE76"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79EE61F8" wp14:editId="4E9A57A8">
                <wp:extent cx="5897880" cy="167640"/>
                <wp:effectExtent l="0" t="0" r="7620" b="3810"/>
                <wp:docPr id="2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9151ED"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12.</w:t>
                            </w:r>
                            <w:r>
                              <w:tab/>
                            </w:r>
                            <w:r w:rsidRPr="00AE6657">
                              <w:rPr>
                                <w:rFonts w:ascii="Times New Roman" w:hAnsi="Times New Roman"/>
                                <w:b/>
                                <w:spacing w:val="-1"/>
                              </w:rPr>
                              <w:t>REGISTRAČNÍ ČÍSLO</w:t>
                            </w:r>
                          </w:p>
                          <w:p w14:paraId="3900D4C1"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79EE61F8" id="Text Box 147" o:spid="_x0000_s1074"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30EAIAAPoDAAAOAAAAZHJzL2Uyb0RvYy54bWysU9tu2zAMfR+wfxD0vjhpt1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PluvVmt1+SS5FssV8u3aSqZyM+vHfrwUUHHolFwpKEmdHF88CFWI/JzSExm4V4bkwZrLOsL&#10;vrpebca+wOgqOmOYx6bcG2RHEaWRVmqNPC/DOh1IoEZ3BV9fgkQe2fhgq5QlCG1GmyoxdqInMjJy&#10;E4ZyYLoq+PUmZoh0lVCdiDCEUZD0gchoAX9z1pMYC+5/HQQqzswnS6RH5Z4NPBvl2RBW0tOCB85G&#10;cx9GhR8c6qYl5HGsFm5pMLVOnD1XMdVLAktUTp8hKvjlOUU9f9ndE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wIUN9BAC&#10;AAD6AwAADgAAAAAAAAAAAAAAAAAuAgAAZHJzL2Uyb0RvYy54bWxQSwECLQAUAAYACAAAACEAAxUu&#10;nNwAAAAEAQAADwAAAAAAAAAAAAAAAABqBAAAZHJzL2Rvd25yZXYueG1sUEsFBgAAAAAEAAQA8wAA&#10;AHMFAAAAAA==&#10;" filled="f" strokeweight=".20497mm">
                <v:textbox inset="0,0,0,0">
                  <w:txbxContent>
                    <w:p w14:paraId="439151ED"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12.</w:t>
                      </w:r>
                      <w:r>
                        <w:tab/>
                      </w:r>
                      <w:r w:rsidRPr="00AE6657">
                        <w:rPr>
                          <w:rFonts w:ascii="Times New Roman" w:hAnsi="Times New Roman"/>
                          <w:b/>
                          <w:spacing w:val="-1"/>
                        </w:rPr>
                        <w:t>REGISTRAČNÍ ČÍSLO</w:t>
                      </w:r>
                    </w:p>
                    <w:p w14:paraId="3900D4C1"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4D14F9FC" w14:textId="77777777" w:rsidR="00433E0A" w:rsidRPr="00381DC2" w:rsidRDefault="00433E0A" w:rsidP="00433E0A">
      <w:pPr>
        <w:rPr>
          <w:rFonts w:ascii="Times New Roman" w:eastAsia="Times New Roman" w:hAnsi="Times New Roman"/>
          <w:bCs/>
          <w:color w:val="000000"/>
        </w:rPr>
      </w:pPr>
    </w:p>
    <w:p w14:paraId="38C72831" w14:textId="77777777" w:rsidR="00346B81" w:rsidRPr="00381DC2" w:rsidRDefault="00346B81" w:rsidP="00346B81">
      <w:pPr>
        <w:rPr>
          <w:rFonts w:ascii="Times New Roman" w:hAnsi="Times New Roman"/>
          <w:color w:val="000000"/>
        </w:rPr>
      </w:pPr>
      <w:r w:rsidRPr="00381DC2">
        <w:rPr>
          <w:rFonts w:ascii="Times New Roman" w:hAnsi="Times New Roman"/>
          <w:color w:val="000000"/>
        </w:rPr>
        <w:t>EU/1/18/1344/002</w:t>
      </w:r>
    </w:p>
    <w:p w14:paraId="4B5DAC01" w14:textId="77777777" w:rsidR="00433E0A" w:rsidRPr="00381DC2" w:rsidRDefault="00433E0A" w:rsidP="00433E0A">
      <w:pPr>
        <w:rPr>
          <w:rFonts w:ascii="Times New Roman" w:eastAsia="Times New Roman" w:hAnsi="Times New Roman"/>
          <w:bCs/>
          <w:color w:val="000000"/>
        </w:rPr>
      </w:pPr>
    </w:p>
    <w:p w14:paraId="639C71C9" w14:textId="77777777" w:rsidR="009C3D0F" w:rsidRPr="00381DC2" w:rsidRDefault="009C3D0F" w:rsidP="00433E0A">
      <w:pPr>
        <w:rPr>
          <w:rFonts w:ascii="Times New Roman" w:eastAsia="Times New Roman" w:hAnsi="Times New Roman"/>
          <w:bCs/>
          <w:color w:val="000000"/>
        </w:rPr>
      </w:pPr>
    </w:p>
    <w:p w14:paraId="03C61A8B" w14:textId="314F055F"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49315F5A" wp14:editId="6BDDA6A5">
                <wp:extent cx="5897880" cy="167640"/>
                <wp:effectExtent l="0" t="0" r="7620" b="3810"/>
                <wp:docPr id="2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5F42FD" w14:textId="77777777" w:rsidR="00AB7DC1" w:rsidRDefault="00AB7DC1" w:rsidP="00E7038C">
                            <w:pPr>
                              <w:tabs>
                                <w:tab w:val="left" w:pos="668"/>
                              </w:tabs>
                              <w:spacing w:line="252" w:lineRule="exact"/>
                              <w:ind w:left="102"/>
                              <w:rPr>
                                <w:rFonts w:ascii="Times New Roman" w:eastAsia="Times New Roman" w:hAnsi="Times New Roman"/>
                              </w:rPr>
                            </w:pPr>
                            <w:r>
                              <w:rPr>
                                <w:rFonts w:ascii="Times New Roman"/>
                                <w:b/>
                              </w:rPr>
                              <w:t>13.</w:t>
                            </w:r>
                            <w:r>
                              <w:tab/>
                            </w:r>
                            <w:r w:rsidRPr="00AE6657">
                              <w:rPr>
                                <w:rFonts w:ascii="Times New Roman" w:hAnsi="Times New Roman"/>
                                <w:b/>
                                <w:spacing w:val="-1"/>
                              </w:rPr>
                              <w:t>ČÍSLO ŠARŽE</w:t>
                            </w:r>
                          </w:p>
                          <w:p w14:paraId="4599BCDA" w14:textId="77777777" w:rsidR="00AB7DC1" w:rsidRDefault="00AB7DC1" w:rsidP="00433E0A">
                            <w:pPr>
                              <w:tabs>
                                <w:tab w:val="left" w:pos="668"/>
                              </w:tabs>
                              <w:spacing w:line="252"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49315F5A" id="Text Box 146" o:spid="_x0000_s107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KAE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03FJ2ZJrhqaIwmGMBmSHhAFPeAvzgYyY8XDz71AxZn56Ej05NxzgOegPgfCSTpa8cjZFO7i&#10;5PC9R931hDyN1cEtDabVWbOnLk79ksGylKfHkBz8fJ+rnp7s9jc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DUUoAQOAgAA&#10;+gMAAA4AAAAAAAAAAAAAAAAALgIAAGRycy9lMm9Eb2MueG1sUEsBAi0AFAAGAAgAAAAhAAMVLpzc&#10;AAAABAEAAA8AAAAAAAAAAAAAAAAAaAQAAGRycy9kb3ducmV2LnhtbFBLBQYAAAAABAAEAPMAAABx&#10;BQAAAAA=&#10;" filled="f" strokeweight=".20497mm">
                <v:textbox inset="0,0,0,0">
                  <w:txbxContent>
                    <w:p w14:paraId="345F42FD" w14:textId="77777777" w:rsidR="00AB7DC1" w:rsidRDefault="00AB7DC1" w:rsidP="00E7038C">
                      <w:pPr>
                        <w:tabs>
                          <w:tab w:val="left" w:pos="668"/>
                        </w:tabs>
                        <w:spacing w:line="252" w:lineRule="exact"/>
                        <w:ind w:left="102"/>
                        <w:rPr>
                          <w:rFonts w:ascii="Times New Roman" w:eastAsia="Times New Roman" w:hAnsi="Times New Roman"/>
                        </w:rPr>
                      </w:pPr>
                      <w:r>
                        <w:rPr>
                          <w:rFonts w:ascii="Times New Roman"/>
                          <w:b/>
                        </w:rPr>
                        <w:t>13.</w:t>
                      </w:r>
                      <w:r>
                        <w:tab/>
                      </w:r>
                      <w:r w:rsidRPr="00AE6657">
                        <w:rPr>
                          <w:rFonts w:ascii="Times New Roman" w:hAnsi="Times New Roman"/>
                          <w:b/>
                          <w:spacing w:val="-1"/>
                        </w:rPr>
                        <w:t>ČÍSLO ŠARŽE</w:t>
                      </w:r>
                    </w:p>
                    <w:p w14:paraId="4599BCDA" w14:textId="77777777" w:rsidR="00AB7DC1" w:rsidRDefault="00AB7DC1" w:rsidP="00433E0A">
                      <w:pPr>
                        <w:tabs>
                          <w:tab w:val="left" w:pos="668"/>
                        </w:tabs>
                        <w:spacing w:line="252" w:lineRule="exact"/>
                        <w:ind w:left="102"/>
                        <w:rPr>
                          <w:rFonts w:ascii="Times New Roman" w:eastAsia="Times New Roman" w:hAnsi="Times New Roman"/>
                        </w:rPr>
                      </w:pPr>
                    </w:p>
                  </w:txbxContent>
                </v:textbox>
                <w10:anchorlock/>
              </v:shape>
            </w:pict>
          </mc:Fallback>
        </mc:AlternateContent>
      </w:r>
    </w:p>
    <w:p w14:paraId="61F4F6E6" w14:textId="77777777" w:rsidR="00346B81" w:rsidRPr="00381DC2" w:rsidRDefault="00346B81" w:rsidP="00433E0A">
      <w:pPr>
        <w:rPr>
          <w:rFonts w:ascii="Times New Roman" w:eastAsia="Times New Roman" w:hAnsi="Times New Roman"/>
          <w:bCs/>
          <w:color w:val="000000"/>
        </w:rPr>
      </w:pPr>
    </w:p>
    <w:p w14:paraId="0DB0BC6F" w14:textId="77777777" w:rsidR="00433E0A" w:rsidRPr="00381DC2" w:rsidRDefault="00346B81" w:rsidP="00433E0A">
      <w:pPr>
        <w:rPr>
          <w:rFonts w:ascii="Times New Roman" w:eastAsia="Times New Roman" w:hAnsi="Times New Roman"/>
          <w:bCs/>
          <w:color w:val="000000"/>
        </w:rPr>
      </w:pPr>
      <w:r w:rsidRPr="00381DC2">
        <w:rPr>
          <w:rFonts w:ascii="Times New Roman" w:eastAsia="Times New Roman" w:hAnsi="Times New Roman"/>
          <w:bCs/>
          <w:color w:val="000000"/>
        </w:rPr>
        <w:t>Lot</w:t>
      </w:r>
    </w:p>
    <w:p w14:paraId="5039B0DC" w14:textId="77777777" w:rsidR="00E36955" w:rsidRPr="00381DC2" w:rsidRDefault="00E36955" w:rsidP="00433E0A">
      <w:pPr>
        <w:rPr>
          <w:rFonts w:ascii="Times New Roman" w:eastAsia="Times New Roman" w:hAnsi="Times New Roman"/>
          <w:bCs/>
          <w:color w:val="000000"/>
        </w:rPr>
      </w:pPr>
    </w:p>
    <w:p w14:paraId="5042CD26" w14:textId="77777777" w:rsidR="00A45DD1" w:rsidRPr="00381DC2" w:rsidRDefault="00A45DD1" w:rsidP="00433E0A">
      <w:pPr>
        <w:rPr>
          <w:rFonts w:ascii="Times New Roman" w:eastAsia="Times New Roman" w:hAnsi="Times New Roman"/>
          <w:bCs/>
          <w:color w:val="000000"/>
        </w:rPr>
      </w:pPr>
    </w:p>
    <w:p w14:paraId="2DC513DB" w14:textId="1F41ADFC"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0623EE12" wp14:editId="4B1928DE">
                <wp:extent cx="5897880" cy="167640"/>
                <wp:effectExtent l="0" t="0" r="7620" b="3810"/>
                <wp:docPr id="2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9451F0"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14.</w:t>
                            </w:r>
                            <w:r>
                              <w:tab/>
                            </w:r>
                            <w:r w:rsidRPr="00AE6657">
                              <w:rPr>
                                <w:rFonts w:ascii="Times New Roman" w:hAnsi="Times New Roman"/>
                                <w:b/>
                                <w:spacing w:val="-2"/>
                              </w:rPr>
                              <w:t>KLASIFIKACE PRO VÝDEJ</w:t>
                            </w:r>
                          </w:p>
                          <w:p w14:paraId="0C182DEC"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0623EE12" id="Text Box 145" o:spid="_x0000_s107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G5gpRDwIA&#10;APoDAAAOAAAAAAAAAAAAAAAAAC4CAABkcnMvZTJvRG9jLnhtbFBLAQItABQABgAIAAAAIQADFS6c&#10;3AAAAAQBAAAPAAAAAAAAAAAAAAAAAGkEAABkcnMvZG93bnJldi54bWxQSwUGAAAAAAQABADzAAAA&#10;cgUAAAAA&#10;" filled="f" strokeweight=".20497mm">
                <v:textbox inset="0,0,0,0">
                  <w:txbxContent>
                    <w:p w14:paraId="239451F0"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14.</w:t>
                      </w:r>
                      <w:r>
                        <w:tab/>
                      </w:r>
                      <w:r w:rsidRPr="00AE6657">
                        <w:rPr>
                          <w:rFonts w:ascii="Times New Roman" w:hAnsi="Times New Roman"/>
                          <w:b/>
                          <w:spacing w:val="-2"/>
                        </w:rPr>
                        <w:t>KLASIFIKACE PRO VÝDEJ</w:t>
                      </w:r>
                    </w:p>
                    <w:p w14:paraId="0C182DEC"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7C97855B" w14:textId="77777777" w:rsidR="00433E0A" w:rsidRPr="00381DC2" w:rsidRDefault="00433E0A" w:rsidP="00433E0A">
      <w:pPr>
        <w:rPr>
          <w:rFonts w:ascii="Times New Roman" w:eastAsia="Times New Roman" w:hAnsi="Times New Roman"/>
          <w:bCs/>
          <w:color w:val="000000"/>
        </w:rPr>
      </w:pPr>
    </w:p>
    <w:p w14:paraId="5BE3FB3A" w14:textId="77777777" w:rsidR="00433E0A" w:rsidRPr="00381DC2" w:rsidRDefault="00433E0A" w:rsidP="00433E0A">
      <w:pPr>
        <w:rPr>
          <w:rFonts w:ascii="Times New Roman" w:eastAsia="Times New Roman" w:hAnsi="Times New Roman"/>
          <w:bCs/>
          <w:color w:val="000000"/>
        </w:rPr>
      </w:pPr>
    </w:p>
    <w:p w14:paraId="5429D3FC" w14:textId="5F2B38BD"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2B70CB02" wp14:editId="4C2C6BAA">
                <wp:extent cx="5897880" cy="167640"/>
                <wp:effectExtent l="0" t="0" r="7620" b="3810"/>
                <wp:docPr id="2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BE7CE2"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15.</w:t>
                            </w:r>
                            <w:r>
                              <w:tab/>
                            </w:r>
                            <w:r w:rsidRPr="00AE6657">
                              <w:rPr>
                                <w:rFonts w:ascii="Times New Roman" w:hAnsi="Times New Roman"/>
                                <w:b/>
                                <w:spacing w:val="-1"/>
                              </w:rPr>
                              <w:t>NÁVOD K POUŽITÍ</w:t>
                            </w:r>
                          </w:p>
                          <w:p w14:paraId="31C98E25"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2B70CB02" id="Text Box 144" o:spid="_x0000_s107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WvEAIAAPoDAAAOAAAAZHJzL2Uyb0RvYy54bWysU9tu2zAMfR+wfxD0vjjJuiQ1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Pluc73ebMglybdYrVdXaSqZyM+vHfrwUUHHolFwpKEmdHF88CFWI/JzSExm4V4bkwZrLOsL&#10;vn67vh77AqOr6IxhHptyb5AdRZRGWqk18rwM63QggRrdFXxzCRJ5ZOODrVKWILQZbarE2ImeyMjI&#10;TRjKgemq4FfLmCHSVUJ1IsIQRkHSByKjBfzNWU9iLLj/dRCoODOfLJEelXs28GyUZ0NYSU8LHjgb&#10;zX0YFX5wqJuWkMexWrilwdQ6cfZcxVQvCSxROX2GqOCX5xT1/GV3T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U/H1rxAC&#10;AAD6AwAADgAAAAAAAAAAAAAAAAAuAgAAZHJzL2Uyb0RvYy54bWxQSwECLQAUAAYACAAAACEAAxUu&#10;nNwAAAAEAQAADwAAAAAAAAAAAAAAAABqBAAAZHJzL2Rvd25yZXYueG1sUEsFBgAAAAAEAAQA8wAA&#10;AHMFAAAAAA==&#10;" filled="f" strokeweight=".20497mm">
                <v:textbox inset="0,0,0,0">
                  <w:txbxContent>
                    <w:p w14:paraId="07BE7CE2"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15.</w:t>
                      </w:r>
                      <w:r>
                        <w:tab/>
                      </w:r>
                      <w:r w:rsidRPr="00AE6657">
                        <w:rPr>
                          <w:rFonts w:ascii="Times New Roman" w:hAnsi="Times New Roman"/>
                          <w:b/>
                          <w:spacing w:val="-1"/>
                        </w:rPr>
                        <w:t>NÁVOD K POUŽITÍ</w:t>
                      </w:r>
                    </w:p>
                    <w:p w14:paraId="31C98E25"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63B6444F" w14:textId="77777777" w:rsidR="00433E0A" w:rsidRPr="00381DC2" w:rsidRDefault="00433E0A" w:rsidP="00433E0A">
      <w:pPr>
        <w:rPr>
          <w:rFonts w:ascii="Times New Roman" w:eastAsia="Times New Roman" w:hAnsi="Times New Roman"/>
          <w:bCs/>
          <w:color w:val="000000"/>
        </w:rPr>
      </w:pPr>
    </w:p>
    <w:p w14:paraId="62677BC4" w14:textId="77777777" w:rsidR="00433E0A" w:rsidRPr="00381DC2" w:rsidRDefault="00433E0A" w:rsidP="00433E0A">
      <w:pPr>
        <w:rPr>
          <w:rFonts w:ascii="Times New Roman" w:eastAsia="Times New Roman" w:hAnsi="Times New Roman"/>
          <w:bCs/>
          <w:color w:val="000000"/>
        </w:rPr>
      </w:pPr>
    </w:p>
    <w:p w14:paraId="3703EBB7" w14:textId="50F36B75"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2128D47C" wp14:editId="50470E10">
                <wp:extent cx="5897880" cy="167640"/>
                <wp:effectExtent l="0" t="0" r="7620" b="3810"/>
                <wp:docPr id="2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3A5499"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16.</w:t>
                            </w:r>
                            <w:r>
                              <w:tab/>
                            </w:r>
                            <w:r w:rsidRPr="00AE6657">
                              <w:rPr>
                                <w:rFonts w:ascii="Times New Roman" w:hAnsi="Times New Roman"/>
                                <w:b/>
                                <w:spacing w:val="-1"/>
                              </w:rPr>
                              <w:t>INFORMACE V BRAILLOVĚ PÍSMU</w:t>
                            </w:r>
                          </w:p>
                          <w:p w14:paraId="7BCC65B8"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2128D47C" id="Text Box 143" o:spid="_x0000_s1078"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4ANf+hAC&#10;AAD6AwAADgAAAAAAAAAAAAAAAAAuAgAAZHJzL2Uyb0RvYy54bWxQSwECLQAUAAYACAAAACEAAxUu&#10;nNwAAAAEAQAADwAAAAAAAAAAAAAAAABqBAAAZHJzL2Rvd25yZXYueG1sUEsFBgAAAAAEAAQA8wAA&#10;AHMFAAAAAA==&#10;" filled="f" strokeweight=".20497mm">
                <v:textbox inset="0,0,0,0">
                  <w:txbxContent>
                    <w:p w14:paraId="7F3A5499" w14:textId="77777777" w:rsidR="00AB7DC1" w:rsidRDefault="00AB7DC1" w:rsidP="00E7038C">
                      <w:pPr>
                        <w:tabs>
                          <w:tab w:val="left" w:pos="668"/>
                        </w:tabs>
                        <w:spacing w:line="251" w:lineRule="exact"/>
                        <w:ind w:left="102"/>
                        <w:rPr>
                          <w:rFonts w:ascii="Times New Roman" w:eastAsia="Times New Roman" w:hAnsi="Times New Roman"/>
                        </w:rPr>
                      </w:pPr>
                      <w:r>
                        <w:rPr>
                          <w:rFonts w:ascii="Times New Roman"/>
                          <w:b/>
                        </w:rPr>
                        <w:t>16.</w:t>
                      </w:r>
                      <w:r>
                        <w:tab/>
                      </w:r>
                      <w:r w:rsidRPr="00AE6657">
                        <w:rPr>
                          <w:rFonts w:ascii="Times New Roman" w:hAnsi="Times New Roman"/>
                          <w:b/>
                          <w:spacing w:val="-1"/>
                        </w:rPr>
                        <w:t>INFORMACE V BRAILLOVĚ PÍSMU</w:t>
                      </w:r>
                    </w:p>
                    <w:p w14:paraId="7BCC65B8"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2C769955" w14:textId="77777777" w:rsidR="00433E0A" w:rsidRPr="00381DC2" w:rsidRDefault="00433E0A" w:rsidP="00433E0A">
      <w:pPr>
        <w:rPr>
          <w:rFonts w:ascii="Times New Roman" w:eastAsia="Times New Roman" w:hAnsi="Times New Roman"/>
          <w:bCs/>
          <w:color w:val="000000"/>
        </w:rPr>
      </w:pPr>
    </w:p>
    <w:p w14:paraId="5CE52127"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highlight w:val="lightGray"/>
        </w:rPr>
        <w:t>Nevyžaduje se – odůvodnění přijato.</w:t>
      </w:r>
    </w:p>
    <w:p w14:paraId="5D35B5C0" w14:textId="77777777" w:rsidR="00433E0A" w:rsidRPr="00381DC2" w:rsidRDefault="00433E0A" w:rsidP="00433E0A">
      <w:pPr>
        <w:rPr>
          <w:rFonts w:ascii="Times New Roman" w:eastAsia="Times New Roman" w:hAnsi="Times New Roman"/>
          <w:bCs/>
          <w:color w:val="000000"/>
        </w:rPr>
      </w:pPr>
    </w:p>
    <w:p w14:paraId="708A65C2" w14:textId="77777777" w:rsidR="00433E0A" w:rsidRPr="00381DC2" w:rsidRDefault="00433E0A" w:rsidP="00433E0A">
      <w:pPr>
        <w:rPr>
          <w:rFonts w:ascii="Times New Roman" w:eastAsia="Times New Roman" w:hAnsi="Times New Roman"/>
          <w:bCs/>
          <w:color w:val="000000"/>
        </w:rPr>
      </w:pPr>
    </w:p>
    <w:p w14:paraId="086EA99C" w14:textId="560B2348"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366C5AD6" wp14:editId="2C9B1F43">
                <wp:extent cx="5904230" cy="180340"/>
                <wp:effectExtent l="0" t="0" r="1270" b="0"/>
                <wp:docPr id="2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10F701B" w14:textId="77777777" w:rsidR="00AB7DC1" w:rsidRDefault="00AB7DC1" w:rsidP="00DE3CFF">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JEDINEČNÝ IDENTIFIKÁTOR – 2D ČÁROVÝ KÓD</w:t>
                            </w:r>
                          </w:p>
                          <w:p w14:paraId="784CBF9B" w14:textId="77777777" w:rsidR="00AB7DC1" w:rsidRDefault="00AB7DC1" w:rsidP="00433E0A">
                            <w:pPr>
                              <w:tabs>
                                <w:tab w:val="left" w:pos="673"/>
                              </w:tabs>
                              <w:spacing w:before="19" w:line="252" w:lineRule="exact"/>
                              <w:ind w:left="106"/>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366C5AD6" id="Text Box 142" o:spid="_x0000_s1079"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" filled="f" strokeweight=".58pt">
                <v:textbox inset="0,0,0,0">
                  <w:txbxContent>
                    <w:p w14:paraId="710F701B" w14:textId="77777777" w:rsidR="00AB7DC1" w:rsidRDefault="00AB7DC1" w:rsidP="00DE3CFF">
                      <w:pPr>
                        <w:tabs>
                          <w:tab w:val="left" w:pos="673"/>
                        </w:tabs>
                        <w:spacing w:before="19" w:line="252" w:lineRule="exact"/>
                        <w:ind w:left="106"/>
                        <w:rPr>
                          <w:rFonts w:ascii="Times New Roman" w:eastAsia="Times New Roman" w:hAnsi="Times New Roman"/>
                        </w:rPr>
                      </w:pPr>
                      <w:r>
                        <w:rPr>
                          <w:rFonts w:ascii="Times New Roman" w:hAnsi="Times New Roman"/>
                          <w:b/>
                        </w:rPr>
                        <w:t>17.</w:t>
                      </w:r>
                      <w:r>
                        <w:tab/>
                      </w:r>
                      <w:r>
                        <w:rPr>
                          <w:rFonts w:ascii="Times New Roman" w:hAnsi="Times New Roman"/>
                          <w:b/>
                          <w:spacing w:val="-1"/>
                        </w:rPr>
                        <w:t>JEDINEČNÝ IDENTIFIKÁTOR – 2D ČÁROVÝ KÓD</w:t>
                      </w:r>
                    </w:p>
                    <w:p w14:paraId="784CBF9B" w14:textId="77777777" w:rsidR="00AB7DC1" w:rsidRDefault="00AB7DC1" w:rsidP="00433E0A">
                      <w:pPr>
                        <w:tabs>
                          <w:tab w:val="left" w:pos="673"/>
                        </w:tabs>
                        <w:spacing w:before="19" w:line="252" w:lineRule="exact"/>
                        <w:ind w:left="106"/>
                        <w:rPr>
                          <w:rFonts w:ascii="Times New Roman" w:eastAsia="Times New Roman" w:hAnsi="Times New Roman"/>
                        </w:rPr>
                      </w:pPr>
                    </w:p>
                  </w:txbxContent>
                </v:textbox>
                <w10:anchorlock/>
              </v:shape>
            </w:pict>
          </mc:Fallback>
        </mc:AlternateContent>
      </w:r>
    </w:p>
    <w:p w14:paraId="186D68F7" w14:textId="77777777" w:rsidR="00433E0A" w:rsidRPr="00381DC2" w:rsidRDefault="00433E0A" w:rsidP="00433E0A">
      <w:pPr>
        <w:rPr>
          <w:rFonts w:ascii="Times New Roman" w:eastAsia="Times New Roman" w:hAnsi="Times New Roman"/>
          <w:bCs/>
          <w:color w:val="000000"/>
        </w:rPr>
      </w:pPr>
    </w:p>
    <w:p w14:paraId="38609469"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highlight w:val="lightGray"/>
        </w:rPr>
        <w:t>2D čárový kód s jedinečným identifikátorem.</w:t>
      </w:r>
    </w:p>
    <w:p w14:paraId="6C2A6153" w14:textId="77777777" w:rsidR="00433E0A" w:rsidRPr="00381DC2" w:rsidRDefault="00433E0A" w:rsidP="00433E0A">
      <w:pPr>
        <w:rPr>
          <w:rFonts w:ascii="Times New Roman" w:eastAsia="Times New Roman" w:hAnsi="Times New Roman"/>
          <w:bCs/>
          <w:color w:val="000000"/>
        </w:rPr>
      </w:pPr>
    </w:p>
    <w:p w14:paraId="30E49D8C" w14:textId="77777777" w:rsidR="00433E0A" w:rsidRPr="00381DC2" w:rsidRDefault="00433E0A" w:rsidP="00433E0A">
      <w:pPr>
        <w:rPr>
          <w:rFonts w:ascii="Times New Roman" w:eastAsia="Times New Roman" w:hAnsi="Times New Roman"/>
          <w:bCs/>
          <w:color w:val="000000"/>
        </w:rPr>
      </w:pPr>
    </w:p>
    <w:p w14:paraId="4D7CC905" w14:textId="21FED828"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75E589A6" wp14:editId="149E8FC9">
                <wp:extent cx="5904230" cy="180340"/>
                <wp:effectExtent l="0" t="0" r="1270" b="0"/>
                <wp:docPr id="22"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803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561CED" w14:textId="77777777" w:rsidR="00AB7DC1" w:rsidRDefault="00AB7DC1" w:rsidP="00DE3CFF">
                            <w:pPr>
                              <w:tabs>
                                <w:tab w:val="left" w:pos="673"/>
                              </w:tabs>
                              <w:spacing w:before="19" w:line="252" w:lineRule="exact"/>
                              <w:ind w:left="106"/>
                              <w:rPr>
                                <w:rFonts w:ascii="Times New Roman" w:eastAsia="Times New Roman" w:hAnsi="Times New Roman"/>
                              </w:rPr>
                            </w:pPr>
                            <w:r>
                              <w:rPr>
                                <w:rFonts w:ascii="Times New Roman"/>
                                <w:b/>
                              </w:rPr>
                              <w:t>18.</w:t>
                            </w:r>
                            <w:r>
                              <w:tab/>
                            </w:r>
                            <w:r w:rsidRPr="00AE6657">
                              <w:rPr>
                                <w:rFonts w:ascii="Times New Roman" w:hAnsi="Times New Roman"/>
                                <w:b/>
                                <w:spacing w:val="-1"/>
                              </w:rPr>
                              <w:t>JEDINEČNÝ IDENTIFIKÁTOR – DATA ČITELNÁ OKEM</w:t>
                            </w:r>
                          </w:p>
                          <w:p w14:paraId="49A09327" w14:textId="77777777" w:rsidR="00AB7DC1" w:rsidRDefault="00AB7DC1" w:rsidP="00433E0A">
                            <w:pPr>
                              <w:tabs>
                                <w:tab w:val="left" w:pos="673"/>
                              </w:tabs>
                              <w:spacing w:before="19" w:line="252" w:lineRule="exact"/>
                              <w:ind w:left="106"/>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75E589A6" id="Text Box 141" o:spid="_x0000_s1080" type="#_x0000_t202" style="width:464.9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" filled="f" strokeweight=".58pt">
                <v:textbox inset="0,0,0,0">
                  <w:txbxContent>
                    <w:p w14:paraId="73561CED" w14:textId="77777777" w:rsidR="00AB7DC1" w:rsidRDefault="00AB7DC1" w:rsidP="00DE3CFF">
                      <w:pPr>
                        <w:tabs>
                          <w:tab w:val="left" w:pos="673"/>
                        </w:tabs>
                        <w:spacing w:before="19" w:line="252" w:lineRule="exact"/>
                        <w:ind w:left="106"/>
                        <w:rPr>
                          <w:rFonts w:ascii="Times New Roman" w:eastAsia="Times New Roman" w:hAnsi="Times New Roman"/>
                        </w:rPr>
                      </w:pPr>
                      <w:r>
                        <w:rPr>
                          <w:rFonts w:ascii="Times New Roman"/>
                          <w:b/>
                        </w:rPr>
                        <w:t>18.</w:t>
                      </w:r>
                      <w:r>
                        <w:tab/>
                      </w:r>
                      <w:r w:rsidRPr="00AE6657">
                        <w:rPr>
                          <w:rFonts w:ascii="Times New Roman" w:hAnsi="Times New Roman"/>
                          <w:b/>
                          <w:spacing w:val="-1"/>
                        </w:rPr>
                        <w:t>JEDINEČNÝ IDENTIFIKÁTOR – DATA ČITELNÁ OKEM</w:t>
                      </w:r>
                    </w:p>
                    <w:p w14:paraId="49A09327" w14:textId="77777777" w:rsidR="00AB7DC1" w:rsidRDefault="00AB7DC1" w:rsidP="00433E0A">
                      <w:pPr>
                        <w:tabs>
                          <w:tab w:val="left" w:pos="673"/>
                        </w:tabs>
                        <w:spacing w:before="19" w:line="252" w:lineRule="exact"/>
                        <w:ind w:left="106"/>
                        <w:rPr>
                          <w:rFonts w:ascii="Times New Roman" w:eastAsia="Times New Roman" w:hAnsi="Times New Roman"/>
                        </w:rPr>
                      </w:pPr>
                    </w:p>
                  </w:txbxContent>
                </v:textbox>
                <w10:anchorlock/>
              </v:shape>
            </w:pict>
          </mc:Fallback>
        </mc:AlternateContent>
      </w:r>
    </w:p>
    <w:p w14:paraId="47389165" w14:textId="77777777" w:rsidR="00433E0A" w:rsidRPr="00381DC2" w:rsidRDefault="00433E0A" w:rsidP="00433E0A">
      <w:pPr>
        <w:rPr>
          <w:rFonts w:ascii="Times New Roman" w:eastAsia="Times New Roman" w:hAnsi="Times New Roman"/>
          <w:bCs/>
          <w:color w:val="000000"/>
        </w:rPr>
      </w:pPr>
    </w:p>
    <w:p w14:paraId="602E9B98"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PC</w:t>
      </w:r>
    </w:p>
    <w:p w14:paraId="7713F021"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SN</w:t>
      </w:r>
    </w:p>
    <w:p w14:paraId="52F020FE" w14:textId="77777777" w:rsidR="00784A39"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NN</w:t>
      </w:r>
      <w:r w:rsidR="00784A39" w:rsidRPr="00381DC2">
        <w:rPr>
          <w:rFonts w:ascii="Times New Roman" w:eastAsia="Times New Roman" w:hAnsi="Times New Roman"/>
          <w:bCs/>
          <w:color w:val="000000"/>
        </w:rPr>
        <w:t xml:space="preserve"> </w:t>
      </w:r>
    </w:p>
    <w:p w14:paraId="612E859D" w14:textId="77777777" w:rsidR="00433E0A" w:rsidRPr="00381DC2" w:rsidRDefault="00784A39" w:rsidP="00F36395">
      <w:pPr>
        <w:widowControl/>
        <w:rPr>
          <w:rFonts w:ascii="Times New Roman" w:eastAsia="Times New Roman" w:hAnsi="Times New Roman"/>
          <w:bCs/>
          <w:color w:val="000000"/>
        </w:rPr>
      </w:pPr>
      <w:r w:rsidRPr="00381DC2">
        <w:rPr>
          <w:rFonts w:ascii="Times New Roman" w:eastAsia="Times New Roman" w:hAnsi="Times New Roman"/>
          <w:bCs/>
          <w:color w:val="000000"/>
        </w:rPr>
        <w:br w:type="page"/>
      </w:r>
    </w:p>
    <w:p w14:paraId="50C8D3F7" w14:textId="0AE8E9D8"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w:lastRenderedPageBreak/>
        <mc:AlternateContent>
          <mc:Choice Requires="wps">
            <w:drawing>
              <wp:inline distT="0" distB="0" distL="0" distR="0" wp14:anchorId="01DE9135" wp14:editId="3A4F2FC8">
                <wp:extent cx="5897880" cy="504825"/>
                <wp:effectExtent l="0" t="0" r="7620" b="9525"/>
                <wp:docPr id="21"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504825"/>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A1AA9B" w14:textId="77777777" w:rsidR="00AB7DC1" w:rsidRPr="007A269F" w:rsidRDefault="00AB7DC1" w:rsidP="00DE3CFF">
                            <w:pPr>
                              <w:spacing w:line="251" w:lineRule="exact"/>
                              <w:ind w:left="102"/>
                              <w:rPr>
                                <w:rFonts w:ascii="Times New Roman" w:eastAsia="Times New Roman" w:hAnsi="Times New Roman"/>
                              </w:rPr>
                            </w:pPr>
                            <w:r w:rsidRPr="00AE6657">
                              <w:rPr>
                                <w:rFonts w:ascii="Times New Roman" w:hAnsi="Times New Roman"/>
                                <w:b/>
                                <w:spacing w:val="-1"/>
                              </w:rPr>
                              <w:t>MINIMÁLNÍ ÚDAJE UVÁDĚNÉ NA MALÉM VNITŘNÍM OBALU</w:t>
                            </w:r>
                          </w:p>
                          <w:p w14:paraId="151ACA03" w14:textId="77777777" w:rsidR="00AB7DC1" w:rsidRPr="007A269F" w:rsidRDefault="00AB7DC1" w:rsidP="00433E0A">
                            <w:pPr>
                              <w:rPr>
                                <w:rFonts w:ascii="Times New Roman" w:eastAsia="Times New Roman" w:hAnsi="Times New Roman"/>
                              </w:rPr>
                            </w:pPr>
                          </w:p>
                          <w:p w14:paraId="3FC4966D" w14:textId="77777777" w:rsidR="00AB7DC1" w:rsidRPr="007A269F" w:rsidRDefault="00AB7DC1" w:rsidP="00DE3CFF">
                            <w:pPr>
                              <w:ind w:left="102"/>
                              <w:rPr>
                                <w:rFonts w:ascii="Times New Roman" w:eastAsia="Times New Roman" w:hAnsi="Times New Roman"/>
                              </w:rPr>
                            </w:pPr>
                            <w:r w:rsidRPr="00AE6657">
                              <w:rPr>
                                <w:rFonts w:ascii="Times New Roman" w:hAnsi="Times New Roman"/>
                                <w:b/>
                                <w:spacing w:val="-2"/>
                              </w:rPr>
                              <w:t>INJEKČNÍ LAHVIČKA</w:t>
                            </w:r>
                          </w:p>
                          <w:p w14:paraId="73CBBC6B" w14:textId="77777777" w:rsidR="00AB7DC1" w:rsidRPr="007A269F" w:rsidRDefault="00AB7DC1" w:rsidP="00DE3CFF">
                            <w:pPr>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01DE9135" id="Text Box 140" o:spid="_x0000_s1081" type="#_x0000_t202" style="width:464.4pt;height:3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" filled="f" strokeweight=".20497mm">
                <v:textbox inset="0,0,0,0">
                  <w:txbxContent>
                    <w:p w14:paraId="40A1AA9B" w14:textId="77777777" w:rsidR="00AB7DC1" w:rsidRPr="007A269F" w:rsidRDefault="00AB7DC1" w:rsidP="00DE3CFF">
                      <w:pPr>
                        <w:spacing w:line="251" w:lineRule="exact"/>
                        <w:ind w:left="102"/>
                        <w:rPr>
                          <w:rFonts w:ascii="Times New Roman" w:eastAsia="Times New Roman" w:hAnsi="Times New Roman"/>
                        </w:rPr>
                      </w:pPr>
                      <w:r w:rsidRPr="00AE6657">
                        <w:rPr>
                          <w:rFonts w:ascii="Times New Roman" w:hAnsi="Times New Roman"/>
                          <w:b/>
                          <w:spacing w:val="-1"/>
                        </w:rPr>
                        <w:t>MINIMÁLNÍ ÚDAJE UVÁDĚNÉ NA MALÉM VNITŘNÍM OBALU</w:t>
                      </w:r>
                    </w:p>
                    <w:p w14:paraId="151ACA03" w14:textId="77777777" w:rsidR="00AB7DC1" w:rsidRPr="007A269F" w:rsidRDefault="00AB7DC1" w:rsidP="00433E0A">
                      <w:pPr>
                        <w:rPr>
                          <w:rFonts w:ascii="Times New Roman" w:eastAsia="Times New Roman" w:hAnsi="Times New Roman"/>
                        </w:rPr>
                      </w:pPr>
                    </w:p>
                    <w:p w14:paraId="3FC4966D" w14:textId="77777777" w:rsidR="00AB7DC1" w:rsidRPr="007A269F" w:rsidRDefault="00AB7DC1" w:rsidP="00DE3CFF">
                      <w:pPr>
                        <w:ind w:left="102"/>
                        <w:rPr>
                          <w:rFonts w:ascii="Times New Roman" w:eastAsia="Times New Roman" w:hAnsi="Times New Roman"/>
                        </w:rPr>
                      </w:pPr>
                      <w:r w:rsidRPr="00AE6657">
                        <w:rPr>
                          <w:rFonts w:ascii="Times New Roman" w:hAnsi="Times New Roman"/>
                          <w:b/>
                          <w:spacing w:val="-2"/>
                        </w:rPr>
                        <w:t>INJEKČNÍ LAHVIČKA</w:t>
                      </w:r>
                    </w:p>
                    <w:p w14:paraId="73CBBC6B" w14:textId="77777777" w:rsidR="00AB7DC1" w:rsidRPr="007A269F" w:rsidRDefault="00AB7DC1" w:rsidP="00DE3CFF">
                      <w:pPr>
                        <w:ind w:left="102"/>
                        <w:rPr>
                          <w:rFonts w:ascii="Times New Roman" w:eastAsia="Times New Roman" w:hAnsi="Times New Roman"/>
                        </w:rPr>
                      </w:pPr>
                    </w:p>
                  </w:txbxContent>
                </v:textbox>
                <w10:anchorlock/>
              </v:shape>
            </w:pict>
          </mc:Fallback>
        </mc:AlternateContent>
      </w:r>
    </w:p>
    <w:p w14:paraId="43789534" w14:textId="77777777" w:rsidR="00433E0A" w:rsidRPr="00381DC2" w:rsidRDefault="00433E0A" w:rsidP="00433E0A">
      <w:pPr>
        <w:rPr>
          <w:rFonts w:ascii="Times New Roman" w:eastAsia="Times New Roman" w:hAnsi="Times New Roman"/>
          <w:bCs/>
          <w:color w:val="000000"/>
        </w:rPr>
      </w:pPr>
    </w:p>
    <w:p w14:paraId="0400CA01" w14:textId="77777777" w:rsidR="00433E0A" w:rsidRPr="00381DC2" w:rsidRDefault="00433E0A" w:rsidP="00433E0A">
      <w:pPr>
        <w:rPr>
          <w:rFonts w:ascii="Times New Roman" w:eastAsia="Times New Roman" w:hAnsi="Times New Roman"/>
          <w:bCs/>
          <w:color w:val="000000"/>
        </w:rPr>
      </w:pPr>
    </w:p>
    <w:p w14:paraId="2D52413C" w14:textId="5FAFB221"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527540F2" wp14:editId="465C582E">
                <wp:extent cx="5897880" cy="167640"/>
                <wp:effectExtent l="0" t="0" r="7620" b="3810"/>
                <wp:docPr id="20"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5E2418" w14:textId="77777777" w:rsidR="00AB7DC1" w:rsidRDefault="00AB7DC1" w:rsidP="00DE3CFF">
                            <w:pPr>
                              <w:tabs>
                                <w:tab w:val="left" w:pos="668"/>
                              </w:tabs>
                              <w:spacing w:line="251" w:lineRule="exact"/>
                              <w:ind w:left="102"/>
                              <w:rPr>
                                <w:rFonts w:ascii="Times New Roman" w:eastAsia="Times New Roman" w:hAnsi="Times New Roman"/>
                              </w:rPr>
                            </w:pPr>
                            <w:r>
                              <w:rPr>
                                <w:rFonts w:ascii="Times New Roman"/>
                                <w:b/>
                              </w:rPr>
                              <w:t>1.</w:t>
                            </w:r>
                            <w:r>
                              <w:tab/>
                            </w:r>
                            <w:r w:rsidRPr="00AE6657">
                              <w:rPr>
                                <w:rFonts w:ascii="Times New Roman" w:hAnsi="Times New Roman"/>
                                <w:b/>
                                <w:spacing w:val="-1"/>
                              </w:rPr>
                              <w:t>NÁZEV LÉČIVÉHO PŘÍPRAVKU A CESTA/CESTY PODÁNÍ</w:t>
                            </w:r>
                          </w:p>
                          <w:p w14:paraId="7F9B8714"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527540F2" id="Text Box 139" o:spid="_x0000_s1082"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bc+FdxAC&#10;AAD6AwAADgAAAAAAAAAAAAAAAAAuAgAAZHJzL2Uyb0RvYy54bWxQSwECLQAUAAYACAAAACEAAxUu&#10;nNwAAAAEAQAADwAAAAAAAAAAAAAAAABqBAAAZHJzL2Rvd25yZXYueG1sUEsFBgAAAAAEAAQA8wAA&#10;AHMFAAAAAA==&#10;" filled="f" strokeweight=".20497mm">
                <v:textbox inset="0,0,0,0">
                  <w:txbxContent>
                    <w:p w14:paraId="5D5E2418" w14:textId="77777777" w:rsidR="00AB7DC1" w:rsidRDefault="00AB7DC1" w:rsidP="00DE3CFF">
                      <w:pPr>
                        <w:tabs>
                          <w:tab w:val="left" w:pos="668"/>
                        </w:tabs>
                        <w:spacing w:line="251" w:lineRule="exact"/>
                        <w:ind w:left="102"/>
                        <w:rPr>
                          <w:rFonts w:ascii="Times New Roman" w:eastAsia="Times New Roman" w:hAnsi="Times New Roman"/>
                        </w:rPr>
                      </w:pPr>
                      <w:r>
                        <w:rPr>
                          <w:rFonts w:ascii="Times New Roman"/>
                          <w:b/>
                        </w:rPr>
                        <w:t>1.</w:t>
                      </w:r>
                      <w:r>
                        <w:tab/>
                      </w:r>
                      <w:r w:rsidRPr="00AE6657">
                        <w:rPr>
                          <w:rFonts w:ascii="Times New Roman" w:hAnsi="Times New Roman"/>
                          <w:b/>
                          <w:spacing w:val="-1"/>
                        </w:rPr>
                        <w:t>NÁZEV LÉČIVÉHO PŘÍPRAVKU A CESTA/CESTY PODÁNÍ</w:t>
                      </w:r>
                    </w:p>
                    <w:p w14:paraId="7F9B8714"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479D6F77" w14:textId="77777777" w:rsidR="00433E0A" w:rsidRPr="00381DC2" w:rsidRDefault="00433E0A" w:rsidP="00433E0A">
      <w:pPr>
        <w:rPr>
          <w:rFonts w:ascii="Times New Roman" w:eastAsia="Times New Roman" w:hAnsi="Times New Roman"/>
          <w:bCs/>
          <w:color w:val="000000"/>
        </w:rPr>
      </w:pPr>
    </w:p>
    <w:p w14:paraId="7DCA0BCF" w14:textId="77777777" w:rsidR="00433E0A" w:rsidRPr="00381DC2" w:rsidRDefault="00CC0FAB" w:rsidP="00433E0A">
      <w:pPr>
        <w:rPr>
          <w:rFonts w:ascii="Times New Roman" w:eastAsia="Times New Roman" w:hAnsi="Times New Roman"/>
          <w:bCs/>
          <w:color w:val="000000"/>
        </w:rPr>
      </w:pPr>
      <w:r w:rsidRPr="00381DC2">
        <w:rPr>
          <w:rFonts w:ascii="Times New Roman" w:eastAsia="Times New Roman" w:hAnsi="Times New Roman"/>
          <w:bCs/>
          <w:color w:val="000000"/>
        </w:rPr>
        <w:t>Zirabev</w:t>
      </w:r>
      <w:r w:rsidR="00433E0A" w:rsidRPr="00381DC2">
        <w:rPr>
          <w:rFonts w:ascii="Times New Roman" w:eastAsia="Times New Roman" w:hAnsi="Times New Roman"/>
          <w:bCs/>
          <w:color w:val="000000"/>
        </w:rPr>
        <w:t xml:space="preserve"> 25 mg/ml sterilní koncentrát </w:t>
      </w:r>
    </w:p>
    <w:p w14:paraId="4B33ED66" w14:textId="77777777" w:rsidR="00433E0A" w:rsidRPr="00381DC2" w:rsidRDefault="00433E0A" w:rsidP="00433E0A">
      <w:pPr>
        <w:rPr>
          <w:rFonts w:ascii="Times New Roman" w:eastAsia="Times New Roman" w:hAnsi="Times New Roman"/>
          <w:bCs/>
          <w:color w:val="000000"/>
        </w:rPr>
      </w:pPr>
      <w:r w:rsidRPr="0030327F">
        <w:rPr>
          <w:rFonts w:ascii="Times New Roman" w:eastAsia="Times New Roman" w:hAnsi="Times New Roman"/>
          <w:bCs/>
          <w:color w:val="000000"/>
        </w:rPr>
        <w:t>bevacizumab</w:t>
      </w:r>
      <w:r w:rsidR="002A5062" w:rsidRPr="0030327F">
        <w:rPr>
          <w:rFonts w:ascii="Times New Roman" w:eastAsia="Times New Roman" w:hAnsi="Times New Roman"/>
          <w:bCs/>
          <w:color w:val="000000"/>
        </w:rPr>
        <w:t>um</w:t>
      </w:r>
    </w:p>
    <w:p w14:paraId="22273CCC" w14:textId="77777777" w:rsidR="00EE54CF" w:rsidRPr="00381DC2" w:rsidRDefault="00EE54CF" w:rsidP="00EE54CF">
      <w:pPr>
        <w:rPr>
          <w:rFonts w:ascii="Times New Roman" w:eastAsia="Times New Roman" w:hAnsi="Times New Roman"/>
          <w:bCs/>
          <w:color w:val="000000"/>
        </w:rPr>
      </w:pPr>
      <w:r w:rsidRPr="00381DC2">
        <w:rPr>
          <w:rFonts w:ascii="Times New Roman" w:eastAsia="Times New Roman" w:hAnsi="Times New Roman"/>
          <w:bCs/>
          <w:color w:val="000000"/>
        </w:rPr>
        <w:t>i.v. po naředění</w:t>
      </w:r>
    </w:p>
    <w:p w14:paraId="5654104F" w14:textId="77777777" w:rsidR="00A0174D" w:rsidRPr="00381DC2" w:rsidRDefault="00A0174D" w:rsidP="00433E0A">
      <w:pPr>
        <w:rPr>
          <w:rFonts w:ascii="Times New Roman" w:eastAsia="Times New Roman" w:hAnsi="Times New Roman"/>
          <w:bCs/>
          <w:color w:val="000000"/>
        </w:rPr>
      </w:pPr>
    </w:p>
    <w:p w14:paraId="72029B5C" w14:textId="77777777" w:rsidR="00A0174D" w:rsidRPr="00381DC2" w:rsidRDefault="00A0174D" w:rsidP="00433E0A">
      <w:pPr>
        <w:rPr>
          <w:rFonts w:ascii="Times New Roman" w:eastAsia="Times New Roman" w:hAnsi="Times New Roman"/>
          <w:bCs/>
          <w:color w:val="000000"/>
        </w:rPr>
      </w:pPr>
    </w:p>
    <w:p w14:paraId="690F1181" w14:textId="513A8C86" w:rsidR="00A0174D" w:rsidRPr="00381DC2" w:rsidRDefault="00F8155D" w:rsidP="00A0174D">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77496193" wp14:editId="34B6507D">
                <wp:extent cx="5897880" cy="167640"/>
                <wp:effectExtent l="0" t="0" r="7620" b="3810"/>
                <wp:docPr id="70"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E6AB77" w14:textId="77777777" w:rsidR="00AB7DC1" w:rsidRDefault="00AB7DC1" w:rsidP="00A0174D">
                            <w:pPr>
                              <w:tabs>
                                <w:tab w:val="left" w:pos="668"/>
                              </w:tabs>
                              <w:spacing w:line="251" w:lineRule="exact"/>
                              <w:ind w:left="102"/>
                              <w:rPr>
                                <w:rFonts w:ascii="Times New Roman" w:eastAsia="Times New Roman" w:hAnsi="Times New Roman"/>
                              </w:rPr>
                            </w:pPr>
                            <w:r>
                              <w:rPr>
                                <w:rFonts w:ascii="Times New Roman"/>
                                <w:b/>
                              </w:rPr>
                              <w:t>2.</w:t>
                            </w:r>
                            <w:r>
                              <w:tab/>
                            </w:r>
                            <w:r w:rsidRPr="00AE6657">
                              <w:rPr>
                                <w:rFonts w:ascii="Times New Roman" w:hAnsi="Times New Roman"/>
                                <w:b/>
                                <w:spacing w:val="-1"/>
                              </w:rPr>
                              <w:t>ZPŮSOB PODÁNÍ</w:t>
                            </w:r>
                          </w:p>
                          <w:p w14:paraId="084CA5B0" w14:textId="77777777" w:rsidR="00AB7DC1" w:rsidRDefault="00AB7DC1" w:rsidP="00A0174D">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77496193" id="Text Box 138" o:spid="_x0000_s1083"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" filled="f" strokeweight=".20497mm">
                <v:textbox inset="0,0,0,0">
                  <w:txbxContent>
                    <w:p w14:paraId="0CE6AB77" w14:textId="77777777" w:rsidR="00AB7DC1" w:rsidRDefault="00AB7DC1" w:rsidP="00A0174D">
                      <w:pPr>
                        <w:tabs>
                          <w:tab w:val="left" w:pos="668"/>
                        </w:tabs>
                        <w:spacing w:line="251" w:lineRule="exact"/>
                        <w:ind w:left="102"/>
                        <w:rPr>
                          <w:rFonts w:ascii="Times New Roman" w:eastAsia="Times New Roman" w:hAnsi="Times New Roman"/>
                        </w:rPr>
                      </w:pPr>
                      <w:r>
                        <w:rPr>
                          <w:rFonts w:ascii="Times New Roman"/>
                          <w:b/>
                        </w:rPr>
                        <w:t>2.</w:t>
                      </w:r>
                      <w:r>
                        <w:tab/>
                      </w:r>
                      <w:r w:rsidRPr="00AE6657">
                        <w:rPr>
                          <w:rFonts w:ascii="Times New Roman" w:hAnsi="Times New Roman"/>
                          <w:b/>
                          <w:spacing w:val="-1"/>
                        </w:rPr>
                        <w:t>ZPŮSOB PODÁNÍ</w:t>
                      </w:r>
                    </w:p>
                    <w:p w14:paraId="084CA5B0" w14:textId="77777777" w:rsidR="00AB7DC1" w:rsidRDefault="00AB7DC1" w:rsidP="00A0174D">
                      <w:pPr>
                        <w:tabs>
                          <w:tab w:val="left" w:pos="668"/>
                        </w:tabs>
                        <w:spacing w:line="251" w:lineRule="exact"/>
                        <w:ind w:left="102"/>
                        <w:rPr>
                          <w:rFonts w:ascii="Times New Roman" w:eastAsia="Times New Roman" w:hAnsi="Times New Roman"/>
                        </w:rPr>
                      </w:pPr>
                    </w:p>
                  </w:txbxContent>
                </v:textbox>
                <w10:anchorlock/>
              </v:shape>
            </w:pict>
          </mc:Fallback>
        </mc:AlternateContent>
      </w:r>
    </w:p>
    <w:p w14:paraId="021F7016" w14:textId="77777777" w:rsidR="00A0174D" w:rsidRPr="00381DC2" w:rsidRDefault="00A0174D" w:rsidP="00433E0A">
      <w:pPr>
        <w:rPr>
          <w:rFonts w:ascii="Times New Roman" w:eastAsia="Times New Roman" w:hAnsi="Times New Roman"/>
          <w:bCs/>
          <w:color w:val="000000"/>
        </w:rPr>
      </w:pPr>
    </w:p>
    <w:p w14:paraId="0B1BB6E4" w14:textId="77777777" w:rsidR="00433E0A" w:rsidRPr="00381DC2" w:rsidRDefault="00433E0A" w:rsidP="00433E0A">
      <w:pPr>
        <w:rPr>
          <w:rFonts w:ascii="Times New Roman" w:eastAsia="Times New Roman" w:hAnsi="Times New Roman"/>
          <w:bCs/>
          <w:color w:val="000000"/>
        </w:rPr>
      </w:pPr>
    </w:p>
    <w:p w14:paraId="4143F377" w14:textId="4115A12A"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55313731" wp14:editId="0C30A424">
                <wp:extent cx="5897880" cy="166370"/>
                <wp:effectExtent l="0" t="0" r="7620" b="5080"/>
                <wp:docPr id="1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637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72AFF0" w14:textId="77777777" w:rsidR="00AB7DC1" w:rsidRPr="00E93E96" w:rsidRDefault="00AB7DC1" w:rsidP="00DE3CFF">
                            <w:pPr>
                              <w:tabs>
                                <w:tab w:val="left" w:pos="668"/>
                              </w:tabs>
                              <w:spacing w:line="250" w:lineRule="exact"/>
                              <w:ind w:left="102"/>
                              <w:rPr>
                                <w:rFonts w:ascii="Times New Roman" w:hAnsi="Times New Roman"/>
                                <w:b/>
                              </w:rPr>
                            </w:pPr>
                            <w:r w:rsidRPr="00E93E96">
                              <w:rPr>
                                <w:rFonts w:ascii="Times New Roman" w:hAnsi="Times New Roman"/>
                                <w:b/>
                              </w:rPr>
                              <w:t>3.</w:t>
                            </w:r>
                            <w:r w:rsidRPr="00E93E96">
                              <w:rPr>
                                <w:rFonts w:ascii="Times New Roman" w:hAnsi="Times New Roman"/>
                                <w:b/>
                              </w:rPr>
                              <w:tab/>
                              <w:t>POUOU PODODÍ</w:t>
                            </w:r>
                          </w:p>
                          <w:p w14:paraId="3FD474D0" w14:textId="77777777" w:rsidR="00AB7DC1" w:rsidRPr="001A6CB5" w:rsidRDefault="00AB7DC1" w:rsidP="00433E0A">
                            <w:pPr>
                              <w:tabs>
                                <w:tab w:val="left" w:pos="668"/>
                              </w:tabs>
                              <w:spacing w:line="250"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55313731" id="Text Box 137" o:spid="_x0000_s1084" type="#_x0000_t202" style="width:464.4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" filled="f" strokeweight=".20497mm">
                <v:textbox inset="0,0,0,0">
                  <w:txbxContent>
                    <w:p w14:paraId="7972AFF0" w14:textId="77777777" w:rsidR="00AB7DC1" w:rsidRPr="00E93E96" w:rsidRDefault="00AB7DC1" w:rsidP="00DE3CFF">
                      <w:pPr>
                        <w:tabs>
                          <w:tab w:val="left" w:pos="668"/>
                        </w:tabs>
                        <w:spacing w:line="250" w:lineRule="exact"/>
                        <w:ind w:left="102"/>
                        <w:rPr>
                          <w:rFonts w:ascii="Times New Roman" w:hAnsi="Times New Roman"/>
                          <w:b/>
                        </w:rPr>
                      </w:pPr>
                      <w:r w:rsidRPr="00E93E96">
                        <w:rPr>
                          <w:rFonts w:ascii="Times New Roman" w:hAnsi="Times New Roman"/>
                          <w:b/>
                        </w:rPr>
                        <w:t>3.</w:t>
                      </w:r>
                      <w:r w:rsidRPr="00E93E96">
                        <w:rPr>
                          <w:rFonts w:ascii="Times New Roman" w:hAnsi="Times New Roman"/>
                          <w:b/>
                        </w:rPr>
                        <w:tab/>
                        <w:t>POUOU PODODÍ</w:t>
                      </w:r>
                    </w:p>
                    <w:p w14:paraId="3FD474D0" w14:textId="77777777" w:rsidR="00AB7DC1" w:rsidRPr="001A6CB5" w:rsidRDefault="00AB7DC1" w:rsidP="00433E0A">
                      <w:pPr>
                        <w:tabs>
                          <w:tab w:val="left" w:pos="668"/>
                        </w:tabs>
                        <w:spacing w:line="250" w:lineRule="exact"/>
                        <w:ind w:left="102"/>
                        <w:rPr>
                          <w:rFonts w:ascii="Times New Roman" w:eastAsia="Times New Roman" w:hAnsi="Times New Roman"/>
                        </w:rPr>
                      </w:pPr>
                    </w:p>
                  </w:txbxContent>
                </v:textbox>
                <w10:anchorlock/>
              </v:shape>
            </w:pict>
          </mc:Fallback>
        </mc:AlternateContent>
      </w:r>
    </w:p>
    <w:p w14:paraId="66DFF443" w14:textId="77777777" w:rsidR="00433E0A" w:rsidRPr="00381DC2" w:rsidRDefault="00433E0A" w:rsidP="00433E0A">
      <w:pPr>
        <w:rPr>
          <w:rFonts w:ascii="Times New Roman" w:eastAsia="Times New Roman" w:hAnsi="Times New Roman"/>
          <w:bCs/>
          <w:color w:val="000000"/>
        </w:rPr>
      </w:pPr>
    </w:p>
    <w:p w14:paraId="38AA894E"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EXP</w:t>
      </w:r>
    </w:p>
    <w:p w14:paraId="01623C72" w14:textId="77777777" w:rsidR="00433E0A" w:rsidRPr="00381DC2" w:rsidRDefault="00433E0A" w:rsidP="00433E0A">
      <w:pPr>
        <w:rPr>
          <w:rFonts w:ascii="Times New Roman" w:eastAsia="Times New Roman" w:hAnsi="Times New Roman"/>
          <w:bCs/>
          <w:color w:val="000000"/>
        </w:rPr>
      </w:pPr>
    </w:p>
    <w:p w14:paraId="30B5A35A" w14:textId="77777777" w:rsidR="00433E0A" w:rsidRPr="00381DC2" w:rsidRDefault="00433E0A" w:rsidP="00433E0A">
      <w:pPr>
        <w:rPr>
          <w:rFonts w:ascii="Times New Roman" w:eastAsia="Times New Roman" w:hAnsi="Times New Roman"/>
          <w:bCs/>
          <w:color w:val="000000"/>
        </w:rPr>
      </w:pPr>
    </w:p>
    <w:p w14:paraId="4348878B" w14:textId="4915812B"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5C1F3721" wp14:editId="7A9BE10C">
                <wp:extent cx="5897880" cy="167640"/>
                <wp:effectExtent l="0" t="0" r="7620" b="3810"/>
                <wp:docPr id="1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48C8C1" w14:textId="77777777" w:rsidR="00AB7DC1" w:rsidRDefault="00AB7DC1" w:rsidP="00DE3CFF">
                            <w:pPr>
                              <w:tabs>
                                <w:tab w:val="left" w:pos="668"/>
                              </w:tabs>
                              <w:spacing w:line="251" w:lineRule="exact"/>
                              <w:ind w:left="102"/>
                              <w:rPr>
                                <w:rFonts w:ascii="Times New Roman" w:eastAsia="Times New Roman" w:hAnsi="Times New Roman"/>
                              </w:rPr>
                            </w:pPr>
                            <w:r>
                              <w:rPr>
                                <w:rFonts w:ascii="Times New Roman"/>
                                <w:b/>
                              </w:rPr>
                              <w:t>4.</w:t>
                            </w:r>
                            <w:r>
                              <w:tab/>
                            </w:r>
                            <w:r w:rsidRPr="00AE6657">
                              <w:rPr>
                                <w:rFonts w:ascii="Times New Roman" w:hAnsi="Times New Roman"/>
                                <w:b/>
                                <w:spacing w:val="-1"/>
                              </w:rPr>
                              <w:t>ČÍSLO ŠARŽE</w:t>
                            </w:r>
                          </w:p>
                          <w:p w14:paraId="1A4A3F0D"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5C1F3721" id="Text Box 136" o:spid="_x0000_s1085"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1W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1RzcySXDU0RxIMYTIkPSAKesBfnA1kxoqHn3uBijPz0ZHoybnnAM9BfQ6Ek3S04pGzKdzF&#10;yeF7j7rrCXkaq4NbGkyrs2ZPXZz6JYNlKU+PITn4+T5XPT3Z7W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PFcnVYOAgAA&#10;+gMAAA4AAAAAAAAAAAAAAAAALgIAAGRycy9lMm9Eb2MueG1sUEsBAi0AFAAGAAgAAAAhAAMVLpzc&#10;AAAABAEAAA8AAAAAAAAAAAAAAAAAaAQAAGRycy9kb3ducmV2LnhtbFBLBQYAAAAABAAEAPMAAABx&#10;BQAAAAA=&#10;" filled="f" strokeweight=".20497mm">
                <v:textbox inset="0,0,0,0">
                  <w:txbxContent>
                    <w:p w14:paraId="0348C8C1" w14:textId="77777777" w:rsidR="00AB7DC1" w:rsidRDefault="00AB7DC1" w:rsidP="00DE3CFF">
                      <w:pPr>
                        <w:tabs>
                          <w:tab w:val="left" w:pos="668"/>
                        </w:tabs>
                        <w:spacing w:line="251" w:lineRule="exact"/>
                        <w:ind w:left="102"/>
                        <w:rPr>
                          <w:rFonts w:ascii="Times New Roman" w:eastAsia="Times New Roman" w:hAnsi="Times New Roman"/>
                        </w:rPr>
                      </w:pPr>
                      <w:r>
                        <w:rPr>
                          <w:rFonts w:ascii="Times New Roman"/>
                          <w:b/>
                        </w:rPr>
                        <w:t>4.</w:t>
                      </w:r>
                      <w:r>
                        <w:tab/>
                      </w:r>
                      <w:r w:rsidRPr="00AE6657">
                        <w:rPr>
                          <w:rFonts w:ascii="Times New Roman" w:hAnsi="Times New Roman"/>
                          <w:b/>
                          <w:spacing w:val="-1"/>
                        </w:rPr>
                        <w:t>ČÍSLO ŠARŽE</w:t>
                      </w:r>
                    </w:p>
                    <w:p w14:paraId="1A4A3F0D"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5084A84A" w14:textId="77777777" w:rsidR="00433E0A" w:rsidRPr="00381DC2" w:rsidRDefault="00433E0A" w:rsidP="00433E0A">
      <w:pPr>
        <w:rPr>
          <w:rFonts w:ascii="Times New Roman" w:eastAsia="Times New Roman" w:hAnsi="Times New Roman"/>
          <w:bCs/>
          <w:color w:val="000000"/>
        </w:rPr>
      </w:pPr>
    </w:p>
    <w:p w14:paraId="0C38F74D" w14:textId="77777777" w:rsidR="00433E0A" w:rsidRPr="00381DC2" w:rsidRDefault="00125269" w:rsidP="00433E0A">
      <w:pPr>
        <w:rPr>
          <w:rFonts w:ascii="Times New Roman" w:eastAsia="Times New Roman" w:hAnsi="Times New Roman"/>
          <w:bCs/>
          <w:color w:val="000000"/>
        </w:rPr>
      </w:pPr>
      <w:r w:rsidRPr="00381DC2">
        <w:rPr>
          <w:rFonts w:ascii="Times New Roman" w:eastAsia="Times New Roman" w:hAnsi="Times New Roman"/>
          <w:bCs/>
          <w:color w:val="000000"/>
        </w:rPr>
        <w:t>Lot</w:t>
      </w:r>
    </w:p>
    <w:p w14:paraId="00740557" w14:textId="77777777" w:rsidR="00433E0A" w:rsidRPr="00381DC2" w:rsidRDefault="00433E0A" w:rsidP="00433E0A">
      <w:pPr>
        <w:rPr>
          <w:rFonts w:ascii="Times New Roman" w:eastAsia="Times New Roman" w:hAnsi="Times New Roman"/>
          <w:bCs/>
          <w:color w:val="000000"/>
        </w:rPr>
      </w:pPr>
    </w:p>
    <w:p w14:paraId="7DFD8F34" w14:textId="77777777" w:rsidR="00433E0A" w:rsidRPr="00381DC2" w:rsidRDefault="00433E0A" w:rsidP="00433E0A">
      <w:pPr>
        <w:rPr>
          <w:rFonts w:ascii="Times New Roman" w:eastAsia="Times New Roman" w:hAnsi="Times New Roman"/>
          <w:bCs/>
          <w:color w:val="000000"/>
        </w:rPr>
      </w:pPr>
    </w:p>
    <w:p w14:paraId="036BAB5E" w14:textId="5650E8D7"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3492CF25" wp14:editId="3D0DD27D">
                <wp:extent cx="5897880" cy="167640"/>
                <wp:effectExtent l="0" t="0" r="7620" b="3810"/>
                <wp:docPr id="16"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4F2CE7" w14:textId="77777777" w:rsidR="00AB7DC1" w:rsidRDefault="00AB7DC1" w:rsidP="00DE3CFF">
                            <w:pPr>
                              <w:tabs>
                                <w:tab w:val="left" w:pos="668"/>
                              </w:tabs>
                              <w:spacing w:line="252" w:lineRule="exact"/>
                              <w:ind w:left="102"/>
                              <w:rPr>
                                <w:rFonts w:ascii="Times New Roman" w:eastAsia="Times New Roman" w:hAnsi="Times New Roman"/>
                              </w:rPr>
                            </w:pPr>
                            <w:r>
                              <w:rPr>
                                <w:rFonts w:ascii="Times New Roman"/>
                                <w:b/>
                              </w:rPr>
                              <w:t>5.</w:t>
                            </w:r>
                            <w:r>
                              <w:tab/>
                            </w:r>
                            <w:r w:rsidRPr="00AE6657">
                              <w:rPr>
                                <w:rFonts w:ascii="Times New Roman" w:hAnsi="Times New Roman"/>
                                <w:b/>
                                <w:spacing w:val="-1"/>
                              </w:rPr>
                              <w:t>OBSAH UDANÝ JAKO HMOTNOST, OBJEM NEBO POČET</w:t>
                            </w:r>
                          </w:p>
                          <w:p w14:paraId="027A5ABC" w14:textId="77777777" w:rsidR="00AB7DC1" w:rsidRDefault="00AB7DC1" w:rsidP="00433E0A">
                            <w:pPr>
                              <w:tabs>
                                <w:tab w:val="left" w:pos="668"/>
                              </w:tabs>
                              <w:spacing w:line="252"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3492CF25" id="Text Box 135" o:spid="_x0000_s1086"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" filled="f" strokeweight=".20497mm">
                <v:textbox inset="0,0,0,0">
                  <w:txbxContent>
                    <w:p w14:paraId="124F2CE7" w14:textId="77777777" w:rsidR="00AB7DC1" w:rsidRDefault="00AB7DC1" w:rsidP="00DE3CFF">
                      <w:pPr>
                        <w:tabs>
                          <w:tab w:val="left" w:pos="668"/>
                        </w:tabs>
                        <w:spacing w:line="252" w:lineRule="exact"/>
                        <w:ind w:left="102"/>
                        <w:rPr>
                          <w:rFonts w:ascii="Times New Roman" w:eastAsia="Times New Roman" w:hAnsi="Times New Roman"/>
                        </w:rPr>
                      </w:pPr>
                      <w:r>
                        <w:rPr>
                          <w:rFonts w:ascii="Times New Roman"/>
                          <w:b/>
                        </w:rPr>
                        <w:t>5.</w:t>
                      </w:r>
                      <w:r>
                        <w:tab/>
                      </w:r>
                      <w:r w:rsidRPr="00AE6657">
                        <w:rPr>
                          <w:rFonts w:ascii="Times New Roman" w:hAnsi="Times New Roman"/>
                          <w:b/>
                          <w:spacing w:val="-1"/>
                        </w:rPr>
                        <w:t>OBSAH UDANÝ JAKO HMOTNOST, OBJEM NEBO POČET</w:t>
                      </w:r>
                    </w:p>
                    <w:p w14:paraId="027A5ABC" w14:textId="77777777" w:rsidR="00AB7DC1" w:rsidRDefault="00AB7DC1" w:rsidP="00433E0A">
                      <w:pPr>
                        <w:tabs>
                          <w:tab w:val="left" w:pos="668"/>
                        </w:tabs>
                        <w:spacing w:line="252" w:lineRule="exact"/>
                        <w:ind w:left="102"/>
                        <w:rPr>
                          <w:rFonts w:ascii="Times New Roman" w:eastAsia="Times New Roman" w:hAnsi="Times New Roman"/>
                        </w:rPr>
                      </w:pPr>
                    </w:p>
                  </w:txbxContent>
                </v:textbox>
                <w10:anchorlock/>
              </v:shape>
            </w:pict>
          </mc:Fallback>
        </mc:AlternateContent>
      </w:r>
    </w:p>
    <w:p w14:paraId="5499DC56" w14:textId="77777777" w:rsidR="00433E0A" w:rsidRPr="00381DC2" w:rsidRDefault="00433E0A" w:rsidP="00433E0A">
      <w:pPr>
        <w:rPr>
          <w:rFonts w:ascii="Times New Roman" w:eastAsia="Times New Roman" w:hAnsi="Times New Roman"/>
          <w:bCs/>
          <w:color w:val="000000"/>
        </w:rPr>
      </w:pPr>
    </w:p>
    <w:p w14:paraId="2DA6A902" w14:textId="77777777" w:rsidR="00433E0A" w:rsidRPr="00381DC2" w:rsidRDefault="00433E0A" w:rsidP="00433E0A">
      <w:pPr>
        <w:rPr>
          <w:rFonts w:ascii="Times New Roman" w:eastAsia="Times New Roman" w:hAnsi="Times New Roman"/>
          <w:bCs/>
          <w:color w:val="000000"/>
        </w:rPr>
      </w:pPr>
      <w:r w:rsidRPr="00381DC2">
        <w:rPr>
          <w:rFonts w:ascii="Times New Roman" w:eastAsia="Times New Roman" w:hAnsi="Times New Roman"/>
          <w:bCs/>
          <w:color w:val="000000"/>
        </w:rPr>
        <w:t>400 mg/16 ml</w:t>
      </w:r>
    </w:p>
    <w:p w14:paraId="6DAE7C6D" w14:textId="77777777" w:rsidR="00433E0A" w:rsidRPr="00381DC2" w:rsidRDefault="00433E0A" w:rsidP="00433E0A">
      <w:pPr>
        <w:rPr>
          <w:rFonts w:ascii="Times New Roman" w:eastAsia="Times New Roman" w:hAnsi="Times New Roman"/>
          <w:bCs/>
          <w:color w:val="000000"/>
        </w:rPr>
      </w:pPr>
    </w:p>
    <w:p w14:paraId="59E86578" w14:textId="77777777" w:rsidR="00433E0A" w:rsidRPr="00381DC2" w:rsidRDefault="00433E0A" w:rsidP="00433E0A">
      <w:pPr>
        <w:rPr>
          <w:rFonts w:ascii="Times New Roman" w:eastAsia="Times New Roman" w:hAnsi="Times New Roman"/>
          <w:bCs/>
          <w:color w:val="000000"/>
        </w:rPr>
      </w:pPr>
    </w:p>
    <w:p w14:paraId="4389A0CF" w14:textId="30B1AACD" w:rsidR="00433E0A" w:rsidRPr="00381DC2" w:rsidRDefault="00F8155D" w:rsidP="00433E0A">
      <w:pPr>
        <w:rPr>
          <w:rFonts w:ascii="Times New Roman" w:eastAsia="Times New Roman" w:hAnsi="Times New Roman"/>
          <w:bCs/>
          <w:color w:val="000000"/>
        </w:rPr>
      </w:pPr>
      <w:r w:rsidRPr="00381DC2">
        <w:rPr>
          <w:rFonts w:ascii="Times New Roman" w:hAnsi="Times New Roman"/>
          <w:noProof/>
          <w:color w:val="000000"/>
          <w:lang w:bidi="ar-SA"/>
        </w:rPr>
        <mc:AlternateContent>
          <mc:Choice Requires="wps">
            <w:drawing>
              <wp:inline distT="0" distB="0" distL="0" distR="0" wp14:anchorId="7F219654" wp14:editId="7376D40B">
                <wp:extent cx="5897880" cy="167640"/>
                <wp:effectExtent l="0" t="0" r="7620" b="3810"/>
                <wp:docPr id="15"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167640"/>
                        </a:xfrm>
                        <a:prstGeom prst="rect">
                          <a:avLst/>
                        </a:prstGeom>
                        <a:noFill/>
                        <a:ln w="73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F82B6" w14:textId="77777777" w:rsidR="00AB7DC1" w:rsidRDefault="00AB7DC1" w:rsidP="00DE3CFF">
                            <w:pPr>
                              <w:tabs>
                                <w:tab w:val="left" w:pos="668"/>
                              </w:tabs>
                              <w:spacing w:line="251" w:lineRule="exact"/>
                              <w:ind w:left="102"/>
                              <w:rPr>
                                <w:rFonts w:ascii="Times New Roman" w:eastAsia="Times New Roman" w:hAnsi="Times New Roman"/>
                              </w:rPr>
                            </w:pPr>
                            <w:r>
                              <w:rPr>
                                <w:rFonts w:ascii="Times New Roman"/>
                                <w:b/>
                              </w:rPr>
                              <w:t>6.</w:t>
                            </w:r>
                            <w:r>
                              <w:tab/>
                            </w:r>
                            <w:r w:rsidRPr="00AE6657">
                              <w:rPr>
                                <w:rFonts w:ascii="Times New Roman" w:hAnsi="Times New Roman"/>
                                <w:b/>
                                <w:spacing w:val="-1"/>
                              </w:rPr>
                              <w:t>JINÉ</w:t>
                            </w:r>
                          </w:p>
                          <w:p w14:paraId="405681AB" w14:textId="77777777" w:rsidR="00AB7DC1" w:rsidRDefault="00AB7DC1" w:rsidP="00433E0A">
                            <w:pPr>
                              <w:tabs>
                                <w:tab w:val="left" w:pos="668"/>
                              </w:tabs>
                              <w:spacing w:line="251" w:lineRule="exact"/>
                              <w:ind w:left="102"/>
                              <w:rPr>
                                <w:rFonts w:ascii="Times New Roman" w:eastAsia="Times New Roman" w:hAnsi="Times New Roman"/>
                              </w:rPr>
                            </w:pPr>
                          </w:p>
                        </w:txbxContent>
                      </wps:txbx>
                      <wps:bodyPr rot="0" vert="horz" wrap="square" lIns="0" tIns="0" rIns="0" bIns="0" anchor="t" anchorCtr="0" upright="1">
                        <a:noAutofit/>
                      </wps:bodyPr>
                    </wps:wsp>
                  </a:graphicData>
                </a:graphic>
              </wp:inline>
            </w:drawing>
          </mc:Choice>
          <mc:Fallback>
            <w:pict>
              <v:shape w14:anchorId="7F219654" id="Text Box 134" o:spid="_x0000_s1087" type="#_x0000_t202" style="width:464.4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" filled="f" strokeweight=".20497mm">
                <v:textbox inset="0,0,0,0">
                  <w:txbxContent>
                    <w:p w14:paraId="774F82B6" w14:textId="77777777" w:rsidR="00AB7DC1" w:rsidRDefault="00AB7DC1" w:rsidP="00DE3CFF">
                      <w:pPr>
                        <w:tabs>
                          <w:tab w:val="left" w:pos="668"/>
                        </w:tabs>
                        <w:spacing w:line="251" w:lineRule="exact"/>
                        <w:ind w:left="102"/>
                        <w:rPr>
                          <w:rFonts w:ascii="Times New Roman" w:eastAsia="Times New Roman" w:hAnsi="Times New Roman"/>
                        </w:rPr>
                      </w:pPr>
                      <w:r>
                        <w:rPr>
                          <w:rFonts w:ascii="Times New Roman"/>
                          <w:b/>
                        </w:rPr>
                        <w:t>6.</w:t>
                      </w:r>
                      <w:r>
                        <w:tab/>
                      </w:r>
                      <w:r w:rsidRPr="00AE6657">
                        <w:rPr>
                          <w:rFonts w:ascii="Times New Roman" w:hAnsi="Times New Roman"/>
                          <w:b/>
                          <w:spacing w:val="-1"/>
                        </w:rPr>
                        <w:t>JINÉ</w:t>
                      </w:r>
                    </w:p>
                    <w:p w14:paraId="405681AB" w14:textId="77777777" w:rsidR="00AB7DC1" w:rsidRDefault="00AB7DC1" w:rsidP="00433E0A">
                      <w:pPr>
                        <w:tabs>
                          <w:tab w:val="left" w:pos="668"/>
                        </w:tabs>
                        <w:spacing w:line="251" w:lineRule="exact"/>
                        <w:ind w:left="102"/>
                        <w:rPr>
                          <w:rFonts w:ascii="Times New Roman" w:eastAsia="Times New Roman" w:hAnsi="Times New Roman"/>
                        </w:rPr>
                      </w:pPr>
                    </w:p>
                  </w:txbxContent>
                </v:textbox>
                <w10:anchorlock/>
              </v:shape>
            </w:pict>
          </mc:Fallback>
        </mc:AlternateContent>
      </w:r>
    </w:p>
    <w:p w14:paraId="11EAF47A" w14:textId="77777777" w:rsidR="009C3D0F" w:rsidRPr="00381DC2" w:rsidRDefault="009C3D0F" w:rsidP="00433E0A">
      <w:pPr>
        <w:rPr>
          <w:rFonts w:ascii="Times New Roman" w:eastAsia="Times New Roman" w:hAnsi="Times New Roman"/>
          <w:bCs/>
          <w:color w:val="000000"/>
        </w:rPr>
      </w:pPr>
    </w:p>
    <w:p w14:paraId="7DB1A689" w14:textId="77777777" w:rsidR="009C3D0F" w:rsidRPr="00381DC2" w:rsidRDefault="009C3D0F">
      <w:pPr>
        <w:widowControl/>
        <w:rPr>
          <w:rFonts w:ascii="Times New Roman" w:eastAsia="Times New Roman" w:hAnsi="Times New Roman"/>
          <w:bCs/>
          <w:color w:val="000000"/>
        </w:rPr>
      </w:pPr>
      <w:r w:rsidRPr="00381DC2">
        <w:rPr>
          <w:rFonts w:ascii="Times New Roman" w:eastAsia="Times New Roman" w:hAnsi="Times New Roman"/>
          <w:bCs/>
          <w:color w:val="000000"/>
        </w:rPr>
        <w:br w:type="page"/>
      </w:r>
    </w:p>
    <w:p w14:paraId="234EDB25" w14:textId="77777777" w:rsidR="00D15122" w:rsidRPr="00381DC2" w:rsidRDefault="00D15122" w:rsidP="00715669">
      <w:pPr>
        <w:jc w:val="center"/>
        <w:rPr>
          <w:rFonts w:ascii="Times New Roman" w:eastAsia="Times New Roman" w:hAnsi="Times New Roman"/>
          <w:color w:val="000000"/>
        </w:rPr>
      </w:pPr>
    </w:p>
    <w:p w14:paraId="2339DA35" w14:textId="77777777" w:rsidR="00D15122" w:rsidRPr="00381DC2" w:rsidRDefault="00D15122" w:rsidP="00715669">
      <w:pPr>
        <w:jc w:val="center"/>
        <w:rPr>
          <w:rFonts w:ascii="Times New Roman" w:eastAsia="Times New Roman" w:hAnsi="Times New Roman"/>
          <w:color w:val="000000"/>
        </w:rPr>
      </w:pPr>
    </w:p>
    <w:p w14:paraId="7D74ECD4" w14:textId="77777777" w:rsidR="00D15122" w:rsidRPr="00381DC2" w:rsidRDefault="00D15122" w:rsidP="00715669">
      <w:pPr>
        <w:jc w:val="center"/>
        <w:rPr>
          <w:rFonts w:ascii="Times New Roman" w:eastAsia="Times New Roman" w:hAnsi="Times New Roman"/>
          <w:color w:val="000000"/>
        </w:rPr>
      </w:pPr>
    </w:p>
    <w:p w14:paraId="09AE8F75" w14:textId="77777777" w:rsidR="00D15122" w:rsidRPr="00381DC2" w:rsidRDefault="00D15122" w:rsidP="00715669">
      <w:pPr>
        <w:jc w:val="center"/>
        <w:rPr>
          <w:rFonts w:ascii="Times New Roman" w:eastAsia="Times New Roman" w:hAnsi="Times New Roman"/>
          <w:color w:val="000000"/>
        </w:rPr>
      </w:pPr>
    </w:p>
    <w:p w14:paraId="08C23A86" w14:textId="77777777" w:rsidR="00D15122" w:rsidRPr="00381DC2" w:rsidRDefault="00D15122" w:rsidP="00715669">
      <w:pPr>
        <w:jc w:val="center"/>
        <w:rPr>
          <w:rFonts w:ascii="Times New Roman" w:eastAsia="Times New Roman" w:hAnsi="Times New Roman"/>
          <w:color w:val="000000"/>
        </w:rPr>
      </w:pPr>
    </w:p>
    <w:p w14:paraId="1E4BD0F1" w14:textId="77777777" w:rsidR="00D15122" w:rsidRPr="00381DC2" w:rsidRDefault="00D15122" w:rsidP="00715669">
      <w:pPr>
        <w:jc w:val="center"/>
        <w:rPr>
          <w:rFonts w:ascii="Times New Roman" w:eastAsia="Times New Roman" w:hAnsi="Times New Roman"/>
          <w:color w:val="000000"/>
        </w:rPr>
      </w:pPr>
    </w:p>
    <w:p w14:paraId="5D9B721C" w14:textId="77777777" w:rsidR="00D15122" w:rsidRPr="00381DC2" w:rsidRDefault="00D15122" w:rsidP="00715669">
      <w:pPr>
        <w:jc w:val="center"/>
        <w:rPr>
          <w:rFonts w:ascii="Times New Roman" w:eastAsia="Times New Roman" w:hAnsi="Times New Roman"/>
          <w:color w:val="000000"/>
        </w:rPr>
      </w:pPr>
    </w:p>
    <w:p w14:paraId="2F757DBB" w14:textId="77777777" w:rsidR="00D15122" w:rsidRPr="00381DC2" w:rsidRDefault="00D15122" w:rsidP="00715669">
      <w:pPr>
        <w:jc w:val="center"/>
        <w:rPr>
          <w:rFonts w:ascii="Times New Roman" w:eastAsia="Times New Roman" w:hAnsi="Times New Roman"/>
          <w:color w:val="000000"/>
        </w:rPr>
      </w:pPr>
    </w:p>
    <w:p w14:paraId="49653571" w14:textId="77777777" w:rsidR="00D15122" w:rsidRPr="00381DC2" w:rsidRDefault="00D15122" w:rsidP="00715669">
      <w:pPr>
        <w:jc w:val="center"/>
        <w:rPr>
          <w:rFonts w:ascii="Times New Roman" w:eastAsia="Times New Roman" w:hAnsi="Times New Roman"/>
          <w:color w:val="000000"/>
        </w:rPr>
      </w:pPr>
    </w:p>
    <w:p w14:paraId="4AC006F8" w14:textId="77777777" w:rsidR="00D15122" w:rsidRPr="00381DC2" w:rsidRDefault="00D15122" w:rsidP="00715669">
      <w:pPr>
        <w:jc w:val="center"/>
        <w:rPr>
          <w:rFonts w:ascii="Times New Roman" w:eastAsia="Times New Roman" w:hAnsi="Times New Roman"/>
          <w:color w:val="000000"/>
        </w:rPr>
      </w:pPr>
    </w:p>
    <w:p w14:paraId="43D8268B" w14:textId="77777777" w:rsidR="00D15122" w:rsidRPr="00381DC2" w:rsidRDefault="00D15122" w:rsidP="00715669">
      <w:pPr>
        <w:jc w:val="center"/>
        <w:rPr>
          <w:rFonts w:ascii="Times New Roman" w:eastAsia="Times New Roman" w:hAnsi="Times New Roman"/>
          <w:color w:val="000000"/>
        </w:rPr>
      </w:pPr>
    </w:p>
    <w:p w14:paraId="564B8327" w14:textId="77777777" w:rsidR="00D15122" w:rsidRPr="00381DC2" w:rsidRDefault="00D15122" w:rsidP="00715669">
      <w:pPr>
        <w:jc w:val="center"/>
        <w:rPr>
          <w:rFonts w:ascii="Times New Roman" w:eastAsia="Times New Roman" w:hAnsi="Times New Roman"/>
          <w:color w:val="000000"/>
        </w:rPr>
      </w:pPr>
    </w:p>
    <w:p w14:paraId="29F35526" w14:textId="77777777" w:rsidR="00D15122" w:rsidRPr="00381DC2" w:rsidRDefault="00D15122" w:rsidP="00715669">
      <w:pPr>
        <w:jc w:val="center"/>
        <w:rPr>
          <w:rFonts w:ascii="Times New Roman" w:eastAsia="Times New Roman" w:hAnsi="Times New Roman"/>
          <w:color w:val="000000"/>
        </w:rPr>
      </w:pPr>
    </w:p>
    <w:p w14:paraId="77164E72" w14:textId="77777777" w:rsidR="00D15122" w:rsidRPr="00381DC2" w:rsidRDefault="00D15122" w:rsidP="00715669">
      <w:pPr>
        <w:jc w:val="center"/>
        <w:rPr>
          <w:rFonts w:ascii="Times New Roman" w:eastAsia="Times New Roman" w:hAnsi="Times New Roman"/>
          <w:color w:val="000000"/>
        </w:rPr>
      </w:pPr>
    </w:p>
    <w:p w14:paraId="2DCC5BBC" w14:textId="77777777" w:rsidR="00D15122" w:rsidRPr="00381DC2" w:rsidRDefault="00D15122" w:rsidP="00715669">
      <w:pPr>
        <w:jc w:val="center"/>
        <w:rPr>
          <w:rFonts w:ascii="Times New Roman" w:eastAsia="Times New Roman" w:hAnsi="Times New Roman"/>
          <w:color w:val="000000"/>
        </w:rPr>
      </w:pPr>
    </w:p>
    <w:p w14:paraId="13E7F991" w14:textId="77777777" w:rsidR="00D15122" w:rsidRPr="00381DC2" w:rsidRDefault="00D15122" w:rsidP="00715669">
      <w:pPr>
        <w:jc w:val="center"/>
        <w:rPr>
          <w:rFonts w:ascii="Times New Roman" w:eastAsia="Times New Roman" w:hAnsi="Times New Roman"/>
          <w:color w:val="000000"/>
        </w:rPr>
      </w:pPr>
    </w:p>
    <w:p w14:paraId="455DE0FB" w14:textId="77777777" w:rsidR="00D15122" w:rsidRPr="00381DC2" w:rsidRDefault="00D15122" w:rsidP="00715669">
      <w:pPr>
        <w:jc w:val="center"/>
        <w:rPr>
          <w:rFonts w:ascii="Times New Roman" w:eastAsia="Times New Roman" w:hAnsi="Times New Roman"/>
          <w:color w:val="000000"/>
        </w:rPr>
      </w:pPr>
    </w:p>
    <w:p w14:paraId="3D8CC497" w14:textId="77777777" w:rsidR="00D15122" w:rsidRPr="00381DC2" w:rsidRDefault="00D15122" w:rsidP="00715669">
      <w:pPr>
        <w:jc w:val="center"/>
        <w:rPr>
          <w:rFonts w:ascii="Times New Roman" w:eastAsia="Times New Roman" w:hAnsi="Times New Roman"/>
          <w:color w:val="000000"/>
        </w:rPr>
      </w:pPr>
    </w:p>
    <w:p w14:paraId="5C5EB2AA" w14:textId="77777777" w:rsidR="00D15122" w:rsidRPr="00381DC2" w:rsidRDefault="00D15122" w:rsidP="00715669">
      <w:pPr>
        <w:jc w:val="center"/>
        <w:rPr>
          <w:rFonts w:ascii="Times New Roman" w:eastAsia="Times New Roman" w:hAnsi="Times New Roman"/>
          <w:color w:val="000000"/>
        </w:rPr>
      </w:pPr>
    </w:p>
    <w:p w14:paraId="37F90D7C" w14:textId="0E12AB67" w:rsidR="00D15122" w:rsidRDefault="00D15122" w:rsidP="00715669">
      <w:pPr>
        <w:jc w:val="center"/>
        <w:rPr>
          <w:rFonts w:ascii="Times New Roman" w:eastAsia="Times New Roman" w:hAnsi="Times New Roman"/>
          <w:color w:val="000000"/>
        </w:rPr>
      </w:pPr>
    </w:p>
    <w:p w14:paraId="7D4637C6" w14:textId="77777777" w:rsidR="006B04E2" w:rsidRPr="00381DC2" w:rsidRDefault="006B04E2" w:rsidP="00715669">
      <w:pPr>
        <w:jc w:val="center"/>
        <w:rPr>
          <w:rFonts w:ascii="Times New Roman" w:eastAsia="Times New Roman" w:hAnsi="Times New Roman"/>
          <w:color w:val="000000"/>
        </w:rPr>
      </w:pPr>
    </w:p>
    <w:p w14:paraId="68870CD6" w14:textId="77777777" w:rsidR="00D15122" w:rsidRPr="00381DC2" w:rsidRDefault="00D15122" w:rsidP="00F36395">
      <w:pPr>
        <w:rPr>
          <w:rFonts w:ascii="Times New Roman" w:eastAsia="Times New Roman" w:hAnsi="Times New Roman"/>
          <w:color w:val="000000"/>
        </w:rPr>
      </w:pPr>
    </w:p>
    <w:p w14:paraId="20044FD3" w14:textId="77777777" w:rsidR="00D15122" w:rsidRPr="00381DC2" w:rsidRDefault="00D15122" w:rsidP="00715669">
      <w:pPr>
        <w:jc w:val="center"/>
        <w:rPr>
          <w:rFonts w:ascii="Times New Roman" w:eastAsia="Times New Roman" w:hAnsi="Times New Roman"/>
          <w:color w:val="000000"/>
        </w:rPr>
      </w:pPr>
    </w:p>
    <w:p w14:paraId="60772293" w14:textId="77777777" w:rsidR="00784A39" w:rsidRPr="00381DC2" w:rsidRDefault="00316975" w:rsidP="00363CA4">
      <w:pPr>
        <w:pStyle w:val="Heading1"/>
        <w:ind w:left="720" w:hanging="720"/>
        <w:jc w:val="center"/>
      </w:pPr>
      <w:bookmarkStart w:id="14" w:name="B._PACKAGE_LEAFLET"/>
      <w:bookmarkEnd w:id="14"/>
      <w:r w:rsidRPr="00381DC2">
        <w:t>B. PŘÍBALOVÁ INFORMACE</w:t>
      </w:r>
    </w:p>
    <w:p w14:paraId="557641D6" w14:textId="77777777" w:rsidR="00BE7168" w:rsidRPr="00381DC2" w:rsidRDefault="00784A39" w:rsidP="00A27878">
      <w:pPr>
        <w:jc w:val="center"/>
        <w:rPr>
          <w:rFonts w:ascii="Times New Roman" w:hAnsi="Times New Roman"/>
          <w:b/>
          <w:color w:val="000000"/>
        </w:rPr>
      </w:pPr>
      <w:r w:rsidRPr="00F60460">
        <w:rPr>
          <w:color w:val="000000"/>
        </w:rPr>
        <w:br w:type="page"/>
      </w:r>
      <w:r w:rsidR="008F624B" w:rsidRPr="00381DC2">
        <w:rPr>
          <w:rFonts w:ascii="Times New Roman" w:hAnsi="Times New Roman"/>
          <w:b/>
          <w:color w:val="000000"/>
        </w:rPr>
        <w:lastRenderedPageBreak/>
        <w:t>Příbalová informace: informace pro uživatele</w:t>
      </w:r>
    </w:p>
    <w:p w14:paraId="34C87FD1" w14:textId="77777777" w:rsidR="00D15122" w:rsidRPr="00381DC2" w:rsidRDefault="00D15122" w:rsidP="003D1C6B">
      <w:pPr>
        <w:jc w:val="center"/>
        <w:rPr>
          <w:rFonts w:ascii="Times New Roman" w:eastAsia="Times New Roman" w:hAnsi="Times New Roman"/>
          <w:b/>
          <w:bCs/>
          <w:color w:val="000000"/>
        </w:rPr>
      </w:pPr>
    </w:p>
    <w:p w14:paraId="0ADC3CEF" w14:textId="77777777" w:rsidR="00D15122" w:rsidRPr="00381DC2" w:rsidRDefault="00CC0FAB" w:rsidP="00BE7168">
      <w:pPr>
        <w:jc w:val="center"/>
        <w:rPr>
          <w:rFonts w:ascii="Times New Roman" w:hAnsi="Times New Roman"/>
          <w:b/>
          <w:color w:val="000000"/>
        </w:rPr>
      </w:pPr>
      <w:r w:rsidRPr="00381DC2">
        <w:rPr>
          <w:rFonts w:ascii="Times New Roman" w:hAnsi="Times New Roman"/>
          <w:b/>
          <w:color w:val="000000"/>
        </w:rPr>
        <w:t>Zirabev</w:t>
      </w:r>
      <w:r w:rsidR="00932A9B" w:rsidRPr="00381DC2">
        <w:rPr>
          <w:rFonts w:ascii="Times New Roman" w:hAnsi="Times New Roman"/>
          <w:b/>
          <w:color w:val="000000"/>
        </w:rPr>
        <w:t xml:space="preserve"> 25 mg/ml koncentrát pro infuzní roztok</w:t>
      </w:r>
    </w:p>
    <w:p w14:paraId="3E1A65A8" w14:textId="77777777" w:rsidR="00D15122" w:rsidRPr="00381DC2" w:rsidRDefault="00932A9B" w:rsidP="00BE7168">
      <w:pPr>
        <w:jc w:val="center"/>
        <w:rPr>
          <w:rFonts w:ascii="Times New Roman" w:hAnsi="Times New Roman"/>
          <w:color w:val="000000"/>
        </w:rPr>
      </w:pPr>
      <w:r w:rsidRPr="0030327F">
        <w:rPr>
          <w:rFonts w:ascii="Times New Roman" w:hAnsi="Times New Roman"/>
          <w:color w:val="000000"/>
        </w:rPr>
        <w:t>bevacizumab</w:t>
      </w:r>
      <w:r w:rsidR="002A5062" w:rsidRPr="0030327F">
        <w:rPr>
          <w:rFonts w:ascii="Times New Roman" w:hAnsi="Times New Roman"/>
          <w:color w:val="000000"/>
        </w:rPr>
        <w:t>um</w:t>
      </w:r>
    </w:p>
    <w:p w14:paraId="12D93EE5" w14:textId="77777777" w:rsidR="003224A9" w:rsidRPr="00381DC2" w:rsidRDefault="003224A9" w:rsidP="00F751E9">
      <w:pPr>
        <w:pStyle w:val="BodyText"/>
        <w:ind w:left="0" w:right="158"/>
        <w:rPr>
          <w:color w:val="000000"/>
        </w:rPr>
      </w:pPr>
    </w:p>
    <w:p w14:paraId="334E9CBA" w14:textId="77777777" w:rsidR="00D15122" w:rsidRPr="00381DC2" w:rsidRDefault="009B0756" w:rsidP="00363CA4">
      <w:pPr>
        <w:pStyle w:val="BodyText"/>
        <w:ind w:left="0" w:right="158"/>
        <w:rPr>
          <w:b/>
          <w:color w:val="000000"/>
        </w:rPr>
      </w:pPr>
      <w:r w:rsidRPr="00381DC2">
        <w:rPr>
          <w:b/>
          <w:color w:val="000000"/>
        </w:rPr>
        <w:t>Přečtěte si pozorně celou příbalovou informaci dříve, než začnete tento přípravek používat, protože obsahuje pro Vás důležité údaje.</w:t>
      </w:r>
    </w:p>
    <w:p w14:paraId="69DF54A0" w14:textId="4821586F" w:rsidR="00D15122" w:rsidRPr="00381DC2" w:rsidRDefault="00E27EB6" w:rsidP="00B8634B">
      <w:pPr>
        <w:pStyle w:val="BodyText"/>
        <w:tabs>
          <w:tab w:val="left" w:pos="685"/>
        </w:tabs>
        <w:spacing w:line="247" w:lineRule="exact"/>
        <w:ind w:left="0"/>
        <w:rPr>
          <w:color w:val="000000"/>
        </w:rPr>
      </w:pPr>
      <w:r>
        <w:rPr>
          <w:color w:val="000000"/>
        </w:rPr>
        <w:t>-</w:t>
      </w:r>
      <w:r>
        <w:rPr>
          <w:color w:val="000000"/>
        </w:rPr>
        <w:tab/>
      </w:r>
      <w:r w:rsidR="009B0756" w:rsidRPr="00381DC2">
        <w:rPr>
          <w:color w:val="000000"/>
        </w:rPr>
        <w:t>Ponechte si příbalovou informaci pro případ, že si ji budete potřebovat přečíst znovu.</w:t>
      </w:r>
    </w:p>
    <w:p w14:paraId="37BE5BC9" w14:textId="53C88EF2" w:rsidR="00D15122" w:rsidRPr="00381DC2" w:rsidRDefault="00E27EB6" w:rsidP="00B8634B">
      <w:pPr>
        <w:pStyle w:val="BodyText"/>
        <w:tabs>
          <w:tab w:val="left" w:pos="685"/>
        </w:tabs>
        <w:ind w:left="0"/>
        <w:rPr>
          <w:color w:val="000000"/>
        </w:rPr>
      </w:pPr>
      <w:r>
        <w:rPr>
          <w:color w:val="000000"/>
        </w:rPr>
        <w:t xml:space="preserve">- </w:t>
      </w:r>
      <w:r>
        <w:rPr>
          <w:color w:val="000000"/>
        </w:rPr>
        <w:tab/>
      </w:r>
      <w:r w:rsidR="009B0756" w:rsidRPr="00381DC2">
        <w:rPr>
          <w:color w:val="000000"/>
        </w:rPr>
        <w:t>Máte-li jakékoli další otázky, zeptejte se svého lékaře, lékárníka nebo zdravotní sestry.</w:t>
      </w:r>
    </w:p>
    <w:p w14:paraId="1CD409CF" w14:textId="04957BB7" w:rsidR="00D15122" w:rsidRPr="00381DC2" w:rsidRDefault="00E27EB6" w:rsidP="00B8634B">
      <w:pPr>
        <w:pStyle w:val="BodyText"/>
        <w:tabs>
          <w:tab w:val="left" w:pos="685"/>
        </w:tabs>
        <w:ind w:left="0" w:right="329"/>
        <w:rPr>
          <w:color w:val="000000"/>
        </w:rPr>
      </w:pPr>
      <w:r>
        <w:rPr>
          <w:color w:val="000000"/>
        </w:rPr>
        <w:t xml:space="preserve">- </w:t>
      </w:r>
      <w:r>
        <w:rPr>
          <w:color w:val="000000"/>
        </w:rPr>
        <w:tab/>
      </w:r>
      <w:r w:rsidR="009B0756" w:rsidRPr="00381DC2">
        <w:rPr>
          <w:color w:val="000000"/>
        </w:rPr>
        <w:t>Pokud se u Vás vyskytne kterýkoli z nežádoucích účinků, sdělte to svému lékaři, lékárníkovi nebo zdravotní sestře. Stejně postupujte v případě jakýchkoli nežádoucích účinků, které nejsou uvedeny v této příbalové informaci. Viz bod 4.</w:t>
      </w:r>
    </w:p>
    <w:p w14:paraId="0D89113C" w14:textId="77777777" w:rsidR="00D15122" w:rsidRPr="00381DC2" w:rsidRDefault="00D15122" w:rsidP="007F6E1B">
      <w:pPr>
        <w:rPr>
          <w:rFonts w:ascii="Times New Roman" w:eastAsia="Times New Roman" w:hAnsi="Times New Roman"/>
          <w:color w:val="000000"/>
        </w:rPr>
      </w:pPr>
    </w:p>
    <w:p w14:paraId="5E66E5C4" w14:textId="77777777" w:rsidR="00D15122" w:rsidRPr="00381DC2" w:rsidRDefault="009B0756" w:rsidP="00F751E9">
      <w:pPr>
        <w:pStyle w:val="BodyText"/>
        <w:ind w:left="0" w:right="158"/>
        <w:rPr>
          <w:b/>
          <w:color w:val="000000"/>
        </w:rPr>
      </w:pPr>
      <w:r w:rsidRPr="00381DC2">
        <w:rPr>
          <w:b/>
          <w:color w:val="000000"/>
        </w:rPr>
        <w:t>Co naleznete v této příbalové informaci:</w:t>
      </w:r>
    </w:p>
    <w:p w14:paraId="2C89682C" w14:textId="77777777" w:rsidR="00D15122" w:rsidRPr="00381DC2" w:rsidRDefault="00D15122" w:rsidP="007F6E1B">
      <w:pPr>
        <w:rPr>
          <w:rFonts w:ascii="Times New Roman" w:eastAsia="Times New Roman" w:hAnsi="Times New Roman"/>
          <w:color w:val="000000"/>
        </w:rPr>
      </w:pPr>
    </w:p>
    <w:p w14:paraId="2E6E1CE7" w14:textId="77777777" w:rsidR="00D15122" w:rsidRPr="00381DC2" w:rsidRDefault="009B0756" w:rsidP="00316975">
      <w:pPr>
        <w:pStyle w:val="BodyText"/>
        <w:numPr>
          <w:ilvl w:val="0"/>
          <w:numId w:val="5"/>
        </w:numPr>
        <w:tabs>
          <w:tab w:val="left" w:pos="685"/>
        </w:tabs>
        <w:ind w:left="0" w:firstLine="0"/>
        <w:rPr>
          <w:color w:val="000000"/>
        </w:rPr>
      </w:pPr>
      <w:r w:rsidRPr="00381DC2">
        <w:rPr>
          <w:color w:val="000000"/>
        </w:rPr>
        <w:t xml:space="preserve">Co je přípravek </w:t>
      </w:r>
      <w:r w:rsidR="00CC0FAB" w:rsidRPr="00381DC2">
        <w:rPr>
          <w:color w:val="000000"/>
        </w:rPr>
        <w:t>Zirabev</w:t>
      </w:r>
      <w:r w:rsidRPr="00381DC2">
        <w:rPr>
          <w:color w:val="000000"/>
        </w:rPr>
        <w:t xml:space="preserve"> a k čemu se používá</w:t>
      </w:r>
    </w:p>
    <w:p w14:paraId="5157973E" w14:textId="77777777" w:rsidR="00D15122" w:rsidRPr="00381DC2" w:rsidRDefault="009B0756" w:rsidP="00316975">
      <w:pPr>
        <w:pStyle w:val="BodyText"/>
        <w:numPr>
          <w:ilvl w:val="0"/>
          <w:numId w:val="5"/>
        </w:numPr>
        <w:tabs>
          <w:tab w:val="left" w:pos="685"/>
        </w:tabs>
        <w:spacing w:line="252" w:lineRule="exact"/>
        <w:ind w:left="0" w:firstLine="0"/>
        <w:rPr>
          <w:color w:val="000000"/>
        </w:rPr>
      </w:pPr>
      <w:r w:rsidRPr="00381DC2">
        <w:rPr>
          <w:color w:val="000000"/>
        </w:rPr>
        <w:t xml:space="preserve">Čemu musíte věnovat pozornost, než začnete přípravek </w:t>
      </w:r>
      <w:r w:rsidR="00CC0FAB" w:rsidRPr="00381DC2">
        <w:rPr>
          <w:color w:val="000000"/>
        </w:rPr>
        <w:t>Zirabev</w:t>
      </w:r>
      <w:r w:rsidRPr="00381DC2">
        <w:rPr>
          <w:color w:val="000000"/>
        </w:rPr>
        <w:t xml:space="preserve"> používat</w:t>
      </w:r>
    </w:p>
    <w:p w14:paraId="285210BF" w14:textId="77777777" w:rsidR="00D15122" w:rsidRPr="00381DC2" w:rsidRDefault="009B0756" w:rsidP="00316975">
      <w:pPr>
        <w:pStyle w:val="BodyText"/>
        <w:numPr>
          <w:ilvl w:val="0"/>
          <w:numId w:val="5"/>
        </w:numPr>
        <w:tabs>
          <w:tab w:val="left" w:pos="685"/>
        </w:tabs>
        <w:spacing w:line="252" w:lineRule="exact"/>
        <w:ind w:left="0" w:firstLine="0"/>
        <w:rPr>
          <w:color w:val="000000"/>
        </w:rPr>
      </w:pPr>
      <w:r w:rsidRPr="00381DC2">
        <w:rPr>
          <w:color w:val="000000"/>
        </w:rPr>
        <w:t xml:space="preserve">Jak se přípravek </w:t>
      </w:r>
      <w:r w:rsidR="00CC0FAB" w:rsidRPr="00381DC2">
        <w:rPr>
          <w:color w:val="000000"/>
        </w:rPr>
        <w:t>Zirabev</w:t>
      </w:r>
      <w:r w:rsidRPr="00381DC2">
        <w:rPr>
          <w:color w:val="000000"/>
        </w:rPr>
        <w:t xml:space="preserve"> používá</w:t>
      </w:r>
    </w:p>
    <w:p w14:paraId="6F594673" w14:textId="77777777" w:rsidR="00D15122" w:rsidRPr="00381DC2" w:rsidRDefault="009B0756" w:rsidP="00316975">
      <w:pPr>
        <w:pStyle w:val="BodyText"/>
        <w:numPr>
          <w:ilvl w:val="0"/>
          <w:numId w:val="5"/>
        </w:numPr>
        <w:tabs>
          <w:tab w:val="left" w:pos="685"/>
        </w:tabs>
        <w:spacing w:line="252" w:lineRule="exact"/>
        <w:ind w:left="0" w:firstLine="0"/>
        <w:rPr>
          <w:color w:val="000000"/>
        </w:rPr>
      </w:pPr>
      <w:r w:rsidRPr="00381DC2">
        <w:rPr>
          <w:color w:val="000000"/>
        </w:rPr>
        <w:t>Možné nežádoucí účinky</w:t>
      </w:r>
    </w:p>
    <w:p w14:paraId="4EF0AC87" w14:textId="77777777" w:rsidR="00D15122" w:rsidRPr="00381DC2" w:rsidRDefault="009B0756" w:rsidP="00316975">
      <w:pPr>
        <w:pStyle w:val="BodyText"/>
        <w:numPr>
          <w:ilvl w:val="0"/>
          <w:numId w:val="5"/>
        </w:numPr>
        <w:tabs>
          <w:tab w:val="left" w:pos="685"/>
        </w:tabs>
        <w:spacing w:line="252" w:lineRule="exact"/>
        <w:ind w:left="0" w:firstLine="0"/>
        <w:rPr>
          <w:color w:val="000000"/>
        </w:rPr>
      </w:pPr>
      <w:r w:rsidRPr="00381DC2">
        <w:rPr>
          <w:color w:val="000000"/>
        </w:rPr>
        <w:t xml:space="preserve">Jak přípravek </w:t>
      </w:r>
      <w:r w:rsidR="00CC0FAB" w:rsidRPr="00381DC2">
        <w:rPr>
          <w:color w:val="000000"/>
        </w:rPr>
        <w:t>Zirabev</w:t>
      </w:r>
      <w:r w:rsidRPr="00381DC2">
        <w:rPr>
          <w:color w:val="000000"/>
        </w:rPr>
        <w:t xml:space="preserve"> uchovávat</w:t>
      </w:r>
    </w:p>
    <w:p w14:paraId="02178F8A" w14:textId="77777777" w:rsidR="00D15122" w:rsidRPr="00381DC2" w:rsidRDefault="009B0756" w:rsidP="00316975">
      <w:pPr>
        <w:pStyle w:val="BodyText"/>
        <w:numPr>
          <w:ilvl w:val="0"/>
          <w:numId w:val="5"/>
        </w:numPr>
        <w:tabs>
          <w:tab w:val="left" w:pos="685"/>
        </w:tabs>
        <w:spacing w:line="252" w:lineRule="exact"/>
        <w:ind w:left="0" w:firstLine="0"/>
        <w:rPr>
          <w:color w:val="000000"/>
        </w:rPr>
      </w:pPr>
      <w:r w:rsidRPr="00381DC2">
        <w:rPr>
          <w:color w:val="000000"/>
        </w:rPr>
        <w:t>Obsah balení a další informace</w:t>
      </w:r>
    </w:p>
    <w:p w14:paraId="5CEA421A" w14:textId="77777777" w:rsidR="00D15122" w:rsidRPr="00381DC2" w:rsidRDefault="00D15122" w:rsidP="007F6E1B">
      <w:pPr>
        <w:rPr>
          <w:rFonts w:ascii="Times New Roman" w:eastAsia="Times New Roman" w:hAnsi="Times New Roman"/>
          <w:color w:val="000000"/>
        </w:rPr>
      </w:pPr>
    </w:p>
    <w:p w14:paraId="21F6B64B" w14:textId="77777777" w:rsidR="00D15122" w:rsidRPr="00381DC2" w:rsidRDefault="00D15122" w:rsidP="007F6E1B">
      <w:pPr>
        <w:rPr>
          <w:rFonts w:ascii="Times New Roman" w:eastAsia="Times New Roman" w:hAnsi="Times New Roman"/>
          <w:color w:val="000000"/>
        </w:rPr>
      </w:pPr>
    </w:p>
    <w:p w14:paraId="10BC135F" w14:textId="77777777" w:rsidR="00D15122" w:rsidRPr="00381DC2" w:rsidRDefault="00410591" w:rsidP="00F751E9">
      <w:pPr>
        <w:pStyle w:val="BodyText"/>
        <w:ind w:left="0" w:right="158"/>
        <w:rPr>
          <w:b/>
          <w:color w:val="000000"/>
        </w:rPr>
      </w:pPr>
      <w:r w:rsidRPr="00381DC2">
        <w:rPr>
          <w:b/>
          <w:color w:val="000000"/>
        </w:rPr>
        <w:t>1.</w:t>
      </w:r>
      <w:r w:rsidRPr="00381DC2">
        <w:rPr>
          <w:b/>
          <w:color w:val="000000"/>
        </w:rPr>
        <w:tab/>
        <w:t xml:space="preserve">Co je přípravek </w:t>
      </w:r>
      <w:r w:rsidR="00CC0FAB" w:rsidRPr="00381DC2">
        <w:rPr>
          <w:b/>
          <w:color w:val="000000"/>
        </w:rPr>
        <w:t>Zirabev</w:t>
      </w:r>
      <w:r w:rsidRPr="00381DC2">
        <w:rPr>
          <w:b/>
          <w:color w:val="000000"/>
        </w:rPr>
        <w:t xml:space="preserve"> a k čemu se používá</w:t>
      </w:r>
    </w:p>
    <w:p w14:paraId="1A3FD8DD" w14:textId="77777777" w:rsidR="00D15122" w:rsidRPr="00381DC2" w:rsidRDefault="00D15122" w:rsidP="007F6E1B">
      <w:pPr>
        <w:rPr>
          <w:rFonts w:ascii="Times New Roman" w:eastAsia="Times New Roman" w:hAnsi="Times New Roman"/>
          <w:bCs/>
          <w:color w:val="000000"/>
        </w:rPr>
      </w:pPr>
    </w:p>
    <w:p w14:paraId="1E6F565A" w14:textId="77777777" w:rsidR="00D15122" w:rsidRPr="00381DC2" w:rsidRDefault="00426DA8" w:rsidP="004F6645">
      <w:pPr>
        <w:pStyle w:val="BodyText"/>
        <w:widowControl/>
        <w:ind w:left="0" w:right="245"/>
        <w:rPr>
          <w:color w:val="000000"/>
        </w:rPr>
      </w:pPr>
      <w:r w:rsidRPr="00381DC2">
        <w:rPr>
          <w:color w:val="000000"/>
        </w:rPr>
        <w:t xml:space="preserve">Přípravek </w:t>
      </w:r>
      <w:r w:rsidR="00CC0FAB" w:rsidRPr="00381DC2">
        <w:rPr>
          <w:color w:val="000000"/>
        </w:rPr>
        <w:t>Zirabev</w:t>
      </w:r>
      <w:r w:rsidRPr="00381DC2">
        <w:rPr>
          <w:color w:val="000000"/>
        </w:rPr>
        <w:t xml:space="preserve"> obsahuje léčivou látku bevacizumab, což je humanizovaná monoklonální protilátka (typ bílkoviny, která je normálně produkována imunitním systémem a která pomáhá v boji proti infekci a </w:t>
      </w:r>
      <w:r w:rsidR="00A0783E" w:rsidRPr="00381DC2">
        <w:rPr>
          <w:color w:val="000000"/>
        </w:rPr>
        <w:t>nádorovým onemocněním</w:t>
      </w:r>
      <w:r w:rsidRPr="00381DC2">
        <w:rPr>
          <w:color w:val="000000"/>
        </w:rPr>
        <w:t>). Bevacizumab se selektivně váže na bílkovinu zvanou lidský vaskulární endoteliální růstový faktor (VEGF), kter</w:t>
      </w:r>
      <w:r w:rsidR="00E756C9" w:rsidRPr="00381DC2">
        <w:rPr>
          <w:color w:val="000000"/>
        </w:rPr>
        <w:t>á</w:t>
      </w:r>
      <w:r w:rsidRPr="00381DC2">
        <w:rPr>
          <w:color w:val="000000"/>
        </w:rPr>
        <w:t xml:space="preserve"> se nachází na výstelce krevních a lymfatických </w:t>
      </w:r>
      <w:r w:rsidR="00E756C9" w:rsidRPr="00381DC2">
        <w:rPr>
          <w:color w:val="000000"/>
        </w:rPr>
        <w:t xml:space="preserve">(mízních) </w:t>
      </w:r>
      <w:r w:rsidRPr="00381DC2">
        <w:rPr>
          <w:color w:val="000000"/>
        </w:rPr>
        <w:t>cév v těle. Bílkovina VEGF způsobuje růst krevních cév v nádorech a tyto krevní cévy dodávají nádoru živiny a kyslík. Jestliže se bevacizumab naváže na bílkovinu VEGF, zastaví se růst nádoru blokováním růstu krevních cév dodávajících živiny a kyslík do nádoru.</w:t>
      </w:r>
    </w:p>
    <w:p w14:paraId="305079C9" w14:textId="77777777" w:rsidR="00D15122" w:rsidRPr="00381DC2" w:rsidRDefault="00D15122" w:rsidP="007F6E1B">
      <w:pPr>
        <w:rPr>
          <w:rFonts w:ascii="Times New Roman" w:eastAsia="Times New Roman" w:hAnsi="Times New Roman"/>
          <w:color w:val="000000"/>
        </w:rPr>
      </w:pPr>
    </w:p>
    <w:p w14:paraId="1A5CEB9D" w14:textId="77777777" w:rsidR="00D15122" w:rsidRPr="00381DC2" w:rsidRDefault="00426DA8" w:rsidP="00E93E96">
      <w:pPr>
        <w:pStyle w:val="BodyText"/>
        <w:ind w:left="0" w:right="158"/>
        <w:rPr>
          <w:color w:val="000000"/>
        </w:rPr>
      </w:pPr>
      <w:r w:rsidRPr="00381DC2">
        <w:rPr>
          <w:color w:val="000000"/>
        </w:rPr>
        <w:t xml:space="preserve">Přípravek </w:t>
      </w:r>
      <w:r w:rsidR="00CC0FAB" w:rsidRPr="00381DC2">
        <w:rPr>
          <w:color w:val="000000"/>
        </w:rPr>
        <w:t>Zirabev</w:t>
      </w:r>
      <w:r w:rsidRPr="00381DC2">
        <w:rPr>
          <w:color w:val="000000"/>
        </w:rPr>
        <w:t xml:space="preserve"> je lék používaný k léčbě dospělých pacientů s pokročilým </w:t>
      </w:r>
      <w:r w:rsidR="006E165F" w:rsidRPr="00381DC2">
        <w:rPr>
          <w:color w:val="000000"/>
        </w:rPr>
        <w:t xml:space="preserve">nádorovým </w:t>
      </w:r>
      <w:r w:rsidRPr="00381DC2">
        <w:rPr>
          <w:color w:val="000000"/>
        </w:rPr>
        <w:t xml:space="preserve">onemocněním tlustého střeva nebo konečníku. Přípravek </w:t>
      </w:r>
      <w:r w:rsidR="00CC0FAB" w:rsidRPr="00381DC2">
        <w:rPr>
          <w:color w:val="000000"/>
        </w:rPr>
        <w:t>Zirabev</w:t>
      </w:r>
      <w:r w:rsidRPr="00381DC2">
        <w:rPr>
          <w:color w:val="000000"/>
        </w:rPr>
        <w:t xml:space="preserve"> bude podáván </w:t>
      </w:r>
      <w:r w:rsidR="006E165F" w:rsidRPr="00381DC2">
        <w:rPr>
          <w:color w:val="000000"/>
        </w:rPr>
        <w:t xml:space="preserve">v kombinaci </w:t>
      </w:r>
      <w:r w:rsidRPr="00381DC2">
        <w:rPr>
          <w:color w:val="000000"/>
        </w:rPr>
        <w:t>s chemoterapií obsahující fluorpyrimidinový lék.</w:t>
      </w:r>
    </w:p>
    <w:p w14:paraId="79C7A678" w14:textId="77777777" w:rsidR="00D15122" w:rsidRPr="00381DC2" w:rsidRDefault="00D15122" w:rsidP="007F6E1B">
      <w:pPr>
        <w:rPr>
          <w:rFonts w:ascii="Times New Roman" w:eastAsia="Times New Roman" w:hAnsi="Times New Roman"/>
          <w:color w:val="000000"/>
        </w:rPr>
      </w:pPr>
    </w:p>
    <w:p w14:paraId="7B4A51E3" w14:textId="77777777" w:rsidR="00D15122" w:rsidRPr="00381DC2" w:rsidRDefault="00426DA8" w:rsidP="007F6E1B">
      <w:pPr>
        <w:pStyle w:val="BodyText"/>
        <w:ind w:left="0" w:right="157"/>
        <w:rPr>
          <w:color w:val="000000"/>
        </w:rPr>
      </w:pPr>
      <w:r w:rsidRPr="00381DC2">
        <w:rPr>
          <w:color w:val="000000"/>
        </w:rPr>
        <w:t xml:space="preserve">Přípravek </w:t>
      </w:r>
      <w:r w:rsidR="00CC0FAB" w:rsidRPr="00381DC2">
        <w:rPr>
          <w:color w:val="000000"/>
        </w:rPr>
        <w:t>Zirabev</w:t>
      </w:r>
      <w:r w:rsidRPr="00381DC2">
        <w:rPr>
          <w:color w:val="000000"/>
        </w:rPr>
        <w:t xml:space="preserve"> se dále používá k léčbě dospělých pacientů s </w:t>
      </w:r>
      <w:r w:rsidR="000834FE" w:rsidRPr="00381DC2">
        <w:rPr>
          <w:color w:val="000000"/>
        </w:rPr>
        <w:t>metasta</w:t>
      </w:r>
      <w:r w:rsidR="00E756C9" w:rsidRPr="00381DC2">
        <w:rPr>
          <w:color w:val="000000"/>
        </w:rPr>
        <w:t>zujícím</w:t>
      </w:r>
      <w:r w:rsidR="000834FE" w:rsidRPr="00381DC2">
        <w:rPr>
          <w:color w:val="000000"/>
        </w:rPr>
        <w:t xml:space="preserve"> </w:t>
      </w:r>
      <w:r w:rsidRPr="00381DC2">
        <w:rPr>
          <w:color w:val="000000"/>
        </w:rPr>
        <w:t>nádorovým onemocněním prsu. U pacientů s</w:t>
      </w:r>
      <w:r w:rsidR="006E165F" w:rsidRPr="00381DC2">
        <w:rPr>
          <w:color w:val="000000"/>
        </w:rPr>
        <w:t> </w:t>
      </w:r>
      <w:r w:rsidRPr="00381DC2">
        <w:rPr>
          <w:color w:val="000000"/>
        </w:rPr>
        <w:t>nádor</w:t>
      </w:r>
      <w:r w:rsidR="006E165F" w:rsidRPr="00381DC2">
        <w:rPr>
          <w:color w:val="000000"/>
        </w:rPr>
        <w:t>ovým onemocněním</w:t>
      </w:r>
      <w:r w:rsidRPr="00381DC2">
        <w:rPr>
          <w:color w:val="000000"/>
        </w:rPr>
        <w:t xml:space="preserve"> prsu bude podáván s chemoterapeutickým léčivým přípravkem zvaným paklitaxel</w:t>
      </w:r>
      <w:r w:rsidR="00ED4C2D" w:rsidRPr="00381DC2">
        <w:rPr>
          <w:color w:val="000000"/>
        </w:rPr>
        <w:t xml:space="preserve"> nebo kapecitabin</w:t>
      </w:r>
      <w:r w:rsidRPr="00381DC2">
        <w:rPr>
          <w:color w:val="000000"/>
        </w:rPr>
        <w:t>.</w:t>
      </w:r>
    </w:p>
    <w:p w14:paraId="6D345AE3" w14:textId="77777777" w:rsidR="00D15122" w:rsidRPr="00381DC2" w:rsidRDefault="00D15122" w:rsidP="007F6E1B">
      <w:pPr>
        <w:rPr>
          <w:rFonts w:ascii="Times New Roman" w:eastAsia="Times New Roman" w:hAnsi="Times New Roman"/>
          <w:color w:val="000000"/>
        </w:rPr>
      </w:pPr>
    </w:p>
    <w:p w14:paraId="0C8FA630" w14:textId="77777777" w:rsidR="00D15122" w:rsidRPr="00381DC2" w:rsidRDefault="00426DA8" w:rsidP="007F6E1B">
      <w:pPr>
        <w:pStyle w:val="BodyText"/>
        <w:ind w:left="0" w:right="157"/>
        <w:rPr>
          <w:color w:val="000000"/>
        </w:rPr>
      </w:pPr>
      <w:r w:rsidRPr="00381DC2">
        <w:rPr>
          <w:color w:val="000000"/>
        </w:rPr>
        <w:t xml:space="preserve">Přípravek </w:t>
      </w:r>
      <w:r w:rsidR="00CC0FAB" w:rsidRPr="00381DC2">
        <w:rPr>
          <w:color w:val="000000"/>
        </w:rPr>
        <w:t>Zirabev</w:t>
      </w:r>
      <w:r w:rsidRPr="00381DC2">
        <w:rPr>
          <w:color w:val="000000"/>
        </w:rPr>
        <w:t xml:space="preserve"> se </w:t>
      </w:r>
      <w:r w:rsidR="006E165F" w:rsidRPr="00381DC2">
        <w:rPr>
          <w:color w:val="000000"/>
        </w:rPr>
        <w:t xml:space="preserve">dále </w:t>
      </w:r>
      <w:r w:rsidRPr="00381DC2">
        <w:rPr>
          <w:color w:val="000000"/>
        </w:rPr>
        <w:t xml:space="preserve">používá k léčbě dospělých pacientů s pokročilým nemalobuněčným </w:t>
      </w:r>
      <w:r w:rsidR="00F0199F" w:rsidRPr="00381DC2">
        <w:rPr>
          <w:color w:val="000000"/>
        </w:rPr>
        <w:t>nádorovým onemocněním plic</w:t>
      </w:r>
      <w:r w:rsidRPr="00381DC2">
        <w:rPr>
          <w:color w:val="000000"/>
        </w:rPr>
        <w:t xml:space="preserve">. Přípravek </w:t>
      </w:r>
      <w:r w:rsidR="00CC0FAB" w:rsidRPr="00381DC2">
        <w:rPr>
          <w:color w:val="000000"/>
        </w:rPr>
        <w:t>Zirabev</w:t>
      </w:r>
      <w:r w:rsidRPr="00381DC2">
        <w:rPr>
          <w:color w:val="000000"/>
        </w:rPr>
        <w:t xml:space="preserve"> bude podáván spolu s chemoterapeutickým režimem obsahujícím platinu.</w:t>
      </w:r>
    </w:p>
    <w:p w14:paraId="7DE72C51" w14:textId="77777777" w:rsidR="00770AE6" w:rsidRPr="00381DC2" w:rsidRDefault="00770AE6" w:rsidP="007F6E1B">
      <w:pPr>
        <w:pStyle w:val="BodyText"/>
        <w:ind w:left="0" w:right="157"/>
        <w:rPr>
          <w:color w:val="000000"/>
        </w:rPr>
      </w:pPr>
    </w:p>
    <w:p w14:paraId="289C1810" w14:textId="77777777" w:rsidR="00770AE6" w:rsidRPr="00381DC2" w:rsidRDefault="00770AE6" w:rsidP="007F6E1B">
      <w:pPr>
        <w:pStyle w:val="BodyText"/>
        <w:ind w:left="0" w:right="157"/>
        <w:rPr>
          <w:color w:val="000000"/>
        </w:rPr>
      </w:pPr>
      <w:r w:rsidRPr="00381DC2">
        <w:rPr>
          <w:color w:val="000000"/>
        </w:rPr>
        <w:t>Přípravek Zirabev se dále používá k léčbě dospělých pacientů s pokročilým nemalobuněčným nádorovým onemocněním plic, pokud u buněk nádoru dochází ke specifické mutaci bílkoviny nazývané receptor epidermálního růstového faktoru (EGFR). Přípravek Zirabev bude podáván spolu s erlotinibem.</w:t>
      </w:r>
    </w:p>
    <w:p w14:paraId="0753E260" w14:textId="77777777" w:rsidR="00D15122" w:rsidRPr="00381DC2" w:rsidRDefault="00D15122" w:rsidP="007F6E1B">
      <w:pPr>
        <w:rPr>
          <w:rFonts w:ascii="Times New Roman" w:eastAsia="Times New Roman" w:hAnsi="Times New Roman"/>
          <w:color w:val="000000"/>
        </w:rPr>
      </w:pPr>
    </w:p>
    <w:p w14:paraId="38203812" w14:textId="77777777" w:rsidR="00D15122" w:rsidRPr="00381DC2" w:rsidRDefault="00426DA8" w:rsidP="007F6E1B">
      <w:pPr>
        <w:pStyle w:val="BodyText"/>
        <w:ind w:left="0" w:right="157"/>
        <w:rPr>
          <w:color w:val="000000"/>
        </w:rPr>
      </w:pPr>
      <w:r w:rsidRPr="00381DC2">
        <w:rPr>
          <w:color w:val="000000"/>
        </w:rPr>
        <w:t xml:space="preserve">Přípravek </w:t>
      </w:r>
      <w:r w:rsidR="00CC0FAB" w:rsidRPr="00381DC2">
        <w:rPr>
          <w:color w:val="000000"/>
        </w:rPr>
        <w:t>Zirabev</w:t>
      </w:r>
      <w:r w:rsidRPr="00381DC2">
        <w:rPr>
          <w:color w:val="000000"/>
        </w:rPr>
        <w:t xml:space="preserve"> se </w:t>
      </w:r>
      <w:r w:rsidR="006E165F" w:rsidRPr="00381DC2">
        <w:rPr>
          <w:color w:val="000000"/>
        </w:rPr>
        <w:t xml:space="preserve">dále </w:t>
      </w:r>
      <w:r w:rsidRPr="00381DC2">
        <w:rPr>
          <w:color w:val="000000"/>
        </w:rPr>
        <w:t>používá k léčbě dospělých pacientů s pokročilým karcinomem</w:t>
      </w:r>
      <w:r w:rsidR="00E756C9" w:rsidRPr="00381DC2">
        <w:rPr>
          <w:color w:val="000000"/>
        </w:rPr>
        <w:t xml:space="preserve"> (nádorovým onemocněním)</w:t>
      </w:r>
      <w:r w:rsidRPr="00381DC2">
        <w:rPr>
          <w:color w:val="000000"/>
        </w:rPr>
        <w:t xml:space="preserve"> ledviny. Při léčbě pacientů s karcinomem ledviny je podáván s dalším lékem nazývaným interferon.</w:t>
      </w:r>
    </w:p>
    <w:p w14:paraId="4713D10C" w14:textId="77777777" w:rsidR="00D15122" w:rsidRPr="00381DC2" w:rsidRDefault="00D15122" w:rsidP="007F6E1B">
      <w:pPr>
        <w:rPr>
          <w:rFonts w:ascii="Times New Roman" w:eastAsia="Times New Roman" w:hAnsi="Times New Roman"/>
          <w:color w:val="000000"/>
        </w:rPr>
      </w:pPr>
    </w:p>
    <w:p w14:paraId="5E479046" w14:textId="77777777" w:rsidR="008F40C9" w:rsidRPr="00381DC2" w:rsidRDefault="008F40C9" w:rsidP="008F40C9">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 xml:space="preserve">Přípravek Zirabev se používá rovněž k léčbě dospělých pacientek s pokročilým epitelovým nádorem vaječníků, vejcovodů nebo primárního nádoru pobřišnice. Při léčbě pacientek s epitelovým nádorem </w:t>
      </w:r>
      <w:r w:rsidRPr="00381DC2">
        <w:rPr>
          <w:rFonts w:ascii="Times New Roman" w:eastAsia="Times New Roman" w:hAnsi="Times New Roman"/>
          <w:color w:val="000000"/>
          <w:lang w:bidi="ar-SA"/>
        </w:rPr>
        <w:lastRenderedPageBreak/>
        <w:t>vaječníků, vejcovodů nebo primárním nádorem pobřišnice je podáván v kombinaci s karboplatinou a paklitaxelem.</w:t>
      </w:r>
    </w:p>
    <w:p w14:paraId="7A76C23D" w14:textId="77777777" w:rsidR="008F40C9" w:rsidRPr="00381DC2" w:rsidRDefault="008F40C9" w:rsidP="008F40C9">
      <w:pPr>
        <w:widowControl/>
        <w:rPr>
          <w:rFonts w:ascii="Times New Roman" w:eastAsia="Times New Roman" w:hAnsi="Times New Roman"/>
          <w:color w:val="000000"/>
          <w:lang w:bidi="ar-SA"/>
        </w:rPr>
      </w:pPr>
    </w:p>
    <w:p w14:paraId="3906A52F" w14:textId="77777777" w:rsidR="008F40C9" w:rsidRPr="00381DC2" w:rsidRDefault="008F40C9" w:rsidP="008F40C9">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Při léčbě dospělých pacientek s pokročilým epiteliálním nádorem vaječníků, vejcovodů nebo primárním nádorem pobřišnice, jejichž onemocnění se znovu projevilo v odstupu nejméně 6 měsíců od doby, kdy byly naposledy léčeny režimem chemoterapie obsahujícím platinu, se přípravek Zirabev podává v kombinaci s karboplatinou a gemcitabinem nebo v kombinaci s karboplatinou a paklitaxelem.</w:t>
      </w:r>
    </w:p>
    <w:p w14:paraId="4EFBBBD6" w14:textId="77777777" w:rsidR="008F40C9" w:rsidRPr="00381DC2" w:rsidRDefault="008F40C9" w:rsidP="008F40C9">
      <w:pPr>
        <w:widowControl/>
        <w:rPr>
          <w:rFonts w:ascii="Times New Roman" w:eastAsia="Times New Roman" w:hAnsi="Times New Roman"/>
          <w:color w:val="000000"/>
          <w:lang w:bidi="ar-SA"/>
        </w:rPr>
      </w:pPr>
    </w:p>
    <w:p w14:paraId="2A61F0B0" w14:textId="77777777" w:rsidR="008F40C9" w:rsidRPr="00381DC2" w:rsidRDefault="008F40C9" w:rsidP="008F40C9">
      <w:pPr>
        <w:widowControl/>
        <w:rPr>
          <w:rFonts w:ascii="Times New Roman" w:eastAsia="Times New Roman" w:hAnsi="Times New Roman"/>
          <w:color w:val="000000"/>
          <w:lang w:bidi="ar-SA"/>
        </w:rPr>
      </w:pPr>
      <w:r w:rsidRPr="00381DC2">
        <w:rPr>
          <w:rFonts w:ascii="Times New Roman" w:eastAsia="Times New Roman" w:hAnsi="Times New Roman"/>
          <w:color w:val="000000"/>
          <w:lang w:bidi="ar-SA"/>
        </w:rPr>
        <w:t>Při léčbě dospělých pacientek s pokročilým epiteliálním nádorem vaječníků, vejcovodů nebo primárním nádorem pobřišnice, jejichž onemocnění se znovu projevilo v odstupu nejméně 6 měsíců od doby, kdy byly naposledy léčeny režimem chemoterapie obsahujícím platinu, se přípravek Zirabev podává v kombinaci s</w:t>
      </w:r>
      <w:r w:rsidR="00A702E1" w:rsidRPr="00381DC2">
        <w:rPr>
          <w:rFonts w:ascii="Times New Roman" w:eastAsia="Times New Roman" w:hAnsi="Times New Roman"/>
          <w:color w:val="000000"/>
          <w:lang w:bidi="ar-SA"/>
        </w:rPr>
        <w:t> paklitaxelem nebo</w:t>
      </w:r>
      <w:r w:rsidRPr="00381DC2">
        <w:rPr>
          <w:rFonts w:ascii="Times New Roman" w:eastAsia="Times New Roman" w:hAnsi="Times New Roman"/>
          <w:color w:val="000000"/>
          <w:lang w:bidi="ar-SA"/>
        </w:rPr>
        <w:t> topotekanem nebo pegylovaným liposomálním doxorubicinem.</w:t>
      </w:r>
    </w:p>
    <w:p w14:paraId="0A5B51A7" w14:textId="77777777" w:rsidR="008F40C9" w:rsidRPr="00381DC2" w:rsidRDefault="008F40C9" w:rsidP="007F6E1B">
      <w:pPr>
        <w:rPr>
          <w:rFonts w:ascii="Times New Roman" w:eastAsia="Times New Roman" w:hAnsi="Times New Roman"/>
          <w:color w:val="000000"/>
        </w:rPr>
      </w:pPr>
    </w:p>
    <w:p w14:paraId="6C58329B" w14:textId="77777777" w:rsidR="00D15122" w:rsidRPr="00381DC2" w:rsidRDefault="00426DA8" w:rsidP="007F6E1B">
      <w:pPr>
        <w:pStyle w:val="BodyText"/>
        <w:ind w:left="0" w:right="209" w:hanging="1"/>
        <w:rPr>
          <w:color w:val="000000"/>
        </w:rPr>
      </w:pPr>
      <w:r w:rsidRPr="00381DC2">
        <w:rPr>
          <w:color w:val="000000"/>
        </w:rPr>
        <w:t xml:space="preserve">Přípravek </w:t>
      </w:r>
      <w:r w:rsidR="00CC0FAB" w:rsidRPr="00381DC2">
        <w:rPr>
          <w:color w:val="000000"/>
        </w:rPr>
        <w:t>Zirabev</w:t>
      </w:r>
      <w:r w:rsidRPr="00381DC2">
        <w:rPr>
          <w:color w:val="000000"/>
        </w:rPr>
        <w:t xml:space="preserve"> se dále používá k léčbě dospělých pacientek s přetrvávajícím, rekurentním </w:t>
      </w:r>
      <w:r w:rsidR="00E756C9" w:rsidRPr="00381DC2">
        <w:rPr>
          <w:color w:val="000000"/>
        </w:rPr>
        <w:t xml:space="preserve">(opakujícím se) </w:t>
      </w:r>
      <w:r w:rsidRPr="00381DC2">
        <w:rPr>
          <w:color w:val="000000"/>
        </w:rPr>
        <w:t xml:space="preserve">nebo </w:t>
      </w:r>
      <w:r w:rsidR="000834FE" w:rsidRPr="00381DC2">
        <w:rPr>
          <w:color w:val="000000"/>
        </w:rPr>
        <w:t>metasta</w:t>
      </w:r>
      <w:r w:rsidR="00E756C9" w:rsidRPr="00381DC2">
        <w:rPr>
          <w:color w:val="000000"/>
        </w:rPr>
        <w:t>zujícím</w:t>
      </w:r>
      <w:r w:rsidR="000834FE" w:rsidRPr="00381DC2">
        <w:rPr>
          <w:color w:val="000000"/>
        </w:rPr>
        <w:t xml:space="preserve"> </w:t>
      </w:r>
      <w:r w:rsidRPr="00381DC2">
        <w:rPr>
          <w:color w:val="000000"/>
        </w:rPr>
        <w:t xml:space="preserve">karcinomem děložního </w:t>
      </w:r>
      <w:r w:rsidR="00B96978" w:rsidRPr="00381DC2">
        <w:rPr>
          <w:color w:val="000000"/>
        </w:rPr>
        <w:t>čípku</w:t>
      </w:r>
      <w:r w:rsidRPr="00381DC2">
        <w:rPr>
          <w:color w:val="000000"/>
        </w:rPr>
        <w:t xml:space="preserve">. Přípravek </w:t>
      </w:r>
      <w:r w:rsidR="00CC0FAB" w:rsidRPr="00381DC2">
        <w:rPr>
          <w:color w:val="000000"/>
        </w:rPr>
        <w:t>Zirabev</w:t>
      </w:r>
      <w:r w:rsidRPr="00381DC2">
        <w:rPr>
          <w:color w:val="000000"/>
        </w:rPr>
        <w:t xml:space="preserve"> bude podáván v kombinaci s paklitaxelem a cisplatinou a u pacientek, které nemohou dostávat platinu, v kombinaci s paklitaxelem a topotekanem.</w:t>
      </w:r>
    </w:p>
    <w:p w14:paraId="0E9A5454" w14:textId="77777777" w:rsidR="00202F93" w:rsidRPr="00381DC2" w:rsidRDefault="00202F93" w:rsidP="007F6E1B">
      <w:pPr>
        <w:rPr>
          <w:rFonts w:ascii="Times New Roman" w:eastAsia="Times New Roman" w:hAnsi="Times New Roman"/>
          <w:color w:val="000000"/>
        </w:rPr>
      </w:pPr>
    </w:p>
    <w:p w14:paraId="51A1E345" w14:textId="77777777" w:rsidR="00BE7168" w:rsidRPr="00381DC2" w:rsidRDefault="00BE7168" w:rsidP="007F6E1B">
      <w:pPr>
        <w:rPr>
          <w:rFonts w:ascii="Times New Roman" w:eastAsia="Times New Roman" w:hAnsi="Times New Roman"/>
          <w:color w:val="000000"/>
        </w:rPr>
      </w:pPr>
    </w:p>
    <w:p w14:paraId="4A98B637" w14:textId="77777777" w:rsidR="000220DF" w:rsidRPr="00381DC2" w:rsidRDefault="00410591" w:rsidP="00363CA4">
      <w:pPr>
        <w:pStyle w:val="BodyText"/>
        <w:ind w:left="0" w:right="158"/>
        <w:rPr>
          <w:b/>
          <w:color w:val="000000"/>
        </w:rPr>
      </w:pPr>
      <w:r w:rsidRPr="00381DC2">
        <w:rPr>
          <w:b/>
          <w:color w:val="000000"/>
        </w:rPr>
        <w:t>2.</w:t>
      </w:r>
      <w:r w:rsidRPr="00381DC2">
        <w:rPr>
          <w:b/>
          <w:color w:val="000000"/>
        </w:rPr>
        <w:tab/>
        <w:t xml:space="preserve">Čemu musíte věnovat pozornost, než začnete přípravek </w:t>
      </w:r>
      <w:r w:rsidR="00CC0FAB" w:rsidRPr="00381DC2">
        <w:rPr>
          <w:b/>
          <w:color w:val="000000"/>
        </w:rPr>
        <w:t>Zirabev</w:t>
      </w:r>
      <w:r w:rsidRPr="00381DC2">
        <w:rPr>
          <w:b/>
          <w:color w:val="000000"/>
        </w:rPr>
        <w:t xml:space="preserve"> používat </w:t>
      </w:r>
    </w:p>
    <w:p w14:paraId="5F934840" w14:textId="77777777" w:rsidR="000220DF" w:rsidRPr="00381DC2" w:rsidRDefault="000220DF" w:rsidP="00363CA4">
      <w:pPr>
        <w:pStyle w:val="BodyText"/>
        <w:ind w:left="0" w:right="158"/>
        <w:rPr>
          <w:b/>
          <w:color w:val="000000"/>
        </w:rPr>
      </w:pPr>
    </w:p>
    <w:p w14:paraId="3047AB26" w14:textId="77777777" w:rsidR="00D15122" w:rsidRPr="00381DC2" w:rsidRDefault="000220DF" w:rsidP="00363CA4">
      <w:pPr>
        <w:pStyle w:val="BodyText"/>
        <w:ind w:left="0" w:right="158"/>
        <w:rPr>
          <w:b/>
          <w:color w:val="000000"/>
        </w:rPr>
      </w:pPr>
      <w:r w:rsidRPr="00381DC2">
        <w:rPr>
          <w:b/>
          <w:color w:val="000000"/>
        </w:rPr>
        <w:t xml:space="preserve">Nepoužívejte přípravek </w:t>
      </w:r>
      <w:r w:rsidR="00CC0FAB" w:rsidRPr="00381DC2">
        <w:rPr>
          <w:b/>
          <w:color w:val="000000"/>
        </w:rPr>
        <w:t>Zirabev</w:t>
      </w:r>
      <w:r w:rsidR="008A4147" w:rsidRPr="00381DC2">
        <w:rPr>
          <w:b/>
          <w:color w:val="000000"/>
        </w:rPr>
        <w:t xml:space="preserve"> jestliže</w:t>
      </w:r>
      <w:r w:rsidRPr="00381DC2">
        <w:rPr>
          <w:b/>
          <w:color w:val="000000"/>
        </w:rPr>
        <w:t>:</w:t>
      </w:r>
    </w:p>
    <w:p w14:paraId="487D99DC" w14:textId="77777777" w:rsidR="00D15122" w:rsidRPr="00381DC2" w:rsidRDefault="009B0756" w:rsidP="0075598F">
      <w:pPr>
        <w:pStyle w:val="BodyText"/>
        <w:numPr>
          <w:ilvl w:val="0"/>
          <w:numId w:val="14"/>
        </w:numPr>
        <w:tabs>
          <w:tab w:val="left" w:pos="685"/>
        </w:tabs>
        <w:spacing w:line="241" w:lineRule="auto"/>
        <w:ind w:right="741" w:hanging="718"/>
        <w:rPr>
          <w:color w:val="000000"/>
        </w:rPr>
      </w:pPr>
      <w:r w:rsidRPr="00381DC2">
        <w:rPr>
          <w:color w:val="000000"/>
        </w:rPr>
        <w:t>jste alergický(á) (hypersenzitivní) na bevacizumab nebo na kteroukoli další složku tohoto přípravku (uvedenou v bodě 6),</w:t>
      </w:r>
    </w:p>
    <w:p w14:paraId="15846A96" w14:textId="77777777" w:rsidR="00D15122" w:rsidRPr="00381DC2" w:rsidRDefault="009B0756" w:rsidP="0075598F">
      <w:pPr>
        <w:pStyle w:val="BodyText"/>
        <w:numPr>
          <w:ilvl w:val="0"/>
          <w:numId w:val="14"/>
        </w:numPr>
        <w:tabs>
          <w:tab w:val="left" w:pos="685"/>
        </w:tabs>
        <w:spacing w:line="241" w:lineRule="auto"/>
        <w:ind w:right="613" w:hanging="718"/>
        <w:rPr>
          <w:color w:val="000000"/>
        </w:rPr>
      </w:pPr>
      <w:r w:rsidRPr="00381DC2">
        <w:rPr>
          <w:color w:val="000000"/>
        </w:rPr>
        <w:t>jste alergický(á) (hypersenzitivní) na látky produkované buňkami</w:t>
      </w:r>
      <w:r w:rsidR="00B96978" w:rsidRPr="00381DC2">
        <w:rPr>
          <w:color w:val="000000"/>
        </w:rPr>
        <w:t xml:space="preserve"> vaječníků</w:t>
      </w:r>
      <w:r w:rsidRPr="00381DC2">
        <w:rPr>
          <w:color w:val="000000"/>
        </w:rPr>
        <w:t xml:space="preserve"> čínských křeč</w:t>
      </w:r>
      <w:r w:rsidR="00EB1ECE" w:rsidRPr="00381DC2">
        <w:rPr>
          <w:color w:val="000000"/>
        </w:rPr>
        <w:t>í</w:t>
      </w:r>
      <w:r w:rsidRPr="00381DC2">
        <w:rPr>
          <w:color w:val="000000"/>
        </w:rPr>
        <w:t>ků (CHO) nebo na jiné rekombinantní lidské nebo humanizované protilátky,</w:t>
      </w:r>
    </w:p>
    <w:p w14:paraId="13F9B1EB" w14:textId="77777777" w:rsidR="00D15122" w:rsidRPr="00381DC2" w:rsidRDefault="009B0756" w:rsidP="0075598F">
      <w:pPr>
        <w:pStyle w:val="BodyText"/>
        <w:numPr>
          <w:ilvl w:val="0"/>
          <w:numId w:val="14"/>
        </w:numPr>
        <w:tabs>
          <w:tab w:val="left" w:pos="685"/>
        </w:tabs>
        <w:spacing w:line="251" w:lineRule="exact"/>
        <w:ind w:hanging="718"/>
        <w:rPr>
          <w:color w:val="000000"/>
        </w:rPr>
      </w:pPr>
      <w:r w:rsidRPr="00381DC2">
        <w:rPr>
          <w:color w:val="000000"/>
        </w:rPr>
        <w:t>jste těhotná.</w:t>
      </w:r>
    </w:p>
    <w:p w14:paraId="6D2B4B67" w14:textId="77777777" w:rsidR="00D15122" w:rsidRPr="00381DC2" w:rsidRDefault="00D15122" w:rsidP="007F6E1B">
      <w:pPr>
        <w:rPr>
          <w:rFonts w:ascii="Times New Roman" w:eastAsia="Times New Roman" w:hAnsi="Times New Roman"/>
          <w:color w:val="000000"/>
        </w:rPr>
      </w:pPr>
    </w:p>
    <w:p w14:paraId="30F88FC0" w14:textId="77777777" w:rsidR="00D15122" w:rsidRPr="00381DC2" w:rsidRDefault="009B0756" w:rsidP="00363CA4">
      <w:pPr>
        <w:pStyle w:val="BodyText"/>
        <w:ind w:left="0" w:right="158"/>
        <w:rPr>
          <w:b/>
          <w:color w:val="000000"/>
        </w:rPr>
      </w:pPr>
      <w:r w:rsidRPr="00381DC2">
        <w:rPr>
          <w:b/>
          <w:color w:val="000000"/>
        </w:rPr>
        <w:t>Upozornění a opatření</w:t>
      </w:r>
    </w:p>
    <w:p w14:paraId="4AAF90CA" w14:textId="77777777" w:rsidR="00D15122" w:rsidRPr="00381DC2" w:rsidRDefault="009B0756" w:rsidP="007F6E1B">
      <w:pPr>
        <w:pStyle w:val="BodyText"/>
        <w:spacing w:line="251" w:lineRule="exact"/>
        <w:ind w:left="0"/>
        <w:rPr>
          <w:color w:val="000000"/>
        </w:rPr>
      </w:pPr>
      <w:r w:rsidRPr="00381DC2">
        <w:rPr>
          <w:color w:val="000000"/>
        </w:rPr>
        <w:t xml:space="preserve">Před použitím přípravku </w:t>
      </w:r>
      <w:r w:rsidR="00CC0FAB" w:rsidRPr="00381DC2">
        <w:rPr>
          <w:color w:val="000000"/>
        </w:rPr>
        <w:t>Zirabev</w:t>
      </w:r>
      <w:r w:rsidRPr="00381DC2">
        <w:rPr>
          <w:color w:val="000000"/>
        </w:rPr>
        <w:t xml:space="preserve"> se poraďte se svým lékařem, lékárníkem nebo zdravotní sestrou:</w:t>
      </w:r>
    </w:p>
    <w:p w14:paraId="4C527FA1" w14:textId="77777777" w:rsidR="00D15122" w:rsidRPr="00381DC2" w:rsidRDefault="00D15122" w:rsidP="007F6E1B">
      <w:pPr>
        <w:rPr>
          <w:rFonts w:ascii="Times New Roman" w:eastAsia="Times New Roman" w:hAnsi="Times New Roman"/>
          <w:color w:val="000000"/>
        </w:rPr>
      </w:pPr>
    </w:p>
    <w:p w14:paraId="13F7330F" w14:textId="77777777" w:rsidR="00FD4179" w:rsidRPr="00381DC2" w:rsidRDefault="00B96978" w:rsidP="00FD4179">
      <w:pPr>
        <w:pStyle w:val="BodyText"/>
        <w:numPr>
          <w:ilvl w:val="0"/>
          <w:numId w:val="14"/>
        </w:numPr>
        <w:tabs>
          <w:tab w:val="left" w:pos="720"/>
        </w:tabs>
        <w:ind w:left="720" w:right="291" w:hanging="720"/>
        <w:rPr>
          <w:color w:val="000000"/>
        </w:rPr>
      </w:pPr>
      <w:r w:rsidRPr="00381DC2">
        <w:rPr>
          <w:color w:val="000000"/>
        </w:rPr>
        <w:t>L</w:t>
      </w:r>
      <w:r w:rsidR="00FD4179" w:rsidRPr="00381DC2">
        <w:rPr>
          <w:color w:val="000000"/>
        </w:rPr>
        <w:t xml:space="preserve">ékař </w:t>
      </w:r>
      <w:r w:rsidRPr="00381DC2">
        <w:rPr>
          <w:color w:val="000000"/>
        </w:rPr>
        <w:t>má</w:t>
      </w:r>
      <w:r w:rsidR="004914FD" w:rsidRPr="00381DC2">
        <w:rPr>
          <w:color w:val="000000"/>
        </w:rPr>
        <w:t xml:space="preserve"> zaznamenat</w:t>
      </w:r>
      <w:r w:rsidR="00FD4179" w:rsidRPr="00381DC2">
        <w:rPr>
          <w:color w:val="000000"/>
        </w:rPr>
        <w:t xml:space="preserve"> obchodní náz</w:t>
      </w:r>
      <w:r w:rsidR="004914FD" w:rsidRPr="00381DC2">
        <w:rPr>
          <w:color w:val="000000"/>
        </w:rPr>
        <w:t>e</w:t>
      </w:r>
      <w:r w:rsidR="00FD4179" w:rsidRPr="00381DC2">
        <w:rPr>
          <w:color w:val="000000"/>
        </w:rPr>
        <w:t>v a čísl</w:t>
      </w:r>
      <w:r w:rsidR="004914FD" w:rsidRPr="00381DC2">
        <w:rPr>
          <w:color w:val="000000"/>
        </w:rPr>
        <w:t>o</w:t>
      </w:r>
      <w:r w:rsidR="00FD4179" w:rsidRPr="00381DC2">
        <w:rPr>
          <w:color w:val="000000"/>
        </w:rPr>
        <w:t xml:space="preserve"> šarž</w:t>
      </w:r>
      <w:r w:rsidR="004914FD" w:rsidRPr="00381DC2">
        <w:rPr>
          <w:color w:val="000000"/>
        </w:rPr>
        <w:t>e</w:t>
      </w:r>
      <w:r w:rsidR="00FD4179" w:rsidRPr="00381DC2">
        <w:rPr>
          <w:color w:val="000000"/>
        </w:rPr>
        <w:t xml:space="preserve"> </w:t>
      </w:r>
      <w:r w:rsidR="001E42C1" w:rsidRPr="00381DC2">
        <w:rPr>
          <w:color w:val="000000"/>
        </w:rPr>
        <w:t xml:space="preserve">Vašeho </w:t>
      </w:r>
      <w:r w:rsidRPr="00381DC2">
        <w:rPr>
          <w:color w:val="000000"/>
        </w:rPr>
        <w:t>přípravku</w:t>
      </w:r>
      <w:r w:rsidR="00FD4179" w:rsidRPr="00381DC2">
        <w:rPr>
          <w:color w:val="000000"/>
        </w:rPr>
        <w:t>.</w:t>
      </w:r>
    </w:p>
    <w:p w14:paraId="0D6E8BB0" w14:textId="77777777" w:rsidR="00FD4179" w:rsidRPr="00381DC2" w:rsidRDefault="00FD4179" w:rsidP="00DD4FC5">
      <w:pPr>
        <w:pStyle w:val="BodyText"/>
        <w:widowControl/>
        <w:ind w:left="718" w:right="204"/>
        <w:rPr>
          <w:color w:val="000000"/>
        </w:rPr>
      </w:pPr>
    </w:p>
    <w:p w14:paraId="64F18C1E" w14:textId="77777777" w:rsidR="00D15122" w:rsidRPr="00381DC2" w:rsidRDefault="009B0756" w:rsidP="00DD4FC5">
      <w:pPr>
        <w:pStyle w:val="BodyText"/>
        <w:numPr>
          <w:ilvl w:val="0"/>
          <w:numId w:val="14"/>
        </w:numPr>
        <w:tabs>
          <w:tab w:val="left" w:pos="720"/>
        </w:tabs>
        <w:ind w:left="720" w:right="204" w:hanging="720"/>
        <w:rPr>
          <w:color w:val="000000"/>
        </w:rPr>
      </w:pPr>
      <w:r w:rsidRPr="00381DC2">
        <w:rPr>
          <w:color w:val="000000"/>
        </w:rPr>
        <w:t xml:space="preserve">Je možné, že přípravek </w:t>
      </w:r>
      <w:r w:rsidR="00CC0FAB" w:rsidRPr="00381DC2">
        <w:rPr>
          <w:color w:val="000000"/>
        </w:rPr>
        <w:t>Zirabev</w:t>
      </w:r>
      <w:r w:rsidRPr="00381DC2">
        <w:rPr>
          <w:color w:val="000000"/>
        </w:rPr>
        <w:t xml:space="preserve"> </w:t>
      </w:r>
      <w:r w:rsidR="009824B2" w:rsidRPr="00381DC2">
        <w:rPr>
          <w:color w:val="000000"/>
        </w:rPr>
        <w:t xml:space="preserve">může zvýšit </w:t>
      </w:r>
      <w:r w:rsidRPr="00381DC2">
        <w:rPr>
          <w:color w:val="000000"/>
        </w:rPr>
        <w:t>riziko vzniku otvorů ve střevní stěně. Pokud trpíte onemocněním způsobujícím zánět břišní dutiny (např. divertikulitid</w:t>
      </w:r>
      <w:r w:rsidR="00EB1ECE" w:rsidRPr="00381DC2">
        <w:rPr>
          <w:color w:val="000000"/>
        </w:rPr>
        <w:t>ou</w:t>
      </w:r>
      <w:r w:rsidR="00B96978" w:rsidRPr="00381DC2">
        <w:rPr>
          <w:color w:val="000000"/>
        </w:rPr>
        <w:t xml:space="preserve"> (zánět střevních výchlipek),</w:t>
      </w:r>
      <w:r w:rsidRPr="00381DC2">
        <w:rPr>
          <w:color w:val="000000"/>
        </w:rPr>
        <w:t xml:space="preserve"> žaludeční</w:t>
      </w:r>
      <w:r w:rsidR="00EB1ECE" w:rsidRPr="00381DC2">
        <w:rPr>
          <w:color w:val="000000"/>
        </w:rPr>
        <w:t>mi</w:t>
      </w:r>
      <w:r w:rsidRPr="00381DC2">
        <w:rPr>
          <w:color w:val="000000"/>
        </w:rPr>
        <w:t xml:space="preserve"> vředy, kolitid</w:t>
      </w:r>
      <w:r w:rsidR="00EB1ECE" w:rsidRPr="00381DC2">
        <w:rPr>
          <w:color w:val="000000"/>
        </w:rPr>
        <w:t>ou</w:t>
      </w:r>
      <w:r w:rsidRPr="00381DC2">
        <w:rPr>
          <w:color w:val="000000"/>
        </w:rPr>
        <w:t xml:space="preserve"> </w:t>
      </w:r>
      <w:r w:rsidR="00B96978" w:rsidRPr="00381DC2">
        <w:rPr>
          <w:color w:val="000000"/>
        </w:rPr>
        <w:t>(zánět tlustého střeva) způsobenou</w:t>
      </w:r>
      <w:r w:rsidRPr="00381DC2">
        <w:rPr>
          <w:color w:val="000000"/>
        </w:rPr>
        <w:t xml:space="preserve"> chemoterapií), </w:t>
      </w:r>
      <w:r w:rsidR="009824B2" w:rsidRPr="00381DC2">
        <w:rPr>
          <w:color w:val="000000"/>
        </w:rPr>
        <w:t>informujete svého lékaře</w:t>
      </w:r>
      <w:r w:rsidRPr="00381DC2">
        <w:rPr>
          <w:color w:val="000000"/>
        </w:rPr>
        <w:t>.</w:t>
      </w:r>
    </w:p>
    <w:p w14:paraId="2199490C" w14:textId="77777777" w:rsidR="00D15122" w:rsidRPr="00381DC2" w:rsidRDefault="00D15122" w:rsidP="00DD4FC5">
      <w:pPr>
        <w:ind w:left="720" w:hanging="720"/>
        <w:rPr>
          <w:rFonts w:ascii="Times New Roman" w:eastAsia="Times New Roman" w:hAnsi="Times New Roman"/>
          <w:color w:val="000000"/>
        </w:rPr>
      </w:pPr>
    </w:p>
    <w:p w14:paraId="1094054A" w14:textId="77777777" w:rsidR="00D15122" w:rsidRPr="00381DC2" w:rsidRDefault="00426DA8" w:rsidP="00DD4FC5">
      <w:pPr>
        <w:pStyle w:val="BodyText"/>
        <w:numPr>
          <w:ilvl w:val="0"/>
          <w:numId w:val="14"/>
        </w:numPr>
        <w:tabs>
          <w:tab w:val="left" w:pos="720"/>
        </w:tabs>
        <w:ind w:left="720" w:right="291" w:hanging="720"/>
        <w:rPr>
          <w:color w:val="000000"/>
        </w:rPr>
      </w:pPr>
      <w:r w:rsidRPr="00381DC2">
        <w:rPr>
          <w:color w:val="000000"/>
        </w:rPr>
        <w:t xml:space="preserve">Přípravek </w:t>
      </w:r>
      <w:r w:rsidR="00CC0FAB" w:rsidRPr="00381DC2">
        <w:rPr>
          <w:color w:val="000000"/>
        </w:rPr>
        <w:t>Zirabev</w:t>
      </w:r>
      <w:r w:rsidRPr="00381DC2">
        <w:rPr>
          <w:color w:val="000000"/>
        </w:rPr>
        <w:t xml:space="preserve"> může zvyšovat riziko vzniku abnormálního spojení nebo průchodu mezi dvěma orgány či cévami. Pokud trpíte přetrvávajícím, rekurentním nebo </w:t>
      </w:r>
      <w:r w:rsidR="000834FE" w:rsidRPr="00381DC2">
        <w:rPr>
          <w:color w:val="000000"/>
        </w:rPr>
        <w:t>metasta</w:t>
      </w:r>
      <w:r w:rsidR="00B96978" w:rsidRPr="00381DC2">
        <w:rPr>
          <w:color w:val="000000"/>
        </w:rPr>
        <w:t>zujícím</w:t>
      </w:r>
      <w:r w:rsidR="000834FE" w:rsidRPr="00381DC2">
        <w:rPr>
          <w:color w:val="000000"/>
        </w:rPr>
        <w:t xml:space="preserve"> </w:t>
      </w:r>
      <w:r w:rsidRPr="00381DC2">
        <w:rPr>
          <w:color w:val="000000"/>
        </w:rPr>
        <w:t xml:space="preserve">karcinomem děložního </w:t>
      </w:r>
      <w:r w:rsidR="00B96978" w:rsidRPr="00381DC2">
        <w:rPr>
          <w:color w:val="000000"/>
        </w:rPr>
        <w:t>čípku</w:t>
      </w:r>
      <w:r w:rsidRPr="00381DC2">
        <w:rPr>
          <w:color w:val="000000"/>
        </w:rPr>
        <w:t xml:space="preserve">, může hrozit zvýšené riziko vzniku spojů mezi </w:t>
      </w:r>
      <w:r w:rsidR="00B96978" w:rsidRPr="00381DC2">
        <w:rPr>
          <w:color w:val="000000"/>
        </w:rPr>
        <w:t>pochvou</w:t>
      </w:r>
      <w:r w:rsidRPr="00381DC2">
        <w:rPr>
          <w:color w:val="000000"/>
        </w:rPr>
        <w:t xml:space="preserve"> a některým úsekem střeva.</w:t>
      </w:r>
    </w:p>
    <w:p w14:paraId="199B96A4" w14:textId="77777777" w:rsidR="00D15122" w:rsidRPr="00381DC2" w:rsidRDefault="00D15122" w:rsidP="00714208">
      <w:pPr>
        <w:ind w:left="720" w:hanging="720"/>
        <w:rPr>
          <w:rFonts w:ascii="Times New Roman" w:eastAsia="Times New Roman" w:hAnsi="Times New Roman"/>
          <w:color w:val="000000"/>
        </w:rPr>
      </w:pPr>
    </w:p>
    <w:p w14:paraId="00EED23F" w14:textId="77777777" w:rsidR="00D15122" w:rsidRPr="00381DC2" w:rsidRDefault="009B0756" w:rsidP="00714208">
      <w:pPr>
        <w:pStyle w:val="BodyText"/>
        <w:numPr>
          <w:ilvl w:val="0"/>
          <w:numId w:val="14"/>
        </w:numPr>
        <w:tabs>
          <w:tab w:val="left" w:pos="685"/>
        </w:tabs>
        <w:ind w:left="720" w:right="137" w:hanging="720"/>
        <w:rPr>
          <w:color w:val="000000"/>
        </w:rPr>
      </w:pPr>
      <w:r w:rsidRPr="00381DC2">
        <w:rPr>
          <w:color w:val="000000"/>
        </w:rPr>
        <w:t xml:space="preserve">Tento léčivý přípravek může zvyšovat riziko krvácení nebo riziko potíží s hojením rány po </w:t>
      </w:r>
      <w:r w:rsidR="00BF3A9D" w:rsidRPr="00381DC2">
        <w:rPr>
          <w:color w:val="000000"/>
        </w:rPr>
        <w:t>operaci</w:t>
      </w:r>
      <w:r w:rsidRPr="00381DC2">
        <w:rPr>
          <w:color w:val="000000"/>
        </w:rPr>
        <w:t>. Tento léčivý přípravek byste neměl(a) dostat, pokud máte naplánovan</w:t>
      </w:r>
      <w:r w:rsidR="00BF3A9D" w:rsidRPr="00381DC2">
        <w:rPr>
          <w:color w:val="000000"/>
        </w:rPr>
        <w:t>ou operaci</w:t>
      </w:r>
      <w:r w:rsidRPr="00381DC2">
        <w:rPr>
          <w:color w:val="000000"/>
        </w:rPr>
        <w:t>, prodělal(a) jste velk</w:t>
      </w:r>
      <w:r w:rsidR="00BF3A9D" w:rsidRPr="00381DC2">
        <w:rPr>
          <w:color w:val="000000"/>
        </w:rPr>
        <w:t xml:space="preserve">ou operaci </w:t>
      </w:r>
      <w:r w:rsidRPr="00381DC2">
        <w:rPr>
          <w:color w:val="000000"/>
        </w:rPr>
        <w:t xml:space="preserve">před méně než 28 dny nebo pokud máte stále nezhojenou ránu po </w:t>
      </w:r>
      <w:r w:rsidR="00BF3A9D" w:rsidRPr="00381DC2">
        <w:rPr>
          <w:color w:val="000000"/>
        </w:rPr>
        <w:t>operaci</w:t>
      </w:r>
      <w:r w:rsidRPr="00381DC2">
        <w:rPr>
          <w:color w:val="000000"/>
        </w:rPr>
        <w:t>.</w:t>
      </w:r>
    </w:p>
    <w:p w14:paraId="650464FF" w14:textId="77777777" w:rsidR="00D15122" w:rsidRPr="00381DC2" w:rsidRDefault="00D15122" w:rsidP="00714208">
      <w:pPr>
        <w:ind w:left="720" w:hanging="720"/>
        <w:rPr>
          <w:rFonts w:ascii="Times New Roman" w:eastAsia="Times New Roman" w:hAnsi="Times New Roman"/>
          <w:color w:val="000000"/>
        </w:rPr>
      </w:pPr>
    </w:p>
    <w:p w14:paraId="74A3679F" w14:textId="77777777" w:rsidR="00D15122" w:rsidRPr="00381DC2" w:rsidRDefault="00426DA8" w:rsidP="00714208">
      <w:pPr>
        <w:pStyle w:val="BodyText"/>
        <w:numPr>
          <w:ilvl w:val="0"/>
          <w:numId w:val="14"/>
        </w:numPr>
        <w:tabs>
          <w:tab w:val="left" w:pos="684"/>
        </w:tabs>
        <w:ind w:left="720" w:right="117" w:hanging="720"/>
        <w:rPr>
          <w:color w:val="000000"/>
        </w:rPr>
      </w:pPr>
      <w:r w:rsidRPr="00381DC2">
        <w:rPr>
          <w:color w:val="000000"/>
        </w:rPr>
        <w:t xml:space="preserve">Přípravek </w:t>
      </w:r>
      <w:r w:rsidR="00CC0FAB" w:rsidRPr="00381DC2">
        <w:rPr>
          <w:color w:val="000000"/>
        </w:rPr>
        <w:t>Zirabev</w:t>
      </w:r>
      <w:r w:rsidRPr="00381DC2">
        <w:rPr>
          <w:color w:val="000000"/>
        </w:rPr>
        <w:t xml:space="preserve"> může zvyšovat riziko vzniku závažných infekcí v kůži nebo hlubších podkožních vrstvách, zejména pokud jste měl(a) otvory ve střevní stěně nebo potíže s hojením rány.</w:t>
      </w:r>
    </w:p>
    <w:p w14:paraId="3BCB3406" w14:textId="77777777" w:rsidR="00D15122" w:rsidRPr="00381DC2" w:rsidRDefault="00D15122" w:rsidP="00714208">
      <w:pPr>
        <w:ind w:left="720" w:hanging="720"/>
        <w:rPr>
          <w:rFonts w:ascii="Times New Roman" w:eastAsia="Times New Roman" w:hAnsi="Times New Roman"/>
          <w:color w:val="000000"/>
        </w:rPr>
      </w:pPr>
    </w:p>
    <w:p w14:paraId="7D97AE5B" w14:textId="77777777" w:rsidR="00D15122" w:rsidRPr="00381DC2" w:rsidRDefault="00426DA8" w:rsidP="004F6645">
      <w:pPr>
        <w:pStyle w:val="BodyText"/>
        <w:widowControl/>
        <w:numPr>
          <w:ilvl w:val="0"/>
          <w:numId w:val="14"/>
        </w:numPr>
        <w:tabs>
          <w:tab w:val="left" w:pos="684"/>
        </w:tabs>
        <w:ind w:left="720" w:right="374" w:hanging="720"/>
        <w:rPr>
          <w:color w:val="000000"/>
        </w:rPr>
      </w:pPr>
      <w:r w:rsidRPr="00381DC2">
        <w:rPr>
          <w:color w:val="000000"/>
        </w:rPr>
        <w:t xml:space="preserve">Přípravek </w:t>
      </w:r>
      <w:r w:rsidR="00CC0FAB" w:rsidRPr="00381DC2">
        <w:rPr>
          <w:color w:val="000000"/>
        </w:rPr>
        <w:t>Zirabev</w:t>
      </w:r>
      <w:r w:rsidRPr="00381DC2">
        <w:rPr>
          <w:color w:val="000000"/>
        </w:rPr>
        <w:t xml:space="preserve"> může zvyšovat riziko výskytu vysokého krevního tlaku. Pokud </w:t>
      </w:r>
      <w:r w:rsidR="00B96978" w:rsidRPr="00381DC2">
        <w:rPr>
          <w:color w:val="000000"/>
        </w:rPr>
        <w:t>máte</w:t>
      </w:r>
      <w:r w:rsidRPr="00381DC2">
        <w:rPr>
          <w:color w:val="000000"/>
        </w:rPr>
        <w:t xml:space="preserve"> vysoký krevní tlak nedostatečně kontrolovaný léky na vysoký tlak, promluvte si o tom se </w:t>
      </w:r>
      <w:r w:rsidRPr="00381DC2">
        <w:rPr>
          <w:color w:val="000000"/>
        </w:rPr>
        <w:lastRenderedPageBreak/>
        <w:t xml:space="preserve">svým lékařem. Je nezbytné, aby byl Váš krevní tlak pod kontrolou, než začnete léčbu přípravkem </w:t>
      </w:r>
      <w:r w:rsidR="00CC0FAB" w:rsidRPr="00381DC2">
        <w:rPr>
          <w:color w:val="000000"/>
        </w:rPr>
        <w:t>Zirabev</w:t>
      </w:r>
      <w:r w:rsidRPr="00381DC2">
        <w:rPr>
          <w:color w:val="000000"/>
        </w:rPr>
        <w:t>.</w:t>
      </w:r>
    </w:p>
    <w:p w14:paraId="3F08D3A4" w14:textId="77777777" w:rsidR="008A4147" w:rsidRPr="00F60460" w:rsidRDefault="008A4147" w:rsidP="002E69B0">
      <w:pPr>
        <w:pStyle w:val="ListParagraph"/>
        <w:rPr>
          <w:color w:val="000000"/>
        </w:rPr>
      </w:pPr>
    </w:p>
    <w:p w14:paraId="50AC1AB6" w14:textId="77777777" w:rsidR="008A4147" w:rsidRPr="00381DC2" w:rsidRDefault="008A4147" w:rsidP="004F6645">
      <w:pPr>
        <w:pStyle w:val="BodyText"/>
        <w:widowControl/>
        <w:numPr>
          <w:ilvl w:val="0"/>
          <w:numId w:val="14"/>
        </w:numPr>
        <w:tabs>
          <w:tab w:val="left" w:pos="684"/>
        </w:tabs>
        <w:ind w:left="720" w:right="374" w:hanging="720"/>
        <w:rPr>
          <w:color w:val="000000"/>
        </w:rPr>
      </w:pPr>
      <w:r w:rsidRPr="00381DC2">
        <w:rPr>
          <w:color w:val="000000"/>
        </w:rPr>
        <w:t>Pokud máte nebo jste měl(a) aneurysma (výduť, rozší</w:t>
      </w:r>
      <w:r w:rsidR="0083794F" w:rsidRPr="00381DC2">
        <w:rPr>
          <w:color w:val="000000"/>
        </w:rPr>
        <w:t>ř</w:t>
      </w:r>
      <w:r w:rsidRPr="00381DC2">
        <w:rPr>
          <w:color w:val="000000"/>
        </w:rPr>
        <w:t>ení a oslabení stěny cévy) nebo tr</w:t>
      </w:r>
      <w:r w:rsidR="0083794F" w:rsidRPr="00381DC2">
        <w:rPr>
          <w:color w:val="000000"/>
        </w:rPr>
        <w:t>hlinu ve</w:t>
      </w:r>
      <w:r w:rsidRPr="00381DC2">
        <w:rPr>
          <w:color w:val="000000"/>
        </w:rPr>
        <w:t xml:space="preserve"> stěn</w:t>
      </w:r>
      <w:r w:rsidR="0083794F" w:rsidRPr="00381DC2">
        <w:rPr>
          <w:color w:val="000000"/>
        </w:rPr>
        <w:t>ě</w:t>
      </w:r>
      <w:r w:rsidRPr="00381DC2">
        <w:rPr>
          <w:color w:val="000000"/>
        </w:rPr>
        <w:t xml:space="preserve"> cévy.</w:t>
      </w:r>
    </w:p>
    <w:p w14:paraId="758993AD" w14:textId="77777777" w:rsidR="00D15122" w:rsidRPr="00381DC2" w:rsidRDefault="00D15122" w:rsidP="00714208">
      <w:pPr>
        <w:ind w:left="720" w:hanging="720"/>
        <w:rPr>
          <w:rFonts w:ascii="Times New Roman" w:eastAsia="Times New Roman" w:hAnsi="Times New Roman"/>
          <w:color w:val="000000"/>
        </w:rPr>
      </w:pPr>
    </w:p>
    <w:p w14:paraId="39F352B4" w14:textId="77777777" w:rsidR="00D15122" w:rsidRPr="00381DC2" w:rsidRDefault="009B0756" w:rsidP="00714208">
      <w:pPr>
        <w:pStyle w:val="BodyText"/>
        <w:numPr>
          <w:ilvl w:val="0"/>
          <w:numId w:val="14"/>
        </w:numPr>
        <w:tabs>
          <w:tab w:val="left" w:pos="684"/>
        </w:tabs>
        <w:ind w:left="720" w:right="377" w:hanging="720"/>
        <w:rPr>
          <w:color w:val="000000"/>
        </w:rPr>
      </w:pPr>
      <w:r w:rsidRPr="00381DC2">
        <w:rPr>
          <w:color w:val="000000"/>
        </w:rPr>
        <w:t>Tento léčivý přípravek zvyšuje riziko výskytu bílkovin v moči, zejména pokud již máte vysoký krevní tlak.</w:t>
      </w:r>
    </w:p>
    <w:p w14:paraId="46B88ACC" w14:textId="77777777" w:rsidR="00D15122" w:rsidRPr="00381DC2" w:rsidRDefault="00D15122" w:rsidP="00714208">
      <w:pPr>
        <w:ind w:left="720" w:hanging="720"/>
        <w:rPr>
          <w:rFonts w:ascii="Times New Roman" w:eastAsia="Times New Roman" w:hAnsi="Times New Roman"/>
          <w:color w:val="000000"/>
        </w:rPr>
      </w:pPr>
    </w:p>
    <w:p w14:paraId="30B191EC" w14:textId="77777777" w:rsidR="00D15122" w:rsidRPr="00381DC2" w:rsidRDefault="009B0756" w:rsidP="00714208">
      <w:pPr>
        <w:pStyle w:val="BodyText"/>
        <w:numPr>
          <w:ilvl w:val="0"/>
          <w:numId w:val="14"/>
        </w:numPr>
        <w:tabs>
          <w:tab w:val="left" w:pos="684"/>
        </w:tabs>
        <w:ind w:left="720" w:right="377" w:hanging="720"/>
        <w:rPr>
          <w:color w:val="000000"/>
        </w:rPr>
      </w:pPr>
      <w:r w:rsidRPr="00381DC2">
        <w:rPr>
          <w:color w:val="000000"/>
        </w:rPr>
        <w:t xml:space="preserve">Riziko vzniku krevních sraženin v tepnách může být vyšší, jestliže je Vám více než 65 let, máte diabetes (cukrovku) nebo se Vám v minulosti v tepnách tvořily krevní sraženiny. Informujte svého lékaře, protože tyto krevní sraženiny mohou způsobit srdeční </w:t>
      </w:r>
      <w:r w:rsidR="00B96978" w:rsidRPr="00381DC2">
        <w:rPr>
          <w:color w:val="000000"/>
        </w:rPr>
        <w:t>příhodu</w:t>
      </w:r>
      <w:r w:rsidRPr="00381DC2">
        <w:rPr>
          <w:color w:val="000000"/>
        </w:rPr>
        <w:t xml:space="preserve"> a cévní mozkovou příhodu.</w:t>
      </w:r>
    </w:p>
    <w:p w14:paraId="2737CE19" w14:textId="77777777" w:rsidR="00D15122" w:rsidRPr="00381DC2" w:rsidRDefault="00D15122" w:rsidP="00714208">
      <w:pPr>
        <w:ind w:left="720" w:hanging="720"/>
        <w:rPr>
          <w:rFonts w:ascii="Times New Roman" w:eastAsia="Times New Roman" w:hAnsi="Times New Roman"/>
          <w:color w:val="000000"/>
        </w:rPr>
      </w:pPr>
    </w:p>
    <w:p w14:paraId="22EA53E0" w14:textId="77777777" w:rsidR="00D15122" w:rsidRPr="00381DC2" w:rsidRDefault="00426DA8" w:rsidP="00714208">
      <w:pPr>
        <w:pStyle w:val="BodyText"/>
        <w:numPr>
          <w:ilvl w:val="0"/>
          <w:numId w:val="14"/>
        </w:numPr>
        <w:tabs>
          <w:tab w:val="left" w:pos="684"/>
        </w:tabs>
        <w:ind w:left="720" w:right="685" w:hanging="720"/>
        <w:rPr>
          <w:color w:val="000000"/>
        </w:rPr>
      </w:pPr>
      <w:r w:rsidRPr="00381DC2">
        <w:rPr>
          <w:color w:val="000000"/>
        </w:rPr>
        <w:t xml:space="preserve">Přípravek </w:t>
      </w:r>
      <w:r w:rsidR="00CC0FAB" w:rsidRPr="00381DC2">
        <w:rPr>
          <w:color w:val="000000"/>
        </w:rPr>
        <w:t>Zirabev</w:t>
      </w:r>
      <w:r w:rsidRPr="00381DC2">
        <w:rPr>
          <w:color w:val="000000"/>
        </w:rPr>
        <w:t xml:space="preserve"> může zvyšovat rovněž riziko vzniku krevních sraženin v žilách.</w:t>
      </w:r>
    </w:p>
    <w:p w14:paraId="12A07419" w14:textId="77777777" w:rsidR="008C1609" w:rsidRPr="00381DC2" w:rsidRDefault="008C1609" w:rsidP="00714208">
      <w:pPr>
        <w:pStyle w:val="ListParagraph"/>
        <w:ind w:left="720" w:hanging="720"/>
        <w:rPr>
          <w:rFonts w:ascii="Times New Roman" w:hAnsi="Times New Roman"/>
          <w:color w:val="000000"/>
        </w:rPr>
      </w:pPr>
    </w:p>
    <w:p w14:paraId="30928DA4" w14:textId="77777777" w:rsidR="00D15122" w:rsidRPr="00381DC2" w:rsidRDefault="009B0756" w:rsidP="00714208">
      <w:pPr>
        <w:pStyle w:val="BodyText"/>
        <w:numPr>
          <w:ilvl w:val="0"/>
          <w:numId w:val="14"/>
        </w:numPr>
        <w:tabs>
          <w:tab w:val="left" w:pos="685"/>
        </w:tabs>
        <w:ind w:left="720" w:right="238" w:hanging="720"/>
        <w:rPr>
          <w:color w:val="000000"/>
        </w:rPr>
      </w:pPr>
      <w:r w:rsidRPr="00381DC2">
        <w:rPr>
          <w:color w:val="000000"/>
        </w:rPr>
        <w:t xml:space="preserve">Tento léčivý přípravek může způsobovat krvácení, zejména krvácení </w:t>
      </w:r>
      <w:r w:rsidR="00BF3A9D" w:rsidRPr="00381DC2">
        <w:rPr>
          <w:color w:val="000000"/>
        </w:rPr>
        <w:t>související s nádorem</w:t>
      </w:r>
      <w:r w:rsidRPr="00381DC2">
        <w:rPr>
          <w:color w:val="000000"/>
        </w:rPr>
        <w:t>. Informujte svého lékaře, jestliže Vy nebo Vaši blízcí příbuzní mají potíže s krvácením nebo berete-li z jakéhokoli důvodu léky na zředění krve.</w:t>
      </w:r>
    </w:p>
    <w:p w14:paraId="0150AD04" w14:textId="77777777" w:rsidR="00D15122" w:rsidRPr="00381DC2" w:rsidRDefault="00D15122" w:rsidP="00714208">
      <w:pPr>
        <w:ind w:left="720" w:hanging="720"/>
        <w:rPr>
          <w:rFonts w:ascii="Times New Roman" w:eastAsia="Times New Roman" w:hAnsi="Times New Roman"/>
          <w:color w:val="000000"/>
        </w:rPr>
      </w:pPr>
    </w:p>
    <w:p w14:paraId="0F0A1D2A" w14:textId="77777777" w:rsidR="00D15122" w:rsidRPr="00381DC2" w:rsidRDefault="009B0756" w:rsidP="00714208">
      <w:pPr>
        <w:pStyle w:val="BodyText"/>
        <w:numPr>
          <w:ilvl w:val="0"/>
          <w:numId w:val="14"/>
        </w:numPr>
        <w:tabs>
          <w:tab w:val="left" w:pos="685"/>
        </w:tabs>
        <w:ind w:left="720" w:right="157" w:hanging="720"/>
        <w:rPr>
          <w:color w:val="000000"/>
        </w:rPr>
      </w:pPr>
      <w:r w:rsidRPr="00381DC2">
        <w:rPr>
          <w:color w:val="000000"/>
        </w:rPr>
        <w:t xml:space="preserve">Je možné, že přípravek </w:t>
      </w:r>
      <w:r w:rsidR="00CC0FAB" w:rsidRPr="00381DC2">
        <w:rPr>
          <w:color w:val="000000"/>
        </w:rPr>
        <w:t>Zirabev</w:t>
      </w:r>
      <w:r w:rsidRPr="00381DC2">
        <w:rPr>
          <w:color w:val="000000"/>
        </w:rPr>
        <w:t xml:space="preserve"> může způsobovat krvácení v mozku nebo jeho okolí. Informujete svého lékaře, pokud máte metastázy nádoru v mozku.</w:t>
      </w:r>
    </w:p>
    <w:p w14:paraId="120D9C45" w14:textId="77777777" w:rsidR="00D15122" w:rsidRPr="00381DC2" w:rsidRDefault="00D15122" w:rsidP="00714208">
      <w:pPr>
        <w:ind w:left="720" w:hanging="720"/>
        <w:rPr>
          <w:rFonts w:ascii="Times New Roman" w:eastAsia="Times New Roman" w:hAnsi="Times New Roman"/>
          <w:color w:val="000000"/>
        </w:rPr>
      </w:pPr>
    </w:p>
    <w:p w14:paraId="2F30B109" w14:textId="77777777" w:rsidR="00D15122" w:rsidRPr="00381DC2" w:rsidRDefault="009B0756" w:rsidP="00714208">
      <w:pPr>
        <w:pStyle w:val="BodyText"/>
        <w:numPr>
          <w:ilvl w:val="0"/>
          <w:numId w:val="14"/>
        </w:numPr>
        <w:tabs>
          <w:tab w:val="left" w:pos="685"/>
        </w:tabs>
        <w:ind w:left="720" w:right="227" w:hanging="720"/>
        <w:rPr>
          <w:color w:val="000000"/>
        </w:rPr>
      </w:pPr>
      <w:r w:rsidRPr="00381DC2">
        <w:rPr>
          <w:color w:val="000000"/>
        </w:rPr>
        <w:t xml:space="preserve">Je možné, že přípravek </w:t>
      </w:r>
      <w:r w:rsidR="00CC0FAB" w:rsidRPr="00381DC2">
        <w:rPr>
          <w:color w:val="000000"/>
        </w:rPr>
        <w:t>Zirabev</w:t>
      </w:r>
      <w:r w:rsidRPr="00381DC2">
        <w:rPr>
          <w:color w:val="000000"/>
        </w:rPr>
        <w:t xml:space="preserve"> může zvýšit riziko krvácení v plicích, včetně vykašlávání nebo vyplivování krve. Informujte svého lékaře, pokud jste toto již dříve pozoroval(a).</w:t>
      </w:r>
    </w:p>
    <w:p w14:paraId="7A047DAC" w14:textId="77777777" w:rsidR="00D15122" w:rsidRPr="00381DC2" w:rsidRDefault="00D15122" w:rsidP="00714208">
      <w:pPr>
        <w:ind w:left="720" w:hanging="720"/>
        <w:rPr>
          <w:rFonts w:ascii="Times New Roman" w:eastAsia="Times New Roman" w:hAnsi="Times New Roman"/>
          <w:color w:val="000000"/>
        </w:rPr>
      </w:pPr>
    </w:p>
    <w:p w14:paraId="1956180D" w14:textId="77777777" w:rsidR="00D15122" w:rsidRPr="00381DC2" w:rsidRDefault="00426DA8" w:rsidP="00714208">
      <w:pPr>
        <w:pStyle w:val="BodyText"/>
        <w:numPr>
          <w:ilvl w:val="0"/>
          <w:numId w:val="14"/>
        </w:numPr>
        <w:tabs>
          <w:tab w:val="left" w:pos="685"/>
        </w:tabs>
        <w:ind w:left="720" w:right="176" w:hanging="720"/>
        <w:rPr>
          <w:color w:val="000000"/>
        </w:rPr>
      </w:pPr>
      <w:r w:rsidRPr="00381DC2">
        <w:rPr>
          <w:color w:val="000000"/>
        </w:rPr>
        <w:t xml:space="preserve">Přípravek </w:t>
      </w:r>
      <w:r w:rsidR="00CC0FAB" w:rsidRPr="00381DC2">
        <w:rPr>
          <w:color w:val="000000"/>
        </w:rPr>
        <w:t>Zirabev</w:t>
      </w:r>
      <w:r w:rsidRPr="00381DC2">
        <w:rPr>
          <w:color w:val="000000"/>
        </w:rPr>
        <w:t xml:space="preserve"> může zvýšit riziko oslabení srdeční činnosti. Je důležité, aby byl Váš lékař informován, pokud jste někdy užíval(a) antracykliny (např. doxorubicin, specifický druh chemoterapie </w:t>
      </w:r>
      <w:r w:rsidR="009824B2" w:rsidRPr="00381DC2">
        <w:rPr>
          <w:color w:val="000000"/>
        </w:rPr>
        <w:t>po</w:t>
      </w:r>
      <w:r w:rsidRPr="00381DC2">
        <w:rPr>
          <w:color w:val="000000"/>
        </w:rPr>
        <w:t>užívaný při léčbě některých nádor</w:t>
      </w:r>
      <w:r w:rsidR="009824B2" w:rsidRPr="00381DC2">
        <w:rPr>
          <w:color w:val="000000"/>
        </w:rPr>
        <w:t>ových onemocnění</w:t>
      </w:r>
      <w:r w:rsidRPr="00381DC2">
        <w:rPr>
          <w:color w:val="000000"/>
        </w:rPr>
        <w:t>) nebo jste podstoupil(a) radioterapii</w:t>
      </w:r>
      <w:r w:rsidR="00B411E6" w:rsidRPr="00381DC2">
        <w:rPr>
          <w:color w:val="000000"/>
        </w:rPr>
        <w:t xml:space="preserve"> (ozařování)</w:t>
      </w:r>
      <w:r w:rsidRPr="00381DC2">
        <w:rPr>
          <w:color w:val="000000"/>
        </w:rPr>
        <w:t xml:space="preserve"> hrudníku nebo máte onemocnění srdce.</w:t>
      </w:r>
    </w:p>
    <w:p w14:paraId="16E55D74" w14:textId="77777777" w:rsidR="00D15122" w:rsidRPr="00381DC2" w:rsidRDefault="00D15122" w:rsidP="00714208">
      <w:pPr>
        <w:ind w:left="720" w:hanging="720"/>
        <w:rPr>
          <w:rFonts w:ascii="Times New Roman" w:eastAsia="Times New Roman" w:hAnsi="Times New Roman"/>
          <w:color w:val="000000"/>
        </w:rPr>
      </w:pPr>
    </w:p>
    <w:p w14:paraId="783EDD7D" w14:textId="77777777" w:rsidR="00D15122" w:rsidRPr="00381DC2" w:rsidRDefault="009B0756" w:rsidP="00714208">
      <w:pPr>
        <w:pStyle w:val="BodyText"/>
        <w:numPr>
          <w:ilvl w:val="0"/>
          <w:numId w:val="14"/>
        </w:numPr>
        <w:tabs>
          <w:tab w:val="left" w:pos="685"/>
        </w:tabs>
        <w:ind w:left="720" w:right="631" w:hanging="720"/>
        <w:rPr>
          <w:color w:val="000000"/>
        </w:rPr>
      </w:pPr>
      <w:r w:rsidRPr="00381DC2">
        <w:rPr>
          <w:color w:val="000000"/>
        </w:rPr>
        <w:t xml:space="preserve">Tento </w:t>
      </w:r>
      <w:r w:rsidR="009824B2" w:rsidRPr="00381DC2">
        <w:rPr>
          <w:color w:val="000000"/>
        </w:rPr>
        <w:t xml:space="preserve">léčivý přípravek </w:t>
      </w:r>
      <w:r w:rsidRPr="00381DC2">
        <w:rPr>
          <w:color w:val="000000"/>
        </w:rPr>
        <w:t>může způsobovat infekce a snížení počtu neutrofilů (druh krvinek, které jsou důležité v boji proti bakteriím).</w:t>
      </w:r>
    </w:p>
    <w:p w14:paraId="1EC40703" w14:textId="77777777" w:rsidR="00D15122" w:rsidRPr="00381DC2" w:rsidRDefault="00D15122" w:rsidP="00714208">
      <w:pPr>
        <w:ind w:left="720" w:hanging="720"/>
        <w:rPr>
          <w:rFonts w:ascii="Times New Roman" w:eastAsia="Times New Roman" w:hAnsi="Times New Roman"/>
          <w:color w:val="000000"/>
        </w:rPr>
      </w:pPr>
    </w:p>
    <w:p w14:paraId="614DC8A4" w14:textId="56D6D83E" w:rsidR="00D15122" w:rsidRPr="00381DC2" w:rsidRDefault="009B0756" w:rsidP="00714208">
      <w:pPr>
        <w:pStyle w:val="BodyText"/>
        <w:numPr>
          <w:ilvl w:val="0"/>
          <w:numId w:val="14"/>
        </w:numPr>
        <w:tabs>
          <w:tab w:val="left" w:pos="685"/>
        </w:tabs>
        <w:ind w:left="720" w:right="176" w:hanging="720"/>
        <w:rPr>
          <w:color w:val="000000"/>
        </w:rPr>
      </w:pPr>
      <w:r w:rsidRPr="00381DC2">
        <w:rPr>
          <w:color w:val="000000"/>
        </w:rPr>
        <w:t xml:space="preserve">Je možné, že přípravek </w:t>
      </w:r>
      <w:r w:rsidR="00CC0FAB" w:rsidRPr="00381DC2">
        <w:rPr>
          <w:color w:val="000000"/>
        </w:rPr>
        <w:t>Zirabev</w:t>
      </w:r>
      <w:r w:rsidRPr="00381DC2">
        <w:rPr>
          <w:color w:val="000000"/>
        </w:rPr>
        <w:t xml:space="preserve"> může vést k</w:t>
      </w:r>
      <w:r w:rsidR="009033A3">
        <w:rPr>
          <w:color w:val="000000"/>
        </w:rPr>
        <w:t xml:space="preserve"> přecitlivělosti </w:t>
      </w:r>
      <w:r w:rsidR="00386CE0">
        <w:rPr>
          <w:color w:val="000000"/>
        </w:rPr>
        <w:t>(včetně anafylaktického šoku)</w:t>
      </w:r>
      <w:r w:rsidRPr="00381DC2">
        <w:rPr>
          <w:color w:val="000000"/>
        </w:rPr>
        <w:t xml:space="preserve"> a/nebo reakci na infuzi (reakce na injekci léku). Informuje svého lékaře, lékárníka nebo zdravotní sestru, pokud jste již dříve měl(a) problémy po injekci, např. </w:t>
      </w:r>
      <w:r w:rsidR="00A773D1" w:rsidRPr="00381DC2">
        <w:rPr>
          <w:color w:val="000000"/>
        </w:rPr>
        <w:t>závrať/</w:t>
      </w:r>
      <w:r w:rsidRPr="00381DC2">
        <w:rPr>
          <w:color w:val="000000"/>
        </w:rPr>
        <w:t>pocit na omdlení, dušnost, otoky nebo kožní vyrážku.</w:t>
      </w:r>
    </w:p>
    <w:p w14:paraId="00173185" w14:textId="77777777" w:rsidR="00D15122" w:rsidRPr="00381DC2" w:rsidRDefault="00D15122" w:rsidP="00714208">
      <w:pPr>
        <w:ind w:left="720" w:hanging="720"/>
        <w:rPr>
          <w:rFonts w:ascii="Times New Roman" w:eastAsia="Times New Roman" w:hAnsi="Times New Roman"/>
          <w:color w:val="000000"/>
        </w:rPr>
      </w:pPr>
    </w:p>
    <w:p w14:paraId="14D36B0C" w14:textId="77777777" w:rsidR="00D15122" w:rsidRPr="00381DC2" w:rsidRDefault="009B0756" w:rsidP="0032022D">
      <w:pPr>
        <w:pStyle w:val="BodyText"/>
        <w:numPr>
          <w:ilvl w:val="0"/>
          <w:numId w:val="14"/>
        </w:numPr>
        <w:tabs>
          <w:tab w:val="left" w:pos="685"/>
        </w:tabs>
        <w:ind w:right="227"/>
        <w:rPr>
          <w:color w:val="000000"/>
        </w:rPr>
      </w:pPr>
      <w:r w:rsidRPr="00381DC2">
        <w:rPr>
          <w:color w:val="000000"/>
        </w:rPr>
        <w:t xml:space="preserve">Při léčbě bevacizumabem byl pozorován vzácný neurologický nežádoucí účinek nazývaný </w:t>
      </w:r>
      <w:r w:rsidR="00B411E6" w:rsidRPr="00381DC2">
        <w:rPr>
          <w:color w:val="000000"/>
        </w:rPr>
        <w:t xml:space="preserve">syndrom zadní </w:t>
      </w:r>
      <w:r w:rsidRPr="00381DC2">
        <w:rPr>
          <w:color w:val="000000"/>
        </w:rPr>
        <w:t>reverzibilní encefalopatie</w:t>
      </w:r>
      <w:r w:rsidR="0032022D" w:rsidRPr="00381DC2">
        <w:rPr>
          <w:color w:val="000000"/>
        </w:rPr>
        <w:t xml:space="preserve"> </w:t>
      </w:r>
      <w:r w:rsidRPr="00381DC2">
        <w:rPr>
          <w:color w:val="000000"/>
        </w:rPr>
        <w:t xml:space="preserve">(PRES). Jestliže máte bolest hlavy, </w:t>
      </w:r>
      <w:r w:rsidR="00A773D1" w:rsidRPr="00381DC2">
        <w:rPr>
          <w:color w:val="000000"/>
        </w:rPr>
        <w:t xml:space="preserve">změny </w:t>
      </w:r>
      <w:r w:rsidRPr="00381DC2">
        <w:rPr>
          <w:color w:val="000000"/>
        </w:rPr>
        <w:t xml:space="preserve">vidění, jste zmatený(á) nebo máte </w:t>
      </w:r>
      <w:r w:rsidR="00B411E6" w:rsidRPr="00381DC2">
        <w:rPr>
          <w:color w:val="000000"/>
        </w:rPr>
        <w:t xml:space="preserve">epileptické </w:t>
      </w:r>
      <w:r w:rsidRPr="00381DC2">
        <w:rPr>
          <w:color w:val="000000"/>
        </w:rPr>
        <w:t>záchvaty s vysokým krevním tlakem nebo bez vysokého krevního tlaku, poraďte se se svým lékařem.</w:t>
      </w:r>
    </w:p>
    <w:p w14:paraId="0DBE79E4" w14:textId="77777777" w:rsidR="008C1609" w:rsidRPr="00381DC2" w:rsidRDefault="008C1609" w:rsidP="00714208">
      <w:pPr>
        <w:pStyle w:val="BodyText"/>
        <w:ind w:left="720" w:right="173" w:hanging="720"/>
        <w:rPr>
          <w:color w:val="000000"/>
        </w:rPr>
      </w:pPr>
    </w:p>
    <w:p w14:paraId="5F56C862" w14:textId="77777777" w:rsidR="008C1609" w:rsidRPr="00381DC2" w:rsidRDefault="009B0756" w:rsidP="00CC0FAB">
      <w:pPr>
        <w:pStyle w:val="BodyText"/>
        <w:ind w:left="0" w:right="173"/>
        <w:rPr>
          <w:color w:val="000000"/>
        </w:rPr>
      </w:pPr>
      <w:r w:rsidRPr="00381DC2">
        <w:rPr>
          <w:color w:val="000000"/>
        </w:rPr>
        <w:t xml:space="preserve">Poraďte se se svým lékařem, i když jste některý z těchto výše zmíněných projevů zaznamenal(a) pouze v minulosti. </w:t>
      </w:r>
    </w:p>
    <w:p w14:paraId="1F5233DC" w14:textId="77777777" w:rsidR="008C1609" w:rsidRPr="00381DC2" w:rsidRDefault="008C1609" w:rsidP="00714208">
      <w:pPr>
        <w:pStyle w:val="BodyText"/>
        <w:ind w:left="720" w:right="173" w:hanging="720"/>
        <w:rPr>
          <w:color w:val="000000"/>
        </w:rPr>
      </w:pPr>
    </w:p>
    <w:p w14:paraId="2F9C4189" w14:textId="77777777" w:rsidR="00D15122" w:rsidRPr="00381DC2" w:rsidRDefault="009B0756" w:rsidP="00714208">
      <w:pPr>
        <w:pStyle w:val="BodyText"/>
        <w:ind w:left="720" w:right="173" w:hanging="720"/>
        <w:rPr>
          <w:color w:val="000000"/>
        </w:rPr>
      </w:pPr>
      <w:r w:rsidRPr="00381DC2">
        <w:rPr>
          <w:color w:val="000000"/>
        </w:rPr>
        <w:t xml:space="preserve">Před zahájením léčby přípravkem </w:t>
      </w:r>
      <w:r w:rsidR="00CC0FAB" w:rsidRPr="00381DC2">
        <w:rPr>
          <w:color w:val="000000"/>
        </w:rPr>
        <w:t>Zirabev</w:t>
      </w:r>
      <w:r w:rsidRPr="00381DC2">
        <w:rPr>
          <w:color w:val="000000"/>
        </w:rPr>
        <w:t xml:space="preserve"> nebo v jejím průběhu:</w:t>
      </w:r>
    </w:p>
    <w:p w14:paraId="188AEA9B" w14:textId="77777777" w:rsidR="00D15122" w:rsidRPr="00381DC2" w:rsidRDefault="009B0756" w:rsidP="00714208">
      <w:pPr>
        <w:pStyle w:val="BodyText"/>
        <w:numPr>
          <w:ilvl w:val="0"/>
          <w:numId w:val="14"/>
        </w:numPr>
        <w:tabs>
          <w:tab w:val="left" w:pos="718"/>
        </w:tabs>
        <w:ind w:left="720" w:right="227" w:hanging="720"/>
        <w:rPr>
          <w:color w:val="000000"/>
        </w:rPr>
      </w:pPr>
      <w:r w:rsidRPr="00381DC2">
        <w:rPr>
          <w:color w:val="000000"/>
        </w:rPr>
        <w:t xml:space="preserve">ihned informujte svého lékaře a zubního lékaře, pokud máte nebo jste měl(a) bolest v ústech, zubech a/nebo čelisti, zduření nebo bolavé místo v ústech, necitlivost nebo pocit tlaku v čelisti, nebo Vám </w:t>
      </w:r>
      <w:r w:rsidR="00B92D71" w:rsidRPr="00381DC2">
        <w:rPr>
          <w:color w:val="000000"/>
        </w:rPr>
        <w:t xml:space="preserve">kývá </w:t>
      </w:r>
      <w:r w:rsidRPr="00381DC2">
        <w:rPr>
          <w:color w:val="000000"/>
        </w:rPr>
        <w:t>zub,</w:t>
      </w:r>
    </w:p>
    <w:p w14:paraId="2456FAE0" w14:textId="77777777" w:rsidR="00D15122" w:rsidRPr="00381DC2" w:rsidRDefault="009B0756" w:rsidP="00714208">
      <w:pPr>
        <w:pStyle w:val="BodyText"/>
        <w:numPr>
          <w:ilvl w:val="0"/>
          <w:numId w:val="14"/>
        </w:numPr>
        <w:tabs>
          <w:tab w:val="left" w:pos="684"/>
        </w:tabs>
        <w:ind w:left="720" w:right="317" w:hanging="720"/>
        <w:rPr>
          <w:color w:val="000000"/>
        </w:rPr>
      </w:pPr>
      <w:r w:rsidRPr="00381DC2">
        <w:rPr>
          <w:color w:val="000000"/>
        </w:rPr>
        <w:t xml:space="preserve">pokud máte podstoupit invazivní ošetření zubů nebo </w:t>
      </w:r>
      <w:r w:rsidR="00B92D71" w:rsidRPr="00381DC2">
        <w:rPr>
          <w:color w:val="000000"/>
        </w:rPr>
        <w:t>stomatologickou operaci</w:t>
      </w:r>
      <w:r w:rsidRPr="00381DC2">
        <w:rPr>
          <w:color w:val="000000"/>
        </w:rPr>
        <w:t xml:space="preserve">, informujte svého zubního lékaře, že jste léčen(a) přípravkem </w:t>
      </w:r>
      <w:r w:rsidR="00CC0FAB" w:rsidRPr="00381DC2">
        <w:rPr>
          <w:color w:val="000000"/>
        </w:rPr>
        <w:t>Zirabev</w:t>
      </w:r>
      <w:r w:rsidRPr="00381DC2">
        <w:rPr>
          <w:color w:val="000000"/>
        </w:rPr>
        <w:t>, a to zejména pokud dostáváte nebo jste dostával(a) injekce s bisfosfonáty do žíly.</w:t>
      </w:r>
    </w:p>
    <w:p w14:paraId="37E3308D" w14:textId="77777777" w:rsidR="00D15122" w:rsidRPr="00381DC2" w:rsidRDefault="00D15122" w:rsidP="007F6E1B">
      <w:pPr>
        <w:rPr>
          <w:rFonts w:ascii="Times New Roman" w:eastAsia="Times New Roman" w:hAnsi="Times New Roman"/>
          <w:color w:val="000000"/>
        </w:rPr>
      </w:pPr>
    </w:p>
    <w:p w14:paraId="21CA6E83" w14:textId="77777777" w:rsidR="00D15122" w:rsidRPr="00381DC2" w:rsidRDefault="009B0756" w:rsidP="007F6E1B">
      <w:pPr>
        <w:pStyle w:val="BodyText"/>
        <w:ind w:left="0"/>
        <w:rPr>
          <w:color w:val="000000"/>
        </w:rPr>
      </w:pPr>
      <w:r w:rsidRPr="00381DC2">
        <w:rPr>
          <w:color w:val="000000"/>
        </w:rPr>
        <w:t xml:space="preserve">Před zahájením léčby přípravkem </w:t>
      </w:r>
      <w:r w:rsidR="00CC0FAB" w:rsidRPr="00381DC2">
        <w:rPr>
          <w:color w:val="000000"/>
        </w:rPr>
        <w:t>Zirabev</w:t>
      </w:r>
      <w:r w:rsidRPr="00381DC2">
        <w:rPr>
          <w:color w:val="000000"/>
        </w:rPr>
        <w:t xml:space="preserve"> Vám může být doporučeno vyšetření zubním lékařem.</w:t>
      </w:r>
    </w:p>
    <w:p w14:paraId="6DFE5088" w14:textId="77777777" w:rsidR="00D15122" w:rsidRPr="00381DC2" w:rsidRDefault="00D15122" w:rsidP="007F6E1B">
      <w:pPr>
        <w:rPr>
          <w:rFonts w:ascii="Times New Roman" w:eastAsia="Times New Roman" w:hAnsi="Times New Roman"/>
          <w:color w:val="000000"/>
        </w:rPr>
      </w:pPr>
    </w:p>
    <w:p w14:paraId="50647368" w14:textId="77777777" w:rsidR="00D15122" w:rsidRPr="00381DC2" w:rsidRDefault="009B0756" w:rsidP="00363CA4">
      <w:pPr>
        <w:pStyle w:val="BodyText"/>
        <w:ind w:left="0" w:right="158"/>
        <w:rPr>
          <w:b/>
          <w:color w:val="000000"/>
        </w:rPr>
      </w:pPr>
      <w:r w:rsidRPr="00381DC2">
        <w:rPr>
          <w:b/>
          <w:color w:val="000000"/>
        </w:rPr>
        <w:lastRenderedPageBreak/>
        <w:t>Děti a dospívající</w:t>
      </w:r>
    </w:p>
    <w:p w14:paraId="38AC3C51" w14:textId="77777777" w:rsidR="00D15122" w:rsidRPr="00381DC2" w:rsidRDefault="00426DA8" w:rsidP="00CC0FAB">
      <w:pPr>
        <w:pStyle w:val="BodyText"/>
        <w:ind w:left="0" w:right="76"/>
        <w:rPr>
          <w:color w:val="000000"/>
        </w:rPr>
      </w:pPr>
      <w:r w:rsidRPr="00381DC2">
        <w:rPr>
          <w:color w:val="000000"/>
        </w:rPr>
        <w:t xml:space="preserve">Použití přípravku </w:t>
      </w:r>
      <w:r w:rsidR="00CC0FAB" w:rsidRPr="00381DC2">
        <w:rPr>
          <w:color w:val="000000"/>
        </w:rPr>
        <w:t>Zirabev</w:t>
      </w:r>
      <w:r w:rsidRPr="00381DC2">
        <w:rPr>
          <w:color w:val="000000"/>
        </w:rPr>
        <w:t xml:space="preserve"> u dětí a dospívajících </w:t>
      </w:r>
      <w:r w:rsidR="00A51F4D" w:rsidRPr="00381DC2">
        <w:rPr>
          <w:color w:val="000000"/>
        </w:rPr>
        <w:t xml:space="preserve">ve věku </w:t>
      </w:r>
      <w:r w:rsidRPr="00381DC2">
        <w:rPr>
          <w:color w:val="000000"/>
        </w:rPr>
        <w:t>do 18 let se nedoporučuje, protože u této skupiny pacientů bezpečnost a </w:t>
      </w:r>
      <w:r w:rsidR="00A51F4D" w:rsidRPr="00381DC2">
        <w:rPr>
          <w:color w:val="000000"/>
        </w:rPr>
        <w:t xml:space="preserve">přínos léčby </w:t>
      </w:r>
      <w:r w:rsidRPr="00381DC2">
        <w:rPr>
          <w:color w:val="000000"/>
        </w:rPr>
        <w:t>nebyly stanoveny.</w:t>
      </w:r>
    </w:p>
    <w:p w14:paraId="4292B99B" w14:textId="77777777" w:rsidR="00D15122" w:rsidRPr="00381DC2" w:rsidRDefault="00D15122" w:rsidP="007F6E1B">
      <w:pPr>
        <w:rPr>
          <w:rFonts w:ascii="Times New Roman" w:eastAsia="Times New Roman" w:hAnsi="Times New Roman"/>
          <w:color w:val="000000"/>
        </w:rPr>
      </w:pPr>
    </w:p>
    <w:p w14:paraId="11E74268" w14:textId="77777777" w:rsidR="00D15122" w:rsidRPr="00381DC2" w:rsidRDefault="009B0756" w:rsidP="007F6E1B">
      <w:pPr>
        <w:pStyle w:val="BodyText"/>
        <w:ind w:left="0" w:right="238"/>
        <w:rPr>
          <w:color w:val="000000"/>
        </w:rPr>
      </w:pPr>
      <w:r w:rsidRPr="00381DC2">
        <w:rPr>
          <w:color w:val="000000"/>
        </w:rPr>
        <w:t>Odumírání kostní tkáně (osteonekróza) v</w:t>
      </w:r>
      <w:r w:rsidR="00B411E6" w:rsidRPr="00381DC2">
        <w:rPr>
          <w:color w:val="000000"/>
        </w:rPr>
        <w:t xml:space="preserve"> jiných </w:t>
      </w:r>
      <w:r w:rsidRPr="00381DC2">
        <w:rPr>
          <w:color w:val="000000"/>
        </w:rPr>
        <w:t xml:space="preserve">kostech než </w:t>
      </w:r>
      <w:r w:rsidR="00B411E6" w:rsidRPr="00381DC2">
        <w:rPr>
          <w:color w:val="000000"/>
        </w:rPr>
        <w:t xml:space="preserve">v </w:t>
      </w:r>
      <w:r w:rsidRPr="00381DC2">
        <w:rPr>
          <w:color w:val="000000"/>
        </w:rPr>
        <w:t>čelist</w:t>
      </w:r>
      <w:r w:rsidR="00B411E6" w:rsidRPr="00381DC2">
        <w:rPr>
          <w:color w:val="000000"/>
        </w:rPr>
        <w:t>i</w:t>
      </w:r>
      <w:r w:rsidRPr="00381DC2">
        <w:rPr>
          <w:color w:val="000000"/>
        </w:rPr>
        <w:t xml:space="preserve"> bylo hlášeno u pacientů</w:t>
      </w:r>
      <w:r w:rsidR="00A51F4D" w:rsidRPr="00381DC2">
        <w:rPr>
          <w:color w:val="000000"/>
        </w:rPr>
        <w:t xml:space="preserve"> do </w:t>
      </w:r>
      <w:r w:rsidRPr="00381DC2">
        <w:rPr>
          <w:color w:val="000000"/>
        </w:rPr>
        <w:t>18 let léčených bevacizumabem.</w:t>
      </w:r>
    </w:p>
    <w:p w14:paraId="6FEB541D" w14:textId="77777777" w:rsidR="00D15122" w:rsidRPr="00381DC2" w:rsidRDefault="00D15122" w:rsidP="007F6E1B">
      <w:pPr>
        <w:rPr>
          <w:rFonts w:ascii="Times New Roman" w:eastAsia="Times New Roman" w:hAnsi="Times New Roman"/>
          <w:color w:val="000000"/>
        </w:rPr>
      </w:pPr>
    </w:p>
    <w:p w14:paraId="3206CF8D" w14:textId="77777777" w:rsidR="00D15122" w:rsidRPr="00381DC2" w:rsidRDefault="009B0756" w:rsidP="00363CA4">
      <w:pPr>
        <w:pStyle w:val="BodyText"/>
        <w:ind w:left="0" w:right="158"/>
        <w:rPr>
          <w:b/>
          <w:color w:val="000000"/>
        </w:rPr>
      </w:pPr>
      <w:r w:rsidRPr="00381DC2">
        <w:rPr>
          <w:b/>
          <w:color w:val="000000"/>
        </w:rPr>
        <w:t xml:space="preserve">Další léčivé přípravky a přípravek </w:t>
      </w:r>
      <w:r w:rsidR="00CC0FAB" w:rsidRPr="00381DC2">
        <w:rPr>
          <w:b/>
          <w:color w:val="000000"/>
        </w:rPr>
        <w:t>Zirabev</w:t>
      </w:r>
    </w:p>
    <w:p w14:paraId="4A55272B" w14:textId="77777777" w:rsidR="00D15122" w:rsidRPr="00381DC2" w:rsidRDefault="009B0756" w:rsidP="007F6E1B">
      <w:pPr>
        <w:pStyle w:val="BodyText"/>
        <w:ind w:left="0" w:right="157" w:hanging="1"/>
        <w:rPr>
          <w:color w:val="000000"/>
        </w:rPr>
      </w:pPr>
      <w:r w:rsidRPr="00381DC2">
        <w:rPr>
          <w:color w:val="000000"/>
        </w:rPr>
        <w:t>Informujte svého lékaře, lékárníka nebo zdravotní sestru o všech lécích, které užíváte, které jste v nedávné době užíval(a) nebo které možná budete užívat.</w:t>
      </w:r>
    </w:p>
    <w:p w14:paraId="3FCC7962" w14:textId="77777777" w:rsidR="00D15122" w:rsidRPr="00381DC2" w:rsidRDefault="00D15122" w:rsidP="007F6E1B">
      <w:pPr>
        <w:rPr>
          <w:rFonts w:ascii="Times New Roman" w:eastAsia="Times New Roman" w:hAnsi="Times New Roman"/>
          <w:color w:val="000000"/>
        </w:rPr>
      </w:pPr>
    </w:p>
    <w:p w14:paraId="2259797F" w14:textId="77777777" w:rsidR="00D15122" w:rsidRPr="00381DC2" w:rsidRDefault="009B0756" w:rsidP="007F6E1B">
      <w:pPr>
        <w:pStyle w:val="BodyText"/>
        <w:ind w:left="0" w:right="176"/>
        <w:rPr>
          <w:color w:val="000000"/>
        </w:rPr>
      </w:pPr>
      <w:r w:rsidRPr="00381DC2">
        <w:rPr>
          <w:color w:val="000000"/>
        </w:rPr>
        <w:t xml:space="preserve">Kombinace přípravku </w:t>
      </w:r>
      <w:r w:rsidR="00CC0FAB" w:rsidRPr="00381DC2">
        <w:rPr>
          <w:color w:val="000000"/>
        </w:rPr>
        <w:t>Zirabev</w:t>
      </w:r>
      <w:r w:rsidRPr="00381DC2">
        <w:rPr>
          <w:color w:val="000000"/>
        </w:rPr>
        <w:t xml:space="preserve"> s jiným léčivým přípravkem zvaným sunitinib</w:t>
      </w:r>
      <w:r w:rsidR="00A51F4D" w:rsidRPr="00381DC2">
        <w:rPr>
          <w:color w:val="000000"/>
        </w:rPr>
        <w:t>-</w:t>
      </w:r>
      <w:r w:rsidRPr="00381DC2">
        <w:rPr>
          <w:color w:val="000000"/>
        </w:rPr>
        <w:t xml:space="preserve">malát (předepisovaný </w:t>
      </w:r>
      <w:r w:rsidR="00B411E6" w:rsidRPr="00381DC2">
        <w:rPr>
          <w:color w:val="000000"/>
        </w:rPr>
        <w:t>k léčbě</w:t>
      </w:r>
      <w:r w:rsidRPr="00381DC2">
        <w:rPr>
          <w:color w:val="000000"/>
        </w:rPr>
        <w:t xml:space="preserve"> </w:t>
      </w:r>
      <w:r w:rsidR="00A51F4D" w:rsidRPr="00381DC2">
        <w:rPr>
          <w:color w:val="000000"/>
        </w:rPr>
        <w:t>nádorové</w:t>
      </w:r>
      <w:r w:rsidR="00B411E6" w:rsidRPr="00381DC2">
        <w:rPr>
          <w:color w:val="000000"/>
        </w:rPr>
        <w:t>ho</w:t>
      </w:r>
      <w:r w:rsidR="00A51F4D" w:rsidRPr="00381DC2">
        <w:rPr>
          <w:color w:val="000000"/>
        </w:rPr>
        <w:t xml:space="preserve"> onemocnění </w:t>
      </w:r>
      <w:r w:rsidRPr="00381DC2">
        <w:rPr>
          <w:color w:val="000000"/>
        </w:rPr>
        <w:t xml:space="preserve">ledvin a trávicího ústrojí) může mít za následek závažné nežádoucí účinky. </w:t>
      </w:r>
      <w:r w:rsidR="00A51F4D" w:rsidRPr="00381DC2">
        <w:rPr>
          <w:color w:val="000000"/>
        </w:rPr>
        <w:t>Informujte svého lékaře</w:t>
      </w:r>
      <w:r w:rsidRPr="00381DC2">
        <w:rPr>
          <w:color w:val="000000"/>
        </w:rPr>
        <w:t>, abyste nedostal(a) kombinaci těchto dvou léčivých přípravků.</w:t>
      </w:r>
    </w:p>
    <w:p w14:paraId="5D96CF42" w14:textId="77777777" w:rsidR="00D15122" w:rsidRPr="00381DC2" w:rsidRDefault="00D15122" w:rsidP="007F6E1B">
      <w:pPr>
        <w:rPr>
          <w:rFonts w:ascii="Times New Roman" w:eastAsia="Times New Roman" w:hAnsi="Times New Roman"/>
          <w:color w:val="000000"/>
        </w:rPr>
      </w:pPr>
    </w:p>
    <w:p w14:paraId="7D99F3CF" w14:textId="77777777" w:rsidR="00D15122" w:rsidRPr="00381DC2" w:rsidRDefault="009B0756" w:rsidP="007F6E1B">
      <w:pPr>
        <w:pStyle w:val="BodyText"/>
        <w:ind w:left="0" w:right="157"/>
        <w:rPr>
          <w:color w:val="000000"/>
        </w:rPr>
      </w:pPr>
      <w:r w:rsidRPr="00381DC2">
        <w:rPr>
          <w:color w:val="000000"/>
        </w:rPr>
        <w:t xml:space="preserve">Informujte svého lékaře, jestliže </w:t>
      </w:r>
      <w:r w:rsidR="00A51F4D" w:rsidRPr="00381DC2">
        <w:rPr>
          <w:color w:val="000000"/>
        </w:rPr>
        <w:t>po</w:t>
      </w:r>
      <w:r w:rsidRPr="00381DC2">
        <w:rPr>
          <w:color w:val="000000"/>
        </w:rPr>
        <w:t>užíváte léčb</w:t>
      </w:r>
      <w:r w:rsidR="00B411E6" w:rsidRPr="00381DC2">
        <w:rPr>
          <w:color w:val="000000"/>
        </w:rPr>
        <w:t>u</w:t>
      </w:r>
      <w:r w:rsidRPr="00381DC2">
        <w:rPr>
          <w:color w:val="000000"/>
        </w:rPr>
        <w:t xml:space="preserve"> na bázi platiny nebo taxan</w:t>
      </w:r>
      <w:r w:rsidR="00A51F4D" w:rsidRPr="00381DC2">
        <w:rPr>
          <w:color w:val="000000"/>
        </w:rPr>
        <w:t>ů</w:t>
      </w:r>
      <w:r w:rsidRPr="00381DC2">
        <w:rPr>
          <w:color w:val="000000"/>
        </w:rPr>
        <w:t xml:space="preserve"> </w:t>
      </w:r>
      <w:r w:rsidR="00B411E6" w:rsidRPr="00381DC2">
        <w:rPr>
          <w:color w:val="000000"/>
        </w:rPr>
        <w:t>kvůli</w:t>
      </w:r>
      <w:r w:rsidRPr="00381DC2">
        <w:rPr>
          <w:color w:val="000000"/>
        </w:rPr>
        <w:t xml:space="preserve"> </w:t>
      </w:r>
      <w:r w:rsidR="00A51F4D" w:rsidRPr="00381DC2">
        <w:rPr>
          <w:color w:val="000000"/>
        </w:rPr>
        <w:t>nádor</w:t>
      </w:r>
      <w:r w:rsidR="00B411E6" w:rsidRPr="00381DC2">
        <w:rPr>
          <w:color w:val="000000"/>
        </w:rPr>
        <w:t>u</w:t>
      </w:r>
      <w:r w:rsidR="00A51F4D" w:rsidRPr="00381DC2">
        <w:rPr>
          <w:color w:val="000000"/>
        </w:rPr>
        <w:t xml:space="preserve"> </w:t>
      </w:r>
      <w:r w:rsidRPr="00381DC2">
        <w:rPr>
          <w:color w:val="000000"/>
        </w:rPr>
        <w:t xml:space="preserve">plic či </w:t>
      </w:r>
      <w:r w:rsidR="000834FE" w:rsidRPr="00381DC2">
        <w:rPr>
          <w:color w:val="000000"/>
        </w:rPr>
        <w:t>metasta</w:t>
      </w:r>
      <w:r w:rsidR="00B411E6" w:rsidRPr="00381DC2">
        <w:rPr>
          <w:color w:val="000000"/>
        </w:rPr>
        <w:t>zujícímu</w:t>
      </w:r>
      <w:r w:rsidR="000834FE" w:rsidRPr="00381DC2">
        <w:rPr>
          <w:color w:val="000000"/>
        </w:rPr>
        <w:t xml:space="preserve"> nádorovému onemocnění</w:t>
      </w:r>
      <w:r w:rsidRPr="00381DC2">
        <w:rPr>
          <w:color w:val="000000"/>
        </w:rPr>
        <w:t xml:space="preserve"> prsu. Tyto léčby mohou v kombinaci s přípravkem </w:t>
      </w:r>
      <w:r w:rsidR="00CC0FAB" w:rsidRPr="00381DC2">
        <w:rPr>
          <w:color w:val="000000"/>
        </w:rPr>
        <w:t>Zirabev</w:t>
      </w:r>
      <w:r w:rsidRPr="00381DC2">
        <w:rPr>
          <w:color w:val="000000"/>
        </w:rPr>
        <w:t xml:space="preserve"> zvyšovat riziko závažných nežádoucích účinků.</w:t>
      </w:r>
    </w:p>
    <w:p w14:paraId="162B4E6D" w14:textId="77777777" w:rsidR="008C1609" w:rsidRPr="00381DC2" w:rsidRDefault="008C1609" w:rsidP="007F6E1B">
      <w:pPr>
        <w:pStyle w:val="BodyText"/>
        <w:ind w:left="0" w:right="157"/>
        <w:rPr>
          <w:color w:val="000000"/>
        </w:rPr>
      </w:pPr>
    </w:p>
    <w:p w14:paraId="166C79C0" w14:textId="77777777" w:rsidR="00D15122" w:rsidRPr="00381DC2" w:rsidRDefault="009B0756" w:rsidP="007F6E1B">
      <w:pPr>
        <w:pStyle w:val="BodyText"/>
        <w:ind w:left="0"/>
        <w:rPr>
          <w:color w:val="000000"/>
        </w:rPr>
      </w:pPr>
      <w:r w:rsidRPr="00381DC2">
        <w:rPr>
          <w:color w:val="000000"/>
        </w:rPr>
        <w:t>Informujte lékaře, pokud jste v nedávné době podstoupil(a) nebo právě podstupujete radioterapii.</w:t>
      </w:r>
    </w:p>
    <w:p w14:paraId="5A877F88" w14:textId="77777777" w:rsidR="00D15122" w:rsidRPr="00381DC2" w:rsidRDefault="00D15122" w:rsidP="007F6E1B">
      <w:pPr>
        <w:rPr>
          <w:rFonts w:ascii="Times New Roman" w:eastAsia="Times New Roman" w:hAnsi="Times New Roman"/>
          <w:color w:val="000000"/>
        </w:rPr>
      </w:pPr>
    </w:p>
    <w:p w14:paraId="1B347ADF" w14:textId="77777777" w:rsidR="00D15122" w:rsidRPr="00381DC2" w:rsidRDefault="009B0756" w:rsidP="00363CA4">
      <w:pPr>
        <w:pStyle w:val="BodyText"/>
        <w:ind w:left="0" w:right="158"/>
        <w:rPr>
          <w:b/>
          <w:color w:val="000000"/>
        </w:rPr>
      </w:pPr>
      <w:r w:rsidRPr="00381DC2">
        <w:rPr>
          <w:b/>
          <w:color w:val="000000"/>
        </w:rPr>
        <w:t>Těhotenství, kojení a plodnost</w:t>
      </w:r>
    </w:p>
    <w:p w14:paraId="475A7728" w14:textId="77777777" w:rsidR="00D15122" w:rsidRPr="00381DC2" w:rsidRDefault="00A51F4D" w:rsidP="007F6E1B">
      <w:pPr>
        <w:pStyle w:val="BodyText"/>
        <w:ind w:left="0" w:right="238"/>
        <w:rPr>
          <w:color w:val="000000"/>
        </w:rPr>
      </w:pPr>
      <w:r w:rsidRPr="00381DC2">
        <w:rPr>
          <w:color w:val="000000"/>
        </w:rPr>
        <w:t>Pokud jste těhotná, nesmíte t</w:t>
      </w:r>
      <w:r w:rsidR="009B0756" w:rsidRPr="00381DC2">
        <w:rPr>
          <w:color w:val="000000"/>
        </w:rPr>
        <w:t xml:space="preserve">ento léčivý přípravek </w:t>
      </w:r>
      <w:r w:rsidRPr="00381DC2">
        <w:rPr>
          <w:color w:val="000000"/>
        </w:rPr>
        <w:t>po</w:t>
      </w:r>
      <w:r w:rsidR="009B0756" w:rsidRPr="00381DC2">
        <w:rPr>
          <w:color w:val="000000"/>
        </w:rPr>
        <w:t xml:space="preserve">užívat. Přípravek </w:t>
      </w:r>
      <w:r w:rsidR="00CC0FAB" w:rsidRPr="00381DC2">
        <w:rPr>
          <w:color w:val="000000"/>
        </w:rPr>
        <w:t>Zirabev</w:t>
      </w:r>
      <w:r w:rsidR="009B0756" w:rsidRPr="00381DC2">
        <w:rPr>
          <w:color w:val="000000"/>
        </w:rPr>
        <w:t xml:space="preserve"> může poškodit nenarozené dítě kvůli svým potlačujícím účinkům na tvorbu nových krevních cév. Lékař Vás </w:t>
      </w:r>
      <w:r w:rsidR="00A97D66" w:rsidRPr="00381DC2">
        <w:rPr>
          <w:color w:val="000000"/>
        </w:rPr>
        <w:t>poučí</w:t>
      </w:r>
      <w:r w:rsidR="009B0756" w:rsidRPr="00381DC2">
        <w:rPr>
          <w:color w:val="000000"/>
        </w:rPr>
        <w:t xml:space="preserve">, abyste během léčby přípravkem </w:t>
      </w:r>
      <w:r w:rsidR="00CC0FAB" w:rsidRPr="00381DC2">
        <w:rPr>
          <w:color w:val="000000"/>
        </w:rPr>
        <w:t>Zirabev</w:t>
      </w:r>
      <w:r w:rsidR="009B0756" w:rsidRPr="00381DC2">
        <w:rPr>
          <w:color w:val="000000"/>
        </w:rPr>
        <w:t xml:space="preserve"> a </w:t>
      </w:r>
      <w:r w:rsidR="00A97D66" w:rsidRPr="00381DC2">
        <w:rPr>
          <w:color w:val="000000"/>
        </w:rPr>
        <w:t xml:space="preserve">ještě </w:t>
      </w:r>
      <w:r w:rsidR="009B0756" w:rsidRPr="00381DC2">
        <w:rPr>
          <w:color w:val="000000"/>
        </w:rPr>
        <w:t xml:space="preserve">nejméně 6 měsíců po poslední dávce přípravku </w:t>
      </w:r>
      <w:r w:rsidR="00CC0FAB" w:rsidRPr="00381DC2">
        <w:rPr>
          <w:color w:val="000000"/>
        </w:rPr>
        <w:t>Zirabev</w:t>
      </w:r>
      <w:r w:rsidR="009B0756" w:rsidRPr="00381DC2">
        <w:rPr>
          <w:color w:val="000000"/>
        </w:rPr>
        <w:t xml:space="preserve"> používala antikoncepci.</w:t>
      </w:r>
    </w:p>
    <w:p w14:paraId="749A1192" w14:textId="77777777" w:rsidR="00D15122" w:rsidRPr="00381DC2" w:rsidRDefault="00D15122" w:rsidP="007F6E1B">
      <w:pPr>
        <w:rPr>
          <w:rFonts w:ascii="Times New Roman" w:eastAsia="Times New Roman" w:hAnsi="Times New Roman"/>
          <w:color w:val="000000"/>
        </w:rPr>
      </w:pPr>
    </w:p>
    <w:p w14:paraId="55A0F849" w14:textId="77777777" w:rsidR="00D15122" w:rsidRPr="00381DC2" w:rsidRDefault="009B0756" w:rsidP="007F6E1B">
      <w:pPr>
        <w:pStyle w:val="BodyText"/>
        <w:ind w:left="0" w:right="176"/>
        <w:rPr>
          <w:color w:val="000000"/>
        </w:rPr>
      </w:pPr>
      <w:r w:rsidRPr="00381DC2">
        <w:rPr>
          <w:color w:val="000000"/>
        </w:rPr>
        <w:t>Ihned uvědomte lékaře, jestliže jste těhotná, otěhotníte během léčby tímto léčivým přípravkem nebo v blízké budoucnosti plánujete otěhotnět.</w:t>
      </w:r>
    </w:p>
    <w:p w14:paraId="1B61F83D" w14:textId="77777777" w:rsidR="00D15122" w:rsidRPr="00381DC2" w:rsidRDefault="00D15122" w:rsidP="007F6E1B">
      <w:pPr>
        <w:rPr>
          <w:rFonts w:ascii="Times New Roman" w:eastAsia="Times New Roman" w:hAnsi="Times New Roman"/>
          <w:color w:val="000000"/>
        </w:rPr>
      </w:pPr>
    </w:p>
    <w:p w14:paraId="187D0F55" w14:textId="77777777" w:rsidR="00D15122" w:rsidRPr="00381DC2" w:rsidRDefault="009B0756" w:rsidP="007F6E1B">
      <w:pPr>
        <w:pStyle w:val="BodyText"/>
        <w:ind w:left="0" w:right="157"/>
        <w:rPr>
          <w:color w:val="000000"/>
        </w:rPr>
      </w:pPr>
      <w:r w:rsidRPr="00381DC2">
        <w:rPr>
          <w:color w:val="000000"/>
        </w:rPr>
        <w:t xml:space="preserve">Během léčby přípravkem </w:t>
      </w:r>
      <w:r w:rsidR="00CC0FAB" w:rsidRPr="00381DC2">
        <w:rPr>
          <w:color w:val="000000"/>
        </w:rPr>
        <w:t>Zirabev</w:t>
      </w:r>
      <w:r w:rsidRPr="00381DC2">
        <w:rPr>
          <w:color w:val="000000"/>
        </w:rPr>
        <w:t xml:space="preserve"> a </w:t>
      </w:r>
      <w:r w:rsidR="00A97D66" w:rsidRPr="00381DC2">
        <w:rPr>
          <w:color w:val="000000"/>
        </w:rPr>
        <w:t xml:space="preserve">ještě </w:t>
      </w:r>
      <w:r w:rsidRPr="00381DC2">
        <w:rPr>
          <w:color w:val="000000"/>
        </w:rPr>
        <w:t xml:space="preserve">nejméně 6 měsíců po poslední dávce přípravku </w:t>
      </w:r>
      <w:r w:rsidR="00CC0FAB" w:rsidRPr="00381DC2">
        <w:rPr>
          <w:color w:val="000000"/>
        </w:rPr>
        <w:t>Zirabev</w:t>
      </w:r>
      <w:r w:rsidRPr="00381DC2">
        <w:rPr>
          <w:color w:val="000000"/>
        </w:rPr>
        <w:t xml:space="preserve"> nesmíte kojit, jelikož tento léčivý přípravek může mít škodlivý vliv na růst a vývoj Vašeho dítěte.</w:t>
      </w:r>
    </w:p>
    <w:p w14:paraId="10C1FB2F" w14:textId="77777777" w:rsidR="00D15122" w:rsidRPr="00381DC2" w:rsidRDefault="00D15122" w:rsidP="007F6E1B">
      <w:pPr>
        <w:rPr>
          <w:rFonts w:ascii="Times New Roman" w:eastAsia="Times New Roman" w:hAnsi="Times New Roman"/>
          <w:color w:val="000000"/>
        </w:rPr>
      </w:pPr>
    </w:p>
    <w:p w14:paraId="7CCE029A" w14:textId="77777777" w:rsidR="00A0174D" w:rsidRPr="00381DC2" w:rsidRDefault="00426DA8" w:rsidP="00CC0FAB">
      <w:pPr>
        <w:pStyle w:val="BodyText"/>
        <w:ind w:left="0" w:right="98"/>
        <w:rPr>
          <w:color w:val="000000"/>
        </w:rPr>
      </w:pPr>
      <w:r w:rsidRPr="00381DC2">
        <w:rPr>
          <w:color w:val="000000"/>
        </w:rPr>
        <w:t xml:space="preserve">Přípravek </w:t>
      </w:r>
      <w:r w:rsidR="00CC0FAB" w:rsidRPr="00381DC2">
        <w:rPr>
          <w:color w:val="000000"/>
        </w:rPr>
        <w:t>Zirabev</w:t>
      </w:r>
      <w:r w:rsidRPr="00381DC2">
        <w:rPr>
          <w:color w:val="000000"/>
        </w:rPr>
        <w:t xml:space="preserve"> může mít negativní vliv na ženskou plodnost. Pokud si přejete zjistit více, promluvte si se svým lékařem.</w:t>
      </w:r>
    </w:p>
    <w:p w14:paraId="0646C78F" w14:textId="77777777" w:rsidR="00A0174D" w:rsidRPr="00381DC2" w:rsidRDefault="00A0174D" w:rsidP="00CC0FAB">
      <w:pPr>
        <w:pStyle w:val="BodyText"/>
        <w:ind w:left="0" w:right="98"/>
        <w:rPr>
          <w:color w:val="000000"/>
        </w:rPr>
      </w:pPr>
    </w:p>
    <w:p w14:paraId="646264EE" w14:textId="77777777" w:rsidR="00D15122" w:rsidRPr="00381DC2" w:rsidRDefault="00426DA8" w:rsidP="00CC0FAB">
      <w:pPr>
        <w:pStyle w:val="BodyText"/>
        <w:ind w:left="0" w:right="98"/>
        <w:rPr>
          <w:color w:val="000000"/>
        </w:rPr>
      </w:pPr>
      <w:r w:rsidRPr="00381DC2">
        <w:rPr>
          <w:color w:val="000000"/>
        </w:rPr>
        <w:t>Před užitím jakéhokoli léčivého přípravku se poraďte se svým lékařem, lékárníkem nebo zdravotní sestrou.</w:t>
      </w:r>
    </w:p>
    <w:p w14:paraId="2DC6F034" w14:textId="77777777" w:rsidR="005A2E6A" w:rsidRPr="00381DC2" w:rsidRDefault="005A2E6A" w:rsidP="00363CA4">
      <w:pPr>
        <w:pStyle w:val="BodyText"/>
        <w:ind w:left="0" w:right="158"/>
        <w:rPr>
          <w:b/>
          <w:color w:val="000000"/>
        </w:rPr>
      </w:pPr>
    </w:p>
    <w:p w14:paraId="43F9CA64" w14:textId="77777777" w:rsidR="00D15122" w:rsidRPr="00381DC2" w:rsidRDefault="009B0756" w:rsidP="00363CA4">
      <w:pPr>
        <w:pStyle w:val="BodyText"/>
        <w:ind w:left="0" w:right="158"/>
        <w:rPr>
          <w:b/>
          <w:color w:val="000000"/>
        </w:rPr>
      </w:pPr>
      <w:r w:rsidRPr="00381DC2">
        <w:rPr>
          <w:b/>
          <w:color w:val="000000"/>
        </w:rPr>
        <w:t>Řízení dopravních prostředků a obsluha strojů</w:t>
      </w:r>
    </w:p>
    <w:p w14:paraId="60D62D73" w14:textId="77777777" w:rsidR="00D15122" w:rsidRPr="00381DC2" w:rsidRDefault="00007842" w:rsidP="007F6E1B">
      <w:pPr>
        <w:pStyle w:val="BodyText"/>
        <w:spacing w:line="239" w:lineRule="auto"/>
        <w:ind w:left="0" w:right="176"/>
        <w:rPr>
          <w:color w:val="000000"/>
        </w:rPr>
      </w:pPr>
      <w:r w:rsidRPr="00381DC2">
        <w:rPr>
          <w:color w:val="000000"/>
        </w:rPr>
        <w:t xml:space="preserve">Nebylo prokázáno, že by bevacizumab </w:t>
      </w:r>
      <w:r w:rsidR="00984090" w:rsidRPr="00381DC2">
        <w:rPr>
          <w:color w:val="000000"/>
        </w:rPr>
        <w:t xml:space="preserve">snižoval </w:t>
      </w:r>
      <w:r w:rsidRPr="00381DC2">
        <w:rPr>
          <w:color w:val="000000"/>
        </w:rPr>
        <w:t xml:space="preserve">schopnost řídit a obsluhovat stroje či nástroje. </w:t>
      </w:r>
      <w:r w:rsidR="00B411E6" w:rsidRPr="00381DC2">
        <w:rPr>
          <w:color w:val="000000"/>
        </w:rPr>
        <w:t>Při</w:t>
      </w:r>
      <w:r w:rsidRPr="00381DC2">
        <w:rPr>
          <w:color w:val="000000"/>
        </w:rPr>
        <w:t> používání bevacizumabu však byla hlášena ospalost a mdloby. Pokud se u Vás objeví příznaky, které ovlivňují Váš zrak nebo koncentraci nebo Vaši schopnost reagovat, neřiďte ani neobsluhujte stroje, dokud příznaky neodezní.</w:t>
      </w:r>
    </w:p>
    <w:p w14:paraId="139A8DCA" w14:textId="77777777" w:rsidR="00D15122" w:rsidRPr="00381DC2" w:rsidRDefault="00D15122" w:rsidP="007F6E1B">
      <w:pPr>
        <w:rPr>
          <w:rFonts w:ascii="Times New Roman" w:eastAsia="Times New Roman" w:hAnsi="Times New Roman"/>
          <w:color w:val="000000"/>
        </w:rPr>
      </w:pPr>
    </w:p>
    <w:p w14:paraId="2B3E3F46" w14:textId="72B6FDC1" w:rsidR="00F07B21" w:rsidRPr="00381DC2" w:rsidRDefault="00F07B21" w:rsidP="00F07B21">
      <w:pPr>
        <w:pStyle w:val="BodyText"/>
        <w:spacing w:line="239" w:lineRule="auto"/>
        <w:ind w:left="0" w:right="176"/>
        <w:rPr>
          <w:b/>
          <w:bCs/>
          <w:color w:val="000000"/>
        </w:rPr>
      </w:pPr>
      <w:r w:rsidRPr="00381DC2">
        <w:rPr>
          <w:b/>
          <w:bCs/>
          <w:color w:val="000000"/>
        </w:rPr>
        <w:t>Přípravek Zirabev obsahuje sodík</w:t>
      </w:r>
      <w:r w:rsidR="002B0AA1">
        <w:rPr>
          <w:b/>
          <w:bCs/>
          <w:color w:val="000000"/>
        </w:rPr>
        <w:t xml:space="preserve"> a polysorbát 80</w:t>
      </w:r>
    </w:p>
    <w:p w14:paraId="125FB691" w14:textId="410689FF" w:rsidR="002B0AA1" w:rsidRPr="0051337F" w:rsidRDefault="002B0AA1" w:rsidP="00F07B21">
      <w:pPr>
        <w:rPr>
          <w:rFonts w:ascii="Times New Roman" w:hAnsi="Times New Roman"/>
          <w:i/>
          <w:iCs/>
          <w:color w:val="000000"/>
          <w:lang w:eastAsia="en-GB"/>
        </w:rPr>
      </w:pPr>
      <w:r w:rsidRPr="0051337F">
        <w:rPr>
          <w:rFonts w:ascii="Times New Roman" w:hAnsi="Times New Roman"/>
          <w:i/>
          <w:iCs/>
          <w:color w:val="000000"/>
          <w:lang w:eastAsia="en-GB"/>
        </w:rPr>
        <w:t>Sodík</w:t>
      </w:r>
    </w:p>
    <w:p w14:paraId="0E0E1F73" w14:textId="5A7B6562" w:rsidR="00F07B21" w:rsidRPr="00381DC2" w:rsidRDefault="00F07B21" w:rsidP="00F07B21">
      <w:pPr>
        <w:rPr>
          <w:rFonts w:ascii="Times New Roman" w:hAnsi="Times New Roman"/>
          <w:color w:val="000000"/>
          <w:lang w:eastAsia="en-GB"/>
        </w:rPr>
      </w:pPr>
      <w:r w:rsidRPr="00381DC2">
        <w:rPr>
          <w:rFonts w:ascii="Times New Roman" w:hAnsi="Times New Roman"/>
          <w:color w:val="000000"/>
          <w:lang w:eastAsia="en-GB"/>
        </w:rPr>
        <w:t>Tento léčivý přípravek obsahuje 3,0 mg sodíku (hlavní složka kuchyňské soli) v každé 4ml lahvičce. To odpovídá 0,15 % doporučeného maximálního denního příjmu sodíku potravou pro dospělého.</w:t>
      </w:r>
    </w:p>
    <w:p w14:paraId="4ED92909" w14:textId="77777777" w:rsidR="00F07B21" w:rsidRPr="00381DC2" w:rsidRDefault="00F07B21" w:rsidP="00F07B21">
      <w:pPr>
        <w:pStyle w:val="BodyText"/>
        <w:spacing w:line="239" w:lineRule="auto"/>
        <w:ind w:left="0" w:right="176"/>
        <w:rPr>
          <w:color w:val="000000"/>
        </w:rPr>
      </w:pPr>
    </w:p>
    <w:p w14:paraId="7C082930" w14:textId="4AED3E30" w:rsidR="00F07B21" w:rsidRPr="00381DC2" w:rsidRDefault="00F07B21" w:rsidP="00F07B21">
      <w:pPr>
        <w:rPr>
          <w:rFonts w:ascii="Times New Roman" w:hAnsi="Times New Roman"/>
          <w:color w:val="000000"/>
          <w:lang w:eastAsia="en-GB"/>
        </w:rPr>
      </w:pPr>
      <w:r w:rsidRPr="00381DC2">
        <w:rPr>
          <w:rFonts w:ascii="Times New Roman" w:hAnsi="Times New Roman"/>
          <w:color w:val="000000"/>
          <w:lang w:eastAsia="en-GB"/>
        </w:rPr>
        <w:t>Tento léčivý přípravek obsahuje 12,1 mg sodíku (hlavní složka kuchyňské soli) v každé 16ml lahvičce. To odpovídá 0,61 % doporučeného maximálního denního příjmu sodíku potravou pro dospělého.</w:t>
      </w:r>
    </w:p>
    <w:p w14:paraId="60211E5B" w14:textId="77777777" w:rsidR="00F07B21" w:rsidRPr="00381DC2" w:rsidRDefault="00F07B21" w:rsidP="00F07B21">
      <w:pPr>
        <w:pStyle w:val="BodyText"/>
        <w:spacing w:line="239" w:lineRule="auto"/>
        <w:ind w:left="0" w:right="176"/>
        <w:rPr>
          <w:color w:val="000000"/>
        </w:rPr>
      </w:pPr>
    </w:p>
    <w:p w14:paraId="71967614" w14:textId="0A778C43" w:rsidR="00F07B21" w:rsidRDefault="00F07B21" w:rsidP="00F07B21">
      <w:pPr>
        <w:pStyle w:val="BodyText"/>
        <w:spacing w:line="239" w:lineRule="auto"/>
        <w:ind w:left="0" w:right="176"/>
        <w:rPr>
          <w:color w:val="000000"/>
        </w:rPr>
      </w:pPr>
      <w:r w:rsidRPr="00381DC2">
        <w:rPr>
          <w:color w:val="000000"/>
        </w:rPr>
        <w:t xml:space="preserve">V závislosti na </w:t>
      </w:r>
      <w:r w:rsidR="00D97E7F">
        <w:rPr>
          <w:color w:val="000000"/>
        </w:rPr>
        <w:t>V</w:t>
      </w:r>
      <w:r w:rsidR="00D97E7F" w:rsidRPr="00381DC2">
        <w:rPr>
          <w:color w:val="000000"/>
        </w:rPr>
        <w:t xml:space="preserve">aší </w:t>
      </w:r>
      <w:r w:rsidRPr="00381DC2">
        <w:rPr>
          <w:color w:val="000000"/>
        </w:rPr>
        <w:t>tělesné hmotnosti a dávce přípravku Zirabev můžete dostat více lahviček. To je třeba vzít v úvahu, pokud držíte dietu s nízkým obsahem soli.</w:t>
      </w:r>
    </w:p>
    <w:p w14:paraId="370334E3" w14:textId="77777777" w:rsidR="00987670" w:rsidRDefault="00987670" w:rsidP="00F07B21">
      <w:pPr>
        <w:pStyle w:val="BodyText"/>
        <w:spacing w:line="239" w:lineRule="auto"/>
        <w:ind w:left="0" w:right="176"/>
        <w:rPr>
          <w:color w:val="000000"/>
        </w:rPr>
      </w:pPr>
    </w:p>
    <w:p w14:paraId="37264A6A" w14:textId="77777777" w:rsidR="006E6D50" w:rsidRPr="00F55F11" w:rsidRDefault="006E6D50" w:rsidP="006E6D50">
      <w:pPr>
        <w:rPr>
          <w:rFonts w:ascii="Times New Roman" w:eastAsia="Times New Roman" w:hAnsi="Times New Roman"/>
          <w:color w:val="000000"/>
        </w:rPr>
      </w:pPr>
      <w:r w:rsidRPr="0051337F">
        <w:rPr>
          <w:rFonts w:ascii="Times New Roman" w:eastAsia="Times New Roman" w:hAnsi="Times New Roman"/>
          <w:i/>
          <w:iCs/>
          <w:color w:val="000000"/>
        </w:rPr>
        <w:lastRenderedPageBreak/>
        <w:t>Polysorbát</w:t>
      </w:r>
    </w:p>
    <w:p w14:paraId="349EACDD" w14:textId="7DC63584" w:rsidR="00987670" w:rsidRDefault="006E6D50" w:rsidP="007F6E1B">
      <w:pPr>
        <w:rPr>
          <w:rFonts w:ascii="Times New Roman" w:eastAsia="Times New Roman" w:hAnsi="Times New Roman"/>
          <w:color w:val="000000"/>
        </w:rPr>
      </w:pPr>
      <w:r>
        <w:rPr>
          <w:rFonts w:ascii="Times New Roman" w:eastAsia="Times New Roman" w:hAnsi="Times New Roman"/>
          <w:color w:val="000000"/>
        </w:rPr>
        <w:t xml:space="preserve">Tento léčivý přípravek obsahuje 0,8 mg polysorbátu 80 v jedné </w:t>
      </w:r>
      <w:r w:rsidR="002256E4">
        <w:rPr>
          <w:rFonts w:ascii="Times New Roman" w:eastAsia="Times New Roman" w:hAnsi="Times New Roman"/>
          <w:color w:val="000000"/>
        </w:rPr>
        <w:t xml:space="preserve">injekční </w:t>
      </w:r>
      <w:r>
        <w:rPr>
          <w:rFonts w:ascii="Times New Roman" w:eastAsia="Times New Roman" w:hAnsi="Times New Roman"/>
          <w:color w:val="000000"/>
        </w:rPr>
        <w:t xml:space="preserve">lahvičce o obsahu 100 mg/4 ml a 3,2 mg v jedné </w:t>
      </w:r>
      <w:r w:rsidR="002256E4">
        <w:rPr>
          <w:rFonts w:ascii="Times New Roman" w:eastAsia="Times New Roman" w:hAnsi="Times New Roman"/>
          <w:color w:val="000000"/>
        </w:rPr>
        <w:t xml:space="preserve">injekční </w:t>
      </w:r>
      <w:r>
        <w:rPr>
          <w:rFonts w:ascii="Times New Roman" w:eastAsia="Times New Roman" w:hAnsi="Times New Roman"/>
          <w:color w:val="000000"/>
        </w:rPr>
        <w:t>lahvičce o obsahu 400 mg/16 ml, což odpovídá 0,2 mg/ml. Polysorbáty mohou způsobit alergické reakce.</w:t>
      </w:r>
      <w:r w:rsidR="002D2141">
        <w:rPr>
          <w:rFonts w:ascii="Times New Roman" w:eastAsia="Times New Roman" w:hAnsi="Times New Roman"/>
          <w:color w:val="000000"/>
        </w:rPr>
        <w:t xml:space="preserve"> </w:t>
      </w:r>
      <w:r w:rsidR="002D2141" w:rsidRPr="002D2141">
        <w:rPr>
          <w:rFonts w:ascii="Times New Roman" w:eastAsia="Times New Roman" w:hAnsi="Times New Roman"/>
          <w:color w:val="000000"/>
        </w:rPr>
        <w:t xml:space="preserve">Informujte svého lékaře, pokud máte jakékoli </w:t>
      </w:r>
      <w:r w:rsidR="002256E4">
        <w:rPr>
          <w:rFonts w:ascii="Times New Roman" w:eastAsia="Times New Roman" w:hAnsi="Times New Roman"/>
          <w:color w:val="000000"/>
        </w:rPr>
        <w:t xml:space="preserve">známé </w:t>
      </w:r>
      <w:r w:rsidR="002D2141" w:rsidRPr="002D2141">
        <w:rPr>
          <w:rFonts w:ascii="Times New Roman" w:eastAsia="Times New Roman" w:hAnsi="Times New Roman"/>
          <w:color w:val="000000"/>
        </w:rPr>
        <w:t>alergie.</w:t>
      </w:r>
    </w:p>
    <w:p w14:paraId="343CC21F" w14:textId="7C019616" w:rsidR="00F07B21" w:rsidRPr="00381DC2" w:rsidRDefault="00F07B21" w:rsidP="007F6E1B">
      <w:pPr>
        <w:rPr>
          <w:rFonts w:ascii="Times New Roman" w:eastAsia="Times New Roman" w:hAnsi="Times New Roman"/>
          <w:color w:val="000000"/>
        </w:rPr>
      </w:pPr>
    </w:p>
    <w:p w14:paraId="19EFE59F" w14:textId="77777777" w:rsidR="00D15122" w:rsidRPr="00381DC2" w:rsidRDefault="00D15122" w:rsidP="007F6E1B">
      <w:pPr>
        <w:rPr>
          <w:rFonts w:ascii="Times New Roman" w:eastAsia="Times New Roman" w:hAnsi="Times New Roman"/>
          <w:color w:val="000000"/>
        </w:rPr>
      </w:pPr>
    </w:p>
    <w:p w14:paraId="2348CDBE" w14:textId="77777777" w:rsidR="00D15122" w:rsidRPr="00381DC2" w:rsidRDefault="00714208" w:rsidP="00363CA4">
      <w:pPr>
        <w:pStyle w:val="BodyText"/>
        <w:ind w:left="0" w:right="158"/>
        <w:rPr>
          <w:b/>
          <w:color w:val="000000"/>
        </w:rPr>
      </w:pPr>
      <w:r w:rsidRPr="00381DC2">
        <w:rPr>
          <w:b/>
          <w:color w:val="000000"/>
        </w:rPr>
        <w:t>3.</w:t>
      </w:r>
      <w:r w:rsidRPr="00381DC2">
        <w:rPr>
          <w:b/>
          <w:color w:val="000000"/>
        </w:rPr>
        <w:tab/>
        <w:t xml:space="preserve">Jak se přípravek </w:t>
      </w:r>
      <w:r w:rsidR="00CC0FAB" w:rsidRPr="00381DC2">
        <w:rPr>
          <w:b/>
          <w:color w:val="000000"/>
        </w:rPr>
        <w:t>Zirabev</w:t>
      </w:r>
      <w:r w:rsidRPr="00381DC2">
        <w:rPr>
          <w:b/>
          <w:color w:val="000000"/>
        </w:rPr>
        <w:t xml:space="preserve"> používá</w:t>
      </w:r>
    </w:p>
    <w:p w14:paraId="3B09C8B7" w14:textId="77777777" w:rsidR="00D15122" w:rsidRPr="00381DC2" w:rsidRDefault="00D15122" w:rsidP="007F6E1B">
      <w:pPr>
        <w:rPr>
          <w:rFonts w:ascii="Times New Roman" w:eastAsia="Times New Roman" w:hAnsi="Times New Roman"/>
          <w:bCs/>
          <w:color w:val="000000"/>
        </w:rPr>
      </w:pPr>
    </w:p>
    <w:p w14:paraId="0165F465" w14:textId="77777777" w:rsidR="00D15122" w:rsidRPr="00381DC2" w:rsidRDefault="009B0756" w:rsidP="007F6E1B">
      <w:pPr>
        <w:spacing w:line="250" w:lineRule="exact"/>
        <w:rPr>
          <w:rFonts w:ascii="Times New Roman" w:eastAsia="Times New Roman" w:hAnsi="Times New Roman"/>
          <w:b/>
          <w:color w:val="000000"/>
        </w:rPr>
      </w:pPr>
      <w:r w:rsidRPr="00381DC2">
        <w:rPr>
          <w:rFonts w:ascii="Times New Roman" w:hAnsi="Times New Roman"/>
          <w:b/>
          <w:color w:val="000000"/>
        </w:rPr>
        <w:t>Dávkování a četnost podávání</w:t>
      </w:r>
    </w:p>
    <w:p w14:paraId="3F5D66FC" w14:textId="77777777" w:rsidR="00D15122" w:rsidRPr="00381DC2" w:rsidRDefault="009B0756" w:rsidP="007F6E1B">
      <w:pPr>
        <w:pStyle w:val="BodyText"/>
        <w:ind w:left="0" w:right="238"/>
        <w:rPr>
          <w:color w:val="000000"/>
        </w:rPr>
      </w:pPr>
      <w:r w:rsidRPr="00381DC2">
        <w:rPr>
          <w:color w:val="000000"/>
        </w:rPr>
        <w:t xml:space="preserve">Potřebná dávka přípravku </w:t>
      </w:r>
      <w:r w:rsidR="00CC0FAB" w:rsidRPr="00381DC2">
        <w:rPr>
          <w:color w:val="000000"/>
        </w:rPr>
        <w:t>Zirabev</w:t>
      </w:r>
      <w:r w:rsidRPr="00381DC2">
        <w:rPr>
          <w:color w:val="000000"/>
        </w:rPr>
        <w:t xml:space="preserve"> závisí na tělesné hmotnosti a typu léčeného nádor</w:t>
      </w:r>
      <w:r w:rsidR="00984090" w:rsidRPr="00381DC2">
        <w:rPr>
          <w:color w:val="000000"/>
        </w:rPr>
        <w:t>ového onemocnění</w:t>
      </w:r>
      <w:r w:rsidRPr="00381DC2">
        <w:rPr>
          <w:color w:val="000000"/>
        </w:rPr>
        <w:t xml:space="preserve">. Doporučená dávka </w:t>
      </w:r>
      <w:r w:rsidR="00984090" w:rsidRPr="00381DC2">
        <w:rPr>
          <w:color w:val="000000"/>
        </w:rPr>
        <w:t xml:space="preserve">přípravku </w:t>
      </w:r>
      <w:r w:rsidRPr="00381DC2">
        <w:rPr>
          <w:color w:val="000000"/>
        </w:rPr>
        <w:t xml:space="preserve">je 5 mg, 7,5 mg, 10 mg nebo 15 mg na kilogram tělesné hmotnosti. Lékař Vám předepíše vhodnou dávku přípravku </w:t>
      </w:r>
      <w:r w:rsidR="00CC0FAB" w:rsidRPr="00381DC2">
        <w:rPr>
          <w:color w:val="000000"/>
        </w:rPr>
        <w:t>Zirabev</w:t>
      </w:r>
      <w:r w:rsidRPr="00381DC2">
        <w:rPr>
          <w:color w:val="000000"/>
        </w:rPr>
        <w:t xml:space="preserve">. Léčbu přípravkem </w:t>
      </w:r>
      <w:r w:rsidR="00CC0FAB" w:rsidRPr="00381DC2">
        <w:rPr>
          <w:color w:val="000000"/>
        </w:rPr>
        <w:t>Zirabev</w:t>
      </w:r>
      <w:r w:rsidRPr="00381DC2">
        <w:rPr>
          <w:color w:val="000000"/>
        </w:rPr>
        <w:t xml:space="preserve"> budete dostávat </w:t>
      </w:r>
      <w:r w:rsidR="00D63038" w:rsidRPr="00381DC2">
        <w:rPr>
          <w:color w:val="000000"/>
        </w:rPr>
        <w:t xml:space="preserve">každé </w:t>
      </w:r>
      <w:r w:rsidRPr="00381DC2">
        <w:rPr>
          <w:color w:val="000000"/>
        </w:rPr>
        <w:t xml:space="preserve">2 nebo 3 týdny. Počet infuzí, které dostanete, bude záviset na Vaší reakci na léčbu. Tento léčivý přípravek byste měl(a) dostávat, dokud přípravek </w:t>
      </w:r>
      <w:r w:rsidR="00CC0FAB" w:rsidRPr="00381DC2">
        <w:rPr>
          <w:color w:val="000000"/>
        </w:rPr>
        <w:t>Zirabev</w:t>
      </w:r>
      <w:r w:rsidRPr="00381DC2">
        <w:rPr>
          <w:color w:val="000000"/>
        </w:rPr>
        <w:t xml:space="preserve"> neztratí schopnost blokovat růst nádoru. Lékař s Vámi probere podrobnosti.</w:t>
      </w:r>
    </w:p>
    <w:p w14:paraId="7D44B666" w14:textId="77777777" w:rsidR="00D15122" w:rsidRPr="00381DC2" w:rsidRDefault="00D15122" w:rsidP="007F6E1B">
      <w:pPr>
        <w:rPr>
          <w:rFonts w:ascii="Times New Roman" w:eastAsia="Times New Roman" w:hAnsi="Times New Roman"/>
          <w:color w:val="000000"/>
        </w:rPr>
      </w:pPr>
    </w:p>
    <w:p w14:paraId="50165F17" w14:textId="77777777" w:rsidR="00D15122" w:rsidRPr="00381DC2" w:rsidRDefault="009B0756" w:rsidP="00363CA4">
      <w:pPr>
        <w:pStyle w:val="BodyText"/>
        <w:ind w:left="0" w:right="158"/>
        <w:rPr>
          <w:b/>
          <w:color w:val="000000"/>
        </w:rPr>
      </w:pPr>
      <w:r w:rsidRPr="00381DC2">
        <w:rPr>
          <w:b/>
          <w:color w:val="000000"/>
        </w:rPr>
        <w:t>Způsob a cesta podání</w:t>
      </w:r>
    </w:p>
    <w:p w14:paraId="054ACEE6" w14:textId="6E9E3CE9" w:rsidR="00D15122" w:rsidRPr="007738E5" w:rsidRDefault="00426DA8" w:rsidP="007738E5">
      <w:pPr>
        <w:rPr>
          <w:rFonts w:ascii="Times New Roman" w:hAnsi="Times New Roman"/>
        </w:rPr>
      </w:pPr>
      <w:r w:rsidRPr="007738E5">
        <w:rPr>
          <w:rFonts w:ascii="Times New Roman" w:hAnsi="Times New Roman"/>
          <w:color w:val="000000"/>
        </w:rPr>
        <w:t xml:space="preserve">Přípravek </w:t>
      </w:r>
      <w:r w:rsidR="00CC0FAB" w:rsidRPr="007738E5">
        <w:rPr>
          <w:rFonts w:ascii="Times New Roman" w:hAnsi="Times New Roman"/>
          <w:color w:val="000000"/>
        </w:rPr>
        <w:t>Zirabev</w:t>
      </w:r>
      <w:r w:rsidRPr="007738E5">
        <w:rPr>
          <w:rFonts w:ascii="Times New Roman" w:hAnsi="Times New Roman"/>
          <w:color w:val="000000"/>
        </w:rPr>
        <w:t xml:space="preserve"> je koncentrát pro infuzní roztok. V závislosti na předepsané </w:t>
      </w:r>
      <w:r w:rsidR="00984090" w:rsidRPr="007738E5">
        <w:rPr>
          <w:rFonts w:ascii="Times New Roman" w:hAnsi="Times New Roman"/>
          <w:color w:val="000000"/>
        </w:rPr>
        <w:t xml:space="preserve">dávce </w:t>
      </w:r>
      <w:r w:rsidRPr="007738E5">
        <w:rPr>
          <w:rFonts w:ascii="Times New Roman" w:hAnsi="Times New Roman"/>
          <w:color w:val="000000"/>
        </w:rPr>
        <w:t xml:space="preserve">se celý obsah injekční lahvičky přípravku </w:t>
      </w:r>
      <w:r w:rsidR="00CC0FAB" w:rsidRPr="007738E5">
        <w:rPr>
          <w:rFonts w:ascii="Times New Roman" w:hAnsi="Times New Roman"/>
          <w:color w:val="000000"/>
        </w:rPr>
        <w:t>Zirabev</w:t>
      </w:r>
      <w:r w:rsidRPr="007738E5">
        <w:rPr>
          <w:rFonts w:ascii="Times New Roman" w:hAnsi="Times New Roman"/>
          <w:color w:val="000000"/>
        </w:rPr>
        <w:t xml:space="preserve"> nebo jeho část naředí před použitím roztokem chloridu sodného. Lékař nebo zdravotní sestra Vám tento naředěný roztok přípravku </w:t>
      </w:r>
      <w:r w:rsidR="00CC0FAB" w:rsidRPr="007738E5">
        <w:rPr>
          <w:rFonts w:ascii="Times New Roman" w:hAnsi="Times New Roman"/>
          <w:color w:val="000000"/>
        </w:rPr>
        <w:t>Zirabev</w:t>
      </w:r>
      <w:r w:rsidRPr="007738E5">
        <w:rPr>
          <w:rFonts w:ascii="Times New Roman" w:hAnsi="Times New Roman"/>
          <w:color w:val="000000"/>
        </w:rPr>
        <w:t xml:space="preserve"> podají intravenózní infuzí (kap</w:t>
      </w:r>
      <w:r w:rsidR="00B411E6" w:rsidRPr="007738E5">
        <w:rPr>
          <w:rFonts w:ascii="Times New Roman" w:hAnsi="Times New Roman"/>
          <w:color w:val="000000"/>
        </w:rPr>
        <w:t>ačka</w:t>
      </w:r>
      <w:r w:rsidRPr="007738E5">
        <w:rPr>
          <w:rFonts w:ascii="Times New Roman" w:hAnsi="Times New Roman"/>
          <w:color w:val="000000"/>
        </w:rPr>
        <w:t xml:space="preserve"> do žíly). První infuze bude podávána po dobu 90 minut. Jestliže je dobře snášena, druhá infuze může být podávána během 60 minut. Další infuze </w:t>
      </w:r>
      <w:r w:rsidR="00984090" w:rsidRPr="007738E5">
        <w:rPr>
          <w:rFonts w:ascii="Times New Roman" w:hAnsi="Times New Roman"/>
          <w:color w:val="000000"/>
        </w:rPr>
        <w:t xml:space="preserve">mohou být </w:t>
      </w:r>
      <w:r w:rsidRPr="007738E5">
        <w:rPr>
          <w:rFonts w:ascii="Times New Roman" w:hAnsi="Times New Roman"/>
          <w:color w:val="000000"/>
        </w:rPr>
        <w:t>podávány po dobu 30 minut.</w:t>
      </w:r>
    </w:p>
    <w:p w14:paraId="21F0035B" w14:textId="77777777" w:rsidR="00D15122" w:rsidRPr="00381DC2" w:rsidRDefault="00D15122" w:rsidP="007F6E1B">
      <w:pPr>
        <w:rPr>
          <w:rFonts w:ascii="Times New Roman" w:eastAsia="Times New Roman" w:hAnsi="Times New Roman"/>
          <w:color w:val="000000"/>
        </w:rPr>
      </w:pPr>
    </w:p>
    <w:p w14:paraId="0FBD7D92" w14:textId="77777777" w:rsidR="00D15122" w:rsidRPr="00381DC2" w:rsidRDefault="009B0756" w:rsidP="00363CA4">
      <w:pPr>
        <w:pStyle w:val="BodyText"/>
        <w:ind w:left="0" w:right="158"/>
        <w:rPr>
          <w:b/>
          <w:color w:val="000000"/>
        </w:rPr>
      </w:pPr>
      <w:r w:rsidRPr="00381DC2">
        <w:rPr>
          <w:b/>
          <w:color w:val="000000"/>
        </w:rPr>
        <w:t xml:space="preserve">Podávání přípravku </w:t>
      </w:r>
      <w:r w:rsidR="00CC0FAB" w:rsidRPr="00381DC2">
        <w:rPr>
          <w:b/>
          <w:color w:val="000000"/>
        </w:rPr>
        <w:t>Zirabev</w:t>
      </w:r>
      <w:r w:rsidRPr="00381DC2">
        <w:rPr>
          <w:b/>
          <w:color w:val="000000"/>
        </w:rPr>
        <w:t xml:space="preserve"> musí být dočasně přerušeno, jestliže</w:t>
      </w:r>
    </w:p>
    <w:p w14:paraId="738716C3" w14:textId="77777777" w:rsidR="00D15122" w:rsidRPr="00381DC2" w:rsidRDefault="009B0756" w:rsidP="004946DB">
      <w:pPr>
        <w:pStyle w:val="BodyText"/>
        <w:numPr>
          <w:ilvl w:val="0"/>
          <w:numId w:val="14"/>
        </w:numPr>
        <w:tabs>
          <w:tab w:val="left" w:pos="684"/>
        </w:tabs>
        <w:spacing w:line="251" w:lineRule="exact"/>
        <w:ind w:left="0" w:firstLine="0"/>
        <w:rPr>
          <w:color w:val="000000"/>
        </w:rPr>
      </w:pPr>
      <w:r w:rsidRPr="00381DC2">
        <w:rPr>
          <w:color w:val="000000"/>
        </w:rPr>
        <w:t xml:space="preserve">se u Vás objeví </w:t>
      </w:r>
      <w:r w:rsidR="004946DB" w:rsidRPr="00381DC2">
        <w:rPr>
          <w:color w:val="000000"/>
        </w:rPr>
        <w:t xml:space="preserve">závažně </w:t>
      </w:r>
      <w:r w:rsidRPr="00381DC2">
        <w:rPr>
          <w:color w:val="000000"/>
        </w:rPr>
        <w:t>vysoký krevní tlak, vyžadující léčbu léky na vysoký krevní tlak,</w:t>
      </w:r>
    </w:p>
    <w:p w14:paraId="2081370B" w14:textId="77777777" w:rsidR="00D15122" w:rsidRPr="00381DC2" w:rsidRDefault="009B0756" w:rsidP="00410591">
      <w:pPr>
        <w:pStyle w:val="BodyText"/>
        <w:numPr>
          <w:ilvl w:val="0"/>
          <w:numId w:val="14"/>
        </w:numPr>
        <w:tabs>
          <w:tab w:val="left" w:pos="684"/>
        </w:tabs>
        <w:ind w:left="0" w:firstLine="0"/>
        <w:rPr>
          <w:color w:val="000000"/>
        </w:rPr>
      </w:pPr>
      <w:r w:rsidRPr="00381DC2">
        <w:rPr>
          <w:color w:val="000000"/>
        </w:rPr>
        <w:t xml:space="preserve">máte problémy s hojením ran po </w:t>
      </w:r>
      <w:r w:rsidR="004946DB" w:rsidRPr="00381DC2">
        <w:rPr>
          <w:color w:val="000000"/>
        </w:rPr>
        <w:t>operaci</w:t>
      </w:r>
      <w:r w:rsidRPr="00381DC2">
        <w:rPr>
          <w:color w:val="000000"/>
        </w:rPr>
        <w:t>,</w:t>
      </w:r>
    </w:p>
    <w:p w14:paraId="182972BF" w14:textId="77777777" w:rsidR="00D15122" w:rsidRPr="00381DC2" w:rsidRDefault="009B0756" w:rsidP="00410591">
      <w:pPr>
        <w:pStyle w:val="BodyText"/>
        <w:numPr>
          <w:ilvl w:val="0"/>
          <w:numId w:val="14"/>
        </w:numPr>
        <w:tabs>
          <w:tab w:val="left" w:pos="684"/>
        </w:tabs>
        <w:ind w:left="0" w:firstLine="0"/>
        <w:rPr>
          <w:color w:val="000000"/>
        </w:rPr>
      </w:pPr>
      <w:r w:rsidRPr="00381DC2">
        <w:rPr>
          <w:color w:val="000000"/>
        </w:rPr>
        <w:t xml:space="preserve">se chystáte podstoupit </w:t>
      </w:r>
      <w:r w:rsidR="004946DB" w:rsidRPr="00381DC2">
        <w:rPr>
          <w:color w:val="000000"/>
        </w:rPr>
        <w:t>operaci</w:t>
      </w:r>
      <w:r w:rsidRPr="00381DC2">
        <w:rPr>
          <w:color w:val="000000"/>
        </w:rPr>
        <w:t>.</w:t>
      </w:r>
    </w:p>
    <w:p w14:paraId="0923C363" w14:textId="77777777" w:rsidR="00D15122" w:rsidRPr="00381DC2" w:rsidRDefault="00D15122" w:rsidP="007F6E1B">
      <w:pPr>
        <w:rPr>
          <w:rFonts w:ascii="Times New Roman" w:eastAsia="Times New Roman" w:hAnsi="Times New Roman"/>
          <w:color w:val="000000"/>
        </w:rPr>
      </w:pPr>
    </w:p>
    <w:p w14:paraId="3C0B50B5" w14:textId="77777777" w:rsidR="00D15122" w:rsidRPr="00381DC2" w:rsidRDefault="009B0756" w:rsidP="00363CA4">
      <w:pPr>
        <w:pStyle w:val="BodyText"/>
        <w:ind w:left="0" w:right="158"/>
        <w:rPr>
          <w:b/>
          <w:color w:val="000000"/>
        </w:rPr>
      </w:pPr>
      <w:r w:rsidRPr="00381DC2">
        <w:rPr>
          <w:b/>
          <w:color w:val="000000"/>
        </w:rPr>
        <w:t xml:space="preserve">Podávání přípravku </w:t>
      </w:r>
      <w:r w:rsidR="00CC0FAB" w:rsidRPr="00381DC2">
        <w:rPr>
          <w:b/>
          <w:color w:val="000000"/>
        </w:rPr>
        <w:t>Zirabev</w:t>
      </w:r>
      <w:r w:rsidRPr="00381DC2">
        <w:rPr>
          <w:b/>
          <w:color w:val="000000"/>
        </w:rPr>
        <w:t xml:space="preserve"> musí být trvale ukončeno, jestliže se objeví</w:t>
      </w:r>
    </w:p>
    <w:p w14:paraId="1923FBE2" w14:textId="77777777" w:rsidR="00D15122" w:rsidRPr="00381DC2" w:rsidRDefault="004946DB" w:rsidP="00410591">
      <w:pPr>
        <w:pStyle w:val="BodyText"/>
        <w:keepNext/>
        <w:numPr>
          <w:ilvl w:val="0"/>
          <w:numId w:val="14"/>
        </w:numPr>
        <w:tabs>
          <w:tab w:val="left" w:pos="684"/>
        </w:tabs>
        <w:ind w:left="720" w:right="380" w:hanging="720"/>
        <w:rPr>
          <w:color w:val="000000"/>
        </w:rPr>
      </w:pPr>
      <w:r w:rsidRPr="00381DC2">
        <w:rPr>
          <w:color w:val="000000"/>
        </w:rPr>
        <w:t xml:space="preserve">závažně </w:t>
      </w:r>
      <w:r w:rsidR="009B0756" w:rsidRPr="00381DC2">
        <w:rPr>
          <w:color w:val="000000"/>
        </w:rPr>
        <w:t>vysoký krevní tlak, který nelze ovlivnit léky na vysok</w:t>
      </w:r>
      <w:r w:rsidRPr="00381DC2">
        <w:rPr>
          <w:color w:val="000000"/>
        </w:rPr>
        <w:t>ý</w:t>
      </w:r>
      <w:r w:rsidR="009B0756" w:rsidRPr="00381DC2">
        <w:rPr>
          <w:color w:val="000000"/>
        </w:rPr>
        <w:t xml:space="preserve"> krevní tlak; nebo závažné náhlé zvýšení krevního tlaku,</w:t>
      </w:r>
    </w:p>
    <w:p w14:paraId="1482D58F" w14:textId="77777777" w:rsidR="00D15122" w:rsidRPr="00381DC2" w:rsidRDefault="009B0756" w:rsidP="00410591">
      <w:pPr>
        <w:pStyle w:val="BodyText"/>
        <w:numPr>
          <w:ilvl w:val="0"/>
          <w:numId w:val="14"/>
        </w:numPr>
        <w:tabs>
          <w:tab w:val="left" w:pos="684"/>
        </w:tabs>
        <w:spacing w:line="253" w:lineRule="exact"/>
        <w:ind w:left="0" w:firstLine="0"/>
        <w:rPr>
          <w:color w:val="000000"/>
        </w:rPr>
      </w:pPr>
      <w:r w:rsidRPr="00381DC2">
        <w:rPr>
          <w:color w:val="000000"/>
        </w:rPr>
        <w:t>přítomnost bílkoviny v moči, doprovázená otoky,</w:t>
      </w:r>
    </w:p>
    <w:p w14:paraId="7A479B39" w14:textId="77777777" w:rsidR="00D15122" w:rsidRPr="00381DC2" w:rsidRDefault="009B0756" w:rsidP="00410591">
      <w:pPr>
        <w:pStyle w:val="BodyText"/>
        <w:numPr>
          <w:ilvl w:val="0"/>
          <w:numId w:val="14"/>
        </w:numPr>
        <w:tabs>
          <w:tab w:val="left" w:pos="684"/>
        </w:tabs>
        <w:ind w:left="0" w:firstLine="0"/>
        <w:rPr>
          <w:color w:val="000000"/>
        </w:rPr>
      </w:pPr>
      <w:r w:rsidRPr="00381DC2">
        <w:rPr>
          <w:color w:val="000000"/>
        </w:rPr>
        <w:t>perforace (díra) ve střevech,</w:t>
      </w:r>
    </w:p>
    <w:p w14:paraId="281AD677" w14:textId="77777777" w:rsidR="00D15122" w:rsidRPr="00381DC2" w:rsidRDefault="009B0756" w:rsidP="00410591">
      <w:pPr>
        <w:pStyle w:val="BodyText"/>
        <w:numPr>
          <w:ilvl w:val="0"/>
          <w:numId w:val="14"/>
        </w:numPr>
        <w:tabs>
          <w:tab w:val="left" w:pos="684"/>
        </w:tabs>
        <w:ind w:left="720" w:right="380" w:hanging="720"/>
        <w:rPr>
          <w:color w:val="000000"/>
        </w:rPr>
      </w:pPr>
      <w:r w:rsidRPr="00381DC2">
        <w:rPr>
          <w:color w:val="000000"/>
        </w:rPr>
        <w:t xml:space="preserve">abnormální trubicovité spojení nebo průchod mezi průdušnicí a jícnem, mezi vnitřními orgány a kůží, mezi </w:t>
      </w:r>
      <w:r w:rsidR="00B411E6" w:rsidRPr="00381DC2">
        <w:rPr>
          <w:color w:val="000000"/>
        </w:rPr>
        <w:t>pochvou</w:t>
      </w:r>
      <w:r w:rsidRPr="00381DC2">
        <w:rPr>
          <w:color w:val="000000"/>
        </w:rPr>
        <w:t xml:space="preserve"> a </w:t>
      </w:r>
      <w:r w:rsidR="004946DB" w:rsidRPr="00381DC2">
        <w:rPr>
          <w:color w:val="000000"/>
        </w:rPr>
        <w:t xml:space="preserve">jakýmikoli </w:t>
      </w:r>
      <w:r w:rsidRPr="00381DC2">
        <w:rPr>
          <w:color w:val="000000"/>
        </w:rPr>
        <w:t>částmi střeva nebo mezi ostatními tkáněmi, které normálně nejsou propojené (píštěl) a Váš lékař je považuje za závažné,</w:t>
      </w:r>
    </w:p>
    <w:p w14:paraId="28A25758" w14:textId="77777777" w:rsidR="00D15122" w:rsidRPr="00381DC2" w:rsidRDefault="009B0756" w:rsidP="00410591">
      <w:pPr>
        <w:pStyle w:val="BodyText"/>
        <w:numPr>
          <w:ilvl w:val="0"/>
          <w:numId w:val="14"/>
        </w:numPr>
        <w:tabs>
          <w:tab w:val="left" w:pos="684"/>
        </w:tabs>
        <w:ind w:left="0" w:firstLine="0"/>
        <w:rPr>
          <w:color w:val="000000"/>
        </w:rPr>
      </w:pPr>
      <w:r w:rsidRPr="00381DC2">
        <w:rPr>
          <w:color w:val="000000"/>
        </w:rPr>
        <w:t xml:space="preserve">závažné infekce kůže nebo </w:t>
      </w:r>
      <w:r w:rsidR="0057682E" w:rsidRPr="00381DC2">
        <w:rPr>
          <w:color w:val="000000"/>
        </w:rPr>
        <w:t>tkání uložených hlouběji pod kůží</w:t>
      </w:r>
      <w:r w:rsidRPr="00381DC2">
        <w:rPr>
          <w:color w:val="000000"/>
        </w:rPr>
        <w:t>,</w:t>
      </w:r>
    </w:p>
    <w:p w14:paraId="76FD82B6" w14:textId="77777777" w:rsidR="00A0114B" w:rsidRPr="00381DC2" w:rsidRDefault="009B0756" w:rsidP="00410591">
      <w:pPr>
        <w:pStyle w:val="BodyText"/>
        <w:numPr>
          <w:ilvl w:val="0"/>
          <w:numId w:val="14"/>
        </w:numPr>
        <w:tabs>
          <w:tab w:val="left" w:pos="685"/>
        </w:tabs>
        <w:ind w:left="0" w:firstLine="0"/>
        <w:rPr>
          <w:color w:val="000000"/>
        </w:rPr>
      </w:pPr>
      <w:r w:rsidRPr="00381DC2">
        <w:rPr>
          <w:color w:val="000000"/>
        </w:rPr>
        <w:t xml:space="preserve">krevní sraženina v tepnách, </w:t>
      </w:r>
    </w:p>
    <w:p w14:paraId="768C85B6" w14:textId="77777777" w:rsidR="00D15122" w:rsidRPr="00381DC2" w:rsidRDefault="009B0756" w:rsidP="00410591">
      <w:pPr>
        <w:pStyle w:val="BodyText"/>
        <w:numPr>
          <w:ilvl w:val="0"/>
          <w:numId w:val="14"/>
        </w:numPr>
        <w:tabs>
          <w:tab w:val="left" w:pos="685"/>
        </w:tabs>
        <w:ind w:left="0" w:firstLine="0"/>
        <w:rPr>
          <w:color w:val="000000"/>
        </w:rPr>
      </w:pPr>
      <w:r w:rsidRPr="00381DC2">
        <w:rPr>
          <w:color w:val="000000"/>
        </w:rPr>
        <w:t>krevní sraženina v </w:t>
      </w:r>
      <w:r w:rsidR="004946DB" w:rsidRPr="00381DC2">
        <w:rPr>
          <w:color w:val="000000"/>
        </w:rPr>
        <w:t xml:space="preserve">krevních </w:t>
      </w:r>
      <w:r w:rsidRPr="00381DC2">
        <w:rPr>
          <w:color w:val="000000"/>
        </w:rPr>
        <w:t>cévách plic,</w:t>
      </w:r>
    </w:p>
    <w:p w14:paraId="07F2923A" w14:textId="77777777" w:rsidR="00D15122" w:rsidRPr="00381DC2" w:rsidRDefault="009B0756" w:rsidP="00410591">
      <w:pPr>
        <w:pStyle w:val="BodyText"/>
        <w:numPr>
          <w:ilvl w:val="0"/>
          <w:numId w:val="14"/>
        </w:numPr>
        <w:tabs>
          <w:tab w:val="left" w:pos="685"/>
        </w:tabs>
        <w:ind w:left="0" w:firstLine="0"/>
        <w:rPr>
          <w:color w:val="000000"/>
        </w:rPr>
      </w:pPr>
      <w:r w:rsidRPr="00381DC2">
        <w:rPr>
          <w:color w:val="000000"/>
        </w:rPr>
        <w:t>jakékoli závažné krvácení.</w:t>
      </w:r>
    </w:p>
    <w:p w14:paraId="7FE07F54" w14:textId="77777777" w:rsidR="00D15122" w:rsidRPr="00381DC2" w:rsidRDefault="00D15122" w:rsidP="00410591">
      <w:pPr>
        <w:rPr>
          <w:rFonts w:ascii="Times New Roman" w:eastAsia="Times New Roman" w:hAnsi="Times New Roman"/>
          <w:color w:val="000000"/>
        </w:rPr>
      </w:pPr>
    </w:p>
    <w:p w14:paraId="6281A58F" w14:textId="77777777" w:rsidR="00D15122" w:rsidRPr="00381DC2" w:rsidRDefault="009B0756" w:rsidP="00363CA4">
      <w:pPr>
        <w:pStyle w:val="BodyText"/>
        <w:ind w:left="0" w:right="158"/>
        <w:rPr>
          <w:b/>
          <w:color w:val="000000"/>
        </w:rPr>
      </w:pPr>
      <w:r w:rsidRPr="00381DC2">
        <w:rPr>
          <w:b/>
          <w:color w:val="000000"/>
        </w:rPr>
        <w:t xml:space="preserve">Jestliže jste použil(a) více přípravku </w:t>
      </w:r>
      <w:r w:rsidR="00CC0FAB" w:rsidRPr="00381DC2">
        <w:rPr>
          <w:b/>
          <w:color w:val="000000"/>
        </w:rPr>
        <w:t>Zirabev</w:t>
      </w:r>
      <w:r w:rsidRPr="00381DC2">
        <w:rPr>
          <w:b/>
          <w:color w:val="000000"/>
        </w:rPr>
        <w:t>, než jste měl(a)</w:t>
      </w:r>
    </w:p>
    <w:p w14:paraId="22B95C75" w14:textId="77777777" w:rsidR="00D15122" w:rsidRPr="00381DC2" w:rsidRDefault="009B0756" w:rsidP="00410591">
      <w:pPr>
        <w:pStyle w:val="BodyText"/>
        <w:numPr>
          <w:ilvl w:val="0"/>
          <w:numId w:val="14"/>
        </w:numPr>
        <w:tabs>
          <w:tab w:val="left" w:pos="685"/>
        </w:tabs>
        <w:spacing w:line="241" w:lineRule="auto"/>
        <w:ind w:left="720" w:right="226" w:hanging="720"/>
        <w:rPr>
          <w:color w:val="000000"/>
        </w:rPr>
      </w:pPr>
      <w:r w:rsidRPr="00381DC2">
        <w:rPr>
          <w:color w:val="000000"/>
        </w:rPr>
        <w:t xml:space="preserve">může se objevit silná migréna. Jestliže se vyskytne, ihned to </w:t>
      </w:r>
      <w:r w:rsidR="00731214" w:rsidRPr="00381DC2">
        <w:rPr>
          <w:color w:val="000000"/>
        </w:rPr>
        <w:t xml:space="preserve">sdělte </w:t>
      </w:r>
      <w:r w:rsidRPr="00381DC2">
        <w:rPr>
          <w:color w:val="000000"/>
        </w:rPr>
        <w:t>svému lékaři, lékárníkovi nebo zdravotní sestře.</w:t>
      </w:r>
    </w:p>
    <w:p w14:paraId="3C1CB17F" w14:textId="77777777" w:rsidR="00D15122" w:rsidRPr="00381DC2" w:rsidRDefault="00D15122" w:rsidP="00410591">
      <w:pPr>
        <w:rPr>
          <w:rFonts w:ascii="Times New Roman" w:eastAsia="Times New Roman" w:hAnsi="Times New Roman"/>
          <w:color w:val="000000"/>
        </w:rPr>
      </w:pPr>
    </w:p>
    <w:p w14:paraId="33D2296F" w14:textId="77777777" w:rsidR="00D15122" w:rsidRPr="00381DC2" w:rsidRDefault="009B0756" w:rsidP="00363CA4">
      <w:pPr>
        <w:pStyle w:val="BodyText"/>
        <w:ind w:left="0" w:right="158"/>
        <w:rPr>
          <w:b/>
          <w:color w:val="000000"/>
        </w:rPr>
      </w:pPr>
      <w:r w:rsidRPr="00381DC2">
        <w:rPr>
          <w:b/>
          <w:color w:val="000000"/>
        </w:rPr>
        <w:t xml:space="preserve">Jestliže jste zapomněl(a) použít přípravek </w:t>
      </w:r>
      <w:r w:rsidR="00CC0FAB" w:rsidRPr="00381DC2">
        <w:rPr>
          <w:b/>
          <w:color w:val="000000"/>
        </w:rPr>
        <w:t>Zirabev</w:t>
      </w:r>
    </w:p>
    <w:p w14:paraId="208C4811" w14:textId="77777777" w:rsidR="00D15122" w:rsidRPr="00381DC2" w:rsidRDefault="009B0756" w:rsidP="00410591">
      <w:pPr>
        <w:pStyle w:val="BodyText"/>
        <w:numPr>
          <w:ilvl w:val="0"/>
          <w:numId w:val="14"/>
        </w:numPr>
        <w:tabs>
          <w:tab w:val="left" w:pos="685"/>
        </w:tabs>
        <w:spacing w:line="241" w:lineRule="auto"/>
        <w:ind w:left="720" w:right="226" w:hanging="720"/>
        <w:rPr>
          <w:color w:val="000000"/>
        </w:rPr>
      </w:pPr>
      <w:r w:rsidRPr="00381DC2">
        <w:rPr>
          <w:color w:val="000000"/>
        </w:rPr>
        <w:t xml:space="preserve">lékař určí, kdy Vám bude podána další dávka přípravku </w:t>
      </w:r>
      <w:r w:rsidR="00CC0FAB" w:rsidRPr="00381DC2">
        <w:rPr>
          <w:color w:val="000000"/>
        </w:rPr>
        <w:t>Zirabev</w:t>
      </w:r>
      <w:r w:rsidRPr="00381DC2">
        <w:rPr>
          <w:color w:val="000000"/>
        </w:rPr>
        <w:t>. Informujte se u svého lékaře.</w:t>
      </w:r>
    </w:p>
    <w:p w14:paraId="40B56541" w14:textId="77777777" w:rsidR="00D15122" w:rsidRPr="00381DC2" w:rsidRDefault="00D15122" w:rsidP="007F6E1B">
      <w:pPr>
        <w:rPr>
          <w:rFonts w:ascii="Times New Roman" w:eastAsia="Times New Roman" w:hAnsi="Times New Roman"/>
          <w:color w:val="000000"/>
        </w:rPr>
      </w:pPr>
    </w:p>
    <w:p w14:paraId="09FA477B" w14:textId="77777777" w:rsidR="00D15122" w:rsidRPr="00381DC2" w:rsidRDefault="009B0756" w:rsidP="00363CA4">
      <w:pPr>
        <w:pStyle w:val="BodyText"/>
        <w:ind w:left="0" w:right="158"/>
        <w:rPr>
          <w:b/>
          <w:color w:val="000000"/>
        </w:rPr>
      </w:pPr>
      <w:r w:rsidRPr="00381DC2">
        <w:rPr>
          <w:b/>
          <w:color w:val="000000"/>
        </w:rPr>
        <w:t xml:space="preserve">Jestliže jste přestal(a) používat přípravek </w:t>
      </w:r>
      <w:r w:rsidR="00CC0FAB" w:rsidRPr="00381DC2">
        <w:rPr>
          <w:b/>
          <w:color w:val="000000"/>
        </w:rPr>
        <w:t>Zirabev</w:t>
      </w:r>
    </w:p>
    <w:p w14:paraId="6194FD7E" w14:textId="77777777" w:rsidR="00D15122" w:rsidRPr="00381DC2" w:rsidRDefault="00731214" w:rsidP="007F6E1B">
      <w:pPr>
        <w:pStyle w:val="BodyText"/>
        <w:spacing w:line="252" w:lineRule="exact"/>
        <w:ind w:left="0" w:right="123"/>
        <w:rPr>
          <w:color w:val="000000"/>
        </w:rPr>
      </w:pPr>
      <w:r w:rsidRPr="00381DC2">
        <w:rPr>
          <w:color w:val="000000"/>
        </w:rPr>
        <w:t xml:space="preserve">Ukončení </w:t>
      </w:r>
      <w:r w:rsidR="009B0756" w:rsidRPr="00381DC2">
        <w:rPr>
          <w:color w:val="000000"/>
        </w:rPr>
        <w:t xml:space="preserve">léčby přípravkem </w:t>
      </w:r>
      <w:r w:rsidR="00CC0FAB" w:rsidRPr="00381DC2">
        <w:rPr>
          <w:color w:val="000000"/>
        </w:rPr>
        <w:t>Zirabev</w:t>
      </w:r>
      <w:r w:rsidR="009B0756" w:rsidRPr="00381DC2">
        <w:rPr>
          <w:color w:val="000000"/>
        </w:rPr>
        <w:t xml:space="preserve"> může zastavit účinek proti růstu nádoru. </w:t>
      </w:r>
      <w:r w:rsidRPr="00381DC2">
        <w:rPr>
          <w:color w:val="000000"/>
        </w:rPr>
        <w:t xml:space="preserve">Nepřestávejte používat přípravek </w:t>
      </w:r>
      <w:r w:rsidR="00CC0FAB" w:rsidRPr="00381DC2">
        <w:rPr>
          <w:color w:val="000000"/>
        </w:rPr>
        <w:t>Zirabev</w:t>
      </w:r>
      <w:r w:rsidR="009B0756" w:rsidRPr="00381DC2">
        <w:rPr>
          <w:color w:val="000000"/>
        </w:rPr>
        <w:t>, dokud se neporadíte se svým lékařem.</w:t>
      </w:r>
    </w:p>
    <w:p w14:paraId="2BCDB360" w14:textId="77777777" w:rsidR="00D15122" w:rsidRPr="00381DC2" w:rsidRDefault="00D15122" w:rsidP="007F6E1B">
      <w:pPr>
        <w:rPr>
          <w:rFonts w:ascii="Times New Roman" w:eastAsia="Times New Roman" w:hAnsi="Times New Roman"/>
          <w:color w:val="000000"/>
        </w:rPr>
      </w:pPr>
    </w:p>
    <w:p w14:paraId="0D67333C" w14:textId="77777777" w:rsidR="00D15122" w:rsidRPr="00381DC2" w:rsidRDefault="009B0756" w:rsidP="007F6E1B">
      <w:pPr>
        <w:pStyle w:val="BodyText"/>
        <w:ind w:left="0"/>
        <w:rPr>
          <w:color w:val="000000"/>
        </w:rPr>
      </w:pPr>
      <w:r w:rsidRPr="00381DC2">
        <w:rPr>
          <w:color w:val="000000"/>
        </w:rPr>
        <w:t>Máte-li jakékoli další otázky týkající se používání tohoto přípravku, zeptejte se svého lékaře, lékárníka nebo zdravotní sestry.</w:t>
      </w:r>
    </w:p>
    <w:p w14:paraId="4B25319B" w14:textId="77777777" w:rsidR="00D15122" w:rsidRPr="00381DC2" w:rsidRDefault="00D15122" w:rsidP="007F6E1B">
      <w:pPr>
        <w:rPr>
          <w:rFonts w:ascii="Times New Roman" w:eastAsia="Times New Roman" w:hAnsi="Times New Roman"/>
          <w:color w:val="000000"/>
        </w:rPr>
      </w:pPr>
    </w:p>
    <w:p w14:paraId="6CECD29C" w14:textId="77777777" w:rsidR="00D15122" w:rsidRPr="00381DC2" w:rsidRDefault="00D15122" w:rsidP="007F6E1B">
      <w:pPr>
        <w:rPr>
          <w:rFonts w:ascii="Times New Roman" w:eastAsia="Times New Roman" w:hAnsi="Times New Roman"/>
          <w:color w:val="000000"/>
        </w:rPr>
      </w:pPr>
    </w:p>
    <w:p w14:paraId="54589991" w14:textId="77777777" w:rsidR="00D15122" w:rsidRPr="00381DC2" w:rsidRDefault="00714208" w:rsidP="00363CA4">
      <w:pPr>
        <w:pStyle w:val="BodyText"/>
        <w:ind w:left="0" w:right="158"/>
        <w:rPr>
          <w:b/>
          <w:color w:val="000000"/>
        </w:rPr>
      </w:pPr>
      <w:r w:rsidRPr="00381DC2">
        <w:rPr>
          <w:b/>
          <w:color w:val="000000"/>
        </w:rPr>
        <w:t>4.</w:t>
      </w:r>
      <w:r w:rsidRPr="00381DC2">
        <w:rPr>
          <w:b/>
          <w:color w:val="000000"/>
        </w:rPr>
        <w:tab/>
        <w:t>Možné nežádoucí účinky</w:t>
      </w:r>
    </w:p>
    <w:p w14:paraId="660822EB" w14:textId="77777777" w:rsidR="00D15122" w:rsidRPr="00381DC2" w:rsidRDefault="00D15122" w:rsidP="007F6E1B">
      <w:pPr>
        <w:rPr>
          <w:rFonts w:ascii="Times New Roman" w:eastAsia="Times New Roman" w:hAnsi="Times New Roman"/>
          <w:bCs/>
          <w:color w:val="000000"/>
        </w:rPr>
      </w:pPr>
    </w:p>
    <w:p w14:paraId="61308A01" w14:textId="77777777" w:rsidR="00D15122" w:rsidRPr="00381DC2" w:rsidRDefault="009B0756" w:rsidP="007F6E1B">
      <w:pPr>
        <w:pStyle w:val="BodyText"/>
        <w:ind w:left="0"/>
        <w:rPr>
          <w:color w:val="000000"/>
        </w:rPr>
      </w:pPr>
      <w:r w:rsidRPr="00381DC2">
        <w:rPr>
          <w:color w:val="000000"/>
        </w:rPr>
        <w:t>Podobně jako všechny léky může mít i tento přípravek nežádoucí účinky, které se ale nemusí vyskytnout u každého.</w:t>
      </w:r>
    </w:p>
    <w:p w14:paraId="1E2B3323" w14:textId="77777777" w:rsidR="00D15122" w:rsidRPr="00381DC2" w:rsidRDefault="00D15122" w:rsidP="007F6E1B">
      <w:pPr>
        <w:rPr>
          <w:rFonts w:ascii="Times New Roman" w:eastAsia="Times New Roman" w:hAnsi="Times New Roman"/>
          <w:color w:val="000000"/>
        </w:rPr>
      </w:pPr>
    </w:p>
    <w:p w14:paraId="7A559955" w14:textId="77777777" w:rsidR="00D15122" w:rsidRPr="00381DC2" w:rsidRDefault="009B0756" w:rsidP="007F6E1B">
      <w:pPr>
        <w:pStyle w:val="BodyText"/>
        <w:ind w:left="0" w:right="226"/>
        <w:rPr>
          <w:color w:val="000000"/>
        </w:rPr>
      </w:pPr>
      <w:r w:rsidRPr="00381DC2">
        <w:rPr>
          <w:color w:val="000000"/>
        </w:rPr>
        <w:t>Pokud se u Vás vyskytne kterýkoli z nežádoucích účinků, sdělte to svému lékaři, lékárníkovi nebo zdravotní sestře. Stejně postupujte v případě jakýchkoli nežádoucích účinků, které nejsou uvedeny v této příbalové informaci.</w:t>
      </w:r>
    </w:p>
    <w:p w14:paraId="40E846FE" w14:textId="77777777" w:rsidR="00D15122" w:rsidRPr="00381DC2" w:rsidRDefault="00D15122" w:rsidP="007F6E1B">
      <w:pPr>
        <w:rPr>
          <w:rFonts w:ascii="Times New Roman" w:eastAsia="Times New Roman" w:hAnsi="Times New Roman"/>
          <w:color w:val="000000"/>
        </w:rPr>
      </w:pPr>
    </w:p>
    <w:p w14:paraId="29F85484" w14:textId="77777777" w:rsidR="00D15122" w:rsidRPr="00381DC2" w:rsidRDefault="009B0756" w:rsidP="007F6E1B">
      <w:pPr>
        <w:pStyle w:val="BodyText"/>
        <w:ind w:left="0" w:right="123"/>
        <w:rPr>
          <w:color w:val="000000"/>
        </w:rPr>
      </w:pPr>
      <w:r w:rsidRPr="00381DC2">
        <w:rPr>
          <w:color w:val="000000"/>
        </w:rPr>
        <w:t xml:space="preserve">Při podávání bevacizumabu společně s chemoterapií se projevily níže uvedené nežádoucí účinky. To však </w:t>
      </w:r>
      <w:r w:rsidR="00701DDD" w:rsidRPr="00381DC2">
        <w:rPr>
          <w:color w:val="000000"/>
        </w:rPr>
        <w:t>nemusí znamenat</w:t>
      </w:r>
      <w:r w:rsidRPr="00381DC2">
        <w:rPr>
          <w:color w:val="000000"/>
        </w:rPr>
        <w:t>, že byly způsobeny pouze bevacizumabem.</w:t>
      </w:r>
    </w:p>
    <w:p w14:paraId="36CF286A" w14:textId="77777777" w:rsidR="00D15122" w:rsidRPr="00381DC2" w:rsidRDefault="00D15122" w:rsidP="007F6E1B">
      <w:pPr>
        <w:rPr>
          <w:rFonts w:ascii="Times New Roman" w:eastAsia="Times New Roman" w:hAnsi="Times New Roman"/>
          <w:color w:val="000000"/>
        </w:rPr>
      </w:pPr>
    </w:p>
    <w:p w14:paraId="444E49E4" w14:textId="77777777" w:rsidR="00D15122" w:rsidRPr="00381DC2" w:rsidRDefault="009B0756" w:rsidP="00363CA4">
      <w:pPr>
        <w:pStyle w:val="BodyText"/>
        <w:ind w:left="0" w:right="158"/>
        <w:rPr>
          <w:b/>
          <w:color w:val="000000"/>
        </w:rPr>
      </w:pPr>
      <w:r w:rsidRPr="00381DC2">
        <w:rPr>
          <w:b/>
          <w:color w:val="000000"/>
        </w:rPr>
        <w:t>Alergické reakce</w:t>
      </w:r>
    </w:p>
    <w:p w14:paraId="0A759270" w14:textId="6F4DFC65" w:rsidR="00D15122" w:rsidRPr="00381DC2" w:rsidRDefault="009B0756" w:rsidP="007F6E1B">
      <w:pPr>
        <w:pStyle w:val="BodyText"/>
        <w:ind w:left="0" w:right="42"/>
        <w:rPr>
          <w:color w:val="000000"/>
        </w:rPr>
      </w:pPr>
      <w:r w:rsidRPr="00381DC2">
        <w:rPr>
          <w:color w:val="000000"/>
        </w:rPr>
        <w:t>Pokud budete mít alergickou reakci, informujte okamžitě lékaře nebo jiný zdravotnický personál. K</w:t>
      </w:r>
      <w:r w:rsidR="00701DDD" w:rsidRPr="00381DC2">
        <w:rPr>
          <w:color w:val="000000"/>
        </w:rPr>
        <w:t xml:space="preserve">e známkám </w:t>
      </w:r>
      <w:r w:rsidRPr="00381DC2">
        <w:rPr>
          <w:color w:val="000000"/>
        </w:rPr>
        <w:t xml:space="preserve">mohou patřit: obtíže při dýchání nebo bolest na </w:t>
      </w:r>
      <w:r w:rsidR="00701DDD" w:rsidRPr="00381DC2">
        <w:rPr>
          <w:color w:val="000000"/>
        </w:rPr>
        <w:t>hrudi</w:t>
      </w:r>
      <w:r w:rsidRPr="00381DC2">
        <w:rPr>
          <w:color w:val="000000"/>
        </w:rPr>
        <w:t xml:space="preserve">. Můžete pozorovat rovněž návaly horka, zarudnutí kůže nebo vyrážku, zimnici a třesavku, </w:t>
      </w:r>
      <w:r w:rsidR="0057682E" w:rsidRPr="00381DC2">
        <w:rPr>
          <w:color w:val="000000"/>
        </w:rPr>
        <w:t>nevolnost (</w:t>
      </w:r>
      <w:r w:rsidRPr="00381DC2">
        <w:rPr>
          <w:color w:val="000000"/>
        </w:rPr>
        <w:t>pocit na zvracení) nebo zvracení</w:t>
      </w:r>
      <w:r w:rsidR="00386CE0">
        <w:rPr>
          <w:color w:val="000000"/>
        </w:rPr>
        <w:t>, otok</w:t>
      </w:r>
      <w:r w:rsidR="009033A3">
        <w:rPr>
          <w:color w:val="000000"/>
        </w:rPr>
        <w:t>y</w:t>
      </w:r>
      <w:r w:rsidR="00386CE0">
        <w:rPr>
          <w:color w:val="000000"/>
        </w:rPr>
        <w:t xml:space="preserve">, </w:t>
      </w:r>
      <w:r w:rsidR="009033A3">
        <w:rPr>
          <w:color w:val="000000"/>
        </w:rPr>
        <w:t>závratě</w:t>
      </w:r>
      <w:r w:rsidR="00386CE0">
        <w:rPr>
          <w:color w:val="000000"/>
        </w:rPr>
        <w:t>, zrychlený srdeční tep a ztráta vědomí</w:t>
      </w:r>
      <w:r w:rsidRPr="00381DC2">
        <w:rPr>
          <w:color w:val="000000"/>
        </w:rPr>
        <w:t>.</w:t>
      </w:r>
    </w:p>
    <w:p w14:paraId="5B7F87A9" w14:textId="77777777" w:rsidR="00D15122" w:rsidRPr="00381DC2" w:rsidRDefault="00D15122" w:rsidP="007F6E1B">
      <w:pPr>
        <w:rPr>
          <w:rFonts w:ascii="Times New Roman" w:eastAsia="Times New Roman" w:hAnsi="Times New Roman"/>
          <w:color w:val="000000"/>
        </w:rPr>
      </w:pPr>
    </w:p>
    <w:p w14:paraId="46844858" w14:textId="77777777" w:rsidR="00D15122" w:rsidRPr="00381DC2" w:rsidRDefault="009B0756" w:rsidP="008F624B">
      <w:pPr>
        <w:pStyle w:val="BodyText"/>
        <w:keepNext/>
        <w:keepLines/>
        <w:ind w:left="0" w:right="159"/>
        <w:rPr>
          <w:b/>
          <w:color w:val="000000"/>
        </w:rPr>
      </w:pPr>
      <w:r w:rsidRPr="00381DC2">
        <w:rPr>
          <w:b/>
          <w:color w:val="000000"/>
        </w:rPr>
        <w:t>Vyhledejte pomoc ihned, jestliže se u Vás objeví kterýkoli z níže uvedených nežádoucích účinků.</w:t>
      </w:r>
    </w:p>
    <w:p w14:paraId="5BD82BAA" w14:textId="77777777" w:rsidR="00D15122" w:rsidRPr="00381DC2" w:rsidRDefault="00D15122" w:rsidP="00BE7168">
      <w:pPr>
        <w:keepNext/>
        <w:keepLines/>
        <w:rPr>
          <w:rFonts w:ascii="Times New Roman" w:eastAsia="Times New Roman" w:hAnsi="Times New Roman"/>
          <w:bCs/>
          <w:color w:val="000000"/>
        </w:rPr>
      </w:pPr>
    </w:p>
    <w:p w14:paraId="0F0FEE7B" w14:textId="77777777" w:rsidR="00D15122" w:rsidRPr="00381DC2" w:rsidRDefault="009B0756" w:rsidP="007F6E1B">
      <w:pPr>
        <w:pStyle w:val="BodyText"/>
        <w:ind w:left="0"/>
        <w:rPr>
          <w:color w:val="000000"/>
        </w:rPr>
      </w:pPr>
      <w:r w:rsidRPr="00381DC2">
        <w:rPr>
          <w:color w:val="000000"/>
        </w:rPr>
        <w:t xml:space="preserve">K závažným nežádoucím účinkům, které mohou být </w:t>
      </w:r>
      <w:r w:rsidRPr="00381DC2">
        <w:rPr>
          <w:b/>
          <w:color w:val="000000"/>
        </w:rPr>
        <w:t>velmi časté</w:t>
      </w:r>
      <w:r w:rsidRPr="00381DC2">
        <w:rPr>
          <w:color w:val="000000"/>
        </w:rPr>
        <w:t xml:space="preserve"> (mohou postihnout více než 1 pacienta z 10), patří: </w:t>
      </w:r>
    </w:p>
    <w:p w14:paraId="713C905D" w14:textId="77777777" w:rsidR="00D15122" w:rsidRPr="00381DC2" w:rsidRDefault="009B0756" w:rsidP="00410591">
      <w:pPr>
        <w:pStyle w:val="BodyText"/>
        <w:numPr>
          <w:ilvl w:val="0"/>
          <w:numId w:val="15"/>
        </w:numPr>
        <w:tabs>
          <w:tab w:val="left" w:pos="543"/>
        </w:tabs>
        <w:spacing w:line="252" w:lineRule="exact"/>
        <w:ind w:left="0" w:firstLine="0"/>
        <w:rPr>
          <w:color w:val="000000"/>
        </w:rPr>
      </w:pPr>
      <w:r w:rsidRPr="00381DC2">
        <w:rPr>
          <w:color w:val="000000"/>
        </w:rPr>
        <w:t>vysoký krevní tlak,</w:t>
      </w:r>
    </w:p>
    <w:p w14:paraId="3B7B3C04" w14:textId="77777777" w:rsidR="00D15122" w:rsidRPr="00381DC2" w:rsidRDefault="009B0756" w:rsidP="00410591">
      <w:pPr>
        <w:pStyle w:val="BodyText"/>
        <w:numPr>
          <w:ilvl w:val="0"/>
          <w:numId w:val="15"/>
        </w:numPr>
        <w:tabs>
          <w:tab w:val="left" w:pos="543"/>
        </w:tabs>
        <w:spacing w:line="252" w:lineRule="exact"/>
        <w:ind w:left="0" w:firstLine="0"/>
        <w:rPr>
          <w:color w:val="000000"/>
        </w:rPr>
      </w:pPr>
      <w:r w:rsidRPr="00381DC2">
        <w:rPr>
          <w:color w:val="000000"/>
        </w:rPr>
        <w:t>pocit necitlivosti nebo brnění v rukou či nohou,</w:t>
      </w:r>
    </w:p>
    <w:p w14:paraId="01BA4597" w14:textId="77777777" w:rsidR="00D15122" w:rsidRPr="00381DC2" w:rsidRDefault="0068336B" w:rsidP="00410591">
      <w:pPr>
        <w:pStyle w:val="BodyText"/>
        <w:numPr>
          <w:ilvl w:val="0"/>
          <w:numId w:val="15"/>
        </w:numPr>
        <w:tabs>
          <w:tab w:val="left" w:pos="543"/>
        </w:tabs>
        <w:ind w:left="540" w:right="226" w:hanging="540"/>
        <w:rPr>
          <w:color w:val="000000"/>
        </w:rPr>
      </w:pPr>
      <w:r w:rsidRPr="00381DC2">
        <w:rPr>
          <w:color w:val="000000"/>
        </w:rPr>
        <w:t>snížený počet</w:t>
      </w:r>
      <w:r w:rsidR="009B0756" w:rsidRPr="00381DC2">
        <w:rPr>
          <w:color w:val="000000"/>
        </w:rPr>
        <w:t xml:space="preserve"> krvinek, včetně bílých krvinek, které pomáhají bojovat proti infekcím (což může být doprovázeno horečkou), a krevních destiček, které napomáhají srážení krve,</w:t>
      </w:r>
    </w:p>
    <w:p w14:paraId="620C670E" w14:textId="77777777" w:rsidR="00D15122" w:rsidRPr="00381DC2" w:rsidRDefault="009B0756" w:rsidP="00410591">
      <w:pPr>
        <w:pStyle w:val="BodyText"/>
        <w:numPr>
          <w:ilvl w:val="0"/>
          <w:numId w:val="15"/>
        </w:numPr>
        <w:tabs>
          <w:tab w:val="left" w:pos="543"/>
        </w:tabs>
        <w:spacing w:line="252" w:lineRule="exact"/>
        <w:ind w:left="0" w:firstLine="0"/>
        <w:rPr>
          <w:color w:val="000000"/>
        </w:rPr>
      </w:pPr>
      <w:r w:rsidRPr="00381DC2">
        <w:rPr>
          <w:color w:val="000000"/>
        </w:rPr>
        <w:t>pocit slabosti a </w:t>
      </w:r>
      <w:r w:rsidR="0057682E" w:rsidRPr="00381DC2">
        <w:rPr>
          <w:color w:val="000000"/>
        </w:rPr>
        <w:t>nedostatku</w:t>
      </w:r>
      <w:r w:rsidRPr="00381DC2">
        <w:rPr>
          <w:color w:val="000000"/>
        </w:rPr>
        <w:t xml:space="preserve"> energie,</w:t>
      </w:r>
    </w:p>
    <w:p w14:paraId="10DA5C95"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únava,</w:t>
      </w:r>
    </w:p>
    <w:p w14:paraId="241E781A"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 xml:space="preserve">průjem, </w:t>
      </w:r>
      <w:r w:rsidR="0057682E" w:rsidRPr="00381DC2">
        <w:rPr>
          <w:color w:val="000000"/>
        </w:rPr>
        <w:t>pocit na zvracení</w:t>
      </w:r>
      <w:r w:rsidRPr="00381DC2">
        <w:rPr>
          <w:color w:val="000000"/>
        </w:rPr>
        <w:t>, zvracení, bolest břicha.</w:t>
      </w:r>
    </w:p>
    <w:p w14:paraId="3FF24B39" w14:textId="77777777" w:rsidR="00D15122" w:rsidRPr="00381DC2" w:rsidRDefault="00D15122" w:rsidP="007F6E1B">
      <w:pPr>
        <w:rPr>
          <w:rFonts w:ascii="Times New Roman" w:eastAsia="Times New Roman" w:hAnsi="Times New Roman"/>
          <w:color w:val="000000"/>
        </w:rPr>
      </w:pPr>
    </w:p>
    <w:p w14:paraId="4D3C9203" w14:textId="77777777" w:rsidR="00D15122" w:rsidRPr="00381DC2" w:rsidRDefault="009B0756" w:rsidP="000774C5">
      <w:pPr>
        <w:pStyle w:val="BodyText"/>
        <w:keepNext/>
        <w:spacing w:line="252" w:lineRule="exact"/>
        <w:ind w:left="0"/>
        <w:rPr>
          <w:color w:val="000000"/>
        </w:rPr>
      </w:pPr>
      <w:r w:rsidRPr="00381DC2">
        <w:rPr>
          <w:color w:val="000000"/>
        </w:rPr>
        <w:t xml:space="preserve">K závažným nežádoucím účinkům, které mohou být </w:t>
      </w:r>
      <w:r w:rsidRPr="00381DC2">
        <w:rPr>
          <w:b/>
          <w:color w:val="000000"/>
        </w:rPr>
        <w:t>časté</w:t>
      </w:r>
      <w:r w:rsidRPr="00381DC2">
        <w:rPr>
          <w:color w:val="000000"/>
        </w:rPr>
        <w:t xml:space="preserve"> (mohou postihnout</w:t>
      </w:r>
      <w:r w:rsidR="0057682E" w:rsidRPr="00381DC2">
        <w:rPr>
          <w:color w:val="000000"/>
        </w:rPr>
        <w:t xml:space="preserve"> až</w:t>
      </w:r>
      <w:r w:rsidRPr="00381DC2">
        <w:rPr>
          <w:color w:val="000000"/>
        </w:rPr>
        <w:t xml:space="preserve"> 1</w:t>
      </w:r>
      <w:r w:rsidR="0057682E" w:rsidRPr="00381DC2">
        <w:rPr>
          <w:color w:val="000000"/>
        </w:rPr>
        <w:t xml:space="preserve"> pacienta z</w:t>
      </w:r>
      <w:r w:rsidRPr="00381DC2">
        <w:rPr>
          <w:color w:val="000000"/>
        </w:rPr>
        <w:t xml:space="preserve"> 10), patří:</w:t>
      </w:r>
    </w:p>
    <w:p w14:paraId="27BA61CC"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perforace (proděravění) střev,</w:t>
      </w:r>
    </w:p>
    <w:p w14:paraId="34468762" w14:textId="77777777" w:rsidR="00D15122" w:rsidRPr="00381DC2" w:rsidRDefault="009B0756" w:rsidP="008F624B">
      <w:pPr>
        <w:pStyle w:val="BodyText"/>
        <w:numPr>
          <w:ilvl w:val="0"/>
          <w:numId w:val="15"/>
        </w:numPr>
        <w:tabs>
          <w:tab w:val="left" w:pos="544"/>
        </w:tabs>
        <w:spacing w:line="252" w:lineRule="exact"/>
        <w:ind w:left="544" w:hanging="544"/>
        <w:rPr>
          <w:color w:val="000000"/>
        </w:rPr>
      </w:pPr>
      <w:r w:rsidRPr="00381DC2">
        <w:rPr>
          <w:color w:val="000000"/>
        </w:rPr>
        <w:t xml:space="preserve">krvácení, včetně krvácení v plicích u pacientů s nemalobuněčným </w:t>
      </w:r>
      <w:r w:rsidR="00F0199F" w:rsidRPr="00381DC2">
        <w:rPr>
          <w:color w:val="000000"/>
        </w:rPr>
        <w:t>nádorovým onemocněním plic</w:t>
      </w:r>
      <w:r w:rsidRPr="00381DC2">
        <w:rPr>
          <w:color w:val="000000"/>
        </w:rPr>
        <w:t>,</w:t>
      </w:r>
    </w:p>
    <w:p w14:paraId="10C47DE4"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blokování tepen krevní sraženinou,</w:t>
      </w:r>
    </w:p>
    <w:p w14:paraId="5D1E4BA6"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blokování žil krevní sraženinou,</w:t>
      </w:r>
    </w:p>
    <w:p w14:paraId="6E490581"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 xml:space="preserve">blokování </w:t>
      </w:r>
      <w:r w:rsidR="0068336B" w:rsidRPr="00381DC2">
        <w:rPr>
          <w:color w:val="000000"/>
        </w:rPr>
        <w:t xml:space="preserve">krevních </w:t>
      </w:r>
      <w:r w:rsidRPr="00381DC2">
        <w:rPr>
          <w:color w:val="000000"/>
        </w:rPr>
        <w:t>cév v plicích krevní sraženinou,</w:t>
      </w:r>
    </w:p>
    <w:p w14:paraId="02651CC7"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blokování žil v dolních končetinách krevní sraženinou,</w:t>
      </w:r>
    </w:p>
    <w:p w14:paraId="7C0DBBF5"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srdeční selhání,</w:t>
      </w:r>
    </w:p>
    <w:p w14:paraId="35F092A7"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 xml:space="preserve">problémy s hojením ran po </w:t>
      </w:r>
      <w:r w:rsidR="0068336B" w:rsidRPr="00381DC2">
        <w:rPr>
          <w:color w:val="000000"/>
        </w:rPr>
        <w:t>operaci</w:t>
      </w:r>
      <w:r w:rsidRPr="00381DC2">
        <w:rPr>
          <w:color w:val="000000"/>
        </w:rPr>
        <w:t>,</w:t>
      </w:r>
    </w:p>
    <w:p w14:paraId="6936E9C1"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zarudnutí, odlupování, citlivost, bolesti nebo vytváření puchýřů na prstech rukou či chodidlech,</w:t>
      </w:r>
    </w:p>
    <w:p w14:paraId="7AB29030" w14:textId="77777777" w:rsidR="00D15122" w:rsidRPr="00381DC2" w:rsidRDefault="0068336B" w:rsidP="00410591">
      <w:pPr>
        <w:pStyle w:val="BodyText"/>
        <w:numPr>
          <w:ilvl w:val="0"/>
          <w:numId w:val="15"/>
        </w:numPr>
        <w:tabs>
          <w:tab w:val="left" w:pos="544"/>
        </w:tabs>
        <w:spacing w:line="252" w:lineRule="exact"/>
        <w:ind w:left="0" w:firstLine="0"/>
        <w:rPr>
          <w:color w:val="000000"/>
        </w:rPr>
      </w:pPr>
      <w:r w:rsidRPr="00381DC2">
        <w:rPr>
          <w:color w:val="000000"/>
        </w:rPr>
        <w:t xml:space="preserve">snížený počet </w:t>
      </w:r>
      <w:r w:rsidR="009B0756" w:rsidRPr="00381DC2">
        <w:rPr>
          <w:color w:val="000000"/>
        </w:rPr>
        <w:t>červených krvinek,</w:t>
      </w:r>
    </w:p>
    <w:p w14:paraId="2F52840A"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nedostatek energie,</w:t>
      </w:r>
    </w:p>
    <w:p w14:paraId="0BA03E31" w14:textId="77777777" w:rsidR="0011317F"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 xml:space="preserve">žaludeční a střevní potíže, </w:t>
      </w:r>
    </w:p>
    <w:p w14:paraId="1D7E8704"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bolest svalů a kloubů, svalová slabost,</w:t>
      </w:r>
    </w:p>
    <w:p w14:paraId="1A0E542F"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sucho v ústech v kombinaci se žízní a/nebo snížené množství moči nebo tmavě zabarvená moč,</w:t>
      </w:r>
    </w:p>
    <w:p w14:paraId="32C05D9A" w14:textId="77777777" w:rsidR="00D15122" w:rsidRPr="00381DC2" w:rsidRDefault="009B0756" w:rsidP="00410591">
      <w:pPr>
        <w:pStyle w:val="BodyText"/>
        <w:numPr>
          <w:ilvl w:val="0"/>
          <w:numId w:val="15"/>
        </w:numPr>
        <w:tabs>
          <w:tab w:val="left" w:pos="544"/>
        </w:tabs>
        <w:ind w:left="540" w:right="615" w:hanging="540"/>
        <w:rPr>
          <w:color w:val="000000"/>
        </w:rPr>
      </w:pPr>
      <w:r w:rsidRPr="00381DC2">
        <w:rPr>
          <w:color w:val="000000"/>
        </w:rPr>
        <w:t xml:space="preserve">zánět sliznice úst a střev, plic a dýchacích cest, reprodukčních a močových </w:t>
      </w:r>
      <w:r w:rsidR="0057682E" w:rsidRPr="00381DC2">
        <w:rPr>
          <w:color w:val="000000"/>
        </w:rPr>
        <w:t>orgánů</w:t>
      </w:r>
      <w:r w:rsidRPr="00381DC2">
        <w:rPr>
          <w:color w:val="000000"/>
        </w:rPr>
        <w:t>,</w:t>
      </w:r>
    </w:p>
    <w:p w14:paraId="18D39E36" w14:textId="77777777" w:rsidR="00D15122" w:rsidRPr="00381DC2" w:rsidRDefault="009B0756" w:rsidP="00410591">
      <w:pPr>
        <w:pStyle w:val="BodyText"/>
        <w:numPr>
          <w:ilvl w:val="0"/>
          <w:numId w:val="15"/>
        </w:numPr>
        <w:tabs>
          <w:tab w:val="left" w:pos="543"/>
        </w:tabs>
        <w:ind w:left="540" w:right="311" w:hanging="540"/>
        <w:rPr>
          <w:color w:val="000000"/>
        </w:rPr>
      </w:pPr>
      <w:r w:rsidRPr="00381DC2">
        <w:rPr>
          <w:color w:val="000000"/>
        </w:rPr>
        <w:t>bolest v ústech a v jícnu, kter</w:t>
      </w:r>
      <w:r w:rsidR="00145BE2" w:rsidRPr="00381DC2">
        <w:rPr>
          <w:color w:val="000000"/>
        </w:rPr>
        <w:t>ý</w:t>
      </w:r>
      <w:r w:rsidRPr="00381DC2">
        <w:rPr>
          <w:color w:val="000000"/>
        </w:rPr>
        <w:t xml:space="preserve"> může být </w:t>
      </w:r>
      <w:r w:rsidR="00145BE2" w:rsidRPr="00381DC2">
        <w:rPr>
          <w:color w:val="000000"/>
        </w:rPr>
        <w:t xml:space="preserve">bolestivý </w:t>
      </w:r>
      <w:r w:rsidRPr="00381DC2">
        <w:rPr>
          <w:color w:val="000000"/>
        </w:rPr>
        <w:t>a způsobovat obtíže při polykání,</w:t>
      </w:r>
    </w:p>
    <w:p w14:paraId="0969391D" w14:textId="77777777" w:rsidR="00D15122" w:rsidRPr="00381DC2" w:rsidRDefault="009B0756" w:rsidP="00410591">
      <w:pPr>
        <w:pStyle w:val="BodyText"/>
        <w:numPr>
          <w:ilvl w:val="0"/>
          <w:numId w:val="15"/>
        </w:numPr>
        <w:tabs>
          <w:tab w:val="left" w:pos="543"/>
        </w:tabs>
        <w:spacing w:line="251" w:lineRule="exact"/>
        <w:ind w:left="0" w:firstLine="0"/>
        <w:rPr>
          <w:color w:val="000000"/>
        </w:rPr>
      </w:pPr>
      <w:r w:rsidRPr="00381DC2">
        <w:rPr>
          <w:color w:val="000000"/>
        </w:rPr>
        <w:t>bolest, včetně bolesti hlavy, bolesti zad a bolesti v oblasti pánve a řitního otvoru,</w:t>
      </w:r>
    </w:p>
    <w:p w14:paraId="24C0C98E" w14:textId="77777777" w:rsidR="00D15122" w:rsidRPr="00381DC2" w:rsidRDefault="009B0756" w:rsidP="00410591">
      <w:pPr>
        <w:pStyle w:val="BodyText"/>
        <w:numPr>
          <w:ilvl w:val="0"/>
          <w:numId w:val="15"/>
        </w:numPr>
        <w:tabs>
          <w:tab w:val="left" w:pos="543"/>
        </w:tabs>
        <w:spacing w:line="252" w:lineRule="exact"/>
        <w:ind w:left="0" w:firstLine="0"/>
        <w:rPr>
          <w:color w:val="000000"/>
        </w:rPr>
      </w:pPr>
      <w:r w:rsidRPr="00381DC2">
        <w:rPr>
          <w:color w:val="000000"/>
        </w:rPr>
        <w:t>lokalizované nahromadění hnisu,</w:t>
      </w:r>
    </w:p>
    <w:p w14:paraId="13011306" w14:textId="77777777" w:rsidR="00D15122" w:rsidRPr="00381DC2" w:rsidRDefault="009B0756" w:rsidP="00410591">
      <w:pPr>
        <w:pStyle w:val="BodyText"/>
        <w:numPr>
          <w:ilvl w:val="0"/>
          <w:numId w:val="15"/>
        </w:numPr>
        <w:tabs>
          <w:tab w:val="left" w:pos="543"/>
        </w:tabs>
        <w:spacing w:line="252" w:lineRule="exact"/>
        <w:ind w:left="0" w:firstLine="0"/>
        <w:rPr>
          <w:color w:val="000000"/>
        </w:rPr>
      </w:pPr>
      <w:r w:rsidRPr="00381DC2">
        <w:rPr>
          <w:color w:val="000000"/>
        </w:rPr>
        <w:t>infekce, zejména infekce krve nebo močového měchýře,</w:t>
      </w:r>
    </w:p>
    <w:p w14:paraId="2B4376C4" w14:textId="77777777" w:rsidR="00D15122" w:rsidRPr="00381DC2" w:rsidRDefault="009B0756" w:rsidP="00410591">
      <w:pPr>
        <w:pStyle w:val="BodyText"/>
        <w:numPr>
          <w:ilvl w:val="0"/>
          <w:numId w:val="15"/>
        </w:numPr>
        <w:tabs>
          <w:tab w:val="left" w:pos="543"/>
        </w:tabs>
        <w:spacing w:line="252" w:lineRule="exact"/>
        <w:ind w:left="0" w:firstLine="0"/>
        <w:rPr>
          <w:color w:val="000000"/>
        </w:rPr>
      </w:pPr>
      <w:r w:rsidRPr="00381DC2">
        <w:rPr>
          <w:color w:val="000000"/>
        </w:rPr>
        <w:t xml:space="preserve">nedostatečné prokrvení mozku nebo </w:t>
      </w:r>
      <w:r w:rsidR="0057682E" w:rsidRPr="00381DC2">
        <w:rPr>
          <w:color w:val="000000"/>
        </w:rPr>
        <w:t xml:space="preserve">cévní </w:t>
      </w:r>
      <w:r w:rsidRPr="00381DC2">
        <w:rPr>
          <w:color w:val="000000"/>
        </w:rPr>
        <w:t>mozková příhoda,</w:t>
      </w:r>
    </w:p>
    <w:p w14:paraId="56300FC6"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ospalost,</w:t>
      </w:r>
    </w:p>
    <w:p w14:paraId="0CD9FF37"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krvácení z nosu,</w:t>
      </w:r>
    </w:p>
    <w:p w14:paraId="2220A41E"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lastRenderedPageBreak/>
        <w:t>zvýšený tep srdce (puls),</w:t>
      </w:r>
    </w:p>
    <w:p w14:paraId="5944E325"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neprůchodnost střev,</w:t>
      </w:r>
    </w:p>
    <w:p w14:paraId="42CAF0E3" w14:textId="77777777" w:rsidR="00D15122" w:rsidRPr="00381DC2" w:rsidRDefault="00145BE2" w:rsidP="00410591">
      <w:pPr>
        <w:pStyle w:val="BodyText"/>
        <w:numPr>
          <w:ilvl w:val="0"/>
          <w:numId w:val="15"/>
        </w:numPr>
        <w:tabs>
          <w:tab w:val="left" w:pos="544"/>
        </w:tabs>
        <w:spacing w:line="252" w:lineRule="exact"/>
        <w:ind w:left="0" w:firstLine="0"/>
        <w:rPr>
          <w:color w:val="000000"/>
        </w:rPr>
      </w:pPr>
      <w:r w:rsidRPr="00381DC2">
        <w:rPr>
          <w:color w:val="000000"/>
        </w:rPr>
        <w:t xml:space="preserve">abnormální výsledky </w:t>
      </w:r>
      <w:r w:rsidR="009B0756" w:rsidRPr="00381DC2">
        <w:rPr>
          <w:color w:val="000000"/>
        </w:rPr>
        <w:t>při vyšetření moči (bílkovina v moči),</w:t>
      </w:r>
    </w:p>
    <w:p w14:paraId="7E880443" w14:textId="77777777" w:rsidR="00D15122" w:rsidRPr="00381DC2" w:rsidRDefault="0057682E" w:rsidP="00410591">
      <w:pPr>
        <w:pStyle w:val="BodyText"/>
        <w:numPr>
          <w:ilvl w:val="0"/>
          <w:numId w:val="15"/>
        </w:numPr>
        <w:tabs>
          <w:tab w:val="left" w:pos="544"/>
        </w:tabs>
        <w:spacing w:line="252" w:lineRule="exact"/>
        <w:ind w:left="0" w:firstLine="0"/>
        <w:rPr>
          <w:color w:val="000000"/>
        </w:rPr>
      </w:pPr>
      <w:r w:rsidRPr="00381DC2">
        <w:rPr>
          <w:color w:val="000000"/>
        </w:rPr>
        <w:t>dušnost</w:t>
      </w:r>
      <w:r w:rsidR="00145BE2" w:rsidRPr="00381DC2">
        <w:rPr>
          <w:color w:val="000000"/>
        </w:rPr>
        <w:t xml:space="preserve"> </w:t>
      </w:r>
      <w:r w:rsidR="009B0756" w:rsidRPr="00381DC2">
        <w:rPr>
          <w:color w:val="000000"/>
        </w:rPr>
        <w:t>nebo nízká koncentrace kyslíku v krvi,</w:t>
      </w:r>
    </w:p>
    <w:p w14:paraId="43186956"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infekce kůže nebo hlubších vrstev</w:t>
      </w:r>
      <w:r w:rsidR="0057682E" w:rsidRPr="00381DC2">
        <w:rPr>
          <w:color w:val="000000"/>
        </w:rPr>
        <w:t xml:space="preserve"> pod kůží</w:t>
      </w:r>
      <w:r w:rsidRPr="00381DC2">
        <w:rPr>
          <w:color w:val="000000"/>
        </w:rPr>
        <w:t>,</w:t>
      </w:r>
    </w:p>
    <w:p w14:paraId="1A8DF0C5" w14:textId="77777777" w:rsidR="00D15122" w:rsidRPr="00381DC2" w:rsidRDefault="009B0756" w:rsidP="00410591">
      <w:pPr>
        <w:pStyle w:val="BodyText"/>
        <w:numPr>
          <w:ilvl w:val="0"/>
          <w:numId w:val="15"/>
        </w:numPr>
        <w:tabs>
          <w:tab w:val="left" w:pos="544"/>
        </w:tabs>
        <w:ind w:left="540" w:right="409" w:hanging="540"/>
        <w:rPr>
          <w:color w:val="000000"/>
        </w:rPr>
      </w:pPr>
      <w:r w:rsidRPr="00381DC2">
        <w:rPr>
          <w:color w:val="000000"/>
        </w:rPr>
        <w:t xml:space="preserve">píštěl: abnormální trubicovité spojení mezi vnitřními orgány a kůží nebo jinými tkáněmi, které nejsou za normálních okolností spojeny, včetně spojení mezi </w:t>
      </w:r>
      <w:r w:rsidR="0057682E" w:rsidRPr="00381DC2">
        <w:rPr>
          <w:color w:val="000000"/>
        </w:rPr>
        <w:t>pochvou</w:t>
      </w:r>
      <w:r w:rsidRPr="00381DC2">
        <w:rPr>
          <w:color w:val="000000"/>
        </w:rPr>
        <w:t xml:space="preserve"> a střevem u pacientek s karcinomem děložního </w:t>
      </w:r>
      <w:r w:rsidR="0057682E" w:rsidRPr="00381DC2">
        <w:rPr>
          <w:color w:val="000000"/>
        </w:rPr>
        <w:t>čípku</w:t>
      </w:r>
      <w:r w:rsidRPr="00381DC2">
        <w:rPr>
          <w:color w:val="000000"/>
        </w:rPr>
        <w:t>.</w:t>
      </w:r>
    </w:p>
    <w:p w14:paraId="525A77F4" w14:textId="77777777" w:rsidR="00386CE0" w:rsidRPr="00381DC2" w:rsidRDefault="00386CE0" w:rsidP="00386CE0">
      <w:pPr>
        <w:pStyle w:val="BodyText"/>
        <w:numPr>
          <w:ilvl w:val="0"/>
          <w:numId w:val="15"/>
        </w:numPr>
        <w:tabs>
          <w:tab w:val="left" w:pos="544"/>
        </w:tabs>
        <w:ind w:left="540" w:right="659" w:hanging="540"/>
        <w:rPr>
          <w:color w:val="000000"/>
        </w:rPr>
      </w:pPr>
      <w:r w:rsidRPr="00381DC2">
        <w:rPr>
          <w:color w:val="000000"/>
        </w:rPr>
        <w:t>alergické reakce (známky mohou zahrnovat potíže s dýcháním, zarudnutí obličeje, vyrážku, nízký krevní tlak nebo vysoký krevní tlak, nízkou koncentraci kyslíku v krvi, bolest na hrudi nebo pocit na zvracení/zvracení)</w:t>
      </w:r>
      <w:r w:rsidR="00EE564B">
        <w:rPr>
          <w:color w:val="000000"/>
        </w:rPr>
        <w:t>.</w:t>
      </w:r>
    </w:p>
    <w:p w14:paraId="73B8A2EE" w14:textId="77777777" w:rsidR="00D15122" w:rsidRPr="00381DC2" w:rsidRDefault="00D15122" w:rsidP="007F6E1B">
      <w:pPr>
        <w:rPr>
          <w:rFonts w:ascii="Times New Roman" w:eastAsia="Times New Roman" w:hAnsi="Times New Roman"/>
          <w:color w:val="000000"/>
        </w:rPr>
      </w:pPr>
    </w:p>
    <w:p w14:paraId="0D4F75C2" w14:textId="77777777" w:rsidR="00EE564B" w:rsidRDefault="00EE564B" w:rsidP="00EE564B">
      <w:pPr>
        <w:pStyle w:val="BodyText"/>
        <w:ind w:left="0" w:right="285"/>
        <w:rPr>
          <w:color w:val="000000"/>
        </w:rPr>
      </w:pPr>
      <w:r w:rsidRPr="00381DC2">
        <w:rPr>
          <w:color w:val="000000"/>
        </w:rPr>
        <w:t>K závažným nežádoucím účinkům s</w:t>
      </w:r>
      <w:r>
        <w:rPr>
          <w:color w:val="000000"/>
        </w:rPr>
        <w:t>e</w:t>
      </w:r>
      <w:r w:rsidRPr="00381DC2">
        <w:rPr>
          <w:color w:val="000000"/>
        </w:rPr>
        <w:t> </w:t>
      </w:r>
      <w:r>
        <w:rPr>
          <w:b/>
          <w:color w:val="000000"/>
        </w:rPr>
        <w:t>vzácnou</w:t>
      </w:r>
      <w:r w:rsidRPr="00381DC2">
        <w:rPr>
          <w:color w:val="000000"/>
        </w:rPr>
        <w:t xml:space="preserve"> četností (mohou postihnout až 1 pacienta z 10</w:t>
      </w:r>
      <w:r>
        <w:rPr>
          <w:color w:val="000000"/>
        </w:rPr>
        <w:t>00</w:t>
      </w:r>
      <w:r w:rsidRPr="00381DC2">
        <w:rPr>
          <w:color w:val="000000"/>
        </w:rPr>
        <w:t>) patří:</w:t>
      </w:r>
    </w:p>
    <w:p w14:paraId="3C65392B" w14:textId="29E8EA6A" w:rsidR="00EE564B" w:rsidRPr="00381DC2" w:rsidRDefault="00E27EB6" w:rsidP="00B8634B">
      <w:pPr>
        <w:pStyle w:val="BodyText"/>
        <w:tabs>
          <w:tab w:val="left" w:pos="567"/>
        </w:tabs>
        <w:ind w:left="0" w:right="285"/>
        <w:rPr>
          <w:color w:val="000000"/>
        </w:rPr>
      </w:pPr>
      <w:r>
        <w:rPr>
          <w:color w:val="000000"/>
        </w:rPr>
        <w:t xml:space="preserve">- </w:t>
      </w:r>
      <w:r w:rsidR="00EE564B">
        <w:rPr>
          <w:color w:val="000000"/>
        </w:rPr>
        <w:t>náhlá</w:t>
      </w:r>
      <w:r w:rsidR="009033A3">
        <w:rPr>
          <w:color w:val="000000"/>
        </w:rPr>
        <w:t>,</w:t>
      </w:r>
      <w:r w:rsidR="00EE564B">
        <w:rPr>
          <w:color w:val="000000"/>
        </w:rPr>
        <w:t xml:space="preserve"> závažní alergická reakce s dýchacími potížemi, otoky, závratě</w:t>
      </w:r>
      <w:r w:rsidR="009033A3">
        <w:rPr>
          <w:color w:val="000000"/>
        </w:rPr>
        <w:t>mi</w:t>
      </w:r>
      <w:r w:rsidR="00EE564B">
        <w:rPr>
          <w:color w:val="000000"/>
        </w:rPr>
        <w:t>, zrychlený</w:t>
      </w:r>
      <w:r w:rsidR="009033A3">
        <w:rPr>
          <w:color w:val="000000"/>
        </w:rPr>
        <w:t>m</w:t>
      </w:r>
      <w:r w:rsidR="00EE564B">
        <w:rPr>
          <w:color w:val="000000"/>
        </w:rPr>
        <w:t xml:space="preserve"> srdeční</w:t>
      </w:r>
      <w:r w:rsidR="009033A3">
        <w:rPr>
          <w:color w:val="000000"/>
        </w:rPr>
        <w:t>m</w:t>
      </w:r>
      <w:r w:rsidR="00EE564B">
        <w:rPr>
          <w:color w:val="000000"/>
        </w:rPr>
        <w:t xml:space="preserve"> tep</w:t>
      </w:r>
      <w:r w:rsidR="009033A3">
        <w:rPr>
          <w:color w:val="000000"/>
        </w:rPr>
        <w:t>em</w:t>
      </w:r>
      <w:r w:rsidR="00EE564B">
        <w:rPr>
          <w:color w:val="000000"/>
        </w:rPr>
        <w:t>, pocení</w:t>
      </w:r>
      <w:r w:rsidR="009033A3">
        <w:rPr>
          <w:color w:val="000000"/>
        </w:rPr>
        <w:t>m</w:t>
      </w:r>
      <w:r w:rsidR="00EE564B">
        <w:rPr>
          <w:color w:val="000000"/>
        </w:rPr>
        <w:t xml:space="preserve"> a ztrát</w:t>
      </w:r>
      <w:r w:rsidR="009033A3">
        <w:rPr>
          <w:color w:val="000000"/>
        </w:rPr>
        <w:t>ou</w:t>
      </w:r>
      <w:r w:rsidR="00EE564B">
        <w:rPr>
          <w:color w:val="000000"/>
        </w:rPr>
        <w:t xml:space="preserve"> vědomí (anafylaktický šok).</w:t>
      </w:r>
    </w:p>
    <w:p w14:paraId="124EE81D" w14:textId="77777777" w:rsidR="00386CE0" w:rsidRDefault="00386CE0" w:rsidP="007F6E1B">
      <w:pPr>
        <w:pStyle w:val="BodyText"/>
        <w:ind w:left="0" w:right="285"/>
        <w:rPr>
          <w:color w:val="000000"/>
        </w:rPr>
      </w:pPr>
    </w:p>
    <w:p w14:paraId="782B4A91" w14:textId="77777777" w:rsidR="00386CE0" w:rsidRDefault="00386CE0" w:rsidP="007F6E1B">
      <w:pPr>
        <w:pStyle w:val="BodyText"/>
        <w:ind w:left="0" w:right="285"/>
        <w:rPr>
          <w:color w:val="000000"/>
        </w:rPr>
      </w:pPr>
    </w:p>
    <w:p w14:paraId="2FD8990F" w14:textId="77777777" w:rsidR="00D15122" w:rsidRPr="00381DC2" w:rsidRDefault="009B0756" w:rsidP="007F6E1B">
      <w:pPr>
        <w:pStyle w:val="BodyText"/>
        <w:ind w:left="0" w:right="285"/>
        <w:rPr>
          <w:color w:val="000000"/>
        </w:rPr>
      </w:pPr>
      <w:r w:rsidRPr="00381DC2">
        <w:rPr>
          <w:color w:val="000000"/>
        </w:rPr>
        <w:t>K závažným nežádoucím účinkům s </w:t>
      </w:r>
      <w:r w:rsidRPr="00381DC2">
        <w:rPr>
          <w:b/>
          <w:color w:val="000000"/>
        </w:rPr>
        <w:t>neznámou</w:t>
      </w:r>
      <w:r w:rsidRPr="00381DC2">
        <w:rPr>
          <w:color w:val="000000"/>
        </w:rPr>
        <w:t xml:space="preserve"> </w:t>
      </w:r>
      <w:r w:rsidR="00145BE2" w:rsidRPr="00381DC2">
        <w:rPr>
          <w:color w:val="000000"/>
        </w:rPr>
        <w:t xml:space="preserve">četností </w:t>
      </w:r>
      <w:r w:rsidRPr="00381DC2">
        <w:rPr>
          <w:color w:val="000000"/>
        </w:rPr>
        <w:t>(četnost nelze z dostupných údajů určit) patří:</w:t>
      </w:r>
    </w:p>
    <w:p w14:paraId="23749C02" w14:textId="77777777" w:rsidR="00D15122" w:rsidRPr="00381DC2" w:rsidRDefault="009B0756" w:rsidP="00410591">
      <w:pPr>
        <w:pStyle w:val="BodyText"/>
        <w:numPr>
          <w:ilvl w:val="0"/>
          <w:numId w:val="15"/>
        </w:numPr>
        <w:tabs>
          <w:tab w:val="left" w:pos="544"/>
        </w:tabs>
        <w:ind w:left="540" w:right="126" w:hanging="540"/>
        <w:rPr>
          <w:color w:val="000000"/>
        </w:rPr>
      </w:pPr>
      <w:r w:rsidRPr="00381DC2">
        <w:rPr>
          <w:color w:val="000000"/>
        </w:rPr>
        <w:t xml:space="preserve">závažné infekce </w:t>
      </w:r>
      <w:r w:rsidR="00145BE2" w:rsidRPr="00381DC2">
        <w:rPr>
          <w:color w:val="000000"/>
        </w:rPr>
        <w:t>kůže nebo hlubších vrstev</w:t>
      </w:r>
      <w:r w:rsidR="0057682E" w:rsidRPr="00381DC2">
        <w:rPr>
          <w:color w:val="000000"/>
        </w:rPr>
        <w:t xml:space="preserve"> pod kůží</w:t>
      </w:r>
      <w:r w:rsidRPr="00381DC2">
        <w:rPr>
          <w:color w:val="000000"/>
        </w:rPr>
        <w:t>, zejména pokud jste měl(a) otvory ve střevní stěně nebo potíže s hojením rány,</w:t>
      </w:r>
    </w:p>
    <w:p w14:paraId="313719A8" w14:textId="77777777" w:rsidR="00D15122" w:rsidRPr="00381DC2" w:rsidRDefault="009B0756" w:rsidP="00410591">
      <w:pPr>
        <w:pStyle w:val="BodyText"/>
        <w:numPr>
          <w:ilvl w:val="0"/>
          <w:numId w:val="15"/>
        </w:numPr>
        <w:tabs>
          <w:tab w:val="left" w:pos="544"/>
        </w:tabs>
        <w:ind w:left="540" w:right="285" w:hanging="540"/>
        <w:rPr>
          <w:color w:val="000000"/>
        </w:rPr>
      </w:pPr>
      <w:r w:rsidRPr="00381DC2">
        <w:rPr>
          <w:color w:val="000000"/>
        </w:rPr>
        <w:t>negativní dopad u žen na schopnost mít děti (další doporučení viz odstav</w:t>
      </w:r>
      <w:r w:rsidR="00EE2E1B" w:rsidRPr="00381DC2">
        <w:rPr>
          <w:color w:val="000000"/>
        </w:rPr>
        <w:t>ce</w:t>
      </w:r>
      <w:r w:rsidRPr="00381DC2">
        <w:rPr>
          <w:color w:val="000000"/>
        </w:rPr>
        <w:t xml:space="preserve"> níže </w:t>
      </w:r>
      <w:r w:rsidR="00EE2E1B" w:rsidRPr="00381DC2">
        <w:rPr>
          <w:color w:val="000000"/>
        </w:rPr>
        <w:t xml:space="preserve">za seznamem </w:t>
      </w:r>
      <w:r w:rsidRPr="00381DC2">
        <w:rPr>
          <w:color w:val="000000"/>
        </w:rPr>
        <w:t>nežádoucí</w:t>
      </w:r>
      <w:r w:rsidR="00EE2E1B" w:rsidRPr="00381DC2">
        <w:rPr>
          <w:color w:val="000000"/>
        </w:rPr>
        <w:t>ch</w:t>
      </w:r>
      <w:r w:rsidRPr="00381DC2">
        <w:rPr>
          <w:color w:val="000000"/>
        </w:rPr>
        <w:t xml:space="preserve"> účink</w:t>
      </w:r>
      <w:r w:rsidR="00EE2E1B" w:rsidRPr="00381DC2">
        <w:rPr>
          <w:color w:val="000000"/>
        </w:rPr>
        <w:t>ů</w:t>
      </w:r>
      <w:r w:rsidRPr="00381DC2">
        <w:rPr>
          <w:color w:val="000000"/>
        </w:rPr>
        <w:t>),</w:t>
      </w:r>
    </w:p>
    <w:p w14:paraId="29E00192" w14:textId="77777777" w:rsidR="00D15122" w:rsidRPr="00381DC2" w:rsidRDefault="009B0756" w:rsidP="008F624B">
      <w:pPr>
        <w:pStyle w:val="BodyText"/>
        <w:numPr>
          <w:ilvl w:val="0"/>
          <w:numId w:val="15"/>
        </w:numPr>
        <w:tabs>
          <w:tab w:val="left" w:pos="544"/>
        </w:tabs>
        <w:ind w:left="540" w:right="126" w:hanging="540"/>
        <w:rPr>
          <w:color w:val="000000"/>
        </w:rPr>
      </w:pPr>
      <w:r w:rsidRPr="00381DC2">
        <w:rPr>
          <w:color w:val="000000"/>
        </w:rPr>
        <w:t xml:space="preserve">stav mozku, který se projevuje příznaky, ke kterým patří </w:t>
      </w:r>
      <w:r w:rsidR="0057682E" w:rsidRPr="00381DC2">
        <w:rPr>
          <w:color w:val="000000"/>
        </w:rPr>
        <w:t xml:space="preserve">epileptické </w:t>
      </w:r>
      <w:r w:rsidRPr="00381DC2">
        <w:rPr>
          <w:color w:val="000000"/>
        </w:rPr>
        <w:t>záchvaty</w:t>
      </w:r>
      <w:r w:rsidR="0057682E" w:rsidRPr="00381DC2">
        <w:rPr>
          <w:color w:val="000000"/>
        </w:rPr>
        <w:t xml:space="preserve"> (křeče)</w:t>
      </w:r>
      <w:r w:rsidRPr="00381DC2">
        <w:rPr>
          <w:color w:val="000000"/>
        </w:rPr>
        <w:t>, bolest hlavy, zmatenost a </w:t>
      </w:r>
      <w:r w:rsidR="00EE2E1B" w:rsidRPr="00381DC2">
        <w:rPr>
          <w:color w:val="000000"/>
        </w:rPr>
        <w:t xml:space="preserve">změny </w:t>
      </w:r>
      <w:r w:rsidRPr="00381DC2">
        <w:rPr>
          <w:color w:val="000000"/>
        </w:rPr>
        <w:t>vidění (</w:t>
      </w:r>
      <w:r w:rsidR="0057682E" w:rsidRPr="00381DC2">
        <w:rPr>
          <w:color w:val="000000"/>
        </w:rPr>
        <w:t xml:space="preserve">syndrom zadní </w:t>
      </w:r>
      <w:r w:rsidRPr="00381DC2">
        <w:rPr>
          <w:color w:val="000000"/>
        </w:rPr>
        <w:t>reverzibilní encefalopatie</w:t>
      </w:r>
      <w:r w:rsidR="0032022D" w:rsidRPr="00381DC2">
        <w:rPr>
          <w:color w:val="000000"/>
        </w:rPr>
        <w:t xml:space="preserve"> </w:t>
      </w:r>
      <w:r w:rsidRPr="00381DC2">
        <w:rPr>
          <w:color w:val="000000"/>
        </w:rPr>
        <w:t>nebo PRES),</w:t>
      </w:r>
    </w:p>
    <w:p w14:paraId="11A91915" w14:textId="77777777" w:rsidR="00D15122" w:rsidRPr="00381DC2" w:rsidRDefault="009B0756" w:rsidP="00410591">
      <w:pPr>
        <w:pStyle w:val="BodyText"/>
        <w:numPr>
          <w:ilvl w:val="0"/>
          <w:numId w:val="15"/>
        </w:numPr>
        <w:tabs>
          <w:tab w:val="left" w:pos="544"/>
        </w:tabs>
        <w:ind w:left="540" w:right="311" w:hanging="540"/>
        <w:rPr>
          <w:color w:val="000000"/>
        </w:rPr>
      </w:pPr>
      <w:r w:rsidRPr="00381DC2">
        <w:rPr>
          <w:color w:val="000000"/>
        </w:rPr>
        <w:t xml:space="preserve">příznaky naznačující změny normální funkce mozku (bolesti hlavy, </w:t>
      </w:r>
      <w:r w:rsidR="00162B93" w:rsidRPr="00381DC2">
        <w:rPr>
          <w:color w:val="000000"/>
        </w:rPr>
        <w:t xml:space="preserve">změny </w:t>
      </w:r>
      <w:r w:rsidRPr="00381DC2">
        <w:rPr>
          <w:color w:val="000000"/>
        </w:rPr>
        <w:t xml:space="preserve">vidění, zmatenost nebo </w:t>
      </w:r>
      <w:r w:rsidR="0057682E" w:rsidRPr="00381DC2">
        <w:rPr>
          <w:color w:val="000000"/>
        </w:rPr>
        <w:t xml:space="preserve">epileptické </w:t>
      </w:r>
      <w:r w:rsidRPr="00381DC2">
        <w:rPr>
          <w:color w:val="000000"/>
        </w:rPr>
        <w:t>záchvaty) a vysoký krevní tlak,</w:t>
      </w:r>
    </w:p>
    <w:p w14:paraId="1F33E258" w14:textId="77777777" w:rsidR="0083794F" w:rsidRPr="00381DC2" w:rsidRDefault="0083794F" w:rsidP="00410591">
      <w:pPr>
        <w:pStyle w:val="BodyText"/>
        <w:numPr>
          <w:ilvl w:val="0"/>
          <w:numId w:val="15"/>
        </w:numPr>
        <w:tabs>
          <w:tab w:val="left" w:pos="544"/>
        </w:tabs>
        <w:ind w:left="540" w:right="311" w:hanging="540"/>
        <w:rPr>
          <w:color w:val="000000"/>
        </w:rPr>
      </w:pPr>
      <w:r w:rsidRPr="00381DC2">
        <w:rPr>
          <w:color w:val="000000"/>
        </w:rPr>
        <w:t>rozšíření a oslabení stěny cévy nebo trhlina ve stěně cévy (aneurysmata a arteriální disekce),</w:t>
      </w:r>
    </w:p>
    <w:p w14:paraId="247F07C9" w14:textId="77777777" w:rsidR="00D15122" w:rsidRPr="00381DC2" w:rsidRDefault="009B0756" w:rsidP="00410591">
      <w:pPr>
        <w:pStyle w:val="BodyText"/>
        <w:numPr>
          <w:ilvl w:val="0"/>
          <w:numId w:val="15"/>
        </w:numPr>
        <w:tabs>
          <w:tab w:val="left" w:pos="544"/>
        </w:tabs>
        <w:spacing w:line="251" w:lineRule="exact"/>
        <w:ind w:left="540" w:hanging="540"/>
        <w:rPr>
          <w:color w:val="000000"/>
        </w:rPr>
      </w:pPr>
      <w:r w:rsidRPr="00381DC2">
        <w:rPr>
          <w:color w:val="000000"/>
        </w:rPr>
        <w:t xml:space="preserve">ucpávání velmi malých </w:t>
      </w:r>
      <w:r w:rsidR="00162B93" w:rsidRPr="00381DC2">
        <w:rPr>
          <w:color w:val="000000"/>
        </w:rPr>
        <w:t xml:space="preserve">krevních </w:t>
      </w:r>
      <w:r w:rsidRPr="00381DC2">
        <w:rPr>
          <w:color w:val="000000"/>
        </w:rPr>
        <w:t>cév v ledvinách,</w:t>
      </w:r>
    </w:p>
    <w:p w14:paraId="385A7E3D" w14:textId="77777777" w:rsidR="00D15122" w:rsidRPr="00381DC2" w:rsidRDefault="009B0756" w:rsidP="00410591">
      <w:pPr>
        <w:pStyle w:val="BodyText"/>
        <w:numPr>
          <w:ilvl w:val="0"/>
          <w:numId w:val="15"/>
        </w:numPr>
        <w:tabs>
          <w:tab w:val="left" w:pos="544"/>
        </w:tabs>
        <w:ind w:left="540" w:right="126" w:hanging="540"/>
        <w:rPr>
          <w:color w:val="000000"/>
        </w:rPr>
      </w:pPr>
      <w:r w:rsidRPr="00381DC2">
        <w:rPr>
          <w:color w:val="000000"/>
        </w:rPr>
        <w:t>abnormálně vysoký krevní tlak v </w:t>
      </w:r>
      <w:r w:rsidR="00162B93" w:rsidRPr="00381DC2">
        <w:rPr>
          <w:color w:val="000000"/>
        </w:rPr>
        <w:t xml:space="preserve">krevních </w:t>
      </w:r>
      <w:r w:rsidRPr="00381DC2">
        <w:rPr>
          <w:color w:val="000000"/>
        </w:rPr>
        <w:t>cévách</w:t>
      </w:r>
      <w:r w:rsidR="00162B93" w:rsidRPr="00381DC2">
        <w:rPr>
          <w:color w:val="000000"/>
        </w:rPr>
        <w:t xml:space="preserve"> v plicích</w:t>
      </w:r>
      <w:r w:rsidRPr="00381DC2">
        <w:rPr>
          <w:color w:val="000000"/>
        </w:rPr>
        <w:t>, kvůli kterému musí pravá strana srdce pracovat intenzivněji</w:t>
      </w:r>
      <w:r w:rsidR="00162B93" w:rsidRPr="00381DC2">
        <w:rPr>
          <w:color w:val="000000"/>
        </w:rPr>
        <w:t xml:space="preserve"> než normálně</w:t>
      </w:r>
      <w:r w:rsidRPr="00381DC2">
        <w:rPr>
          <w:color w:val="000000"/>
        </w:rPr>
        <w:t>,</w:t>
      </w:r>
    </w:p>
    <w:p w14:paraId="02A9CA4C" w14:textId="77777777" w:rsidR="00D15122" w:rsidRPr="00381DC2" w:rsidRDefault="009B0756" w:rsidP="00410591">
      <w:pPr>
        <w:pStyle w:val="BodyText"/>
        <w:numPr>
          <w:ilvl w:val="0"/>
          <w:numId w:val="15"/>
        </w:numPr>
        <w:tabs>
          <w:tab w:val="left" w:pos="544"/>
        </w:tabs>
        <w:spacing w:line="252" w:lineRule="exact"/>
        <w:ind w:left="540" w:hanging="540"/>
        <w:rPr>
          <w:color w:val="000000"/>
        </w:rPr>
      </w:pPr>
      <w:r w:rsidRPr="00381DC2">
        <w:rPr>
          <w:color w:val="000000"/>
        </w:rPr>
        <w:t>otvor v nosní přepážce (chrupavčitá stěna mezi nosními dírkami),</w:t>
      </w:r>
    </w:p>
    <w:p w14:paraId="46C27ACF" w14:textId="77777777" w:rsidR="00D15122" w:rsidRPr="00381DC2" w:rsidRDefault="009B0756" w:rsidP="00410591">
      <w:pPr>
        <w:pStyle w:val="BodyText"/>
        <w:numPr>
          <w:ilvl w:val="0"/>
          <w:numId w:val="15"/>
        </w:numPr>
        <w:tabs>
          <w:tab w:val="left" w:pos="544"/>
        </w:tabs>
        <w:spacing w:line="252" w:lineRule="exact"/>
        <w:ind w:left="540" w:hanging="540"/>
        <w:rPr>
          <w:color w:val="000000"/>
        </w:rPr>
      </w:pPr>
      <w:r w:rsidRPr="00381DC2">
        <w:rPr>
          <w:color w:val="000000"/>
        </w:rPr>
        <w:t>otvor v žaludku nebo střevech,</w:t>
      </w:r>
    </w:p>
    <w:p w14:paraId="2DEE2FB1" w14:textId="77777777" w:rsidR="00D15122" w:rsidRPr="00381DC2" w:rsidRDefault="009B0756" w:rsidP="00410591">
      <w:pPr>
        <w:pStyle w:val="BodyText"/>
        <w:numPr>
          <w:ilvl w:val="0"/>
          <w:numId w:val="15"/>
        </w:numPr>
        <w:tabs>
          <w:tab w:val="left" w:pos="544"/>
        </w:tabs>
        <w:ind w:left="540" w:right="530" w:hanging="540"/>
        <w:rPr>
          <w:color w:val="000000"/>
        </w:rPr>
      </w:pPr>
      <w:r w:rsidRPr="00381DC2">
        <w:rPr>
          <w:color w:val="000000"/>
        </w:rPr>
        <w:t xml:space="preserve">otevřená rána nebo </w:t>
      </w:r>
      <w:r w:rsidR="0057682E" w:rsidRPr="00381DC2">
        <w:rPr>
          <w:color w:val="000000"/>
        </w:rPr>
        <w:t>proděravění sliznice</w:t>
      </w:r>
      <w:r w:rsidRPr="00381DC2">
        <w:rPr>
          <w:color w:val="000000"/>
        </w:rPr>
        <w:t xml:space="preserve"> žaludku či tenkého střeva (mezi známky může patřit bolest břicha, pocit nad</w:t>
      </w:r>
      <w:r w:rsidR="0057682E" w:rsidRPr="00381DC2">
        <w:rPr>
          <w:color w:val="000000"/>
        </w:rPr>
        <w:t>ýmání</w:t>
      </w:r>
      <w:r w:rsidRPr="00381DC2">
        <w:rPr>
          <w:color w:val="000000"/>
        </w:rPr>
        <w:t>, černá dehtovitá stolice či krev ve stolici nebo zvracení krve),</w:t>
      </w:r>
    </w:p>
    <w:p w14:paraId="25A877A3" w14:textId="77777777" w:rsidR="00D15122" w:rsidRPr="00381DC2" w:rsidRDefault="009B0756" w:rsidP="00410591">
      <w:pPr>
        <w:pStyle w:val="BodyText"/>
        <w:numPr>
          <w:ilvl w:val="0"/>
          <w:numId w:val="15"/>
        </w:numPr>
        <w:tabs>
          <w:tab w:val="left" w:pos="544"/>
        </w:tabs>
        <w:spacing w:line="252" w:lineRule="exact"/>
        <w:ind w:left="540" w:hanging="540"/>
        <w:rPr>
          <w:color w:val="000000"/>
        </w:rPr>
      </w:pPr>
      <w:r w:rsidRPr="00381DC2">
        <w:rPr>
          <w:color w:val="000000"/>
        </w:rPr>
        <w:t>krvácení z</w:t>
      </w:r>
      <w:r w:rsidR="0057682E" w:rsidRPr="00381DC2">
        <w:rPr>
          <w:color w:val="000000"/>
        </w:rPr>
        <w:t> dolní části</w:t>
      </w:r>
      <w:r w:rsidRPr="00381DC2">
        <w:rPr>
          <w:color w:val="000000"/>
        </w:rPr>
        <w:t xml:space="preserve"> tlustého střeva,</w:t>
      </w:r>
    </w:p>
    <w:p w14:paraId="4B0275FD" w14:textId="77777777" w:rsidR="00D15122" w:rsidRPr="00381DC2" w:rsidRDefault="009B0756" w:rsidP="004F6645">
      <w:pPr>
        <w:pStyle w:val="BodyText"/>
        <w:widowControl/>
        <w:numPr>
          <w:ilvl w:val="0"/>
          <w:numId w:val="15"/>
        </w:numPr>
        <w:tabs>
          <w:tab w:val="left" w:pos="544"/>
        </w:tabs>
        <w:ind w:left="547" w:right="216" w:hanging="547"/>
        <w:rPr>
          <w:color w:val="000000"/>
        </w:rPr>
      </w:pPr>
      <w:r w:rsidRPr="00381DC2">
        <w:rPr>
          <w:color w:val="000000"/>
        </w:rPr>
        <w:t>léze v dásních s odkrytou čelistní kostí, která se nehojí a může být spojena s bolestí a zánětem okolní tkáně (bližší doporučení</w:t>
      </w:r>
      <w:r w:rsidR="0057682E" w:rsidRPr="00381DC2">
        <w:rPr>
          <w:color w:val="000000"/>
        </w:rPr>
        <w:t xml:space="preserve"> v</w:t>
      </w:r>
      <w:r w:rsidRPr="00381DC2">
        <w:rPr>
          <w:color w:val="000000"/>
        </w:rPr>
        <w:t xml:space="preserve"> </w:t>
      </w:r>
      <w:r w:rsidR="00162B93" w:rsidRPr="00381DC2">
        <w:rPr>
          <w:color w:val="000000"/>
        </w:rPr>
        <w:t>odstavc</w:t>
      </w:r>
      <w:r w:rsidR="0057682E" w:rsidRPr="00381DC2">
        <w:rPr>
          <w:color w:val="000000"/>
        </w:rPr>
        <w:t>i</w:t>
      </w:r>
      <w:r w:rsidR="00162B93" w:rsidRPr="00381DC2">
        <w:rPr>
          <w:color w:val="000000"/>
        </w:rPr>
        <w:t xml:space="preserve"> níže za seznamem nežádoucích účinků</w:t>
      </w:r>
      <w:r w:rsidRPr="00381DC2">
        <w:rPr>
          <w:color w:val="000000"/>
        </w:rPr>
        <w:t>),</w:t>
      </w:r>
    </w:p>
    <w:p w14:paraId="38755994" w14:textId="77777777" w:rsidR="00D15122" w:rsidRPr="00381DC2" w:rsidRDefault="009B0756" w:rsidP="00410591">
      <w:pPr>
        <w:pStyle w:val="BodyText"/>
        <w:numPr>
          <w:ilvl w:val="0"/>
          <w:numId w:val="15"/>
        </w:numPr>
        <w:tabs>
          <w:tab w:val="left" w:pos="544"/>
        </w:tabs>
        <w:ind w:left="540" w:right="1218" w:hanging="540"/>
        <w:rPr>
          <w:color w:val="000000"/>
        </w:rPr>
      </w:pPr>
      <w:r w:rsidRPr="00381DC2">
        <w:rPr>
          <w:color w:val="000000"/>
        </w:rPr>
        <w:t>proděravění žlučníku (mezi známky a příznaky může patřit bolest břicha, horečka a </w:t>
      </w:r>
      <w:r w:rsidR="0057682E" w:rsidRPr="00381DC2">
        <w:rPr>
          <w:color w:val="000000"/>
        </w:rPr>
        <w:t>pocit na zvracení</w:t>
      </w:r>
      <w:r w:rsidRPr="00381DC2">
        <w:rPr>
          <w:color w:val="000000"/>
        </w:rPr>
        <w:t>/zvracení).</w:t>
      </w:r>
    </w:p>
    <w:p w14:paraId="08FA6779" w14:textId="77777777" w:rsidR="00D15122" w:rsidRPr="00381DC2" w:rsidRDefault="00D15122" w:rsidP="007F6E1B">
      <w:pPr>
        <w:rPr>
          <w:rFonts w:ascii="Times New Roman" w:eastAsia="Times New Roman" w:hAnsi="Times New Roman"/>
          <w:color w:val="000000"/>
        </w:rPr>
      </w:pPr>
    </w:p>
    <w:p w14:paraId="0960453B" w14:textId="77777777" w:rsidR="00D15122" w:rsidRPr="00381DC2" w:rsidRDefault="009B0756" w:rsidP="00363CA4">
      <w:pPr>
        <w:pStyle w:val="BodyText"/>
        <w:ind w:left="0" w:right="158"/>
        <w:rPr>
          <w:b/>
          <w:color w:val="000000"/>
        </w:rPr>
      </w:pPr>
      <w:r w:rsidRPr="00381DC2">
        <w:rPr>
          <w:b/>
          <w:color w:val="000000"/>
        </w:rPr>
        <w:t>Vyhledejte pomoc co nejdříve, jestliže se u Vás objeví kterýkoli z níže uvedených nežádoucích účinků.</w:t>
      </w:r>
    </w:p>
    <w:p w14:paraId="4D4CABB8" w14:textId="77777777" w:rsidR="00D15122" w:rsidRPr="00381DC2" w:rsidRDefault="00D15122" w:rsidP="007F6E1B">
      <w:pPr>
        <w:keepNext/>
        <w:rPr>
          <w:rFonts w:ascii="Times New Roman" w:eastAsia="Times New Roman" w:hAnsi="Times New Roman"/>
          <w:bCs/>
          <w:color w:val="000000"/>
        </w:rPr>
      </w:pPr>
    </w:p>
    <w:p w14:paraId="11649008" w14:textId="77777777" w:rsidR="00D15122" w:rsidRPr="00381DC2" w:rsidRDefault="009B0756" w:rsidP="007F6E1B">
      <w:pPr>
        <w:pStyle w:val="BodyText"/>
        <w:keepNext/>
        <w:ind w:left="0"/>
        <w:rPr>
          <w:color w:val="000000"/>
        </w:rPr>
      </w:pPr>
      <w:r w:rsidRPr="00381DC2">
        <w:rPr>
          <w:color w:val="000000"/>
        </w:rPr>
        <w:t xml:space="preserve">Mezi </w:t>
      </w:r>
      <w:r w:rsidRPr="00381DC2">
        <w:rPr>
          <w:b/>
          <w:color w:val="000000"/>
        </w:rPr>
        <w:t>velmi časté</w:t>
      </w:r>
      <w:r w:rsidRPr="00381DC2">
        <w:rPr>
          <w:color w:val="000000"/>
        </w:rPr>
        <w:t xml:space="preserve"> (mohou postihnout více než 1 pacienta z 10) nežádoucí účinky, které nebyly závažné, patří:</w:t>
      </w:r>
    </w:p>
    <w:p w14:paraId="59F642BE"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zácpa,</w:t>
      </w:r>
    </w:p>
    <w:p w14:paraId="576B69EF"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ztráta chuti k jídlu,</w:t>
      </w:r>
    </w:p>
    <w:p w14:paraId="4ECBD9C7"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horečka,</w:t>
      </w:r>
    </w:p>
    <w:p w14:paraId="7D6E8CF8"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potíže s očima (včetně nadměrné tvorby slz),</w:t>
      </w:r>
    </w:p>
    <w:p w14:paraId="1522F298" w14:textId="77777777" w:rsidR="0011317F"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 xml:space="preserve">změny v řeči, </w:t>
      </w:r>
    </w:p>
    <w:p w14:paraId="78C1654A"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změny ve vnímání chutí,</w:t>
      </w:r>
    </w:p>
    <w:p w14:paraId="2E57D14D"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rýma,</w:t>
      </w:r>
    </w:p>
    <w:p w14:paraId="7A0555E7"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suchá kůže, šupinatění a zánět kůže, změna barvy kůže,</w:t>
      </w:r>
    </w:p>
    <w:p w14:paraId="39BD8471"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pokles tělesné hmotnosti,</w:t>
      </w:r>
    </w:p>
    <w:p w14:paraId="368EB0E7" w14:textId="77777777" w:rsidR="00D15122" w:rsidRPr="00381DC2" w:rsidRDefault="009B0756" w:rsidP="00410591">
      <w:pPr>
        <w:pStyle w:val="BodyText"/>
        <w:numPr>
          <w:ilvl w:val="0"/>
          <w:numId w:val="15"/>
        </w:numPr>
        <w:tabs>
          <w:tab w:val="left" w:pos="554"/>
        </w:tabs>
        <w:spacing w:line="252" w:lineRule="exact"/>
        <w:ind w:left="0" w:firstLine="0"/>
        <w:rPr>
          <w:color w:val="000000"/>
        </w:rPr>
      </w:pPr>
      <w:r w:rsidRPr="00381DC2">
        <w:rPr>
          <w:color w:val="000000"/>
        </w:rPr>
        <w:lastRenderedPageBreak/>
        <w:t>krvácení z nosu.</w:t>
      </w:r>
    </w:p>
    <w:p w14:paraId="1B255D32" w14:textId="77777777" w:rsidR="00D15122" w:rsidRPr="00381DC2" w:rsidRDefault="00D15122" w:rsidP="007F6E1B">
      <w:pPr>
        <w:rPr>
          <w:rFonts w:ascii="Times New Roman" w:eastAsia="Times New Roman" w:hAnsi="Times New Roman"/>
          <w:color w:val="000000"/>
        </w:rPr>
      </w:pPr>
    </w:p>
    <w:p w14:paraId="03750163" w14:textId="77777777" w:rsidR="00D15122" w:rsidRPr="00381DC2" w:rsidRDefault="009B0756" w:rsidP="007F6E1B">
      <w:pPr>
        <w:pStyle w:val="BodyText"/>
        <w:spacing w:line="252" w:lineRule="exact"/>
        <w:ind w:left="0"/>
        <w:rPr>
          <w:color w:val="000000"/>
        </w:rPr>
      </w:pPr>
      <w:r w:rsidRPr="00381DC2">
        <w:rPr>
          <w:color w:val="000000"/>
        </w:rPr>
        <w:t xml:space="preserve">Mezi </w:t>
      </w:r>
      <w:r w:rsidRPr="00381DC2">
        <w:rPr>
          <w:b/>
          <w:color w:val="000000"/>
        </w:rPr>
        <w:t>časté</w:t>
      </w:r>
      <w:r w:rsidRPr="00381DC2">
        <w:rPr>
          <w:color w:val="000000"/>
        </w:rPr>
        <w:t xml:space="preserve"> (mohou postihnout </w:t>
      </w:r>
      <w:r w:rsidR="0057682E" w:rsidRPr="00381DC2">
        <w:rPr>
          <w:color w:val="000000"/>
        </w:rPr>
        <w:t xml:space="preserve">až </w:t>
      </w:r>
      <w:r w:rsidRPr="00381DC2">
        <w:rPr>
          <w:color w:val="000000"/>
        </w:rPr>
        <w:t>1</w:t>
      </w:r>
      <w:r w:rsidR="0057682E" w:rsidRPr="00381DC2">
        <w:rPr>
          <w:color w:val="000000"/>
        </w:rPr>
        <w:t xml:space="preserve"> pacienta z</w:t>
      </w:r>
      <w:r w:rsidRPr="00381DC2">
        <w:rPr>
          <w:color w:val="000000"/>
        </w:rPr>
        <w:t xml:space="preserve"> 10) nežádoucí účinky, které nebyly závažné, patří:</w:t>
      </w:r>
    </w:p>
    <w:p w14:paraId="3AC2EB9C"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změny hlasu a </w:t>
      </w:r>
      <w:r w:rsidR="00162B93" w:rsidRPr="00381DC2">
        <w:rPr>
          <w:color w:val="000000"/>
        </w:rPr>
        <w:t>chrapot</w:t>
      </w:r>
      <w:r w:rsidRPr="00381DC2">
        <w:rPr>
          <w:color w:val="000000"/>
        </w:rPr>
        <w:t>.</w:t>
      </w:r>
    </w:p>
    <w:p w14:paraId="62D5A5CC" w14:textId="77777777" w:rsidR="00D15122" w:rsidRPr="00381DC2" w:rsidRDefault="00D15122" w:rsidP="00410591">
      <w:pPr>
        <w:rPr>
          <w:rFonts w:ascii="Times New Roman" w:eastAsia="Times New Roman" w:hAnsi="Times New Roman"/>
          <w:color w:val="000000"/>
        </w:rPr>
      </w:pPr>
    </w:p>
    <w:p w14:paraId="3946730E" w14:textId="77777777" w:rsidR="00D15122" w:rsidRPr="00381DC2" w:rsidRDefault="009B0756" w:rsidP="004822DC">
      <w:pPr>
        <w:pStyle w:val="BodyText"/>
        <w:keepNext/>
        <w:ind w:left="0"/>
        <w:rPr>
          <w:color w:val="000000"/>
        </w:rPr>
      </w:pPr>
      <w:r w:rsidRPr="00381DC2">
        <w:rPr>
          <w:color w:val="000000"/>
        </w:rPr>
        <w:t xml:space="preserve">U pacientů ve věku nad 65 let hrozí </w:t>
      </w:r>
      <w:r w:rsidR="00162B93" w:rsidRPr="00381DC2">
        <w:rPr>
          <w:color w:val="000000"/>
        </w:rPr>
        <w:t xml:space="preserve">zvýšené </w:t>
      </w:r>
      <w:r w:rsidRPr="00381DC2">
        <w:rPr>
          <w:color w:val="000000"/>
        </w:rPr>
        <w:t>riziko těchto nežádoucích účinků:</w:t>
      </w:r>
    </w:p>
    <w:p w14:paraId="5EB8A1CC" w14:textId="77777777" w:rsidR="00D15122" w:rsidRPr="00381DC2" w:rsidRDefault="009B0756" w:rsidP="008F624B">
      <w:pPr>
        <w:pStyle w:val="BodyText"/>
        <w:numPr>
          <w:ilvl w:val="0"/>
          <w:numId w:val="15"/>
        </w:numPr>
        <w:tabs>
          <w:tab w:val="left" w:pos="544"/>
        </w:tabs>
        <w:spacing w:line="252" w:lineRule="exact"/>
        <w:ind w:left="544" w:hanging="544"/>
        <w:rPr>
          <w:color w:val="000000"/>
        </w:rPr>
      </w:pPr>
      <w:r w:rsidRPr="00381DC2">
        <w:rPr>
          <w:color w:val="000000"/>
        </w:rPr>
        <w:t>krevní sraženin</w:t>
      </w:r>
      <w:r w:rsidR="00491ECD" w:rsidRPr="00381DC2">
        <w:rPr>
          <w:color w:val="000000"/>
        </w:rPr>
        <w:t>y</w:t>
      </w:r>
      <w:r w:rsidRPr="00381DC2">
        <w:rPr>
          <w:color w:val="000000"/>
        </w:rPr>
        <w:t xml:space="preserve"> v</w:t>
      </w:r>
      <w:r w:rsidR="0057682E" w:rsidRPr="00381DC2">
        <w:rPr>
          <w:color w:val="000000"/>
        </w:rPr>
        <w:t> </w:t>
      </w:r>
      <w:r w:rsidRPr="00381DC2">
        <w:rPr>
          <w:color w:val="000000"/>
        </w:rPr>
        <w:t>tepnách</w:t>
      </w:r>
      <w:r w:rsidR="0057682E" w:rsidRPr="00381DC2">
        <w:rPr>
          <w:color w:val="000000"/>
        </w:rPr>
        <w:t>, které mohou způsobit cévní</w:t>
      </w:r>
      <w:r w:rsidRPr="00381DC2">
        <w:rPr>
          <w:color w:val="000000"/>
        </w:rPr>
        <w:t> mozkov</w:t>
      </w:r>
      <w:r w:rsidR="0057682E" w:rsidRPr="00381DC2">
        <w:rPr>
          <w:color w:val="000000"/>
        </w:rPr>
        <w:t>ou</w:t>
      </w:r>
      <w:r w:rsidRPr="00381DC2">
        <w:rPr>
          <w:color w:val="000000"/>
        </w:rPr>
        <w:t xml:space="preserve"> příhod</w:t>
      </w:r>
      <w:r w:rsidR="0057682E" w:rsidRPr="00381DC2">
        <w:rPr>
          <w:color w:val="000000"/>
        </w:rPr>
        <w:t>u</w:t>
      </w:r>
      <w:r w:rsidRPr="00381DC2">
        <w:rPr>
          <w:color w:val="000000"/>
        </w:rPr>
        <w:t xml:space="preserve"> nebo srdeční </w:t>
      </w:r>
      <w:r w:rsidR="0057682E" w:rsidRPr="00381DC2">
        <w:rPr>
          <w:color w:val="000000"/>
        </w:rPr>
        <w:t>příhodu (infarkt)</w:t>
      </w:r>
      <w:r w:rsidRPr="00381DC2">
        <w:rPr>
          <w:color w:val="000000"/>
        </w:rPr>
        <w:t>,</w:t>
      </w:r>
    </w:p>
    <w:p w14:paraId="6C23F469"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pokles počtu bílých krvinek a buněk napomáhajících srážení krve,</w:t>
      </w:r>
    </w:p>
    <w:p w14:paraId="3A64502A"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průjem,</w:t>
      </w:r>
    </w:p>
    <w:p w14:paraId="35642404"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nevolnost,</w:t>
      </w:r>
    </w:p>
    <w:p w14:paraId="5DC66F3D"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bolest hlavy,</w:t>
      </w:r>
    </w:p>
    <w:p w14:paraId="20A6636F"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únava,</w:t>
      </w:r>
    </w:p>
    <w:p w14:paraId="2A415EDC" w14:textId="77777777" w:rsidR="00D15122" w:rsidRPr="00381DC2" w:rsidRDefault="009B0756" w:rsidP="00410591">
      <w:pPr>
        <w:pStyle w:val="BodyText"/>
        <w:numPr>
          <w:ilvl w:val="0"/>
          <w:numId w:val="15"/>
        </w:numPr>
        <w:tabs>
          <w:tab w:val="left" w:pos="544"/>
        </w:tabs>
        <w:spacing w:line="252" w:lineRule="exact"/>
        <w:ind w:left="0" w:firstLine="0"/>
        <w:rPr>
          <w:color w:val="000000"/>
        </w:rPr>
      </w:pPr>
      <w:r w:rsidRPr="00381DC2">
        <w:rPr>
          <w:color w:val="000000"/>
        </w:rPr>
        <w:t>vysoký krevní tlak.</w:t>
      </w:r>
    </w:p>
    <w:p w14:paraId="28E0E6FB" w14:textId="77777777" w:rsidR="00D15122" w:rsidRPr="00381DC2" w:rsidRDefault="00D15122" w:rsidP="007F6E1B">
      <w:pPr>
        <w:rPr>
          <w:rFonts w:ascii="Times New Roman" w:eastAsia="Times New Roman" w:hAnsi="Times New Roman"/>
          <w:color w:val="000000"/>
        </w:rPr>
      </w:pPr>
    </w:p>
    <w:p w14:paraId="5709E27B" w14:textId="77777777" w:rsidR="00D15122" w:rsidRPr="00381DC2" w:rsidRDefault="00426DA8" w:rsidP="007F6E1B">
      <w:pPr>
        <w:pStyle w:val="BodyText"/>
        <w:ind w:left="0" w:right="183"/>
        <w:rPr>
          <w:color w:val="000000"/>
        </w:rPr>
      </w:pPr>
      <w:r w:rsidRPr="00381DC2">
        <w:rPr>
          <w:color w:val="000000"/>
        </w:rPr>
        <w:t xml:space="preserve">Přípravek </w:t>
      </w:r>
      <w:r w:rsidR="00CC0FAB" w:rsidRPr="00381DC2">
        <w:rPr>
          <w:color w:val="000000"/>
        </w:rPr>
        <w:t>Zirabev</w:t>
      </w:r>
      <w:r w:rsidRPr="00381DC2">
        <w:rPr>
          <w:color w:val="000000"/>
        </w:rPr>
        <w:t xml:space="preserve"> může také vyvolávat změny ve výsledcích laboratorních testů prováděných lékařem. Mezi tyto změny patří snížený počet bílých krvinek, zejména neutrofilů (typ bílé krvinky, který pomáhá chránit před infekcemi); přítomnost bílkoviny v moči; snížená hladina draslíku, sodíku nebo fosforu (minerály) v krvi; zvýšený krevní cukr; zvýšená hladina alkalické fosfatázy (enzym) v krvi; zvýšený kreatinin (bílkovina, kterou se v krevních testech měří funk</w:t>
      </w:r>
      <w:r w:rsidR="0057682E" w:rsidRPr="00381DC2">
        <w:rPr>
          <w:color w:val="000000"/>
        </w:rPr>
        <w:t>ce</w:t>
      </w:r>
      <w:r w:rsidRPr="00381DC2">
        <w:rPr>
          <w:color w:val="000000"/>
        </w:rPr>
        <w:t xml:space="preserve"> ledvin) v séru; snížený hemoglobin (vyskytuje se v červených krvinkách přenášejících kyslík), což může být závažné.</w:t>
      </w:r>
    </w:p>
    <w:p w14:paraId="31426479" w14:textId="77777777" w:rsidR="00D15122" w:rsidRPr="00381DC2" w:rsidRDefault="00D15122" w:rsidP="007F6E1B">
      <w:pPr>
        <w:rPr>
          <w:rFonts w:ascii="Times New Roman" w:eastAsia="Times New Roman" w:hAnsi="Times New Roman"/>
          <w:color w:val="000000"/>
        </w:rPr>
      </w:pPr>
    </w:p>
    <w:p w14:paraId="5B153CFD" w14:textId="77777777" w:rsidR="00D15122" w:rsidRPr="00381DC2" w:rsidRDefault="009B0756" w:rsidP="007F6E1B">
      <w:pPr>
        <w:pStyle w:val="BodyText"/>
        <w:ind w:left="0" w:right="265"/>
        <w:rPr>
          <w:color w:val="000000"/>
        </w:rPr>
      </w:pPr>
      <w:r w:rsidRPr="00381DC2">
        <w:rPr>
          <w:color w:val="000000"/>
        </w:rPr>
        <w:t xml:space="preserve">Bolest v ústech, zubech a/nebo čelisti, zduření nebo bolavé místo v ústech, necitlivost nebo pocit tlaku v čelisti, nebo </w:t>
      </w:r>
      <w:r w:rsidR="00491ECD" w:rsidRPr="00381DC2">
        <w:rPr>
          <w:color w:val="000000"/>
        </w:rPr>
        <w:t xml:space="preserve">kývání </w:t>
      </w:r>
      <w:r w:rsidRPr="00381DC2">
        <w:rPr>
          <w:color w:val="000000"/>
        </w:rPr>
        <w:t>zub</w:t>
      </w:r>
      <w:r w:rsidR="00491ECD" w:rsidRPr="00381DC2">
        <w:rPr>
          <w:color w:val="000000"/>
        </w:rPr>
        <w:t>u</w:t>
      </w:r>
      <w:r w:rsidRPr="00381DC2">
        <w:rPr>
          <w:color w:val="000000"/>
        </w:rPr>
        <w:t>. Může se jednat o známky a příznaky poškození čelistní kosti (osteonekróz</w:t>
      </w:r>
      <w:r w:rsidR="0057682E" w:rsidRPr="00381DC2">
        <w:rPr>
          <w:color w:val="000000"/>
        </w:rPr>
        <w:t>a</w:t>
      </w:r>
      <w:r w:rsidRPr="00381DC2">
        <w:rPr>
          <w:color w:val="000000"/>
        </w:rPr>
        <w:t>). Ihned informujte svého lékaře a zubního lékaře, jestliže u sebe tyto příznaky objevíte.</w:t>
      </w:r>
    </w:p>
    <w:p w14:paraId="58D1973E" w14:textId="77777777" w:rsidR="00D15122" w:rsidRPr="00381DC2" w:rsidRDefault="00D15122" w:rsidP="00DD4FC5">
      <w:pPr>
        <w:rPr>
          <w:rFonts w:ascii="Times New Roman" w:eastAsia="Times New Roman" w:hAnsi="Times New Roman"/>
          <w:color w:val="000000"/>
        </w:rPr>
      </w:pPr>
    </w:p>
    <w:p w14:paraId="7BA3FD7C" w14:textId="77777777" w:rsidR="00D15122" w:rsidRPr="00381DC2" w:rsidRDefault="009B0756" w:rsidP="00DD4FC5">
      <w:pPr>
        <w:pStyle w:val="BodyText"/>
        <w:ind w:left="0" w:right="431"/>
        <w:rPr>
          <w:color w:val="000000"/>
        </w:rPr>
      </w:pPr>
      <w:r w:rsidRPr="00381DC2">
        <w:rPr>
          <w:color w:val="000000"/>
        </w:rPr>
        <w:t xml:space="preserve">Ženy před přechodem (ženy, které mají menstruační cyklus) mohou pozorovat nepravidelnosti cyklu nebo vynechání menstruace a poruchy plodnosti. Pokud zvažujete mít děti, </w:t>
      </w:r>
      <w:r w:rsidR="009824B2" w:rsidRPr="00381DC2">
        <w:rPr>
          <w:color w:val="000000"/>
        </w:rPr>
        <w:t xml:space="preserve">informujte svého lékaře </w:t>
      </w:r>
      <w:r w:rsidRPr="00381DC2">
        <w:rPr>
          <w:color w:val="000000"/>
        </w:rPr>
        <w:t>před zahájením léčby.</w:t>
      </w:r>
    </w:p>
    <w:p w14:paraId="5D4087B0" w14:textId="77777777" w:rsidR="00D15122" w:rsidRPr="00381DC2" w:rsidRDefault="00D15122" w:rsidP="007F6E1B">
      <w:pPr>
        <w:rPr>
          <w:rFonts w:ascii="Times New Roman" w:eastAsia="Times New Roman" w:hAnsi="Times New Roman"/>
          <w:color w:val="000000"/>
        </w:rPr>
      </w:pPr>
    </w:p>
    <w:p w14:paraId="0FA25EB4" w14:textId="77777777" w:rsidR="00D15122" w:rsidRPr="00381DC2" w:rsidRDefault="00426DA8" w:rsidP="007F6E1B">
      <w:pPr>
        <w:pStyle w:val="BodyText"/>
        <w:ind w:left="0" w:right="210"/>
        <w:rPr>
          <w:color w:val="000000"/>
        </w:rPr>
      </w:pPr>
      <w:r w:rsidRPr="00381DC2">
        <w:rPr>
          <w:color w:val="000000"/>
        </w:rPr>
        <w:t xml:space="preserve">Přípravek </w:t>
      </w:r>
      <w:r w:rsidR="00CC0FAB" w:rsidRPr="00381DC2">
        <w:rPr>
          <w:color w:val="000000"/>
        </w:rPr>
        <w:t>Zirabev</w:t>
      </w:r>
      <w:r w:rsidRPr="00381DC2">
        <w:rPr>
          <w:color w:val="000000"/>
        </w:rPr>
        <w:t xml:space="preserve"> byl vyvinut a uzpůsoben k léčbě </w:t>
      </w:r>
      <w:r w:rsidR="00491ECD" w:rsidRPr="00381DC2">
        <w:rPr>
          <w:color w:val="000000"/>
        </w:rPr>
        <w:t xml:space="preserve">nádorových onemocnění </w:t>
      </w:r>
      <w:r w:rsidRPr="00381DC2">
        <w:rPr>
          <w:color w:val="000000"/>
        </w:rPr>
        <w:t xml:space="preserve">podáním injekce do krevního oběhu. Není vyvinut a uzpůsoben k injekcím podávaným do oka. Není proto registrován k použití tímto způsobem. Pokud je přípravek </w:t>
      </w:r>
      <w:r w:rsidR="00CC0FAB" w:rsidRPr="00381DC2">
        <w:rPr>
          <w:color w:val="000000"/>
        </w:rPr>
        <w:t>Zirabev</w:t>
      </w:r>
      <w:r w:rsidRPr="00381DC2">
        <w:rPr>
          <w:color w:val="000000"/>
        </w:rPr>
        <w:t xml:space="preserve"> injekčně podán přímo do oka (neschválené použití), mohou se vyskytnout následující nežádoucí účinky:</w:t>
      </w:r>
    </w:p>
    <w:p w14:paraId="6317EB37" w14:textId="77777777" w:rsidR="00D15122" w:rsidRPr="00381DC2" w:rsidRDefault="00D15122" w:rsidP="007F6E1B">
      <w:pPr>
        <w:rPr>
          <w:rFonts w:ascii="Times New Roman" w:eastAsia="Times New Roman" w:hAnsi="Times New Roman"/>
          <w:color w:val="000000"/>
        </w:rPr>
      </w:pPr>
    </w:p>
    <w:p w14:paraId="27A7964B" w14:textId="45B2D3C0" w:rsidR="00D15122" w:rsidRPr="00381DC2" w:rsidRDefault="00E27EB6" w:rsidP="00B8634B">
      <w:pPr>
        <w:pStyle w:val="BodyText"/>
        <w:tabs>
          <w:tab w:val="left" w:pos="545"/>
        </w:tabs>
        <w:spacing w:line="252" w:lineRule="exact"/>
        <w:ind w:left="0"/>
        <w:rPr>
          <w:color w:val="000000"/>
        </w:rPr>
      </w:pPr>
      <w:r>
        <w:rPr>
          <w:color w:val="000000"/>
        </w:rPr>
        <w:t>-</w:t>
      </w:r>
      <w:r>
        <w:rPr>
          <w:color w:val="000000"/>
        </w:rPr>
        <w:tab/>
      </w:r>
      <w:r w:rsidR="009B0756" w:rsidRPr="00381DC2">
        <w:rPr>
          <w:color w:val="000000"/>
        </w:rPr>
        <w:t>infekce nebo záněty oční</w:t>
      </w:r>
      <w:r w:rsidR="005820D4" w:rsidRPr="00381DC2">
        <w:rPr>
          <w:color w:val="000000"/>
        </w:rPr>
        <w:t>ho</w:t>
      </w:r>
      <w:r w:rsidR="009B0756" w:rsidRPr="00381DC2">
        <w:rPr>
          <w:color w:val="000000"/>
        </w:rPr>
        <w:t xml:space="preserve"> bul</w:t>
      </w:r>
      <w:r w:rsidR="005820D4" w:rsidRPr="00381DC2">
        <w:rPr>
          <w:color w:val="000000"/>
        </w:rPr>
        <w:t>bu</w:t>
      </w:r>
      <w:r w:rsidR="009B0756" w:rsidRPr="00381DC2">
        <w:rPr>
          <w:color w:val="000000"/>
        </w:rPr>
        <w:t>,</w:t>
      </w:r>
    </w:p>
    <w:p w14:paraId="633D71A4" w14:textId="5B74BE86" w:rsidR="00D15122" w:rsidRPr="00381DC2" w:rsidRDefault="00E27EB6" w:rsidP="00B8634B">
      <w:pPr>
        <w:pStyle w:val="BodyText"/>
        <w:tabs>
          <w:tab w:val="left" w:pos="545"/>
        </w:tabs>
        <w:spacing w:line="252" w:lineRule="exact"/>
        <w:ind w:left="0"/>
        <w:rPr>
          <w:color w:val="000000"/>
        </w:rPr>
      </w:pPr>
      <w:r>
        <w:rPr>
          <w:color w:val="000000"/>
        </w:rPr>
        <w:t>-</w:t>
      </w:r>
      <w:r>
        <w:rPr>
          <w:color w:val="000000"/>
        </w:rPr>
        <w:tab/>
      </w:r>
      <w:r w:rsidR="009B0756" w:rsidRPr="00381DC2">
        <w:rPr>
          <w:color w:val="000000"/>
        </w:rPr>
        <w:t>zarudnutí oka, malé částečky nebo skvrny v zorném poli (plovoucí tělíska), bolest oka,</w:t>
      </w:r>
    </w:p>
    <w:p w14:paraId="473D9BD6" w14:textId="25C88991" w:rsidR="00D15122" w:rsidRPr="00381DC2" w:rsidRDefault="00E27EB6" w:rsidP="00B8634B">
      <w:pPr>
        <w:pStyle w:val="BodyText"/>
        <w:tabs>
          <w:tab w:val="left" w:pos="545"/>
        </w:tabs>
        <w:spacing w:line="252" w:lineRule="exact"/>
        <w:ind w:left="0"/>
        <w:rPr>
          <w:color w:val="000000"/>
        </w:rPr>
      </w:pPr>
      <w:r>
        <w:rPr>
          <w:color w:val="000000"/>
        </w:rPr>
        <w:t>-</w:t>
      </w:r>
      <w:r>
        <w:rPr>
          <w:color w:val="000000"/>
        </w:rPr>
        <w:tab/>
      </w:r>
      <w:r w:rsidR="009B0756" w:rsidRPr="00381DC2">
        <w:rPr>
          <w:color w:val="000000"/>
        </w:rPr>
        <w:t>záblesky světla s plovoucími tělísky vedoucí k</w:t>
      </w:r>
      <w:r w:rsidR="005820D4" w:rsidRPr="00381DC2">
        <w:rPr>
          <w:color w:val="000000"/>
        </w:rPr>
        <w:t xml:space="preserve"> částečné</w:t>
      </w:r>
      <w:r w:rsidR="009B0756" w:rsidRPr="00381DC2">
        <w:rPr>
          <w:color w:val="000000"/>
        </w:rPr>
        <w:t xml:space="preserve"> ztrátě zraku,</w:t>
      </w:r>
    </w:p>
    <w:p w14:paraId="219032DE" w14:textId="5FAA3EA3" w:rsidR="00D15122" w:rsidRPr="00381DC2" w:rsidRDefault="00E27EB6" w:rsidP="00B8634B">
      <w:pPr>
        <w:pStyle w:val="BodyText"/>
        <w:tabs>
          <w:tab w:val="left" w:pos="545"/>
        </w:tabs>
        <w:spacing w:line="252" w:lineRule="exact"/>
        <w:ind w:left="0"/>
        <w:rPr>
          <w:color w:val="000000"/>
        </w:rPr>
      </w:pPr>
      <w:r>
        <w:rPr>
          <w:color w:val="000000"/>
        </w:rPr>
        <w:t>-</w:t>
      </w:r>
      <w:r>
        <w:rPr>
          <w:color w:val="000000"/>
        </w:rPr>
        <w:tab/>
      </w:r>
      <w:r w:rsidR="009B0756" w:rsidRPr="00381DC2">
        <w:rPr>
          <w:color w:val="000000"/>
        </w:rPr>
        <w:t>zvýšený nitrooční tlak,</w:t>
      </w:r>
    </w:p>
    <w:p w14:paraId="33FC251F" w14:textId="3445A137" w:rsidR="00D15122" w:rsidRPr="00381DC2" w:rsidRDefault="00E27EB6" w:rsidP="00B8634B">
      <w:pPr>
        <w:pStyle w:val="BodyText"/>
        <w:tabs>
          <w:tab w:val="left" w:pos="545"/>
        </w:tabs>
        <w:ind w:left="0"/>
        <w:rPr>
          <w:color w:val="000000"/>
        </w:rPr>
      </w:pPr>
      <w:r>
        <w:rPr>
          <w:color w:val="000000"/>
        </w:rPr>
        <w:t>-</w:t>
      </w:r>
      <w:r>
        <w:rPr>
          <w:color w:val="000000"/>
        </w:rPr>
        <w:tab/>
      </w:r>
      <w:r w:rsidR="009B0756" w:rsidRPr="00381DC2">
        <w:rPr>
          <w:color w:val="000000"/>
        </w:rPr>
        <w:t>krvácení do oka.</w:t>
      </w:r>
    </w:p>
    <w:p w14:paraId="6B28F21F" w14:textId="77777777" w:rsidR="00D15122" w:rsidRPr="00381DC2" w:rsidRDefault="00D15122" w:rsidP="007F6E1B">
      <w:pPr>
        <w:rPr>
          <w:rFonts w:ascii="Times New Roman" w:eastAsia="Times New Roman" w:hAnsi="Times New Roman"/>
          <w:color w:val="000000"/>
        </w:rPr>
      </w:pPr>
    </w:p>
    <w:p w14:paraId="1CDD83A1" w14:textId="77777777" w:rsidR="00D15122" w:rsidRPr="00381DC2" w:rsidRDefault="009B0756" w:rsidP="00363CA4">
      <w:pPr>
        <w:pStyle w:val="BodyText"/>
        <w:ind w:left="0" w:right="158"/>
        <w:rPr>
          <w:b/>
          <w:color w:val="000000"/>
        </w:rPr>
      </w:pPr>
      <w:r w:rsidRPr="00381DC2">
        <w:rPr>
          <w:b/>
          <w:color w:val="000000"/>
        </w:rPr>
        <w:t>Hlášení nežádoucích účinků</w:t>
      </w:r>
    </w:p>
    <w:p w14:paraId="790F6E68" w14:textId="401BF27C" w:rsidR="00D15122" w:rsidRPr="00381DC2" w:rsidRDefault="009B0756" w:rsidP="007F6E1B">
      <w:pPr>
        <w:pStyle w:val="BodyText"/>
        <w:ind w:left="0" w:right="265"/>
        <w:rPr>
          <w:color w:val="000000"/>
        </w:rPr>
      </w:pPr>
      <w:r w:rsidRPr="00381DC2">
        <w:rPr>
          <w:color w:val="000000"/>
        </w:rPr>
        <w:t xml:space="preserve">Pokud se u Vás vyskytne kterýkoli z nežádoucích účinků, sdělte to svému lékaři, lékárníkovi nebo zdravotní sestře. Stejně postupujte v případě jakýchkoli nežádoucích účinků, které nejsou uvedeny v této příbalové informaci. Nežádoucí účinky můžete hlásit také přímo </w:t>
      </w:r>
      <w:r w:rsidRPr="00F60460">
        <w:rPr>
          <w:color w:val="000000"/>
          <w:highlight w:val="lightGray"/>
        </w:rPr>
        <w:t>prostřednictvím národního systému hlášení nežádoucích účinků uvedeného v</w:t>
      </w:r>
      <w:r w:rsidR="00440BCA" w:rsidRPr="00F60460">
        <w:rPr>
          <w:color w:val="000000"/>
          <w:highlight w:val="lightGray"/>
        </w:rPr>
        <w:t xml:space="preserve"> </w:t>
      </w:r>
      <w:hyperlink r:id="rId11" w:history="1">
        <w:r w:rsidR="00440BCA" w:rsidRPr="00F60460">
          <w:rPr>
            <w:rStyle w:val="Hyperlink"/>
            <w:highlight w:val="lightGray"/>
          </w:rPr>
          <w:t>Dodatku V</w:t>
        </w:r>
      </w:hyperlink>
      <w:r w:rsidRPr="00381DC2">
        <w:rPr>
          <w:color w:val="000000"/>
        </w:rPr>
        <w:t>. Nahlášením nežádoucích účinků můžete přispět k získání více informací o bezpečnosti tohoto přípravku.</w:t>
      </w:r>
    </w:p>
    <w:p w14:paraId="600B9174" w14:textId="77777777" w:rsidR="00D15122" w:rsidRPr="00381DC2" w:rsidRDefault="00D15122" w:rsidP="007F6E1B">
      <w:pPr>
        <w:rPr>
          <w:rFonts w:ascii="Times New Roman" w:eastAsia="Times New Roman" w:hAnsi="Times New Roman"/>
          <w:color w:val="000000"/>
        </w:rPr>
      </w:pPr>
    </w:p>
    <w:p w14:paraId="36D7EAC7" w14:textId="77777777" w:rsidR="00D15122" w:rsidRPr="00381DC2" w:rsidRDefault="00D15122" w:rsidP="007F6E1B">
      <w:pPr>
        <w:rPr>
          <w:rFonts w:ascii="Times New Roman" w:eastAsia="Times New Roman" w:hAnsi="Times New Roman"/>
          <w:color w:val="000000"/>
        </w:rPr>
      </w:pPr>
    </w:p>
    <w:p w14:paraId="1456B3C1" w14:textId="77777777" w:rsidR="00D15122" w:rsidRPr="00381DC2" w:rsidRDefault="00714208" w:rsidP="00363CA4">
      <w:pPr>
        <w:pStyle w:val="BodyText"/>
        <w:ind w:left="0" w:right="158"/>
        <w:rPr>
          <w:b/>
          <w:color w:val="000000"/>
        </w:rPr>
      </w:pPr>
      <w:r w:rsidRPr="00381DC2">
        <w:rPr>
          <w:b/>
          <w:color w:val="000000"/>
        </w:rPr>
        <w:t>5.</w:t>
      </w:r>
      <w:r w:rsidRPr="00381DC2">
        <w:rPr>
          <w:b/>
          <w:color w:val="000000"/>
        </w:rPr>
        <w:tab/>
        <w:t xml:space="preserve">Jak přípravek </w:t>
      </w:r>
      <w:r w:rsidR="00CC0FAB" w:rsidRPr="00381DC2">
        <w:rPr>
          <w:b/>
          <w:color w:val="000000"/>
        </w:rPr>
        <w:t>Zirabev</w:t>
      </w:r>
      <w:r w:rsidRPr="00381DC2">
        <w:rPr>
          <w:b/>
          <w:color w:val="000000"/>
        </w:rPr>
        <w:t xml:space="preserve"> uchovávat</w:t>
      </w:r>
    </w:p>
    <w:p w14:paraId="5D3AB653" w14:textId="77777777" w:rsidR="00D15122" w:rsidRPr="00381DC2" w:rsidRDefault="00D15122" w:rsidP="007F6E1B">
      <w:pPr>
        <w:rPr>
          <w:rFonts w:ascii="Times New Roman" w:eastAsia="Times New Roman" w:hAnsi="Times New Roman"/>
          <w:bCs/>
          <w:color w:val="000000"/>
        </w:rPr>
      </w:pPr>
    </w:p>
    <w:p w14:paraId="3071655F" w14:textId="77777777" w:rsidR="00D15122" w:rsidRPr="00381DC2" w:rsidRDefault="009B0756" w:rsidP="007F6E1B">
      <w:pPr>
        <w:pStyle w:val="BodyText"/>
        <w:ind w:left="0"/>
        <w:rPr>
          <w:color w:val="000000"/>
        </w:rPr>
      </w:pPr>
      <w:r w:rsidRPr="00381DC2">
        <w:rPr>
          <w:color w:val="000000"/>
        </w:rPr>
        <w:t>Uchovávejte tento přípravek mimo dohled a dosah dětí.</w:t>
      </w:r>
    </w:p>
    <w:p w14:paraId="094AB17A" w14:textId="77777777" w:rsidR="00D15122" w:rsidRPr="00381DC2" w:rsidRDefault="00D15122" w:rsidP="007F6E1B">
      <w:pPr>
        <w:rPr>
          <w:rFonts w:ascii="Times New Roman" w:eastAsia="Times New Roman" w:hAnsi="Times New Roman"/>
          <w:color w:val="000000"/>
        </w:rPr>
      </w:pPr>
    </w:p>
    <w:p w14:paraId="11873F22" w14:textId="77777777" w:rsidR="00313FC6" w:rsidRPr="00381DC2" w:rsidRDefault="009B0756" w:rsidP="007F6E1B">
      <w:pPr>
        <w:pStyle w:val="BodyText"/>
        <w:ind w:left="0" w:right="265"/>
        <w:rPr>
          <w:color w:val="000000"/>
        </w:rPr>
      </w:pPr>
      <w:r w:rsidRPr="00381DC2">
        <w:rPr>
          <w:color w:val="000000"/>
        </w:rPr>
        <w:t>Nepoužívejte tento přípravek po uplynutí doby použitelnosti uvedené na krabičce a štítku injekční lahvičky za „EXP“. Doba použitelnosti se vztahuje k poslednímu dni uvedeného měsíce.</w:t>
      </w:r>
    </w:p>
    <w:p w14:paraId="0C8DBC78" w14:textId="77777777" w:rsidR="00313FC6" w:rsidRPr="00381DC2" w:rsidRDefault="00313FC6" w:rsidP="007F6E1B">
      <w:pPr>
        <w:pStyle w:val="BodyText"/>
        <w:ind w:left="0" w:right="265"/>
        <w:rPr>
          <w:color w:val="000000"/>
        </w:rPr>
      </w:pPr>
    </w:p>
    <w:p w14:paraId="3483F527" w14:textId="77777777" w:rsidR="00D15122" w:rsidRPr="00381DC2" w:rsidRDefault="009B0756" w:rsidP="007F6E1B">
      <w:pPr>
        <w:pStyle w:val="BodyText"/>
        <w:ind w:left="0" w:right="265"/>
        <w:rPr>
          <w:color w:val="000000"/>
        </w:rPr>
      </w:pPr>
      <w:r w:rsidRPr="00381DC2">
        <w:rPr>
          <w:color w:val="000000"/>
        </w:rPr>
        <w:lastRenderedPageBreak/>
        <w:t>Uchovávejte v chladničce (2 °C – 8 °C). Chraňte před mrazem.</w:t>
      </w:r>
    </w:p>
    <w:p w14:paraId="45609D6D" w14:textId="77777777" w:rsidR="00D15122" w:rsidRPr="00381DC2" w:rsidRDefault="009B0756" w:rsidP="007F6E1B">
      <w:pPr>
        <w:pStyle w:val="BodyText"/>
        <w:ind w:left="0" w:right="265"/>
        <w:rPr>
          <w:color w:val="000000"/>
        </w:rPr>
      </w:pPr>
      <w:r w:rsidRPr="00381DC2">
        <w:rPr>
          <w:color w:val="000000"/>
        </w:rPr>
        <w:t>Uchovávejte injekční lahvičku v krabičce, aby byl přípravek chráněn před světlem.</w:t>
      </w:r>
    </w:p>
    <w:p w14:paraId="26844AA5" w14:textId="77777777" w:rsidR="00D15122" w:rsidRPr="00381DC2" w:rsidRDefault="00D15122" w:rsidP="007F6E1B">
      <w:pPr>
        <w:pStyle w:val="BodyText"/>
        <w:ind w:left="0" w:right="265"/>
        <w:rPr>
          <w:color w:val="000000"/>
        </w:rPr>
      </w:pPr>
    </w:p>
    <w:p w14:paraId="3C3072EF" w14:textId="77777777" w:rsidR="000E385D" w:rsidRPr="00381DC2" w:rsidRDefault="009B0756" w:rsidP="007F6E1B">
      <w:pPr>
        <w:pStyle w:val="BodyText"/>
        <w:ind w:left="0" w:right="265"/>
        <w:rPr>
          <w:color w:val="000000"/>
        </w:rPr>
      </w:pPr>
      <w:r w:rsidRPr="00381DC2">
        <w:rPr>
          <w:color w:val="000000"/>
        </w:rPr>
        <w:t xml:space="preserve">Infuzní roztoky je třeba použít ihned po jejich naředění. </w:t>
      </w:r>
      <w:r w:rsidR="000E385D" w:rsidRPr="00381DC2">
        <w:rPr>
          <w:color w:val="000000"/>
        </w:rPr>
        <w:t>Nejsou-li použity okamžitě, doba a podmínky uchovávání přípravku po otevření před použitím jsou v odpovědnosti uživatele a normálně by doba neměla bých delší než 24 hodin při 2 °C – 8 °C, pokud infuzní roztoky nebyly připraveny ve sterilním prostředí. Pokud naředění proběhlo ve sterilním prostředí, přípravek Zirabev je stabilní po dobu 35 dní při 2 °C – 8 °C po naředění a po dobu dalších 48 hodin při 2 °C – 30 °C.</w:t>
      </w:r>
    </w:p>
    <w:p w14:paraId="29B6103F" w14:textId="77777777" w:rsidR="000E385D" w:rsidRPr="00381DC2" w:rsidRDefault="000E385D" w:rsidP="007F6E1B">
      <w:pPr>
        <w:pStyle w:val="BodyText"/>
        <w:ind w:left="0" w:right="265"/>
        <w:rPr>
          <w:color w:val="000000"/>
        </w:rPr>
      </w:pPr>
    </w:p>
    <w:p w14:paraId="4899F70F" w14:textId="77777777" w:rsidR="00D15122" w:rsidRPr="00381DC2" w:rsidRDefault="009B0756" w:rsidP="007F6E1B">
      <w:pPr>
        <w:pStyle w:val="BodyText"/>
        <w:ind w:left="0" w:right="265"/>
        <w:rPr>
          <w:color w:val="000000"/>
        </w:rPr>
      </w:pPr>
      <w:r w:rsidRPr="00381DC2">
        <w:rPr>
          <w:color w:val="000000"/>
        </w:rPr>
        <w:t xml:space="preserve">Nepoužívejte přípravek </w:t>
      </w:r>
      <w:r w:rsidR="00CC0FAB" w:rsidRPr="00381DC2">
        <w:rPr>
          <w:color w:val="000000"/>
        </w:rPr>
        <w:t>Zirabev</w:t>
      </w:r>
      <w:r w:rsidRPr="00381DC2">
        <w:rPr>
          <w:color w:val="000000"/>
        </w:rPr>
        <w:t>, pokud si před podáním všimnete, že roztok obsahuje částice nebo změnil barvu.</w:t>
      </w:r>
    </w:p>
    <w:p w14:paraId="55A7E0CD" w14:textId="77777777" w:rsidR="00D15122" w:rsidRPr="00381DC2" w:rsidRDefault="00D15122" w:rsidP="007F6E1B">
      <w:pPr>
        <w:pStyle w:val="BodyText"/>
        <w:ind w:left="0" w:right="265"/>
        <w:rPr>
          <w:color w:val="000000"/>
        </w:rPr>
      </w:pPr>
    </w:p>
    <w:p w14:paraId="2467F6F6" w14:textId="77777777" w:rsidR="00D15122" w:rsidRPr="00381DC2" w:rsidRDefault="009B0756" w:rsidP="007F6E1B">
      <w:pPr>
        <w:pStyle w:val="BodyText"/>
        <w:ind w:left="0" w:right="265"/>
        <w:rPr>
          <w:color w:val="000000"/>
        </w:rPr>
      </w:pPr>
      <w:r w:rsidRPr="00381DC2">
        <w:rPr>
          <w:color w:val="000000"/>
        </w:rPr>
        <w:t>Nevyhazujte žádné léčivé přípravky do odpadních vod nebo domácího odpadu. Zeptejte se svého lékárníka, jak naložit s přípravky, které již nepoužíváte. Tato opatření pomáhají chránit životní prostředí.</w:t>
      </w:r>
    </w:p>
    <w:p w14:paraId="4379F0B7" w14:textId="77777777" w:rsidR="00D15122" w:rsidRPr="00381DC2" w:rsidRDefault="00D15122" w:rsidP="007F6E1B">
      <w:pPr>
        <w:rPr>
          <w:rFonts w:ascii="Times New Roman" w:eastAsia="Times New Roman" w:hAnsi="Times New Roman"/>
          <w:color w:val="000000"/>
        </w:rPr>
      </w:pPr>
    </w:p>
    <w:p w14:paraId="381482E9" w14:textId="77777777" w:rsidR="00D15122" w:rsidRPr="00381DC2" w:rsidRDefault="00D15122" w:rsidP="007F6E1B">
      <w:pPr>
        <w:rPr>
          <w:rFonts w:ascii="Times New Roman" w:eastAsia="Times New Roman" w:hAnsi="Times New Roman"/>
          <w:color w:val="000000"/>
        </w:rPr>
      </w:pPr>
    </w:p>
    <w:p w14:paraId="05EEE3BD" w14:textId="77777777" w:rsidR="004666BE" w:rsidRPr="00381DC2" w:rsidRDefault="00714208" w:rsidP="00363CA4">
      <w:pPr>
        <w:pStyle w:val="BodyText"/>
        <w:ind w:left="0" w:right="158"/>
        <w:rPr>
          <w:b/>
          <w:color w:val="000000"/>
        </w:rPr>
      </w:pPr>
      <w:r w:rsidRPr="00381DC2">
        <w:rPr>
          <w:b/>
          <w:color w:val="000000"/>
        </w:rPr>
        <w:t>6.</w:t>
      </w:r>
      <w:r w:rsidRPr="00381DC2">
        <w:rPr>
          <w:b/>
          <w:color w:val="000000"/>
        </w:rPr>
        <w:tab/>
        <w:t xml:space="preserve">Obsah balení a další informace </w:t>
      </w:r>
    </w:p>
    <w:p w14:paraId="38A37AE4" w14:textId="77777777" w:rsidR="00363CA4" w:rsidRPr="00381DC2" w:rsidRDefault="00363CA4" w:rsidP="00363CA4">
      <w:pPr>
        <w:pStyle w:val="BodyText"/>
        <w:ind w:left="0" w:right="158"/>
        <w:rPr>
          <w:b/>
          <w:color w:val="000000"/>
        </w:rPr>
      </w:pPr>
    </w:p>
    <w:p w14:paraId="72AE3D44" w14:textId="77777777" w:rsidR="00D15122" w:rsidRPr="00381DC2" w:rsidRDefault="009B0756" w:rsidP="00363CA4">
      <w:pPr>
        <w:pStyle w:val="BodyText"/>
        <w:ind w:left="0" w:right="158"/>
        <w:rPr>
          <w:b/>
          <w:color w:val="000000"/>
        </w:rPr>
      </w:pPr>
      <w:r w:rsidRPr="00381DC2">
        <w:rPr>
          <w:b/>
          <w:color w:val="000000"/>
        </w:rPr>
        <w:t xml:space="preserve">Co přípravek </w:t>
      </w:r>
      <w:r w:rsidR="00CC0FAB" w:rsidRPr="00381DC2">
        <w:rPr>
          <w:b/>
          <w:color w:val="000000"/>
        </w:rPr>
        <w:t>Zirabev</w:t>
      </w:r>
      <w:r w:rsidRPr="00381DC2">
        <w:rPr>
          <w:b/>
          <w:color w:val="000000"/>
        </w:rPr>
        <w:t xml:space="preserve"> obsahuje</w:t>
      </w:r>
    </w:p>
    <w:p w14:paraId="21713BA3" w14:textId="77777777" w:rsidR="00363CA4" w:rsidRPr="00381DC2" w:rsidRDefault="00363CA4" w:rsidP="00363CA4">
      <w:pPr>
        <w:pStyle w:val="BodyText"/>
        <w:ind w:left="0" w:right="158"/>
        <w:rPr>
          <w:b/>
          <w:color w:val="000000"/>
        </w:rPr>
      </w:pPr>
    </w:p>
    <w:p w14:paraId="10099F47" w14:textId="77777777" w:rsidR="00D15122" w:rsidRPr="00381DC2" w:rsidRDefault="009B0756" w:rsidP="001B6CD8">
      <w:pPr>
        <w:pStyle w:val="BodyText"/>
        <w:numPr>
          <w:ilvl w:val="0"/>
          <w:numId w:val="3"/>
        </w:numPr>
        <w:ind w:left="720" w:right="450" w:hanging="720"/>
        <w:rPr>
          <w:color w:val="000000"/>
        </w:rPr>
      </w:pPr>
      <w:r w:rsidRPr="00381DC2">
        <w:rPr>
          <w:color w:val="000000"/>
        </w:rPr>
        <w:t xml:space="preserve">Léčivou látkou je </w:t>
      </w:r>
      <w:r w:rsidRPr="0030327F">
        <w:rPr>
          <w:color w:val="000000"/>
        </w:rPr>
        <w:t>bevacizumabum</w:t>
      </w:r>
      <w:r w:rsidRPr="00381DC2">
        <w:rPr>
          <w:color w:val="000000"/>
        </w:rPr>
        <w:t xml:space="preserve">. Jeden ml koncentrátu obsahuje </w:t>
      </w:r>
      <w:r w:rsidRPr="0030327F">
        <w:rPr>
          <w:color w:val="000000"/>
        </w:rPr>
        <w:t>bevacizumabum</w:t>
      </w:r>
      <w:r w:rsidRPr="00381DC2">
        <w:rPr>
          <w:color w:val="000000"/>
        </w:rPr>
        <w:t xml:space="preserve"> 25 mg.</w:t>
      </w:r>
    </w:p>
    <w:p w14:paraId="5C303012" w14:textId="77777777" w:rsidR="00D15122" w:rsidRPr="00381DC2" w:rsidRDefault="009B0756" w:rsidP="001B6CD8">
      <w:pPr>
        <w:pStyle w:val="BodyText"/>
        <w:ind w:left="1440" w:right="450" w:hanging="720"/>
        <w:rPr>
          <w:color w:val="000000"/>
        </w:rPr>
      </w:pPr>
      <w:r w:rsidRPr="00381DC2">
        <w:rPr>
          <w:color w:val="000000"/>
        </w:rPr>
        <w:t xml:space="preserve">Jedna injekční lahvička se 4 ml obsahuje </w:t>
      </w:r>
      <w:r w:rsidRPr="0030327F">
        <w:rPr>
          <w:color w:val="000000"/>
        </w:rPr>
        <w:t>bevacizumabum</w:t>
      </w:r>
      <w:r w:rsidRPr="00381DC2">
        <w:rPr>
          <w:color w:val="000000"/>
        </w:rPr>
        <w:t xml:space="preserve"> 100 mg.</w:t>
      </w:r>
    </w:p>
    <w:p w14:paraId="3FB1151B" w14:textId="77777777" w:rsidR="00D15122" w:rsidRPr="00381DC2" w:rsidRDefault="009B0756" w:rsidP="001B6CD8">
      <w:pPr>
        <w:pStyle w:val="BodyText"/>
        <w:ind w:left="1440" w:hanging="720"/>
        <w:rPr>
          <w:color w:val="000000"/>
        </w:rPr>
      </w:pPr>
      <w:r w:rsidRPr="00381DC2">
        <w:rPr>
          <w:color w:val="000000"/>
        </w:rPr>
        <w:t xml:space="preserve">Jedna injekční lahvička se 16 ml obsahuje </w:t>
      </w:r>
      <w:r w:rsidRPr="0030327F">
        <w:rPr>
          <w:color w:val="000000"/>
        </w:rPr>
        <w:t>bevacizumabum</w:t>
      </w:r>
      <w:r w:rsidRPr="00381DC2">
        <w:rPr>
          <w:color w:val="000000"/>
        </w:rPr>
        <w:t xml:space="preserve"> 400 mg.</w:t>
      </w:r>
    </w:p>
    <w:p w14:paraId="07837C3D" w14:textId="6A11EF5A" w:rsidR="00D15122" w:rsidRPr="00381DC2" w:rsidRDefault="009B0756" w:rsidP="001B6CD8">
      <w:pPr>
        <w:pStyle w:val="BodyText"/>
        <w:numPr>
          <w:ilvl w:val="0"/>
          <w:numId w:val="3"/>
        </w:numPr>
        <w:ind w:left="720" w:right="463" w:hanging="720"/>
        <w:rPr>
          <w:color w:val="000000"/>
        </w:rPr>
      </w:pPr>
      <w:r w:rsidRPr="00381DC2">
        <w:rPr>
          <w:color w:val="000000"/>
        </w:rPr>
        <w:t xml:space="preserve">Dalšími složkami jsou sacharóza, kyselina jantarová, </w:t>
      </w:r>
      <w:r w:rsidR="005820D4" w:rsidRPr="00381DC2">
        <w:rPr>
          <w:color w:val="000000"/>
        </w:rPr>
        <w:t>dinatrium-</w:t>
      </w:r>
      <w:r w:rsidRPr="00381DC2">
        <w:rPr>
          <w:color w:val="000000"/>
        </w:rPr>
        <w:t>edetát, polysorbát 80</w:t>
      </w:r>
      <w:r w:rsidR="00E23C07">
        <w:rPr>
          <w:color w:val="000000"/>
        </w:rPr>
        <w:t xml:space="preserve"> (E 433)</w:t>
      </w:r>
      <w:r w:rsidRPr="00381DC2">
        <w:rPr>
          <w:color w:val="000000"/>
        </w:rPr>
        <w:t>,</w:t>
      </w:r>
      <w:r w:rsidR="004914FD" w:rsidRPr="00381DC2">
        <w:rPr>
          <w:color w:val="000000"/>
        </w:rPr>
        <w:t xml:space="preserve"> hydroxid sodný (</w:t>
      </w:r>
      <w:r w:rsidR="005820D4" w:rsidRPr="00381DC2">
        <w:rPr>
          <w:color w:val="000000"/>
        </w:rPr>
        <w:t>k</w:t>
      </w:r>
      <w:r w:rsidR="004914FD" w:rsidRPr="00381DC2">
        <w:rPr>
          <w:color w:val="000000"/>
        </w:rPr>
        <w:t xml:space="preserve"> úprav</w:t>
      </w:r>
      <w:r w:rsidR="005820D4" w:rsidRPr="00381DC2">
        <w:rPr>
          <w:color w:val="000000"/>
        </w:rPr>
        <w:t>ě</w:t>
      </w:r>
      <w:r w:rsidR="004914FD" w:rsidRPr="00381DC2">
        <w:rPr>
          <w:color w:val="000000"/>
        </w:rPr>
        <w:t xml:space="preserve"> pH) a voda </w:t>
      </w:r>
      <w:r w:rsidR="005820D4" w:rsidRPr="00381DC2">
        <w:rPr>
          <w:color w:val="000000"/>
        </w:rPr>
        <w:t>pro</w:t>
      </w:r>
      <w:r w:rsidR="004914FD" w:rsidRPr="00381DC2">
        <w:rPr>
          <w:color w:val="000000"/>
        </w:rPr>
        <w:t xml:space="preserve"> injekci</w:t>
      </w:r>
      <w:r w:rsidR="00F07B21" w:rsidRPr="00381DC2">
        <w:rPr>
          <w:color w:val="000000"/>
        </w:rPr>
        <w:t xml:space="preserve"> (viz bod 2 „Přípravek Zirabev obsahuje sodík</w:t>
      </w:r>
      <w:r w:rsidR="00E23C07">
        <w:rPr>
          <w:color w:val="000000"/>
        </w:rPr>
        <w:t xml:space="preserve"> a polysorbát 80</w:t>
      </w:r>
      <w:r w:rsidR="00F07B21" w:rsidRPr="00381DC2">
        <w:rPr>
          <w:color w:val="000000"/>
        </w:rPr>
        <w:t>“)</w:t>
      </w:r>
      <w:r w:rsidRPr="00381DC2">
        <w:rPr>
          <w:color w:val="000000"/>
        </w:rPr>
        <w:t>.</w:t>
      </w:r>
    </w:p>
    <w:p w14:paraId="5A41D1F4" w14:textId="77777777" w:rsidR="00D15122" w:rsidRPr="00381DC2" w:rsidRDefault="00D15122" w:rsidP="007F6E1B">
      <w:pPr>
        <w:rPr>
          <w:rFonts w:ascii="Times New Roman" w:eastAsia="Times New Roman" w:hAnsi="Times New Roman"/>
          <w:color w:val="000000"/>
        </w:rPr>
      </w:pPr>
    </w:p>
    <w:p w14:paraId="2A205469" w14:textId="77777777" w:rsidR="00D15122" w:rsidRPr="00381DC2" w:rsidRDefault="009B0756" w:rsidP="00363CA4">
      <w:pPr>
        <w:pStyle w:val="BodyText"/>
        <w:ind w:left="0" w:right="158"/>
        <w:rPr>
          <w:b/>
          <w:color w:val="000000"/>
        </w:rPr>
      </w:pPr>
      <w:r w:rsidRPr="00381DC2">
        <w:rPr>
          <w:b/>
          <w:color w:val="000000"/>
        </w:rPr>
        <w:t xml:space="preserve">Jak přípravek </w:t>
      </w:r>
      <w:r w:rsidR="00CC0FAB" w:rsidRPr="00381DC2">
        <w:rPr>
          <w:b/>
          <w:color w:val="000000"/>
        </w:rPr>
        <w:t>Zirabev</w:t>
      </w:r>
      <w:r w:rsidRPr="00381DC2">
        <w:rPr>
          <w:b/>
          <w:color w:val="000000"/>
        </w:rPr>
        <w:t xml:space="preserve"> vypadá a co obsahuje toto balení</w:t>
      </w:r>
    </w:p>
    <w:p w14:paraId="355300A9" w14:textId="77777777" w:rsidR="00D15122" w:rsidRPr="00381DC2" w:rsidRDefault="00426DA8" w:rsidP="007F6E1B">
      <w:pPr>
        <w:pStyle w:val="BodyText"/>
        <w:ind w:left="0" w:right="19"/>
        <w:rPr>
          <w:color w:val="000000"/>
        </w:rPr>
      </w:pPr>
      <w:r w:rsidRPr="00381DC2">
        <w:rPr>
          <w:color w:val="000000"/>
        </w:rPr>
        <w:t xml:space="preserve">Přípravek </w:t>
      </w:r>
      <w:r w:rsidR="00CC0FAB" w:rsidRPr="00381DC2">
        <w:rPr>
          <w:color w:val="000000"/>
        </w:rPr>
        <w:t>Zirabev</w:t>
      </w:r>
      <w:r w:rsidRPr="00381DC2">
        <w:rPr>
          <w:color w:val="000000"/>
        </w:rPr>
        <w:t xml:space="preserve"> je koncentrát pro infuzní roztok. Koncentrát je čirá</w:t>
      </w:r>
      <w:r w:rsidR="00D92878" w:rsidRPr="00381DC2">
        <w:rPr>
          <w:color w:val="000000"/>
        </w:rPr>
        <w:t xml:space="preserve"> až lehce opalescentní</w:t>
      </w:r>
      <w:r w:rsidRPr="00381DC2">
        <w:rPr>
          <w:color w:val="000000"/>
        </w:rPr>
        <w:t xml:space="preserve">, bezbarvá až světle hnědá tekutina ve skleněné injekční lahvičce s pryžovou zátkou. Jedna injekční lahvička obsahuje 100 mg bevacizumabu ve 4 ml roztoku nebo 400 mg bevacizumabu v 16 ml roztoku. </w:t>
      </w:r>
      <w:r w:rsidR="005820D4" w:rsidRPr="00381DC2">
        <w:rPr>
          <w:color w:val="000000"/>
        </w:rPr>
        <w:t>B</w:t>
      </w:r>
      <w:r w:rsidRPr="00381DC2">
        <w:rPr>
          <w:color w:val="000000"/>
        </w:rPr>
        <w:t xml:space="preserve">alení přípravku </w:t>
      </w:r>
      <w:r w:rsidR="00CC0FAB" w:rsidRPr="00381DC2">
        <w:rPr>
          <w:color w:val="000000"/>
        </w:rPr>
        <w:t>Zirabev</w:t>
      </w:r>
      <w:r w:rsidRPr="00381DC2">
        <w:rPr>
          <w:color w:val="000000"/>
        </w:rPr>
        <w:t xml:space="preserve"> obsahuje jednu injekční lahvičku.</w:t>
      </w:r>
    </w:p>
    <w:p w14:paraId="4C4D15EE" w14:textId="77777777" w:rsidR="00D15122" w:rsidRPr="00381DC2" w:rsidRDefault="00D15122" w:rsidP="007F6E1B">
      <w:pPr>
        <w:rPr>
          <w:rFonts w:ascii="Times New Roman" w:eastAsia="Times New Roman" w:hAnsi="Times New Roman"/>
          <w:color w:val="000000"/>
        </w:rPr>
      </w:pPr>
    </w:p>
    <w:p w14:paraId="444F30B0" w14:textId="77777777" w:rsidR="00D15122" w:rsidRPr="00381DC2" w:rsidRDefault="009B0756" w:rsidP="00363CA4">
      <w:pPr>
        <w:pStyle w:val="BodyText"/>
        <w:ind w:left="0" w:right="158"/>
        <w:rPr>
          <w:b/>
          <w:color w:val="000000"/>
        </w:rPr>
      </w:pPr>
      <w:r w:rsidRPr="00381DC2">
        <w:rPr>
          <w:b/>
          <w:color w:val="000000"/>
        </w:rPr>
        <w:t>Držitel rozhodnutí o registraci</w:t>
      </w:r>
    </w:p>
    <w:p w14:paraId="2D0BB8FD" w14:textId="77777777" w:rsidR="00B06C94" w:rsidRPr="00381DC2" w:rsidRDefault="00CE15F9" w:rsidP="00CE15F9">
      <w:pPr>
        <w:pStyle w:val="BodyText"/>
        <w:spacing w:line="251" w:lineRule="exact"/>
        <w:ind w:left="0"/>
        <w:rPr>
          <w:color w:val="000000"/>
        </w:rPr>
      </w:pPr>
      <w:r w:rsidRPr="00381DC2">
        <w:rPr>
          <w:color w:val="000000"/>
        </w:rPr>
        <w:t xml:space="preserve">Pfizer Europe MA EEIG, Boulevard de la Plaine 17, 1050 </w:t>
      </w:r>
      <w:r w:rsidR="00B8703E" w:rsidRPr="00381DC2">
        <w:rPr>
          <w:color w:val="000000"/>
        </w:rPr>
        <w:t>Bruxelles</w:t>
      </w:r>
      <w:r w:rsidRPr="00381DC2">
        <w:rPr>
          <w:color w:val="000000"/>
        </w:rPr>
        <w:t>, Belgie</w:t>
      </w:r>
    </w:p>
    <w:p w14:paraId="35C48EB6" w14:textId="77777777" w:rsidR="00D15122" w:rsidRPr="00381DC2" w:rsidRDefault="00D15122" w:rsidP="007F6E1B">
      <w:pPr>
        <w:rPr>
          <w:rFonts w:ascii="Times New Roman" w:eastAsia="Times New Roman" w:hAnsi="Times New Roman"/>
          <w:color w:val="000000"/>
        </w:rPr>
      </w:pPr>
    </w:p>
    <w:p w14:paraId="50A3BCED" w14:textId="77777777" w:rsidR="00346B81" w:rsidRPr="00381DC2" w:rsidRDefault="009B0756" w:rsidP="00363CA4">
      <w:pPr>
        <w:pStyle w:val="BodyText"/>
        <w:ind w:left="0" w:right="158"/>
        <w:rPr>
          <w:b/>
          <w:color w:val="000000"/>
        </w:rPr>
      </w:pPr>
      <w:r w:rsidRPr="00381DC2">
        <w:rPr>
          <w:b/>
          <w:color w:val="000000"/>
        </w:rPr>
        <w:t>Výrobce</w:t>
      </w:r>
    </w:p>
    <w:p w14:paraId="6D37A31E" w14:textId="0F217983" w:rsidR="00125269" w:rsidRPr="00381DC2" w:rsidRDefault="00125269" w:rsidP="00125269">
      <w:pPr>
        <w:pStyle w:val="BodyText"/>
        <w:ind w:left="0" w:right="450"/>
        <w:rPr>
          <w:color w:val="000000"/>
        </w:rPr>
      </w:pPr>
      <w:r w:rsidRPr="00381DC2">
        <w:rPr>
          <w:color w:val="000000"/>
        </w:rPr>
        <w:t xml:space="preserve">Pfizer Service Company BV, </w:t>
      </w:r>
      <w:del w:id="15" w:author="Author" w:date="2025-08-01T17:10:00Z" w16du:dateUtc="2025-08-01T13:10:00Z">
        <w:r w:rsidRPr="00381DC2" w:rsidDel="0051337F">
          <w:rPr>
            <w:color w:val="000000"/>
          </w:rPr>
          <w:delText>Hoge Wei 10</w:delText>
        </w:r>
      </w:del>
      <w:ins w:id="16" w:author="Author" w:date="2025-08-01T17:10:00Z" w16du:dateUtc="2025-08-01T13:10:00Z">
        <w:r w:rsidR="0051337F" w:rsidRPr="0051337F">
          <w:rPr>
            <w:color w:val="000000"/>
          </w:rPr>
          <w:t xml:space="preserve"> </w:t>
        </w:r>
        <w:r w:rsidR="0051337F">
          <w:rPr>
            <w:color w:val="000000"/>
          </w:rPr>
          <w:t>Hermeslaan 11</w:t>
        </w:r>
      </w:ins>
      <w:r w:rsidRPr="00381DC2">
        <w:rPr>
          <w:color w:val="000000"/>
        </w:rPr>
        <w:t xml:space="preserve">, </w:t>
      </w:r>
      <w:ins w:id="17" w:author="Author" w:date="2025-08-01T17:10:00Z" w16du:dateUtc="2025-08-01T13:10:00Z">
        <w:r w:rsidR="0051337F">
          <w:rPr>
            <w:color w:val="000000"/>
          </w:rPr>
          <w:t xml:space="preserve">1932 </w:t>
        </w:r>
      </w:ins>
      <w:r w:rsidRPr="00381DC2">
        <w:rPr>
          <w:color w:val="000000"/>
        </w:rPr>
        <w:t xml:space="preserve">Zaventem, </w:t>
      </w:r>
      <w:del w:id="18" w:author="Author" w:date="2025-08-01T17:10:00Z" w16du:dateUtc="2025-08-01T13:10:00Z">
        <w:r w:rsidRPr="00381DC2" w:rsidDel="0051337F">
          <w:rPr>
            <w:color w:val="000000"/>
          </w:rPr>
          <w:delText>1930</w:delText>
        </w:r>
      </w:del>
      <w:del w:id="19" w:author="Author" w:date="2025-08-04T06:59:00Z" w16du:dateUtc="2025-08-04T04:59:00Z">
        <w:r w:rsidRPr="00381DC2" w:rsidDel="00C7169E">
          <w:rPr>
            <w:color w:val="000000"/>
          </w:rPr>
          <w:delText xml:space="preserve">, </w:delText>
        </w:r>
      </w:del>
      <w:r w:rsidRPr="00381DC2">
        <w:rPr>
          <w:color w:val="000000"/>
        </w:rPr>
        <w:t>Belgie</w:t>
      </w:r>
    </w:p>
    <w:p w14:paraId="0A79AB9D" w14:textId="77777777" w:rsidR="005F4C9C" w:rsidRPr="00381DC2" w:rsidRDefault="005F4C9C" w:rsidP="007F6E1B">
      <w:pPr>
        <w:pStyle w:val="BodyText"/>
        <w:spacing w:line="251" w:lineRule="exact"/>
        <w:ind w:left="0"/>
        <w:rPr>
          <w:color w:val="000000"/>
        </w:rPr>
      </w:pPr>
    </w:p>
    <w:p w14:paraId="78B9674B" w14:textId="77777777" w:rsidR="00D15122" w:rsidRPr="00381DC2" w:rsidRDefault="009B0756" w:rsidP="007F6E1B">
      <w:pPr>
        <w:pStyle w:val="BodyText"/>
        <w:ind w:left="0" w:right="450"/>
        <w:rPr>
          <w:color w:val="000000"/>
        </w:rPr>
      </w:pPr>
      <w:r w:rsidRPr="00381DC2">
        <w:rPr>
          <w:color w:val="000000"/>
        </w:rPr>
        <w:t>Další informace o tomto přípravku získáte u místního zástupce držitele rozhodnutí o registraci.</w:t>
      </w:r>
    </w:p>
    <w:p w14:paraId="7BBCB076" w14:textId="77777777" w:rsidR="00D15122" w:rsidRPr="00381DC2" w:rsidRDefault="00D15122" w:rsidP="007F6E1B">
      <w:pPr>
        <w:rPr>
          <w:rFonts w:ascii="Times New Roman" w:eastAsia="Times New Roman" w:hAnsi="Times New Roman"/>
          <w:color w:val="000000"/>
        </w:rPr>
      </w:pPr>
    </w:p>
    <w:tbl>
      <w:tblPr>
        <w:tblW w:w="5000" w:type="pct"/>
        <w:tblLook w:val="04A0" w:firstRow="1" w:lastRow="0" w:firstColumn="1" w:lastColumn="0" w:noHBand="0" w:noVBand="1"/>
      </w:tblPr>
      <w:tblGrid>
        <w:gridCol w:w="4217"/>
        <w:gridCol w:w="4856"/>
      </w:tblGrid>
      <w:tr w:rsidR="00BA0E79" w:rsidRPr="00F60460" w14:paraId="300E4D5B" w14:textId="77777777" w:rsidTr="00506A04">
        <w:trPr>
          <w:cantSplit/>
        </w:trPr>
        <w:tc>
          <w:tcPr>
            <w:tcW w:w="4158" w:type="dxa"/>
            <w:shd w:val="clear" w:color="auto" w:fill="auto"/>
          </w:tcPr>
          <w:p w14:paraId="10CAA7C4"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België/Belgique/Belgien</w:t>
            </w:r>
          </w:p>
          <w:p w14:paraId="4992B849"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Luxembourg/Luxemburg</w:t>
            </w:r>
          </w:p>
          <w:p w14:paraId="1CB49732"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 xml:space="preserve">Pfizer </w:t>
            </w:r>
            <w:r w:rsidRPr="00A16CD0">
              <w:rPr>
                <w:rFonts w:ascii="Times New Roman" w:hAnsi="Times New Roman"/>
              </w:rPr>
              <w:t>NV/SA</w:t>
            </w:r>
          </w:p>
          <w:p w14:paraId="5719285D"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Tél/Tel: +32 (0)2 554 62 11</w:t>
            </w:r>
          </w:p>
          <w:p w14:paraId="7B2E5165" w14:textId="77777777" w:rsidR="00BA0E79" w:rsidRPr="00A16CD0" w:rsidRDefault="00BA0E79" w:rsidP="00506A04">
            <w:pPr>
              <w:widowControl/>
              <w:rPr>
                <w:rFonts w:ascii="Times New Roman" w:eastAsia="TimesNewRoman" w:hAnsi="Times New Roman"/>
              </w:rPr>
            </w:pPr>
          </w:p>
        </w:tc>
        <w:tc>
          <w:tcPr>
            <w:tcW w:w="4788" w:type="dxa"/>
            <w:shd w:val="clear" w:color="auto" w:fill="auto"/>
          </w:tcPr>
          <w:p w14:paraId="3AF5992F"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Kύπρος</w:t>
            </w:r>
          </w:p>
          <w:p w14:paraId="7B0285E6"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Eλλάς A.E. (Cyprus Branch)</w:t>
            </w:r>
          </w:p>
          <w:p w14:paraId="2AD7C2FD"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w:t>
            </w:r>
            <w:r w:rsidRPr="00A16CD0">
              <w:rPr>
                <w:rFonts w:ascii="Times New Roman" w:eastAsia="TimesNewRoman,Bold" w:hAnsi="Times New Roman"/>
              </w:rPr>
              <w:sym w:font="Symbol" w:char="F068"/>
            </w:r>
            <w:r w:rsidRPr="00A16CD0">
              <w:rPr>
                <w:rFonts w:ascii="Times New Roman" w:eastAsia="TimesNewRoman,Bold" w:hAnsi="Times New Roman"/>
              </w:rPr>
              <w:sym w:font="Symbol" w:char="F06C"/>
            </w:r>
            <w:r w:rsidRPr="00A16CD0">
              <w:rPr>
                <w:rFonts w:ascii="Times New Roman" w:eastAsia="TimesNewRoman" w:hAnsi="Times New Roman"/>
              </w:rPr>
              <w:t>: +357 22817690</w:t>
            </w:r>
          </w:p>
          <w:p w14:paraId="32603642" w14:textId="77777777" w:rsidR="00BA0E79" w:rsidRPr="00A16CD0" w:rsidRDefault="00BA0E79" w:rsidP="00506A04">
            <w:pPr>
              <w:widowControl/>
              <w:rPr>
                <w:rFonts w:ascii="Times New Roman" w:hAnsi="Times New Roman"/>
              </w:rPr>
            </w:pPr>
          </w:p>
        </w:tc>
      </w:tr>
      <w:tr w:rsidR="00BA0E79" w:rsidRPr="00F60460" w14:paraId="07EFA896" w14:textId="77777777" w:rsidTr="00506A04">
        <w:trPr>
          <w:cantSplit/>
        </w:trPr>
        <w:tc>
          <w:tcPr>
            <w:tcW w:w="4158" w:type="dxa"/>
            <w:shd w:val="clear" w:color="auto" w:fill="auto"/>
          </w:tcPr>
          <w:p w14:paraId="2FBA6B8F"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Česká republika</w:t>
            </w:r>
          </w:p>
          <w:p w14:paraId="1DBD1C13"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w:t>
            </w:r>
            <w:r w:rsidRPr="00A16CD0">
              <w:rPr>
                <w:rFonts w:ascii="Times New Roman" w:hAnsi="Times New Roman"/>
              </w:rPr>
              <w:t>, spol.</w:t>
            </w:r>
            <w:r w:rsidRPr="00A16CD0">
              <w:rPr>
                <w:rFonts w:ascii="Times New Roman" w:eastAsia="TimesNewRoman" w:hAnsi="Times New Roman"/>
              </w:rPr>
              <w:t xml:space="preserve"> s r.o.</w:t>
            </w:r>
          </w:p>
          <w:p w14:paraId="7AEAD78C"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+420 283 004 111</w:t>
            </w:r>
          </w:p>
          <w:p w14:paraId="1E5BFD1D" w14:textId="77777777" w:rsidR="00BA0E79" w:rsidRPr="00A16CD0" w:rsidRDefault="00BA0E79" w:rsidP="00506A04">
            <w:pPr>
              <w:widowControl/>
              <w:rPr>
                <w:rFonts w:ascii="Times New Roman" w:hAnsi="Times New Roman"/>
              </w:rPr>
            </w:pPr>
          </w:p>
        </w:tc>
        <w:tc>
          <w:tcPr>
            <w:tcW w:w="4788" w:type="dxa"/>
            <w:shd w:val="clear" w:color="auto" w:fill="auto"/>
          </w:tcPr>
          <w:p w14:paraId="4A0A00B3"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Magyarország</w:t>
            </w:r>
          </w:p>
          <w:p w14:paraId="7CC9B195"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Kft.</w:t>
            </w:r>
          </w:p>
          <w:p w14:paraId="60AEAA2C"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w:t>
            </w:r>
            <w:r w:rsidR="007738E5">
              <w:rPr>
                <w:rFonts w:ascii="Times New Roman" w:eastAsia="TimesNewRoman" w:hAnsi="Times New Roman"/>
              </w:rPr>
              <w:t xml:space="preserve"> </w:t>
            </w:r>
            <w:r w:rsidRPr="00A16CD0">
              <w:rPr>
                <w:rFonts w:ascii="Times New Roman" w:eastAsia="TimesNewRoman" w:hAnsi="Times New Roman"/>
              </w:rPr>
              <w:t>36 1 488 37 00</w:t>
            </w:r>
          </w:p>
          <w:p w14:paraId="27C33C5E" w14:textId="77777777" w:rsidR="00BA0E79" w:rsidRPr="00A16CD0" w:rsidRDefault="00BA0E79" w:rsidP="00506A04">
            <w:pPr>
              <w:widowControl/>
              <w:rPr>
                <w:rFonts w:ascii="Times New Roman" w:hAnsi="Times New Roman"/>
              </w:rPr>
            </w:pPr>
          </w:p>
        </w:tc>
      </w:tr>
      <w:tr w:rsidR="00BA0E79" w:rsidRPr="00F60460" w14:paraId="050D57F4" w14:textId="77777777" w:rsidTr="00506A04">
        <w:trPr>
          <w:cantSplit/>
        </w:trPr>
        <w:tc>
          <w:tcPr>
            <w:tcW w:w="4158" w:type="dxa"/>
            <w:shd w:val="clear" w:color="auto" w:fill="auto"/>
          </w:tcPr>
          <w:p w14:paraId="10232C15"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Danmark</w:t>
            </w:r>
          </w:p>
          <w:p w14:paraId="305ECDD6"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ApS</w:t>
            </w:r>
          </w:p>
          <w:p w14:paraId="400B6B06" w14:textId="0158B19E"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Tlf</w:t>
            </w:r>
            <w:r w:rsidR="00B474D5">
              <w:rPr>
                <w:rFonts w:ascii="Times New Roman" w:eastAsia="TimesNewRoman" w:hAnsi="Times New Roman"/>
              </w:rPr>
              <w:t>.</w:t>
            </w:r>
            <w:r w:rsidRPr="00A16CD0">
              <w:rPr>
                <w:rFonts w:ascii="Times New Roman" w:eastAsia="TimesNewRoman" w:hAnsi="Times New Roman"/>
              </w:rPr>
              <w:t>: +45 44 20 11</w:t>
            </w:r>
            <w:r w:rsidR="007738E5">
              <w:rPr>
                <w:rFonts w:ascii="Times New Roman" w:eastAsia="TimesNewRoman" w:hAnsi="Times New Roman"/>
              </w:rPr>
              <w:t xml:space="preserve"> </w:t>
            </w:r>
            <w:r w:rsidRPr="00A16CD0">
              <w:rPr>
                <w:rFonts w:ascii="Times New Roman" w:eastAsia="TimesNewRoman" w:hAnsi="Times New Roman"/>
              </w:rPr>
              <w:t>00</w:t>
            </w:r>
          </w:p>
          <w:p w14:paraId="1115AEAF" w14:textId="77777777" w:rsidR="00BA0E79" w:rsidRPr="00A16CD0" w:rsidRDefault="00BA0E79" w:rsidP="00506A04">
            <w:pPr>
              <w:widowControl/>
              <w:rPr>
                <w:rFonts w:ascii="Times New Roman" w:hAnsi="Times New Roman"/>
              </w:rPr>
            </w:pPr>
          </w:p>
        </w:tc>
        <w:tc>
          <w:tcPr>
            <w:tcW w:w="4788" w:type="dxa"/>
            <w:shd w:val="clear" w:color="auto" w:fill="auto"/>
          </w:tcPr>
          <w:p w14:paraId="07DB1977"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Malta</w:t>
            </w:r>
          </w:p>
          <w:p w14:paraId="7B6C8BF2" w14:textId="77777777" w:rsidR="00BA0E79" w:rsidRPr="00A16CD0" w:rsidRDefault="00BA0E79" w:rsidP="00506A04">
            <w:pPr>
              <w:widowControl/>
              <w:rPr>
                <w:rFonts w:ascii="Times New Roman" w:eastAsia="TimesNewRoman" w:hAnsi="Times New Roman"/>
              </w:rPr>
            </w:pPr>
            <w:r w:rsidRPr="00A16CD0">
              <w:rPr>
                <w:rFonts w:ascii="Times New Roman" w:hAnsi="Times New Roman"/>
              </w:rPr>
              <w:t xml:space="preserve">Drugsales </w:t>
            </w:r>
            <w:r w:rsidRPr="00A16CD0">
              <w:rPr>
                <w:rFonts w:ascii="Times New Roman" w:eastAsia="TimesNewRoman" w:hAnsi="Times New Roman"/>
              </w:rPr>
              <w:t>Ltd</w:t>
            </w:r>
          </w:p>
          <w:p w14:paraId="0E41B914"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+356 21</w:t>
            </w:r>
            <w:r w:rsidRPr="00A16CD0">
              <w:rPr>
                <w:rFonts w:ascii="Times New Roman" w:hAnsi="Times New Roman"/>
              </w:rPr>
              <w:t>419070/1/2</w:t>
            </w:r>
          </w:p>
          <w:p w14:paraId="0A65F8FA" w14:textId="77777777" w:rsidR="00BA0E79" w:rsidRPr="00A16CD0" w:rsidRDefault="00BA0E79" w:rsidP="00506A04">
            <w:pPr>
              <w:widowControl/>
              <w:rPr>
                <w:rFonts w:ascii="Times New Roman" w:hAnsi="Times New Roman"/>
              </w:rPr>
            </w:pPr>
          </w:p>
        </w:tc>
      </w:tr>
      <w:tr w:rsidR="00BA0E79" w:rsidRPr="00F60460" w14:paraId="748429A2" w14:textId="77777777" w:rsidTr="00506A04">
        <w:trPr>
          <w:cantSplit/>
        </w:trPr>
        <w:tc>
          <w:tcPr>
            <w:tcW w:w="4158" w:type="dxa"/>
            <w:shd w:val="clear" w:color="auto" w:fill="auto"/>
          </w:tcPr>
          <w:p w14:paraId="6BF3E9E7"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lastRenderedPageBreak/>
              <w:t>Deutschland</w:t>
            </w:r>
          </w:p>
          <w:p w14:paraId="076140F3"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PHARMA</w:t>
            </w:r>
            <w:r w:rsidRPr="00A16CD0">
              <w:rPr>
                <w:rFonts w:ascii="Times New Roman" w:hAnsi="Times New Roman"/>
                <w:lang w:val="de-DE"/>
              </w:rPr>
              <w:t xml:space="preserve"> </w:t>
            </w:r>
            <w:r w:rsidRPr="00A16CD0">
              <w:rPr>
                <w:rFonts w:ascii="Times New Roman" w:eastAsia="TimesNewRoman" w:hAnsi="Times New Roman"/>
              </w:rPr>
              <w:t>GmbH</w:t>
            </w:r>
          </w:p>
          <w:p w14:paraId="390571D6"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+49 (0)</w:t>
            </w:r>
            <w:r w:rsidRPr="00A16CD0">
              <w:rPr>
                <w:rFonts w:ascii="Times New Roman" w:hAnsi="Times New Roman"/>
                <w:lang w:val="sv-SE"/>
              </w:rPr>
              <w:t>30 550055-51000</w:t>
            </w:r>
          </w:p>
          <w:p w14:paraId="20ECE421" w14:textId="77777777" w:rsidR="00BA0E79" w:rsidRPr="00A16CD0" w:rsidRDefault="00BA0E79" w:rsidP="00506A04">
            <w:pPr>
              <w:widowControl/>
              <w:rPr>
                <w:rFonts w:ascii="Times New Roman" w:hAnsi="Times New Roman"/>
              </w:rPr>
            </w:pPr>
          </w:p>
        </w:tc>
        <w:tc>
          <w:tcPr>
            <w:tcW w:w="4788" w:type="dxa"/>
            <w:shd w:val="clear" w:color="auto" w:fill="auto"/>
          </w:tcPr>
          <w:p w14:paraId="3AF8811B"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Nederland</w:t>
            </w:r>
          </w:p>
          <w:p w14:paraId="6A7DCEB5"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bv</w:t>
            </w:r>
          </w:p>
          <w:p w14:paraId="776FF727"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+31 (0)</w:t>
            </w:r>
            <w:r w:rsidR="0088217C">
              <w:rPr>
                <w:rFonts w:ascii="Times New Roman" w:eastAsia="TimesNewRoman" w:hAnsi="Times New Roman"/>
              </w:rPr>
              <w:t>800 63 34 636</w:t>
            </w:r>
          </w:p>
          <w:p w14:paraId="1D69879C" w14:textId="77777777" w:rsidR="00BA0E79" w:rsidRPr="00A16CD0" w:rsidRDefault="00BA0E79" w:rsidP="00506A04">
            <w:pPr>
              <w:widowControl/>
              <w:rPr>
                <w:rFonts w:ascii="Times New Roman" w:hAnsi="Times New Roman"/>
              </w:rPr>
            </w:pPr>
          </w:p>
        </w:tc>
      </w:tr>
      <w:tr w:rsidR="00BA0E79" w:rsidRPr="00F60460" w14:paraId="59C67BBF" w14:textId="77777777" w:rsidTr="00506A04">
        <w:trPr>
          <w:cantSplit/>
        </w:trPr>
        <w:tc>
          <w:tcPr>
            <w:tcW w:w="4158" w:type="dxa"/>
            <w:shd w:val="clear" w:color="auto" w:fill="auto"/>
          </w:tcPr>
          <w:p w14:paraId="0D3E3460"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България</w:t>
            </w:r>
          </w:p>
          <w:p w14:paraId="266BF88E"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Пфайзер Люксембург САРЛ,</w:t>
            </w:r>
          </w:p>
          <w:p w14:paraId="172B2379"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Клон България</w:t>
            </w:r>
          </w:p>
          <w:p w14:paraId="6CFCA229"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Teл</w:t>
            </w:r>
            <w:r w:rsidR="007738E5">
              <w:rPr>
                <w:rFonts w:ascii="Times New Roman" w:eastAsia="TimesNewRoman" w:hAnsi="Times New Roman"/>
              </w:rPr>
              <w:t>.</w:t>
            </w:r>
            <w:r w:rsidRPr="00A16CD0">
              <w:rPr>
                <w:rFonts w:ascii="Times New Roman" w:eastAsia="TimesNewRoman" w:hAnsi="Times New Roman"/>
              </w:rPr>
              <w:t>: +359 2 970 4333</w:t>
            </w:r>
          </w:p>
          <w:p w14:paraId="32E5EA7E" w14:textId="77777777" w:rsidR="00BA0E79" w:rsidRPr="00A16CD0" w:rsidRDefault="00BA0E79" w:rsidP="00506A04">
            <w:pPr>
              <w:widowControl/>
              <w:rPr>
                <w:rFonts w:ascii="Times New Roman" w:hAnsi="Times New Roman"/>
              </w:rPr>
            </w:pPr>
          </w:p>
        </w:tc>
        <w:tc>
          <w:tcPr>
            <w:tcW w:w="4788" w:type="dxa"/>
            <w:shd w:val="clear" w:color="auto" w:fill="auto"/>
          </w:tcPr>
          <w:p w14:paraId="3961B752"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Norge</w:t>
            </w:r>
          </w:p>
          <w:p w14:paraId="74C28C91"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AS</w:t>
            </w:r>
          </w:p>
          <w:p w14:paraId="66979753"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Tlf: +47 67 52 61 00</w:t>
            </w:r>
          </w:p>
          <w:p w14:paraId="609546B5" w14:textId="77777777" w:rsidR="00BA0E79" w:rsidRPr="00A16CD0" w:rsidRDefault="00BA0E79" w:rsidP="00506A04">
            <w:pPr>
              <w:widowControl/>
              <w:rPr>
                <w:rFonts w:ascii="Times New Roman" w:hAnsi="Times New Roman"/>
              </w:rPr>
            </w:pPr>
          </w:p>
        </w:tc>
      </w:tr>
      <w:tr w:rsidR="00BA0E79" w:rsidRPr="00F60460" w14:paraId="456548C3" w14:textId="77777777" w:rsidTr="00506A04">
        <w:trPr>
          <w:cantSplit/>
        </w:trPr>
        <w:tc>
          <w:tcPr>
            <w:tcW w:w="4158" w:type="dxa"/>
            <w:shd w:val="clear" w:color="auto" w:fill="auto"/>
          </w:tcPr>
          <w:p w14:paraId="2E86411A"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Eesti</w:t>
            </w:r>
          </w:p>
          <w:p w14:paraId="6F7C5FCE"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Luxembourg SARL Eesti filiaal</w:t>
            </w:r>
          </w:p>
          <w:p w14:paraId="1174481E"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+372 666 7500</w:t>
            </w:r>
          </w:p>
          <w:p w14:paraId="34FF5821" w14:textId="77777777" w:rsidR="00BA0E79" w:rsidRPr="00A16CD0" w:rsidRDefault="00BA0E79" w:rsidP="00506A04">
            <w:pPr>
              <w:widowControl/>
              <w:rPr>
                <w:rFonts w:ascii="Times New Roman" w:hAnsi="Times New Roman"/>
              </w:rPr>
            </w:pPr>
          </w:p>
        </w:tc>
        <w:tc>
          <w:tcPr>
            <w:tcW w:w="4788" w:type="dxa"/>
            <w:shd w:val="clear" w:color="auto" w:fill="auto"/>
          </w:tcPr>
          <w:p w14:paraId="42E4AA6D"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Österreich</w:t>
            </w:r>
          </w:p>
          <w:p w14:paraId="596AF987"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Corporation Austria Ges.m.b.H.</w:t>
            </w:r>
          </w:p>
          <w:p w14:paraId="77F39964"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+43 (0)1 521 15-0</w:t>
            </w:r>
          </w:p>
          <w:p w14:paraId="57507A00" w14:textId="77777777" w:rsidR="00BA0E79" w:rsidRPr="00A16CD0" w:rsidRDefault="00BA0E79" w:rsidP="00506A04">
            <w:pPr>
              <w:widowControl/>
              <w:rPr>
                <w:rFonts w:ascii="Times New Roman" w:hAnsi="Times New Roman"/>
              </w:rPr>
            </w:pPr>
          </w:p>
        </w:tc>
      </w:tr>
      <w:tr w:rsidR="00BA0E79" w:rsidRPr="00F60460" w14:paraId="44BA1E0E" w14:textId="77777777" w:rsidTr="00506A04">
        <w:trPr>
          <w:cantSplit/>
        </w:trPr>
        <w:tc>
          <w:tcPr>
            <w:tcW w:w="4158" w:type="dxa"/>
            <w:shd w:val="clear" w:color="auto" w:fill="auto"/>
          </w:tcPr>
          <w:p w14:paraId="59A536DB"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Ελλάδα</w:t>
            </w:r>
          </w:p>
          <w:p w14:paraId="32365D7B"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Eλλάς A.E.</w:t>
            </w:r>
          </w:p>
          <w:p w14:paraId="6AACFD11"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Τηλ: +30 210 6785800</w:t>
            </w:r>
          </w:p>
          <w:p w14:paraId="097556A9" w14:textId="77777777" w:rsidR="00BA0E79" w:rsidRPr="00A16CD0" w:rsidRDefault="00BA0E79" w:rsidP="00506A04">
            <w:pPr>
              <w:widowControl/>
              <w:rPr>
                <w:rFonts w:ascii="Times New Roman" w:hAnsi="Times New Roman"/>
              </w:rPr>
            </w:pPr>
          </w:p>
        </w:tc>
        <w:tc>
          <w:tcPr>
            <w:tcW w:w="4788" w:type="dxa"/>
            <w:shd w:val="clear" w:color="auto" w:fill="auto"/>
          </w:tcPr>
          <w:p w14:paraId="758A50EE"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Polska</w:t>
            </w:r>
          </w:p>
          <w:p w14:paraId="564FBBDC"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Polska Sp. z o.o.</w:t>
            </w:r>
          </w:p>
          <w:p w14:paraId="4BE6DB6F"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+48 22 335 61 00</w:t>
            </w:r>
          </w:p>
          <w:p w14:paraId="727D1C78" w14:textId="77777777" w:rsidR="00BA0E79" w:rsidRPr="00A16CD0" w:rsidRDefault="00BA0E79" w:rsidP="00506A04">
            <w:pPr>
              <w:widowControl/>
              <w:rPr>
                <w:rFonts w:ascii="Times New Roman" w:hAnsi="Times New Roman"/>
              </w:rPr>
            </w:pPr>
          </w:p>
        </w:tc>
      </w:tr>
      <w:tr w:rsidR="00BA0E79" w:rsidRPr="00F60460" w14:paraId="2227F348" w14:textId="77777777" w:rsidTr="00506A04">
        <w:trPr>
          <w:cantSplit/>
        </w:trPr>
        <w:tc>
          <w:tcPr>
            <w:tcW w:w="4158" w:type="dxa"/>
            <w:shd w:val="clear" w:color="auto" w:fill="auto"/>
          </w:tcPr>
          <w:p w14:paraId="331FDFAB" w14:textId="77777777" w:rsidR="00BA0E79" w:rsidRPr="00A16CD0" w:rsidRDefault="00BA0E79" w:rsidP="00506A04">
            <w:pPr>
              <w:keepNext/>
              <w:widowControl/>
              <w:rPr>
                <w:rFonts w:ascii="Times New Roman" w:eastAsia="TimesNewRoman,Bold" w:hAnsi="Times New Roman"/>
                <w:b/>
                <w:bCs/>
              </w:rPr>
            </w:pPr>
            <w:r w:rsidRPr="00A16CD0">
              <w:rPr>
                <w:rFonts w:ascii="Times New Roman" w:eastAsia="TimesNewRoman,Bold" w:hAnsi="Times New Roman"/>
                <w:b/>
                <w:bCs/>
              </w:rPr>
              <w:t>España</w:t>
            </w:r>
          </w:p>
          <w:p w14:paraId="68D48221"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S.L.</w:t>
            </w:r>
          </w:p>
          <w:p w14:paraId="3B91121E"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+34 91 490 99 00</w:t>
            </w:r>
          </w:p>
          <w:p w14:paraId="4770D27A" w14:textId="77777777" w:rsidR="00BA0E79" w:rsidRPr="00A16CD0" w:rsidRDefault="00BA0E79" w:rsidP="00506A04">
            <w:pPr>
              <w:widowControl/>
              <w:rPr>
                <w:rFonts w:ascii="Times New Roman" w:hAnsi="Times New Roman"/>
              </w:rPr>
            </w:pPr>
          </w:p>
        </w:tc>
        <w:tc>
          <w:tcPr>
            <w:tcW w:w="4788" w:type="dxa"/>
            <w:shd w:val="clear" w:color="auto" w:fill="auto"/>
          </w:tcPr>
          <w:p w14:paraId="4E477A65"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Portugal</w:t>
            </w:r>
          </w:p>
          <w:p w14:paraId="272F59FF" w14:textId="77777777" w:rsidR="00BA0E79" w:rsidRPr="00A16CD0" w:rsidRDefault="00BA0E79" w:rsidP="00506A04">
            <w:pPr>
              <w:widowControl/>
              <w:ind w:right="-270"/>
              <w:rPr>
                <w:rFonts w:ascii="Times New Roman" w:eastAsia="TimesNewRoman" w:hAnsi="Times New Roman"/>
              </w:rPr>
            </w:pPr>
            <w:r w:rsidRPr="00A16CD0">
              <w:rPr>
                <w:rFonts w:ascii="Times New Roman" w:hAnsi="Times New Roman"/>
                <w:lang w:val="fi-FI"/>
              </w:rPr>
              <w:t xml:space="preserve">Laboratórios Pfizer, </w:t>
            </w:r>
            <w:r w:rsidRPr="00A16CD0">
              <w:rPr>
                <w:rFonts w:ascii="Times New Roman" w:eastAsia="TimesNewRoman" w:hAnsi="Times New Roman"/>
              </w:rPr>
              <w:t>Lda.</w:t>
            </w:r>
          </w:p>
          <w:p w14:paraId="5E9C554A"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+351 21 423 5500</w:t>
            </w:r>
          </w:p>
          <w:p w14:paraId="2E80E6EE" w14:textId="77777777" w:rsidR="00BA0E79" w:rsidRPr="00A16CD0" w:rsidRDefault="00BA0E79" w:rsidP="00506A04">
            <w:pPr>
              <w:widowControl/>
              <w:rPr>
                <w:rFonts w:ascii="Times New Roman" w:hAnsi="Times New Roman"/>
              </w:rPr>
            </w:pPr>
          </w:p>
        </w:tc>
      </w:tr>
      <w:tr w:rsidR="00BA0E79" w:rsidRPr="00F60460" w14:paraId="4C3C0F9C" w14:textId="77777777" w:rsidTr="00506A04">
        <w:trPr>
          <w:cantSplit/>
        </w:trPr>
        <w:tc>
          <w:tcPr>
            <w:tcW w:w="4158" w:type="dxa"/>
            <w:shd w:val="clear" w:color="auto" w:fill="auto"/>
          </w:tcPr>
          <w:p w14:paraId="71ACDB2F"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France</w:t>
            </w:r>
          </w:p>
          <w:p w14:paraId="0F61859A"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w:t>
            </w:r>
          </w:p>
          <w:p w14:paraId="2B4F0B3C"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Tél: +33 (0)1 58 07 34 40</w:t>
            </w:r>
          </w:p>
          <w:p w14:paraId="126ECFAC" w14:textId="77777777" w:rsidR="00BA0E79" w:rsidRPr="00A16CD0" w:rsidRDefault="00BA0E79" w:rsidP="00506A04">
            <w:pPr>
              <w:widowControl/>
              <w:rPr>
                <w:rFonts w:ascii="Times New Roman" w:hAnsi="Times New Roman"/>
              </w:rPr>
            </w:pPr>
          </w:p>
        </w:tc>
        <w:tc>
          <w:tcPr>
            <w:tcW w:w="4788" w:type="dxa"/>
            <w:shd w:val="clear" w:color="auto" w:fill="auto"/>
          </w:tcPr>
          <w:p w14:paraId="4021A8EA"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România</w:t>
            </w:r>
          </w:p>
          <w:p w14:paraId="6659F205"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 xml:space="preserve">Pfizer </w:t>
            </w:r>
            <w:r w:rsidRPr="00A16CD0">
              <w:rPr>
                <w:rFonts w:ascii="Times New Roman" w:hAnsi="Times New Roman"/>
                <w:lang w:val="pt-PT"/>
              </w:rPr>
              <w:t>Romania</w:t>
            </w:r>
            <w:r w:rsidRPr="00A16CD0">
              <w:rPr>
                <w:rFonts w:ascii="Times New Roman" w:hAnsi="Times New Roman"/>
              </w:rPr>
              <w:t xml:space="preserve"> </w:t>
            </w:r>
            <w:r w:rsidRPr="00A16CD0">
              <w:rPr>
                <w:rFonts w:ascii="Times New Roman" w:eastAsia="TimesNewRoman" w:hAnsi="Times New Roman"/>
              </w:rPr>
              <w:t>S.R.L</w:t>
            </w:r>
          </w:p>
          <w:p w14:paraId="23A6A1EE"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+40 (0) 21 207 28 00</w:t>
            </w:r>
          </w:p>
          <w:p w14:paraId="4A9EE175" w14:textId="77777777" w:rsidR="00BA0E79" w:rsidRPr="00A16CD0" w:rsidRDefault="00BA0E79" w:rsidP="00506A04">
            <w:pPr>
              <w:widowControl/>
              <w:rPr>
                <w:rFonts w:ascii="Times New Roman" w:hAnsi="Times New Roman"/>
              </w:rPr>
            </w:pPr>
          </w:p>
        </w:tc>
      </w:tr>
      <w:tr w:rsidR="00BA0E79" w:rsidRPr="00F60460" w14:paraId="0F2DAAA5" w14:textId="77777777" w:rsidTr="00506A04">
        <w:trPr>
          <w:cantSplit/>
        </w:trPr>
        <w:tc>
          <w:tcPr>
            <w:tcW w:w="4158" w:type="dxa"/>
            <w:shd w:val="clear" w:color="auto" w:fill="auto"/>
          </w:tcPr>
          <w:p w14:paraId="372F9FCD"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Hrvatska</w:t>
            </w:r>
          </w:p>
          <w:p w14:paraId="391243EE"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Croatia d.o.o.</w:t>
            </w:r>
          </w:p>
          <w:p w14:paraId="0CC4CDBE"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+385 1 3908 777</w:t>
            </w:r>
          </w:p>
          <w:p w14:paraId="7515A20D" w14:textId="77777777" w:rsidR="00BA0E79" w:rsidRPr="00A16CD0" w:rsidRDefault="00BA0E79" w:rsidP="00506A04">
            <w:pPr>
              <w:widowControl/>
              <w:rPr>
                <w:rFonts w:ascii="Times New Roman" w:hAnsi="Times New Roman"/>
              </w:rPr>
            </w:pPr>
          </w:p>
        </w:tc>
        <w:tc>
          <w:tcPr>
            <w:tcW w:w="4788" w:type="dxa"/>
            <w:shd w:val="clear" w:color="auto" w:fill="auto"/>
          </w:tcPr>
          <w:p w14:paraId="59F6B71F"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Slovenija</w:t>
            </w:r>
          </w:p>
          <w:p w14:paraId="68DBF767" w14:textId="77777777" w:rsidR="00BA0E79" w:rsidRPr="00A16CD0" w:rsidRDefault="00BA0E79" w:rsidP="00506A04">
            <w:pPr>
              <w:widowControl/>
              <w:rPr>
                <w:rFonts w:ascii="Times New Roman" w:eastAsia="TimesNewRoman,Italic" w:hAnsi="Times New Roman"/>
                <w:i/>
                <w:iCs/>
              </w:rPr>
            </w:pPr>
            <w:r w:rsidRPr="00A16CD0">
              <w:rPr>
                <w:rFonts w:ascii="Times New Roman" w:eastAsia="TimesNewRoman" w:hAnsi="Times New Roman"/>
              </w:rPr>
              <w:t>Pfizer Luxembourg SARL</w:t>
            </w:r>
          </w:p>
          <w:p w14:paraId="59AF0DC6"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podružnica za svetovanje s področja farmacevtske dejavnosti, Ljubljana</w:t>
            </w:r>
          </w:p>
          <w:p w14:paraId="2BB0393A"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+386 (0)1 52 11 400</w:t>
            </w:r>
          </w:p>
          <w:p w14:paraId="229026CF" w14:textId="77777777" w:rsidR="00BA0E79" w:rsidRPr="00A16CD0" w:rsidRDefault="00BA0E79" w:rsidP="00506A04">
            <w:pPr>
              <w:widowControl/>
              <w:rPr>
                <w:rFonts w:ascii="Times New Roman" w:hAnsi="Times New Roman"/>
              </w:rPr>
            </w:pPr>
          </w:p>
        </w:tc>
      </w:tr>
      <w:tr w:rsidR="00BA0E79" w:rsidRPr="00F60460" w14:paraId="378AE4A6" w14:textId="77777777" w:rsidTr="00506A04">
        <w:trPr>
          <w:cantSplit/>
        </w:trPr>
        <w:tc>
          <w:tcPr>
            <w:tcW w:w="4158" w:type="dxa"/>
            <w:shd w:val="clear" w:color="auto" w:fill="auto"/>
          </w:tcPr>
          <w:p w14:paraId="65F82E71"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Ireland</w:t>
            </w:r>
          </w:p>
          <w:p w14:paraId="7D1A8F39" w14:textId="7F794481"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Healthcare Ireland</w:t>
            </w:r>
            <w:r w:rsidR="00B474D5">
              <w:rPr>
                <w:rFonts w:ascii="Times New Roman" w:eastAsia="TimesNewRoman" w:hAnsi="Times New Roman"/>
              </w:rPr>
              <w:t xml:space="preserve"> Unlimited Company</w:t>
            </w:r>
          </w:p>
          <w:p w14:paraId="7EF5664E"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1800 633 363 (toll free)</w:t>
            </w:r>
          </w:p>
          <w:p w14:paraId="2762AE0E"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+44 (0)1304 616161</w:t>
            </w:r>
          </w:p>
          <w:p w14:paraId="0FBC2256" w14:textId="77777777" w:rsidR="00BA0E79" w:rsidRPr="00A16CD0" w:rsidRDefault="00BA0E79" w:rsidP="00506A04">
            <w:pPr>
              <w:widowControl/>
              <w:rPr>
                <w:rFonts w:ascii="Times New Roman" w:hAnsi="Times New Roman"/>
              </w:rPr>
            </w:pPr>
          </w:p>
        </w:tc>
        <w:tc>
          <w:tcPr>
            <w:tcW w:w="4788" w:type="dxa"/>
            <w:shd w:val="clear" w:color="auto" w:fill="auto"/>
          </w:tcPr>
          <w:p w14:paraId="3F7DE927"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Slovenská republika</w:t>
            </w:r>
          </w:p>
          <w:p w14:paraId="5C664193"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Luxembourg SARL, organizačná zložka</w:t>
            </w:r>
          </w:p>
          <w:p w14:paraId="59EE9E62"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+ 421 2 3355 5500</w:t>
            </w:r>
          </w:p>
          <w:p w14:paraId="323F0AB7" w14:textId="77777777" w:rsidR="00BA0E79" w:rsidRPr="00A16CD0" w:rsidRDefault="00BA0E79" w:rsidP="00506A04">
            <w:pPr>
              <w:widowControl/>
              <w:rPr>
                <w:rFonts w:ascii="Times New Roman" w:hAnsi="Times New Roman"/>
              </w:rPr>
            </w:pPr>
          </w:p>
        </w:tc>
      </w:tr>
      <w:tr w:rsidR="00BA0E79" w:rsidRPr="00F60460" w14:paraId="6822A19F" w14:textId="77777777" w:rsidTr="00506A04">
        <w:trPr>
          <w:cantSplit/>
        </w:trPr>
        <w:tc>
          <w:tcPr>
            <w:tcW w:w="4158" w:type="dxa"/>
            <w:shd w:val="clear" w:color="auto" w:fill="auto"/>
          </w:tcPr>
          <w:p w14:paraId="667289CC" w14:textId="77777777" w:rsidR="00BA0E79" w:rsidRPr="00A16CD0" w:rsidRDefault="00BA0E79" w:rsidP="00506A04">
            <w:pPr>
              <w:keepNext/>
              <w:keepLines/>
              <w:widowControl/>
              <w:rPr>
                <w:rFonts w:ascii="Times New Roman" w:eastAsia="TimesNewRoman,Bold" w:hAnsi="Times New Roman"/>
                <w:b/>
                <w:bCs/>
              </w:rPr>
            </w:pPr>
            <w:r w:rsidRPr="00A16CD0">
              <w:rPr>
                <w:rFonts w:ascii="Times New Roman" w:eastAsia="TimesNewRoman,Bold" w:hAnsi="Times New Roman"/>
                <w:b/>
                <w:bCs/>
              </w:rPr>
              <w:t>Ísland</w:t>
            </w:r>
          </w:p>
          <w:p w14:paraId="531D3A9D" w14:textId="77777777" w:rsidR="00BA0E79" w:rsidRPr="00A16CD0" w:rsidRDefault="00BA0E79" w:rsidP="00506A04">
            <w:pPr>
              <w:keepNext/>
              <w:keepLines/>
              <w:widowControl/>
              <w:rPr>
                <w:rFonts w:ascii="Times New Roman" w:eastAsia="TimesNewRoman" w:hAnsi="Times New Roman"/>
              </w:rPr>
            </w:pPr>
            <w:r w:rsidRPr="00A16CD0">
              <w:rPr>
                <w:rFonts w:ascii="Times New Roman" w:eastAsia="TimesNewRoman" w:hAnsi="Times New Roman"/>
              </w:rPr>
              <w:t>Icepharma hf.</w:t>
            </w:r>
          </w:p>
          <w:p w14:paraId="235E7B45" w14:textId="77777777" w:rsidR="00BA0E79" w:rsidRPr="00A16CD0" w:rsidRDefault="00BA0E79" w:rsidP="00506A04">
            <w:pPr>
              <w:keepNext/>
              <w:keepLines/>
              <w:widowControl/>
              <w:rPr>
                <w:rFonts w:ascii="Times New Roman" w:eastAsia="TimesNewRoman" w:hAnsi="Times New Roman"/>
              </w:rPr>
            </w:pPr>
            <w:r w:rsidRPr="00A16CD0">
              <w:rPr>
                <w:rFonts w:ascii="Times New Roman" w:eastAsia="TimesNewRoman" w:hAnsi="Times New Roman"/>
              </w:rPr>
              <w:t>Sími: +354 540 8000</w:t>
            </w:r>
          </w:p>
          <w:p w14:paraId="7AABBE8F" w14:textId="77777777" w:rsidR="00BA0E79" w:rsidRPr="00A16CD0" w:rsidRDefault="00BA0E79" w:rsidP="00506A04">
            <w:pPr>
              <w:keepNext/>
              <w:keepLines/>
              <w:widowControl/>
              <w:rPr>
                <w:rFonts w:ascii="Times New Roman" w:hAnsi="Times New Roman"/>
              </w:rPr>
            </w:pPr>
          </w:p>
        </w:tc>
        <w:tc>
          <w:tcPr>
            <w:tcW w:w="4788" w:type="dxa"/>
            <w:shd w:val="clear" w:color="auto" w:fill="auto"/>
          </w:tcPr>
          <w:p w14:paraId="29BA7281" w14:textId="77777777" w:rsidR="00BA0E79" w:rsidRPr="00A16CD0" w:rsidRDefault="00BA0E79" w:rsidP="00506A04">
            <w:pPr>
              <w:keepNext/>
              <w:keepLines/>
              <w:widowControl/>
              <w:rPr>
                <w:rFonts w:ascii="Times New Roman" w:eastAsia="TimesNewRoman,Bold" w:hAnsi="Times New Roman"/>
                <w:b/>
                <w:bCs/>
              </w:rPr>
            </w:pPr>
            <w:r w:rsidRPr="00A16CD0">
              <w:rPr>
                <w:rFonts w:ascii="Times New Roman" w:eastAsia="TimesNewRoman,Bold" w:hAnsi="Times New Roman"/>
                <w:b/>
                <w:bCs/>
              </w:rPr>
              <w:t>Suomi/Finland</w:t>
            </w:r>
          </w:p>
          <w:p w14:paraId="70C790C2" w14:textId="77777777" w:rsidR="00BA0E79" w:rsidRPr="00A16CD0" w:rsidRDefault="00BA0E79" w:rsidP="00506A04">
            <w:pPr>
              <w:keepNext/>
              <w:keepLines/>
              <w:widowControl/>
              <w:rPr>
                <w:rFonts w:ascii="Times New Roman" w:eastAsia="TimesNewRoman" w:hAnsi="Times New Roman"/>
              </w:rPr>
            </w:pPr>
            <w:r w:rsidRPr="00A16CD0">
              <w:rPr>
                <w:rFonts w:ascii="Times New Roman" w:eastAsia="TimesNewRoman" w:hAnsi="Times New Roman"/>
              </w:rPr>
              <w:t>Pfizer</w:t>
            </w:r>
            <w:r w:rsidRPr="00A16CD0">
              <w:rPr>
                <w:rFonts w:ascii="Times New Roman" w:hAnsi="Times New Roman"/>
                <w:lang w:val="sv-FI"/>
              </w:rPr>
              <w:t xml:space="preserve"> </w:t>
            </w:r>
            <w:r w:rsidRPr="00A16CD0">
              <w:rPr>
                <w:rFonts w:ascii="Times New Roman" w:eastAsia="TimesNewRoman" w:hAnsi="Times New Roman"/>
              </w:rPr>
              <w:t>Oy</w:t>
            </w:r>
          </w:p>
          <w:p w14:paraId="330950C6" w14:textId="77777777" w:rsidR="00BA0E79" w:rsidRPr="00A16CD0" w:rsidRDefault="00BA0E79" w:rsidP="00506A04">
            <w:pPr>
              <w:keepNext/>
              <w:keepLines/>
              <w:widowControl/>
              <w:rPr>
                <w:rFonts w:ascii="Times New Roman" w:eastAsia="TimesNewRoman" w:hAnsi="Times New Roman"/>
              </w:rPr>
            </w:pPr>
            <w:r w:rsidRPr="00A16CD0">
              <w:rPr>
                <w:rFonts w:ascii="Times New Roman" w:eastAsia="TimesNewRoman" w:hAnsi="Times New Roman"/>
              </w:rPr>
              <w:t>Puh/Tel: +358 (0)9 430 040</w:t>
            </w:r>
          </w:p>
          <w:p w14:paraId="076C7DCC" w14:textId="77777777" w:rsidR="00BA0E79" w:rsidRPr="00A16CD0" w:rsidRDefault="00BA0E79" w:rsidP="00506A04">
            <w:pPr>
              <w:keepNext/>
              <w:keepLines/>
              <w:widowControl/>
              <w:rPr>
                <w:rFonts w:ascii="Times New Roman" w:hAnsi="Times New Roman"/>
              </w:rPr>
            </w:pPr>
          </w:p>
        </w:tc>
      </w:tr>
      <w:tr w:rsidR="00BA0E79" w:rsidRPr="00F60460" w14:paraId="3A1F75AC" w14:textId="77777777" w:rsidTr="00506A04">
        <w:trPr>
          <w:cantSplit/>
        </w:trPr>
        <w:tc>
          <w:tcPr>
            <w:tcW w:w="4158" w:type="dxa"/>
            <w:shd w:val="clear" w:color="auto" w:fill="auto"/>
          </w:tcPr>
          <w:p w14:paraId="139F388A"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Italia</w:t>
            </w:r>
          </w:p>
          <w:p w14:paraId="5E48CF90"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S.r.l.</w:t>
            </w:r>
          </w:p>
          <w:p w14:paraId="2A4FA174"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+39 06 33 18 21</w:t>
            </w:r>
          </w:p>
          <w:p w14:paraId="4BF1A652" w14:textId="77777777" w:rsidR="00BA0E79" w:rsidRPr="00A16CD0" w:rsidRDefault="00BA0E79" w:rsidP="00506A04">
            <w:pPr>
              <w:widowControl/>
              <w:rPr>
                <w:rFonts w:ascii="Times New Roman" w:hAnsi="Times New Roman"/>
              </w:rPr>
            </w:pPr>
          </w:p>
        </w:tc>
        <w:tc>
          <w:tcPr>
            <w:tcW w:w="4788" w:type="dxa"/>
            <w:shd w:val="clear" w:color="auto" w:fill="auto"/>
          </w:tcPr>
          <w:p w14:paraId="10868710"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Sverige</w:t>
            </w:r>
          </w:p>
          <w:p w14:paraId="13F81A2D"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AB</w:t>
            </w:r>
          </w:p>
          <w:p w14:paraId="3010EE04"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+46 (0)8 550 520 00</w:t>
            </w:r>
          </w:p>
          <w:p w14:paraId="1487D5BD" w14:textId="77777777" w:rsidR="00BA0E79" w:rsidRPr="00A16CD0" w:rsidRDefault="00BA0E79" w:rsidP="00506A04">
            <w:pPr>
              <w:widowControl/>
              <w:rPr>
                <w:rFonts w:ascii="Times New Roman" w:hAnsi="Times New Roman"/>
              </w:rPr>
            </w:pPr>
          </w:p>
        </w:tc>
      </w:tr>
      <w:tr w:rsidR="00BA0E79" w:rsidRPr="00F60460" w14:paraId="75026CFE" w14:textId="77777777" w:rsidTr="00506A04">
        <w:trPr>
          <w:cantSplit/>
        </w:trPr>
        <w:tc>
          <w:tcPr>
            <w:tcW w:w="4158" w:type="dxa"/>
            <w:shd w:val="clear" w:color="auto" w:fill="auto"/>
          </w:tcPr>
          <w:p w14:paraId="63F2224C"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Latvija</w:t>
            </w:r>
          </w:p>
          <w:p w14:paraId="5B1A9D24"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Luxembourg SARL filiāle Latvijā</w:t>
            </w:r>
          </w:p>
          <w:p w14:paraId="270B5E9F"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Tel: + 371 670 35 775</w:t>
            </w:r>
          </w:p>
          <w:p w14:paraId="7A39CCDB" w14:textId="77777777" w:rsidR="00BA0E79" w:rsidRPr="00A16CD0" w:rsidRDefault="00BA0E79" w:rsidP="00506A04">
            <w:pPr>
              <w:widowControl/>
              <w:rPr>
                <w:rFonts w:ascii="Times New Roman" w:eastAsia="TimesNewRoman,Bold" w:hAnsi="Times New Roman"/>
                <w:b/>
                <w:bCs/>
              </w:rPr>
            </w:pPr>
          </w:p>
        </w:tc>
        <w:tc>
          <w:tcPr>
            <w:tcW w:w="4788" w:type="dxa"/>
            <w:shd w:val="clear" w:color="auto" w:fill="auto"/>
          </w:tcPr>
          <w:p w14:paraId="5DB87B5C" w14:textId="3E200D5F" w:rsidR="00BA0E79" w:rsidRPr="00A16CD0" w:rsidRDefault="00BA0E79" w:rsidP="00506A04">
            <w:pPr>
              <w:widowControl/>
              <w:rPr>
                <w:rFonts w:ascii="Times New Roman" w:eastAsia="TimesNewRoman" w:hAnsi="Times New Roman"/>
              </w:rPr>
            </w:pPr>
          </w:p>
          <w:p w14:paraId="09614E38" w14:textId="77777777" w:rsidR="00BA0E79" w:rsidRPr="00A16CD0" w:rsidRDefault="00BA0E79" w:rsidP="00506A04">
            <w:pPr>
              <w:widowControl/>
              <w:rPr>
                <w:rFonts w:ascii="Times New Roman" w:eastAsia="TimesNewRoman,Bold" w:hAnsi="Times New Roman"/>
                <w:b/>
                <w:bCs/>
              </w:rPr>
            </w:pPr>
          </w:p>
        </w:tc>
      </w:tr>
      <w:tr w:rsidR="00BA0E79" w:rsidRPr="00F60460" w14:paraId="452BB28B" w14:textId="77777777" w:rsidTr="00506A04">
        <w:trPr>
          <w:cantSplit/>
        </w:trPr>
        <w:tc>
          <w:tcPr>
            <w:tcW w:w="4158" w:type="dxa"/>
            <w:shd w:val="clear" w:color="auto" w:fill="auto"/>
          </w:tcPr>
          <w:p w14:paraId="791C4461"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Bold" w:hAnsi="Times New Roman"/>
                <w:b/>
                <w:bCs/>
              </w:rPr>
              <w:t>Lietuva</w:t>
            </w:r>
          </w:p>
          <w:p w14:paraId="4C784409" w14:textId="77777777" w:rsidR="00BA0E79" w:rsidRPr="00A16CD0" w:rsidRDefault="00BA0E79" w:rsidP="00506A04">
            <w:pPr>
              <w:widowControl/>
              <w:rPr>
                <w:rFonts w:ascii="Times New Roman" w:eastAsia="TimesNewRoman" w:hAnsi="Times New Roman"/>
              </w:rPr>
            </w:pPr>
            <w:r w:rsidRPr="00A16CD0">
              <w:rPr>
                <w:rFonts w:ascii="Times New Roman" w:eastAsia="TimesNewRoman" w:hAnsi="Times New Roman"/>
              </w:rPr>
              <w:t>Pfizer Luxembourg SARL filialas Lietuvoje</w:t>
            </w:r>
          </w:p>
          <w:p w14:paraId="3CD6DE6B" w14:textId="77777777" w:rsidR="00BA0E79" w:rsidRPr="00A16CD0" w:rsidRDefault="00BA0E79" w:rsidP="00506A04">
            <w:pPr>
              <w:widowControl/>
              <w:rPr>
                <w:rFonts w:ascii="Times New Roman" w:eastAsia="TimesNewRoman,Bold" w:hAnsi="Times New Roman"/>
                <w:b/>
                <w:bCs/>
              </w:rPr>
            </w:pPr>
            <w:r w:rsidRPr="00A16CD0">
              <w:rPr>
                <w:rFonts w:ascii="Times New Roman" w:eastAsia="TimesNewRoman" w:hAnsi="Times New Roman"/>
              </w:rPr>
              <w:t>Tel: +370 5 251 4000</w:t>
            </w:r>
          </w:p>
        </w:tc>
        <w:tc>
          <w:tcPr>
            <w:tcW w:w="4788" w:type="dxa"/>
            <w:shd w:val="clear" w:color="auto" w:fill="auto"/>
          </w:tcPr>
          <w:p w14:paraId="1A1F7DD9" w14:textId="77777777" w:rsidR="00BA0E79" w:rsidRPr="00A16CD0" w:rsidRDefault="00BA0E79" w:rsidP="00506A04">
            <w:pPr>
              <w:widowControl/>
              <w:rPr>
                <w:rFonts w:ascii="Times New Roman" w:eastAsia="TimesNewRoman,Bold" w:hAnsi="Times New Roman"/>
                <w:b/>
                <w:bCs/>
              </w:rPr>
            </w:pPr>
          </w:p>
        </w:tc>
      </w:tr>
    </w:tbl>
    <w:p w14:paraId="386D47A0" w14:textId="77777777" w:rsidR="00A64F26" w:rsidRPr="00381DC2" w:rsidRDefault="00A64F26" w:rsidP="007F6E1B">
      <w:pPr>
        <w:rPr>
          <w:rFonts w:ascii="Times New Roman" w:eastAsia="Times New Roman" w:hAnsi="Times New Roman"/>
          <w:b/>
          <w:color w:val="000000"/>
        </w:rPr>
      </w:pPr>
    </w:p>
    <w:p w14:paraId="5361A9C1" w14:textId="77777777" w:rsidR="00E829D0" w:rsidRPr="00381DC2" w:rsidRDefault="009B0756" w:rsidP="00564363">
      <w:pPr>
        <w:keepNext/>
        <w:rPr>
          <w:rFonts w:ascii="Times New Roman" w:hAnsi="Times New Roman"/>
          <w:b/>
          <w:color w:val="000000"/>
        </w:rPr>
      </w:pPr>
      <w:r w:rsidRPr="00381DC2">
        <w:rPr>
          <w:rFonts w:ascii="Times New Roman" w:eastAsia="Times New Roman" w:hAnsi="Times New Roman"/>
          <w:b/>
          <w:color w:val="000000"/>
        </w:rPr>
        <w:lastRenderedPageBreak/>
        <w:t xml:space="preserve">Tato příbalová informace byla naposledy revidována </w:t>
      </w:r>
    </w:p>
    <w:p w14:paraId="64BA28C7" w14:textId="77777777" w:rsidR="0013429D" w:rsidRPr="00381DC2" w:rsidRDefault="0013429D" w:rsidP="00564363">
      <w:pPr>
        <w:keepNext/>
        <w:rPr>
          <w:rFonts w:ascii="Times New Roman" w:hAnsi="Times New Roman"/>
          <w:color w:val="000000"/>
        </w:rPr>
      </w:pPr>
    </w:p>
    <w:p w14:paraId="54BB4810" w14:textId="77777777" w:rsidR="00D15122" w:rsidRPr="00381DC2" w:rsidRDefault="009B0756" w:rsidP="00856BB0">
      <w:pPr>
        <w:keepNext/>
        <w:keepLines/>
        <w:rPr>
          <w:rFonts w:ascii="Times New Roman" w:hAnsi="Times New Roman"/>
          <w:b/>
          <w:bCs/>
          <w:color w:val="000000"/>
        </w:rPr>
      </w:pPr>
      <w:r w:rsidRPr="00381DC2">
        <w:rPr>
          <w:rFonts w:ascii="Times New Roman" w:eastAsia="Times New Roman" w:hAnsi="Times New Roman"/>
          <w:b/>
          <w:color w:val="000000"/>
        </w:rPr>
        <w:t>Další zdroje informací</w:t>
      </w:r>
    </w:p>
    <w:p w14:paraId="2FC86BA0" w14:textId="77777777" w:rsidR="0013429D" w:rsidRPr="00381DC2" w:rsidRDefault="0013429D" w:rsidP="00856BB0">
      <w:pPr>
        <w:keepNext/>
        <w:keepLines/>
        <w:rPr>
          <w:rFonts w:ascii="Times New Roman" w:hAnsi="Times New Roman"/>
          <w:color w:val="000000"/>
        </w:rPr>
      </w:pPr>
    </w:p>
    <w:p w14:paraId="05441558" w14:textId="7D56C070" w:rsidR="00EE564B" w:rsidRPr="009A5E5E" w:rsidRDefault="009B0756" w:rsidP="00856BB0">
      <w:pPr>
        <w:pStyle w:val="BodyText"/>
        <w:keepNext/>
        <w:keepLines/>
        <w:ind w:left="0"/>
        <w:rPr>
          <w:color w:val="000000" w:themeColor="text1"/>
        </w:rPr>
      </w:pPr>
      <w:r w:rsidRPr="00381DC2">
        <w:rPr>
          <w:color w:val="000000"/>
        </w:rPr>
        <w:t>Podrobné informace o tomto léčivém přípravku jsou k dispozici na webových stránkách Evropské agentury pro léčivé přípravky:</w:t>
      </w:r>
      <w:r w:rsidR="009D32CF" w:rsidRPr="00381DC2">
        <w:rPr>
          <w:color w:val="000000"/>
        </w:rPr>
        <w:t xml:space="preserve"> </w:t>
      </w:r>
      <w:hyperlink r:id="rId12" w:history="1">
        <w:r w:rsidR="00B474D5" w:rsidRPr="00F60460">
          <w:rPr>
            <w:rStyle w:val="Hyperlink"/>
          </w:rPr>
          <w:t>https://www.ema.europa.eu</w:t>
        </w:r>
      </w:hyperlink>
      <w:r w:rsidR="00892493" w:rsidRPr="00381DC2">
        <w:rPr>
          <w:color w:val="000000"/>
        </w:rPr>
        <w:t>.</w:t>
      </w:r>
    </w:p>
    <w:sectPr w:rsidR="00EE564B" w:rsidRPr="009A5E5E" w:rsidSect="00F60460">
      <w:headerReference w:type="even" r:id="rId13"/>
      <w:headerReference w:type="default" r:id="rId14"/>
      <w:footerReference w:type="even" r:id="rId15"/>
      <w:footerReference w:type="default" r:id="rId16"/>
      <w:headerReference w:type="first" r:id="rId17"/>
      <w:footerReference w:type="first" r:id="rId18"/>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7A87E" w14:textId="77777777" w:rsidR="00267C68" w:rsidRDefault="00267C68">
      <w:r>
        <w:separator/>
      </w:r>
    </w:p>
  </w:endnote>
  <w:endnote w:type="continuationSeparator" w:id="0">
    <w:p w14:paraId="38FBA0C3" w14:textId="77777777" w:rsidR="00267C68" w:rsidRDefault="0026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
    <w:altName w:val="Klee One"/>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00"/>
    <w:family w:val="roman"/>
    <w:notTrueType/>
    <w:pitch w:val="default"/>
    <w:sig w:usb0="00000003" w:usb1="00000000" w:usb2="00000000" w:usb3="00000000" w:csb0="00000001" w:csb1="00000000"/>
  </w:font>
  <w:font w:name="TimesNewRoman,Italic">
    <w:altName w:val="Yu Gothic"/>
    <w:panose1 w:val="00000000000000000000"/>
    <w:charset w:val="00"/>
    <w:family w:val="roman"/>
    <w:notTrueType/>
    <w:pitch w:val="default"/>
    <w:sig w:usb0="00000003" w:usb1="08070000" w:usb2="00000010" w:usb3="00000000" w:csb0="0002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83B4" w14:textId="77777777" w:rsidR="00AB7DC1" w:rsidRPr="00F60460" w:rsidRDefault="00AB7DC1">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AB95" w14:textId="35F9E08E" w:rsidR="00AB7DC1" w:rsidRPr="00564363" w:rsidRDefault="00AB7DC1" w:rsidP="00CA6A8B">
    <w:pPr>
      <w:pStyle w:val="Footer"/>
      <w:jc w:val="center"/>
      <w:rPr>
        <w:rFonts w:ascii="Arial" w:hAnsi="Arial" w:cs="Arial"/>
        <w:color w:val="000000"/>
        <w:sz w:val="16"/>
        <w:szCs w:val="16"/>
      </w:rPr>
    </w:pPr>
    <w:r w:rsidRPr="00564363">
      <w:rPr>
        <w:rFonts w:ascii="Arial" w:hAnsi="Arial" w:cs="Arial"/>
        <w:color w:val="000000"/>
        <w:sz w:val="16"/>
        <w:szCs w:val="16"/>
      </w:rPr>
      <w:fldChar w:fldCharType="begin"/>
    </w:r>
    <w:r w:rsidRPr="00564363">
      <w:rPr>
        <w:rFonts w:ascii="Arial" w:hAnsi="Arial" w:cs="Arial"/>
        <w:color w:val="000000"/>
        <w:sz w:val="16"/>
        <w:szCs w:val="16"/>
      </w:rPr>
      <w:instrText xml:space="preserve"> PAGE   \* MERGEFORMAT </w:instrText>
    </w:r>
    <w:r w:rsidRPr="00564363">
      <w:rPr>
        <w:rFonts w:ascii="Arial" w:hAnsi="Arial" w:cs="Arial"/>
        <w:color w:val="000000"/>
        <w:sz w:val="16"/>
        <w:szCs w:val="16"/>
      </w:rPr>
      <w:fldChar w:fldCharType="separate"/>
    </w:r>
    <w:r w:rsidR="00D40A9D">
      <w:rPr>
        <w:rFonts w:ascii="Arial" w:hAnsi="Arial" w:cs="Arial"/>
        <w:noProof/>
        <w:color w:val="000000"/>
        <w:sz w:val="16"/>
        <w:szCs w:val="16"/>
      </w:rPr>
      <w:t>7</w:t>
    </w:r>
    <w:r w:rsidR="00D40A9D">
      <w:rPr>
        <w:rFonts w:ascii="Arial" w:hAnsi="Arial" w:cs="Arial"/>
        <w:noProof/>
        <w:color w:val="000000"/>
        <w:sz w:val="16"/>
        <w:szCs w:val="16"/>
      </w:rPr>
      <w:t>7</w:t>
    </w:r>
    <w:r w:rsidRPr="00564363">
      <w:rPr>
        <w:rFonts w:ascii="Arial" w:hAnsi="Arial" w:cs="Arial"/>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7CA2" w14:textId="77777777" w:rsidR="00AB7DC1" w:rsidRPr="00F60460" w:rsidRDefault="00AB7DC1">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A06D1" w14:textId="77777777" w:rsidR="00267C68" w:rsidRDefault="00267C68">
      <w:r>
        <w:separator/>
      </w:r>
    </w:p>
  </w:footnote>
  <w:footnote w:type="continuationSeparator" w:id="0">
    <w:p w14:paraId="5289F2EC" w14:textId="77777777" w:rsidR="00267C68" w:rsidRDefault="00267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2E831" w14:textId="77777777" w:rsidR="00AB7DC1" w:rsidRDefault="00AB7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C730" w14:textId="77777777" w:rsidR="00AB7DC1" w:rsidRPr="00F60460" w:rsidRDefault="00AB7DC1" w:rsidP="00F604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875C" w14:textId="77777777" w:rsidR="00AB7DC1" w:rsidRDefault="00AB7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2FE"/>
    <w:multiLevelType w:val="hybridMultilevel"/>
    <w:tmpl w:val="8A00C680"/>
    <w:lvl w:ilvl="0" w:tplc="1764CA7A">
      <w:start w:val="1"/>
      <w:numFmt w:val="bullet"/>
      <w:lvlText w:val=""/>
      <w:lvlJc w:val="left"/>
      <w:pPr>
        <w:ind w:left="718" w:hanging="601"/>
      </w:pPr>
      <w:rPr>
        <w:rFonts w:ascii="Symbol" w:eastAsia="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1" w15:restartNumberingAfterBreak="0">
    <w:nsid w:val="02DA0EF5"/>
    <w:multiLevelType w:val="hybridMultilevel"/>
    <w:tmpl w:val="FD2AD3E8"/>
    <w:lvl w:ilvl="0" w:tplc="157A7056">
      <w:start w:val="2"/>
      <w:numFmt w:val="upperLetter"/>
      <w:lvlText w:val="%1."/>
      <w:lvlJc w:val="left"/>
      <w:pPr>
        <w:ind w:left="5212" w:hanging="567"/>
      </w:pPr>
      <w:rPr>
        <w:rFonts w:ascii="Times New Roman" w:eastAsia="Times New Roman" w:hAnsi="Times New Roman" w:hint="default"/>
        <w:b/>
        <w:bCs/>
        <w:spacing w:val="1"/>
        <w:sz w:val="22"/>
        <w:szCs w:val="22"/>
      </w:rPr>
    </w:lvl>
    <w:lvl w:ilvl="1" w:tplc="2968E612">
      <w:start w:val="1"/>
      <w:numFmt w:val="upperLetter"/>
      <w:lvlText w:val="%2."/>
      <w:lvlJc w:val="left"/>
      <w:pPr>
        <w:ind w:left="8281" w:hanging="269"/>
        <w:jc w:val="right"/>
      </w:pPr>
      <w:rPr>
        <w:rFonts w:ascii="Times New Roman" w:eastAsia="Times New Roman" w:hAnsi="Times New Roman" w:hint="default"/>
        <w:b/>
        <w:bCs/>
        <w:spacing w:val="-2"/>
        <w:sz w:val="22"/>
        <w:szCs w:val="22"/>
      </w:rPr>
    </w:lvl>
    <w:lvl w:ilvl="2" w:tplc="C9543578">
      <w:start w:val="1"/>
      <w:numFmt w:val="bullet"/>
      <w:lvlText w:val="•"/>
      <w:lvlJc w:val="left"/>
      <w:pPr>
        <w:ind w:left="8813" w:hanging="269"/>
      </w:pPr>
      <w:rPr>
        <w:rFonts w:hint="default"/>
      </w:rPr>
    </w:lvl>
    <w:lvl w:ilvl="3" w:tplc="A70C0C82">
      <w:start w:val="1"/>
      <w:numFmt w:val="bullet"/>
      <w:lvlText w:val="•"/>
      <w:lvlJc w:val="left"/>
      <w:pPr>
        <w:ind w:left="9346" w:hanging="269"/>
      </w:pPr>
      <w:rPr>
        <w:rFonts w:hint="default"/>
      </w:rPr>
    </w:lvl>
    <w:lvl w:ilvl="4" w:tplc="56988878">
      <w:start w:val="1"/>
      <w:numFmt w:val="bullet"/>
      <w:lvlText w:val="•"/>
      <w:lvlJc w:val="left"/>
      <w:pPr>
        <w:ind w:left="9879" w:hanging="269"/>
      </w:pPr>
      <w:rPr>
        <w:rFonts w:hint="default"/>
      </w:rPr>
    </w:lvl>
    <w:lvl w:ilvl="5" w:tplc="C91E3426">
      <w:start w:val="1"/>
      <w:numFmt w:val="bullet"/>
      <w:lvlText w:val="•"/>
      <w:lvlJc w:val="left"/>
      <w:pPr>
        <w:ind w:left="10411" w:hanging="269"/>
      </w:pPr>
      <w:rPr>
        <w:rFonts w:hint="default"/>
      </w:rPr>
    </w:lvl>
    <w:lvl w:ilvl="6" w:tplc="14AA4396">
      <w:start w:val="1"/>
      <w:numFmt w:val="bullet"/>
      <w:lvlText w:val="•"/>
      <w:lvlJc w:val="left"/>
      <w:pPr>
        <w:ind w:left="10944" w:hanging="269"/>
      </w:pPr>
      <w:rPr>
        <w:rFonts w:hint="default"/>
      </w:rPr>
    </w:lvl>
    <w:lvl w:ilvl="7" w:tplc="677C56A4">
      <w:start w:val="1"/>
      <w:numFmt w:val="bullet"/>
      <w:lvlText w:val="•"/>
      <w:lvlJc w:val="left"/>
      <w:pPr>
        <w:ind w:left="11476" w:hanging="269"/>
      </w:pPr>
      <w:rPr>
        <w:rFonts w:hint="default"/>
      </w:rPr>
    </w:lvl>
    <w:lvl w:ilvl="8" w:tplc="25A0EFD4">
      <w:start w:val="1"/>
      <w:numFmt w:val="bullet"/>
      <w:lvlText w:val="•"/>
      <w:lvlJc w:val="left"/>
      <w:pPr>
        <w:ind w:left="12009" w:hanging="269"/>
      </w:pPr>
      <w:rPr>
        <w:rFonts w:hint="default"/>
      </w:rPr>
    </w:lvl>
  </w:abstractNum>
  <w:abstractNum w:abstractNumId="2" w15:restartNumberingAfterBreak="0">
    <w:nsid w:val="0636029D"/>
    <w:multiLevelType w:val="hybridMultilevel"/>
    <w:tmpl w:val="E0FA96AA"/>
    <w:lvl w:ilvl="0" w:tplc="8EF4BC42">
      <w:start w:val="1"/>
      <w:numFmt w:val="bullet"/>
      <w:lvlText w:val="*"/>
      <w:lvlJc w:val="left"/>
      <w:pPr>
        <w:ind w:left="1699" w:hanging="149"/>
      </w:pPr>
      <w:rPr>
        <w:rFonts w:ascii="Times New Roman" w:eastAsia="Times New Roman" w:hAnsi="Times New Roman" w:hint="default"/>
        <w:w w:val="99"/>
        <w:sz w:val="20"/>
        <w:szCs w:val="20"/>
      </w:rPr>
    </w:lvl>
    <w:lvl w:ilvl="1" w:tplc="A30447A0">
      <w:start w:val="1"/>
      <w:numFmt w:val="bullet"/>
      <w:lvlText w:val=""/>
      <w:lvlJc w:val="left"/>
      <w:pPr>
        <w:ind w:left="2270" w:hanging="363"/>
      </w:pPr>
      <w:rPr>
        <w:rFonts w:ascii="Symbol" w:eastAsia="Symbol" w:hAnsi="Symbol" w:hint="default"/>
        <w:sz w:val="22"/>
        <w:szCs w:val="22"/>
      </w:rPr>
    </w:lvl>
    <w:lvl w:ilvl="2" w:tplc="5256406A">
      <w:start w:val="1"/>
      <w:numFmt w:val="bullet"/>
      <w:lvlText w:val="•"/>
      <w:lvlJc w:val="left"/>
      <w:pPr>
        <w:ind w:left="3218" w:hanging="363"/>
      </w:pPr>
      <w:rPr>
        <w:rFonts w:hint="default"/>
      </w:rPr>
    </w:lvl>
    <w:lvl w:ilvl="3" w:tplc="B278235C">
      <w:start w:val="1"/>
      <w:numFmt w:val="bullet"/>
      <w:lvlText w:val="•"/>
      <w:lvlJc w:val="left"/>
      <w:pPr>
        <w:ind w:left="4165" w:hanging="363"/>
      </w:pPr>
      <w:rPr>
        <w:rFonts w:hint="default"/>
      </w:rPr>
    </w:lvl>
    <w:lvl w:ilvl="4" w:tplc="F7ECBEF6">
      <w:start w:val="1"/>
      <w:numFmt w:val="bullet"/>
      <w:lvlText w:val="•"/>
      <w:lvlJc w:val="left"/>
      <w:pPr>
        <w:ind w:left="5113" w:hanging="363"/>
      </w:pPr>
      <w:rPr>
        <w:rFonts w:hint="default"/>
      </w:rPr>
    </w:lvl>
    <w:lvl w:ilvl="5" w:tplc="5598FD16">
      <w:start w:val="1"/>
      <w:numFmt w:val="bullet"/>
      <w:lvlText w:val="•"/>
      <w:lvlJc w:val="left"/>
      <w:pPr>
        <w:ind w:left="6060" w:hanging="363"/>
      </w:pPr>
      <w:rPr>
        <w:rFonts w:hint="default"/>
      </w:rPr>
    </w:lvl>
    <w:lvl w:ilvl="6" w:tplc="C42209E0">
      <w:start w:val="1"/>
      <w:numFmt w:val="bullet"/>
      <w:lvlText w:val="•"/>
      <w:lvlJc w:val="left"/>
      <w:pPr>
        <w:ind w:left="7008" w:hanging="363"/>
      </w:pPr>
      <w:rPr>
        <w:rFonts w:hint="default"/>
      </w:rPr>
    </w:lvl>
    <w:lvl w:ilvl="7" w:tplc="3E327AD2">
      <w:start w:val="1"/>
      <w:numFmt w:val="bullet"/>
      <w:lvlText w:val="•"/>
      <w:lvlJc w:val="left"/>
      <w:pPr>
        <w:ind w:left="7955" w:hanging="363"/>
      </w:pPr>
      <w:rPr>
        <w:rFonts w:hint="default"/>
      </w:rPr>
    </w:lvl>
    <w:lvl w:ilvl="8" w:tplc="643A8568">
      <w:start w:val="1"/>
      <w:numFmt w:val="bullet"/>
      <w:lvlText w:val="•"/>
      <w:lvlJc w:val="left"/>
      <w:pPr>
        <w:ind w:left="8903" w:hanging="363"/>
      </w:pPr>
      <w:rPr>
        <w:rFonts w:hint="default"/>
      </w:rPr>
    </w:lvl>
  </w:abstractNum>
  <w:abstractNum w:abstractNumId="3" w15:restartNumberingAfterBreak="0">
    <w:nsid w:val="07087B01"/>
    <w:multiLevelType w:val="hybridMultilevel"/>
    <w:tmpl w:val="54E89956"/>
    <w:lvl w:ilvl="0" w:tplc="1B28155E">
      <w:start w:val="1"/>
      <w:numFmt w:val="bullet"/>
      <w:lvlText w:val="•"/>
      <w:lvlJc w:val="left"/>
      <w:pPr>
        <w:ind w:left="734" w:hanging="397"/>
      </w:pPr>
      <w:rPr>
        <w:rFonts w:ascii="Times New Roman" w:eastAsia="Times New Roman" w:hAnsi="Times New Roman" w:hint="default"/>
        <w:sz w:val="22"/>
        <w:szCs w:val="22"/>
      </w:rPr>
    </w:lvl>
    <w:lvl w:ilvl="1" w:tplc="344CA478">
      <w:start w:val="1"/>
      <w:numFmt w:val="bullet"/>
      <w:lvlText w:val="•"/>
      <w:lvlJc w:val="left"/>
      <w:pPr>
        <w:ind w:left="1609" w:hanging="397"/>
      </w:pPr>
      <w:rPr>
        <w:rFonts w:hint="default"/>
      </w:rPr>
    </w:lvl>
    <w:lvl w:ilvl="2" w:tplc="F8AC6564">
      <w:start w:val="1"/>
      <w:numFmt w:val="bullet"/>
      <w:lvlText w:val="•"/>
      <w:lvlJc w:val="left"/>
      <w:pPr>
        <w:ind w:left="2484" w:hanging="397"/>
      </w:pPr>
      <w:rPr>
        <w:rFonts w:hint="default"/>
      </w:rPr>
    </w:lvl>
    <w:lvl w:ilvl="3" w:tplc="0DACEAC4">
      <w:start w:val="1"/>
      <w:numFmt w:val="bullet"/>
      <w:lvlText w:val="•"/>
      <w:lvlJc w:val="left"/>
      <w:pPr>
        <w:ind w:left="3359" w:hanging="397"/>
      </w:pPr>
      <w:rPr>
        <w:rFonts w:hint="default"/>
      </w:rPr>
    </w:lvl>
    <w:lvl w:ilvl="4" w:tplc="074C40F8">
      <w:start w:val="1"/>
      <w:numFmt w:val="bullet"/>
      <w:lvlText w:val="•"/>
      <w:lvlJc w:val="left"/>
      <w:pPr>
        <w:ind w:left="4235" w:hanging="397"/>
      </w:pPr>
      <w:rPr>
        <w:rFonts w:hint="default"/>
      </w:rPr>
    </w:lvl>
    <w:lvl w:ilvl="5" w:tplc="F364F194">
      <w:start w:val="1"/>
      <w:numFmt w:val="bullet"/>
      <w:lvlText w:val="•"/>
      <w:lvlJc w:val="left"/>
      <w:pPr>
        <w:ind w:left="5110" w:hanging="397"/>
      </w:pPr>
      <w:rPr>
        <w:rFonts w:hint="default"/>
      </w:rPr>
    </w:lvl>
    <w:lvl w:ilvl="6" w:tplc="49EC67AE">
      <w:start w:val="1"/>
      <w:numFmt w:val="bullet"/>
      <w:lvlText w:val="•"/>
      <w:lvlJc w:val="left"/>
      <w:pPr>
        <w:ind w:left="5985" w:hanging="397"/>
      </w:pPr>
      <w:rPr>
        <w:rFonts w:hint="default"/>
      </w:rPr>
    </w:lvl>
    <w:lvl w:ilvl="7" w:tplc="11D2EFAE">
      <w:start w:val="1"/>
      <w:numFmt w:val="bullet"/>
      <w:lvlText w:val="•"/>
      <w:lvlJc w:val="left"/>
      <w:pPr>
        <w:ind w:left="6860" w:hanging="397"/>
      </w:pPr>
      <w:rPr>
        <w:rFonts w:hint="default"/>
      </w:rPr>
    </w:lvl>
    <w:lvl w:ilvl="8" w:tplc="A9BADC3C">
      <w:start w:val="1"/>
      <w:numFmt w:val="bullet"/>
      <w:lvlText w:val="•"/>
      <w:lvlJc w:val="left"/>
      <w:pPr>
        <w:ind w:left="7735" w:hanging="397"/>
      </w:pPr>
      <w:rPr>
        <w:rFonts w:hint="default"/>
      </w:rPr>
    </w:lvl>
  </w:abstractNum>
  <w:abstractNum w:abstractNumId="4" w15:restartNumberingAfterBreak="0">
    <w:nsid w:val="07C5436F"/>
    <w:multiLevelType w:val="multilevel"/>
    <w:tmpl w:val="91BC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393703"/>
    <w:multiLevelType w:val="hybridMultilevel"/>
    <w:tmpl w:val="5B7AB67C"/>
    <w:lvl w:ilvl="0" w:tplc="59743A58">
      <w:start w:val="1"/>
      <w:numFmt w:val="upperLetter"/>
      <w:lvlText w:val="%1."/>
      <w:lvlJc w:val="left"/>
      <w:pPr>
        <w:ind w:left="1418" w:hanging="548"/>
      </w:pPr>
      <w:rPr>
        <w:rFonts w:ascii="Times New Roman" w:eastAsia="Times New Roman" w:hAnsi="Times New Roman" w:hint="default"/>
        <w:b/>
        <w:bCs/>
        <w:spacing w:val="-2"/>
        <w:sz w:val="22"/>
        <w:szCs w:val="22"/>
      </w:rPr>
    </w:lvl>
    <w:lvl w:ilvl="1" w:tplc="CA34CFBA">
      <w:start w:val="1"/>
      <w:numFmt w:val="bullet"/>
      <w:lvlText w:val="•"/>
      <w:lvlJc w:val="left"/>
      <w:pPr>
        <w:ind w:left="2131" w:hanging="548"/>
      </w:pPr>
      <w:rPr>
        <w:rFonts w:hint="default"/>
      </w:rPr>
    </w:lvl>
    <w:lvl w:ilvl="2" w:tplc="8DF2F82E">
      <w:start w:val="1"/>
      <w:numFmt w:val="bullet"/>
      <w:lvlText w:val="•"/>
      <w:lvlJc w:val="left"/>
      <w:pPr>
        <w:ind w:left="2843" w:hanging="548"/>
      </w:pPr>
      <w:rPr>
        <w:rFonts w:hint="default"/>
      </w:rPr>
    </w:lvl>
    <w:lvl w:ilvl="3" w:tplc="A84CD9F8">
      <w:start w:val="1"/>
      <w:numFmt w:val="bullet"/>
      <w:lvlText w:val="•"/>
      <w:lvlJc w:val="left"/>
      <w:pPr>
        <w:ind w:left="3556" w:hanging="548"/>
      </w:pPr>
      <w:rPr>
        <w:rFonts w:hint="default"/>
      </w:rPr>
    </w:lvl>
    <w:lvl w:ilvl="4" w:tplc="A4D6123E">
      <w:start w:val="1"/>
      <w:numFmt w:val="bullet"/>
      <w:lvlText w:val="•"/>
      <w:lvlJc w:val="left"/>
      <w:pPr>
        <w:ind w:left="4269" w:hanging="548"/>
      </w:pPr>
      <w:rPr>
        <w:rFonts w:hint="default"/>
      </w:rPr>
    </w:lvl>
    <w:lvl w:ilvl="5" w:tplc="5A887FF8">
      <w:start w:val="1"/>
      <w:numFmt w:val="bullet"/>
      <w:lvlText w:val="•"/>
      <w:lvlJc w:val="left"/>
      <w:pPr>
        <w:ind w:left="4982" w:hanging="548"/>
      </w:pPr>
      <w:rPr>
        <w:rFonts w:hint="default"/>
      </w:rPr>
    </w:lvl>
    <w:lvl w:ilvl="6" w:tplc="AC0CF3DE">
      <w:start w:val="1"/>
      <w:numFmt w:val="bullet"/>
      <w:lvlText w:val="•"/>
      <w:lvlJc w:val="left"/>
      <w:pPr>
        <w:ind w:left="5695" w:hanging="548"/>
      </w:pPr>
      <w:rPr>
        <w:rFonts w:hint="default"/>
      </w:rPr>
    </w:lvl>
    <w:lvl w:ilvl="7" w:tplc="17743A60">
      <w:start w:val="1"/>
      <w:numFmt w:val="bullet"/>
      <w:lvlText w:val="•"/>
      <w:lvlJc w:val="left"/>
      <w:pPr>
        <w:ind w:left="6407" w:hanging="548"/>
      </w:pPr>
      <w:rPr>
        <w:rFonts w:hint="default"/>
      </w:rPr>
    </w:lvl>
    <w:lvl w:ilvl="8" w:tplc="F55A3A3A">
      <w:start w:val="1"/>
      <w:numFmt w:val="bullet"/>
      <w:lvlText w:val="•"/>
      <w:lvlJc w:val="left"/>
      <w:pPr>
        <w:ind w:left="7120" w:hanging="548"/>
      </w:pPr>
      <w:rPr>
        <w:rFonts w:hint="default"/>
      </w:rPr>
    </w:lvl>
  </w:abstractNum>
  <w:abstractNum w:abstractNumId="6" w15:restartNumberingAfterBreak="0">
    <w:nsid w:val="16BD085F"/>
    <w:multiLevelType w:val="hybridMultilevel"/>
    <w:tmpl w:val="CE4CCC16"/>
    <w:lvl w:ilvl="0" w:tplc="1764CA7A">
      <w:start w:val="1"/>
      <w:numFmt w:val="bullet"/>
      <w:lvlText w:val=""/>
      <w:lvlJc w:val="left"/>
      <w:pPr>
        <w:ind w:left="718" w:hanging="601"/>
      </w:pPr>
      <w:rPr>
        <w:rFonts w:ascii="Symbol" w:eastAsia="Symbol" w:hAnsi="Symbol"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7" w15:restartNumberingAfterBreak="0">
    <w:nsid w:val="18E83960"/>
    <w:multiLevelType w:val="multilevel"/>
    <w:tmpl w:val="1E7CDB60"/>
    <w:lvl w:ilvl="0">
      <w:start w:val="5"/>
      <w:numFmt w:val="decimal"/>
      <w:lvlText w:val="%1"/>
      <w:lvlJc w:val="left"/>
      <w:pPr>
        <w:ind w:left="683" w:hanging="567"/>
      </w:pPr>
      <w:rPr>
        <w:rFonts w:hint="default"/>
      </w:rPr>
    </w:lvl>
    <w:lvl w:ilvl="1">
      <w:start w:val="2"/>
      <w:numFmt w:val="decimal"/>
      <w:lvlText w:val="%1.%2"/>
      <w:lvlJc w:val="left"/>
      <w:pPr>
        <w:ind w:left="683" w:hanging="567"/>
      </w:pPr>
      <w:rPr>
        <w:rFonts w:ascii="Times New Roman" w:eastAsia="Times New Roman" w:hAnsi="Times New Roman" w:hint="default"/>
        <w:b/>
        <w:bCs/>
        <w:sz w:val="22"/>
        <w:szCs w:val="22"/>
      </w:rPr>
    </w:lvl>
    <w:lvl w:ilvl="2">
      <w:start w:val="1"/>
      <w:numFmt w:val="bullet"/>
      <w:lvlText w:val="•"/>
      <w:lvlJc w:val="left"/>
      <w:pPr>
        <w:ind w:left="2408" w:hanging="567"/>
      </w:pPr>
      <w:rPr>
        <w:rFonts w:hint="default"/>
      </w:rPr>
    </w:lvl>
    <w:lvl w:ilvl="3">
      <w:start w:val="1"/>
      <w:numFmt w:val="bullet"/>
      <w:lvlText w:val="•"/>
      <w:lvlJc w:val="left"/>
      <w:pPr>
        <w:ind w:left="3270"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4995" w:hanging="567"/>
      </w:pPr>
      <w:rPr>
        <w:rFonts w:hint="default"/>
      </w:rPr>
    </w:lvl>
    <w:lvl w:ilvl="6">
      <w:start w:val="1"/>
      <w:numFmt w:val="bullet"/>
      <w:lvlText w:val="•"/>
      <w:lvlJc w:val="left"/>
      <w:pPr>
        <w:ind w:left="5857" w:hanging="567"/>
      </w:pPr>
      <w:rPr>
        <w:rFonts w:hint="default"/>
      </w:rPr>
    </w:lvl>
    <w:lvl w:ilvl="7">
      <w:start w:val="1"/>
      <w:numFmt w:val="bullet"/>
      <w:lvlText w:val="•"/>
      <w:lvlJc w:val="left"/>
      <w:pPr>
        <w:ind w:left="6719" w:hanging="567"/>
      </w:pPr>
      <w:rPr>
        <w:rFonts w:hint="default"/>
      </w:rPr>
    </w:lvl>
    <w:lvl w:ilvl="8">
      <w:start w:val="1"/>
      <w:numFmt w:val="bullet"/>
      <w:lvlText w:val="•"/>
      <w:lvlJc w:val="left"/>
      <w:pPr>
        <w:ind w:left="7581" w:hanging="567"/>
      </w:pPr>
      <w:rPr>
        <w:rFonts w:hint="default"/>
      </w:rPr>
    </w:lvl>
  </w:abstractNum>
  <w:abstractNum w:abstractNumId="8" w15:restartNumberingAfterBreak="0">
    <w:nsid w:val="1C2D2566"/>
    <w:multiLevelType w:val="hybridMultilevel"/>
    <w:tmpl w:val="B45E2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5F6CF7"/>
    <w:multiLevelType w:val="multilevel"/>
    <w:tmpl w:val="0128D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DD3DC2"/>
    <w:multiLevelType w:val="multilevel"/>
    <w:tmpl w:val="0F5A2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737CAB"/>
    <w:multiLevelType w:val="hybridMultilevel"/>
    <w:tmpl w:val="770EF9DC"/>
    <w:lvl w:ilvl="0" w:tplc="05863A14">
      <w:start w:val="1"/>
      <w:numFmt w:val="bullet"/>
      <w:lvlText w:val="●"/>
      <w:lvlJc w:val="left"/>
      <w:pPr>
        <w:ind w:left="718" w:hanging="601"/>
      </w:pPr>
      <w:rPr>
        <w:rFonts w:ascii="Times New Roman" w:eastAsia="Arial" w:hAnsi="Times New Roman" w:cs="Times New Roman" w:hint="default"/>
        <w:sz w:val="22"/>
        <w:szCs w:val="22"/>
      </w:rPr>
    </w:lvl>
    <w:lvl w:ilvl="1" w:tplc="7B9C9054">
      <w:start w:val="1"/>
      <w:numFmt w:val="bullet"/>
      <w:lvlText w:val="●"/>
      <w:lvlJc w:val="left"/>
      <w:pPr>
        <w:ind w:left="818" w:hanging="240"/>
      </w:pPr>
      <w:rPr>
        <w:rFonts w:ascii="Times New Roman" w:eastAsia="Times New Roman" w:hAnsi="Times New Roman" w:hint="default"/>
        <w:b/>
        <w:bCs/>
        <w:w w:val="99"/>
        <w:sz w:val="20"/>
        <w:szCs w:val="20"/>
      </w:rPr>
    </w:lvl>
    <w:lvl w:ilvl="2" w:tplc="4E5ECE00">
      <w:start w:val="1"/>
      <w:numFmt w:val="bullet"/>
      <w:lvlText w:val="•"/>
      <w:lvlJc w:val="left"/>
      <w:pPr>
        <w:ind w:left="1754" w:hanging="240"/>
      </w:pPr>
      <w:rPr>
        <w:rFonts w:hint="default"/>
      </w:rPr>
    </w:lvl>
    <w:lvl w:ilvl="3" w:tplc="74DA39AA">
      <w:start w:val="1"/>
      <w:numFmt w:val="bullet"/>
      <w:lvlText w:val="•"/>
      <w:lvlJc w:val="left"/>
      <w:pPr>
        <w:ind w:left="2691" w:hanging="240"/>
      </w:pPr>
      <w:rPr>
        <w:rFonts w:hint="default"/>
      </w:rPr>
    </w:lvl>
    <w:lvl w:ilvl="4" w:tplc="AB045CDE">
      <w:start w:val="1"/>
      <w:numFmt w:val="bullet"/>
      <w:lvlText w:val="•"/>
      <w:lvlJc w:val="left"/>
      <w:pPr>
        <w:ind w:left="3627" w:hanging="240"/>
      </w:pPr>
      <w:rPr>
        <w:rFonts w:hint="default"/>
      </w:rPr>
    </w:lvl>
    <w:lvl w:ilvl="5" w:tplc="38B4E4BA">
      <w:start w:val="1"/>
      <w:numFmt w:val="bullet"/>
      <w:lvlText w:val="•"/>
      <w:lvlJc w:val="left"/>
      <w:pPr>
        <w:ind w:left="4564" w:hanging="240"/>
      </w:pPr>
      <w:rPr>
        <w:rFonts w:hint="default"/>
      </w:rPr>
    </w:lvl>
    <w:lvl w:ilvl="6" w:tplc="328483CE">
      <w:start w:val="1"/>
      <w:numFmt w:val="bullet"/>
      <w:lvlText w:val="•"/>
      <w:lvlJc w:val="left"/>
      <w:pPr>
        <w:ind w:left="5500" w:hanging="240"/>
      </w:pPr>
      <w:rPr>
        <w:rFonts w:hint="default"/>
      </w:rPr>
    </w:lvl>
    <w:lvl w:ilvl="7" w:tplc="0B563554">
      <w:start w:val="1"/>
      <w:numFmt w:val="bullet"/>
      <w:lvlText w:val="•"/>
      <w:lvlJc w:val="left"/>
      <w:pPr>
        <w:ind w:left="6437" w:hanging="240"/>
      </w:pPr>
      <w:rPr>
        <w:rFonts w:hint="default"/>
      </w:rPr>
    </w:lvl>
    <w:lvl w:ilvl="8" w:tplc="30ACC364">
      <w:start w:val="1"/>
      <w:numFmt w:val="bullet"/>
      <w:lvlText w:val="•"/>
      <w:lvlJc w:val="left"/>
      <w:pPr>
        <w:ind w:left="7373" w:hanging="240"/>
      </w:pPr>
      <w:rPr>
        <w:rFonts w:hint="default"/>
      </w:rPr>
    </w:lvl>
  </w:abstractNum>
  <w:abstractNum w:abstractNumId="12" w15:restartNumberingAfterBreak="0">
    <w:nsid w:val="254D359E"/>
    <w:multiLevelType w:val="multilevel"/>
    <w:tmpl w:val="79704278"/>
    <w:lvl w:ilvl="0">
      <w:start w:val="7"/>
      <w:numFmt w:val="decimal"/>
      <w:lvlText w:val="%1"/>
      <w:lvlJc w:val="left"/>
      <w:pPr>
        <w:ind w:left="394" w:hanging="276"/>
      </w:pPr>
      <w:rPr>
        <w:rFonts w:hint="default"/>
      </w:rPr>
    </w:lvl>
    <w:lvl w:ilvl="1">
      <w:start w:val="5"/>
      <w:numFmt w:val="decimal"/>
      <w:lvlText w:val="%1.%2"/>
      <w:lvlJc w:val="left"/>
      <w:pPr>
        <w:ind w:left="394" w:hanging="276"/>
      </w:pPr>
      <w:rPr>
        <w:rFonts w:ascii="Times New Roman" w:eastAsia="Times New Roman" w:hAnsi="Times New Roman" w:hint="default"/>
        <w:sz w:val="22"/>
        <w:szCs w:val="22"/>
      </w:rPr>
    </w:lvl>
    <w:lvl w:ilvl="2">
      <w:start w:val="1"/>
      <w:numFmt w:val="bullet"/>
      <w:lvlText w:val=""/>
      <w:lvlJc w:val="left"/>
      <w:pPr>
        <w:ind w:left="878" w:hanging="361"/>
      </w:pPr>
      <w:rPr>
        <w:rFonts w:ascii="Symbol" w:eastAsia="Symbol" w:hAnsi="Symbol" w:hint="default"/>
        <w:sz w:val="22"/>
        <w:szCs w:val="22"/>
      </w:rPr>
    </w:lvl>
    <w:lvl w:ilvl="3">
      <w:start w:val="1"/>
      <w:numFmt w:val="bullet"/>
      <w:lvlText w:val="•"/>
      <w:lvlJc w:val="left"/>
      <w:pPr>
        <w:ind w:left="2742" w:hanging="361"/>
      </w:pPr>
      <w:rPr>
        <w:rFonts w:hint="default"/>
      </w:rPr>
    </w:lvl>
    <w:lvl w:ilvl="4">
      <w:start w:val="1"/>
      <w:numFmt w:val="bullet"/>
      <w:lvlText w:val="•"/>
      <w:lvlJc w:val="left"/>
      <w:pPr>
        <w:ind w:left="3674" w:hanging="361"/>
      </w:pPr>
      <w:rPr>
        <w:rFonts w:hint="default"/>
      </w:rPr>
    </w:lvl>
    <w:lvl w:ilvl="5">
      <w:start w:val="1"/>
      <w:numFmt w:val="bullet"/>
      <w:lvlText w:val="•"/>
      <w:lvlJc w:val="left"/>
      <w:pPr>
        <w:ind w:left="4606" w:hanging="361"/>
      </w:pPr>
      <w:rPr>
        <w:rFonts w:hint="default"/>
      </w:rPr>
    </w:lvl>
    <w:lvl w:ilvl="6">
      <w:start w:val="1"/>
      <w:numFmt w:val="bullet"/>
      <w:lvlText w:val="•"/>
      <w:lvlJc w:val="left"/>
      <w:pPr>
        <w:ind w:left="5538" w:hanging="361"/>
      </w:pPr>
      <w:rPr>
        <w:rFonts w:hint="default"/>
      </w:rPr>
    </w:lvl>
    <w:lvl w:ilvl="7">
      <w:start w:val="1"/>
      <w:numFmt w:val="bullet"/>
      <w:lvlText w:val="•"/>
      <w:lvlJc w:val="left"/>
      <w:pPr>
        <w:ind w:left="6470" w:hanging="361"/>
      </w:pPr>
      <w:rPr>
        <w:rFonts w:hint="default"/>
      </w:rPr>
    </w:lvl>
    <w:lvl w:ilvl="8">
      <w:start w:val="1"/>
      <w:numFmt w:val="bullet"/>
      <w:lvlText w:val="•"/>
      <w:lvlJc w:val="left"/>
      <w:pPr>
        <w:ind w:left="7402" w:hanging="361"/>
      </w:pPr>
      <w:rPr>
        <w:rFonts w:hint="default"/>
      </w:rPr>
    </w:lvl>
  </w:abstractNum>
  <w:abstractNum w:abstractNumId="13" w15:restartNumberingAfterBreak="0">
    <w:nsid w:val="25560583"/>
    <w:multiLevelType w:val="multilevel"/>
    <w:tmpl w:val="39D63D38"/>
    <w:lvl w:ilvl="0">
      <w:numFmt w:val="decimal"/>
      <w:lvlText w:val="%1"/>
      <w:lvlJc w:val="left"/>
      <w:pPr>
        <w:ind w:left="420" w:hanging="420"/>
      </w:pPr>
      <w:rPr>
        <w:rFonts w:eastAsia="Calibri" w:hint="default"/>
      </w:rPr>
    </w:lvl>
    <w:lvl w:ilvl="1">
      <w:start w:val="89"/>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2FA04CC3"/>
    <w:multiLevelType w:val="multilevel"/>
    <w:tmpl w:val="1270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CD4AA3"/>
    <w:multiLevelType w:val="hybridMultilevel"/>
    <w:tmpl w:val="13006964"/>
    <w:lvl w:ilvl="0" w:tplc="7AF4764A">
      <w:start w:val="1"/>
      <w:numFmt w:val="bullet"/>
      <w:lvlText w:val="●"/>
      <w:lvlJc w:val="left"/>
      <w:pPr>
        <w:ind w:left="784" w:hanging="567"/>
      </w:pPr>
      <w:rPr>
        <w:rFonts w:ascii="Arial" w:eastAsia="Arial" w:hAnsi="Arial" w:hint="default"/>
        <w:sz w:val="22"/>
        <w:szCs w:val="22"/>
      </w:rPr>
    </w:lvl>
    <w:lvl w:ilvl="1" w:tplc="67080942">
      <w:start w:val="1"/>
      <w:numFmt w:val="bullet"/>
      <w:lvlText w:val="•"/>
      <w:lvlJc w:val="left"/>
      <w:pPr>
        <w:ind w:left="1640" w:hanging="567"/>
      </w:pPr>
      <w:rPr>
        <w:rFonts w:hint="default"/>
      </w:rPr>
    </w:lvl>
    <w:lvl w:ilvl="2" w:tplc="8880F68E">
      <w:start w:val="1"/>
      <w:numFmt w:val="bullet"/>
      <w:lvlText w:val="•"/>
      <w:lvlJc w:val="left"/>
      <w:pPr>
        <w:ind w:left="2496" w:hanging="567"/>
      </w:pPr>
      <w:rPr>
        <w:rFonts w:hint="default"/>
      </w:rPr>
    </w:lvl>
    <w:lvl w:ilvl="3" w:tplc="40B6F566">
      <w:start w:val="1"/>
      <w:numFmt w:val="bullet"/>
      <w:lvlText w:val="•"/>
      <w:lvlJc w:val="left"/>
      <w:pPr>
        <w:ind w:left="3353" w:hanging="567"/>
      </w:pPr>
      <w:rPr>
        <w:rFonts w:hint="default"/>
      </w:rPr>
    </w:lvl>
    <w:lvl w:ilvl="4" w:tplc="D50CE188">
      <w:start w:val="1"/>
      <w:numFmt w:val="bullet"/>
      <w:lvlText w:val="•"/>
      <w:lvlJc w:val="left"/>
      <w:pPr>
        <w:ind w:left="4209" w:hanging="567"/>
      </w:pPr>
      <w:rPr>
        <w:rFonts w:hint="default"/>
      </w:rPr>
    </w:lvl>
    <w:lvl w:ilvl="5" w:tplc="B36CC00C">
      <w:start w:val="1"/>
      <w:numFmt w:val="bullet"/>
      <w:lvlText w:val="•"/>
      <w:lvlJc w:val="left"/>
      <w:pPr>
        <w:ind w:left="5065" w:hanging="567"/>
      </w:pPr>
      <w:rPr>
        <w:rFonts w:hint="default"/>
      </w:rPr>
    </w:lvl>
    <w:lvl w:ilvl="6" w:tplc="21729056">
      <w:start w:val="1"/>
      <w:numFmt w:val="bullet"/>
      <w:lvlText w:val="•"/>
      <w:lvlJc w:val="left"/>
      <w:pPr>
        <w:ind w:left="5921" w:hanging="567"/>
      </w:pPr>
      <w:rPr>
        <w:rFonts w:hint="default"/>
      </w:rPr>
    </w:lvl>
    <w:lvl w:ilvl="7" w:tplc="DA32461A">
      <w:start w:val="1"/>
      <w:numFmt w:val="bullet"/>
      <w:lvlText w:val="•"/>
      <w:lvlJc w:val="left"/>
      <w:pPr>
        <w:ind w:left="6777" w:hanging="567"/>
      </w:pPr>
      <w:rPr>
        <w:rFonts w:hint="default"/>
      </w:rPr>
    </w:lvl>
    <w:lvl w:ilvl="8" w:tplc="A2D435C4">
      <w:start w:val="1"/>
      <w:numFmt w:val="bullet"/>
      <w:lvlText w:val="•"/>
      <w:lvlJc w:val="left"/>
      <w:pPr>
        <w:ind w:left="7634" w:hanging="567"/>
      </w:pPr>
      <w:rPr>
        <w:rFonts w:hint="default"/>
      </w:rPr>
    </w:lvl>
  </w:abstractNum>
  <w:abstractNum w:abstractNumId="16" w15:restartNumberingAfterBreak="0">
    <w:nsid w:val="35E4399B"/>
    <w:multiLevelType w:val="hybridMultilevel"/>
    <w:tmpl w:val="61F44E8E"/>
    <w:lvl w:ilvl="0" w:tplc="0C78CD50">
      <w:start w:val="1"/>
      <w:numFmt w:val="bullet"/>
      <w:lvlText w:val="*"/>
      <w:lvlJc w:val="left"/>
      <w:pPr>
        <w:ind w:left="287" w:hanging="149"/>
      </w:pPr>
      <w:rPr>
        <w:rFonts w:ascii="Times New Roman" w:eastAsia="Times New Roman" w:hAnsi="Times New Roman" w:hint="default"/>
        <w:w w:val="99"/>
        <w:sz w:val="20"/>
        <w:szCs w:val="20"/>
      </w:rPr>
    </w:lvl>
    <w:lvl w:ilvl="1" w:tplc="1764CA7A">
      <w:start w:val="1"/>
      <w:numFmt w:val="bullet"/>
      <w:lvlText w:val=""/>
      <w:lvlJc w:val="left"/>
      <w:pPr>
        <w:ind w:left="684" w:hanging="356"/>
      </w:pPr>
      <w:rPr>
        <w:rFonts w:ascii="Symbol" w:eastAsia="Symbol" w:hAnsi="Symbol" w:hint="default"/>
        <w:sz w:val="22"/>
        <w:szCs w:val="22"/>
      </w:rPr>
    </w:lvl>
    <w:lvl w:ilvl="2" w:tplc="4FF290DE">
      <w:start w:val="1"/>
      <w:numFmt w:val="bullet"/>
      <w:lvlText w:val="•"/>
      <w:lvlJc w:val="left"/>
      <w:pPr>
        <w:ind w:left="1638" w:hanging="356"/>
      </w:pPr>
      <w:rPr>
        <w:rFonts w:hint="default"/>
      </w:rPr>
    </w:lvl>
    <w:lvl w:ilvl="3" w:tplc="1A08152C">
      <w:start w:val="1"/>
      <w:numFmt w:val="bullet"/>
      <w:lvlText w:val="•"/>
      <w:lvlJc w:val="left"/>
      <w:pPr>
        <w:ind w:left="2591" w:hanging="356"/>
      </w:pPr>
      <w:rPr>
        <w:rFonts w:hint="default"/>
      </w:rPr>
    </w:lvl>
    <w:lvl w:ilvl="4" w:tplc="B46C4760">
      <w:start w:val="1"/>
      <w:numFmt w:val="bullet"/>
      <w:lvlText w:val="•"/>
      <w:lvlJc w:val="left"/>
      <w:pPr>
        <w:ind w:left="3545" w:hanging="356"/>
      </w:pPr>
      <w:rPr>
        <w:rFonts w:hint="default"/>
      </w:rPr>
    </w:lvl>
    <w:lvl w:ilvl="5" w:tplc="7C74ED7A">
      <w:start w:val="1"/>
      <w:numFmt w:val="bullet"/>
      <w:lvlText w:val="•"/>
      <w:lvlJc w:val="left"/>
      <w:pPr>
        <w:ind w:left="4498" w:hanging="356"/>
      </w:pPr>
      <w:rPr>
        <w:rFonts w:hint="default"/>
      </w:rPr>
    </w:lvl>
    <w:lvl w:ilvl="6" w:tplc="2ADE04EE">
      <w:start w:val="1"/>
      <w:numFmt w:val="bullet"/>
      <w:lvlText w:val="•"/>
      <w:lvlJc w:val="left"/>
      <w:pPr>
        <w:ind w:left="5452" w:hanging="356"/>
      </w:pPr>
      <w:rPr>
        <w:rFonts w:hint="default"/>
      </w:rPr>
    </w:lvl>
    <w:lvl w:ilvl="7" w:tplc="7D34B500">
      <w:start w:val="1"/>
      <w:numFmt w:val="bullet"/>
      <w:lvlText w:val="•"/>
      <w:lvlJc w:val="left"/>
      <w:pPr>
        <w:ind w:left="6405" w:hanging="356"/>
      </w:pPr>
      <w:rPr>
        <w:rFonts w:hint="default"/>
      </w:rPr>
    </w:lvl>
    <w:lvl w:ilvl="8" w:tplc="776E3C74">
      <w:start w:val="1"/>
      <w:numFmt w:val="bullet"/>
      <w:lvlText w:val="•"/>
      <w:lvlJc w:val="left"/>
      <w:pPr>
        <w:ind w:left="7359" w:hanging="356"/>
      </w:pPr>
      <w:rPr>
        <w:rFonts w:hint="default"/>
      </w:rPr>
    </w:lvl>
  </w:abstractNum>
  <w:abstractNum w:abstractNumId="17" w15:restartNumberingAfterBreak="0">
    <w:nsid w:val="383F09C5"/>
    <w:multiLevelType w:val="multilevel"/>
    <w:tmpl w:val="665C4A76"/>
    <w:lvl w:ilvl="0">
      <w:start w:val="1"/>
      <w:numFmt w:val="decimal"/>
      <w:lvlText w:val="%1."/>
      <w:lvlJc w:val="left"/>
      <w:pPr>
        <w:ind w:left="684" w:hanging="567"/>
      </w:pPr>
      <w:rPr>
        <w:rFonts w:ascii="Times New Roman" w:eastAsia="Times New Roman" w:hAnsi="Times New Roman" w:hint="default"/>
        <w:b/>
        <w:bCs/>
        <w:sz w:val="22"/>
        <w:szCs w:val="22"/>
      </w:rPr>
    </w:lvl>
    <w:lvl w:ilvl="1">
      <w:start w:val="1"/>
      <w:numFmt w:val="decimal"/>
      <w:lvlText w:val="%1.%2"/>
      <w:lvlJc w:val="left"/>
      <w:pPr>
        <w:ind w:left="684" w:hanging="567"/>
      </w:pPr>
      <w:rPr>
        <w:rFonts w:ascii="Times New Roman" w:eastAsia="Times New Roman" w:hAnsi="Times New Roman" w:hint="default"/>
        <w:b/>
        <w:bCs/>
        <w:sz w:val="22"/>
        <w:szCs w:val="22"/>
      </w:rPr>
    </w:lvl>
    <w:lvl w:ilvl="2">
      <w:start w:val="1"/>
      <w:numFmt w:val="bullet"/>
      <w:lvlText w:val="•"/>
      <w:lvlJc w:val="left"/>
      <w:pPr>
        <w:ind w:left="684" w:hanging="567"/>
      </w:pPr>
      <w:rPr>
        <w:rFonts w:hint="default"/>
      </w:rPr>
    </w:lvl>
    <w:lvl w:ilvl="3">
      <w:start w:val="1"/>
      <w:numFmt w:val="bullet"/>
      <w:lvlText w:val="•"/>
      <w:lvlJc w:val="left"/>
      <w:pPr>
        <w:ind w:left="684" w:hanging="567"/>
      </w:pPr>
      <w:rPr>
        <w:rFonts w:hint="default"/>
      </w:rPr>
    </w:lvl>
    <w:lvl w:ilvl="4">
      <w:start w:val="1"/>
      <w:numFmt w:val="bullet"/>
      <w:lvlText w:val="•"/>
      <w:lvlJc w:val="left"/>
      <w:pPr>
        <w:ind w:left="1913" w:hanging="567"/>
      </w:pPr>
      <w:rPr>
        <w:rFonts w:hint="default"/>
      </w:rPr>
    </w:lvl>
    <w:lvl w:ilvl="5">
      <w:start w:val="1"/>
      <w:numFmt w:val="bullet"/>
      <w:lvlText w:val="•"/>
      <w:lvlJc w:val="left"/>
      <w:pPr>
        <w:ind w:left="3142" w:hanging="567"/>
      </w:pPr>
      <w:rPr>
        <w:rFonts w:hint="default"/>
      </w:rPr>
    </w:lvl>
    <w:lvl w:ilvl="6">
      <w:start w:val="1"/>
      <w:numFmt w:val="bullet"/>
      <w:lvlText w:val="•"/>
      <w:lvlJc w:val="left"/>
      <w:pPr>
        <w:ind w:left="4371" w:hanging="567"/>
      </w:pPr>
      <w:rPr>
        <w:rFonts w:hint="default"/>
      </w:rPr>
    </w:lvl>
    <w:lvl w:ilvl="7">
      <w:start w:val="1"/>
      <w:numFmt w:val="bullet"/>
      <w:lvlText w:val="•"/>
      <w:lvlJc w:val="left"/>
      <w:pPr>
        <w:ind w:left="5599" w:hanging="567"/>
      </w:pPr>
      <w:rPr>
        <w:rFonts w:hint="default"/>
      </w:rPr>
    </w:lvl>
    <w:lvl w:ilvl="8">
      <w:start w:val="1"/>
      <w:numFmt w:val="bullet"/>
      <w:lvlText w:val="•"/>
      <w:lvlJc w:val="left"/>
      <w:pPr>
        <w:ind w:left="6828" w:hanging="567"/>
      </w:pPr>
      <w:rPr>
        <w:rFonts w:hint="default"/>
      </w:rPr>
    </w:lvl>
  </w:abstractNum>
  <w:abstractNum w:abstractNumId="18" w15:restartNumberingAfterBreak="0">
    <w:nsid w:val="384C6C72"/>
    <w:multiLevelType w:val="hybridMultilevel"/>
    <w:tmpl w:val="485EAC42"/>
    <w:lvl w:ilvl="0" w:tplc="D9AE8C24">
      <w:start w:val="1"/>
      <w:numFmt w:val="decimal"/>
      <w:lvlText w:val="%1."/>
      <w:lvlJc w:val="left"/>
      <w:pPr>
        <w:ind w:left="118" w:hanging="567"/>
        <w:jc w:val="right"/>
      </w:pPr>
      <w:rPr>
        <w:rFonts w:ascii="Times New Roman" w:eastAsia="Times New Roman" w:hAnsi="Times New Roman" w:hint="default"/>
        <w:b/>
        <w:bCs/>
        <w:sz w:val="22"/>
        <w:szCs w:val="22"/>
      </w:rPr>
    </w:lvl>
    <w:lvl w:ilvl="1" w:tplc="AF281916">
      <w:start w:val="1"/>
      <w:numFmt w:val="bullet"/>
      <w:lvlText w:val="•"/>
      <w:lvlJc w:val="left"/>
      <w:pPr>
        <w:ind w:left="1035" w:hanging="567"/>
      </w:pPr>
      <w:rPr>
        <w:rFonts w:hint="default"/>
      </w:rPr>
    </w:lvl>
    <w:lvl w:ilvl="2" w:tplc="AC1E6D6E">
      <w:start w:val="1"/>
      <w:numFmt w:val="bullet"/>
      <w:lvlText w:val="•"/>
      <w:lvlJc w:val="left"/>
      <w:pPr>
        <w:ind w:left="1951" w:hanging="567"/>
      </w:pPr>
      <w:rPr>
        <w:rFonts w:hint="default"/>
      </w:rPr>
    </w:lvl>
    <w:lvl w:ilvl="3" w:tplc="7918F408">
      <w:start w:val="1"/>
      <w:numFmt w:val="bullet"/>
      <w:lvlText w:val="•"/>
      <w:lvlJc w:val="left"/>
      <w:pPr>
        <w:ind w:left="2868" w:hanging="567"/>
      </w:pPr>
      <w:rPr>
        <w:rFonts w:hint="default"/>
      </w:rPr>
    </w:lvl>
    <w:lvl w:ilvl="4" w:tplc="907C6132">
      <w:start w:val="1"/>
      <w:numFmt w:val="bullet"/>
      <w:lvlText w:val="•"/>
      <w:lvlJc w:val="left"/>
      <w:pPr>
        <w:ind w:left="3785" w:hanging="567"/>
      </w:pPr>
      <w:rPr>
        <w:rFonts w:hint="default"/>
      </w:rPr>
    </w:lvl>
    <w:lvl w:ilvl="5" w:tplc="2BBC4FEA">
      <w:start w:val="1"/>
      <w:numFmt w:val="bullet"/>
      <w:lvlText w:val="•"/>
      <w:lvlJc w:val="left"/>
      <w:pPr>
        <w:ind w:left="4702" w:hanging="567"/>
      </w:pPr>
      <w:rPr>
        <w:rFonts w:hint="default"/>
      </w:rPr>
    </w:lvl>
    <w:lvl w:ilvl="6" w:tplc="503A5122">
      <w:start w:val="1"/>
      <w:numFmt w:val="bullet"/>
      <w:lvlText w:val="•"/>
      <w:lvlJc w:val="left"/>
      <w:pPr>
        <w:ind w:left="5619" w:hanging="567"/>
      </w:pPr>
      <w:rPr>
        <w:rFonts w:hint="default"/>
      </w:rPr>
    </w:lvl>
    <w:lvl w:ilvl="7" w:tplc="D3D2D9FE">
      <w:start w:val="1"/>
      <w:numFmt w:val="bullet"/>
      <w:lvlText w:val="•"/>
      <w:lvlJc w:val="left"/>
      <w:pPr>
        <w:ind w:left="6535" w:hanging="567"/>
      </w:pPr>
      <w:rPr>
        <w:rFonts w:hint="default"/>
      </w:rPr>
    </w:lvl>
    <w:lvl w:ilvl="8" w:tplc="84E4AEBC">
      <w:start w:val="1"/>
      <w:numFmt w:val="bullet"/>
      <w:lvlText w:val="•"/>
      <w:lvlJc w:val="left"/>
      <w:pPr>
        <w:ind w:left="7452" w:hanging="567"/>
      </w:pPr>
      <w:rPr>
        <w:rFonts w:hint="default"/>
      </w:rPr>
    </w:lvl>
  </w:abstractNum>
  <w:abstractNum w:abstractNumId="19" w15:restartNumberingAfterBreak="0">
    <w:nsid w:val="3E062D9B"/>
    <w:multiLevelType w:val="hybridMultilevel"/>
    <w:tmpl w:val="DD7A26C0"/>
    <w:lvl w:ilvl="0" w:tplc="0CF221D6">
      <w:start w:val="1"/>
      <w:numFmt w:val="bullet"/>
      <w:lvlText w:val="-"/>
      <w:lvlJc w:val="left"/>
      <w:pPr>
        <w:ind w:left="718" w:hanging="601"/>
      </w:pPr>
      <w:rPr>
        <w:rFonts w:ascii="Times New Roman" w:eastAsia="Times New Roman" w:hAnsi="Times New Roman" w:cs="Times New Roman" w:hint="default"/>
        <w:b/>
        <w:bCs/>
        <w:w w:val="99"/>
        <w:sz w:val="20"/>
        <w:szCs w:val="20"/>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0" w15:restartNumberingAfterBreak="0">
    <w:nsid w:val="3F95044C"/>
    <w:multiLevelType w:val="hybridMultilevel"/>
    <w:tmpl w:val="295E4932"/>
    <w:lvl w:ilvl="0" w:tplc="1764CA7A">
      <w:start w:val="1"/>
      <w:numFmt w:val="bullet"/>
      <w:lvlText w:val=""/>
      <w:lvlJc w:val="left"/>
      <w:pPr>
        <w:ind w:left="718" w:hanging="601"/>
      </w:pPr>
      <w:rPr>
        <w:rFonts w:ascii="Symbol" w:eastAsia="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1" w15:restartNumberingAfterBreak="0">
    <w:nsid w:val="408B4B58"/>
    <w:multiLevelType w:val="hybridMultilevel"/>
    <w:tmpl w:val="3294BD30"/>
    <w:lvl w:ilvl="0" w:tplc="E9A64840">
      <w:start w:val="1"/>
      <w:numFmt w:val="decimal"/>
      <w:lvlText w:val="%1."/>
      <w:lvlJc w:val="left"/>
      <w:pPr>
        <w:ind w:left="0" w:hanging="360"/>
      </w:pPr>
      <w:rPr>
        <w:rFonts w:eastAsia="Calibri"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09D7FAC"/>
    <w:multiLevelType w:val="hybridMultilevel"/>
    <w:tmpl w:val="6FCC53DC"/>
    <w:lvl w:ilvl="0" w:tplc="799026E4">
      <w:start w:val="1"/>
      <w:numFmt w:val="bullet"/>
      <w:lvlText w:val="*"/>
      <w:lvlJc w:val="left"/>
      <w:pPr>
        <w:ind w:left="440" w:hanging="214"/>
      </w:pPr>
      <w:rPr>
        <w:rFonts w:ascii="Times New Roman" w:eastAsia="Times New Roman" w:hAnsi="Times New Roman" w:hint="default"/>
        <w:w w:val="99"/>
        <w:sz w:val="20"/>
        <w:szCs w:val="20"/>
      </w:rPr>
    </w:lvl>
    <w:lvl w:ilvl="1" w:tplc="3CBC7AAC">
      <w:start w:val="1"/>
      <w:numFmt w:val="bullet"/>
      <w:lvlText w:val=""/>
      <w:lvlJc w:val="left"/>
      <w:pPr>
        <w:ind w:left="838" w:hanging="361"/>
      </w:pPr>
      <w:rPr>
        <w:rFonts w:ascii="Symbol" w:eastAsia="Symbol" w:hAnsi="Symbol" w:hint="default"/>
        <w:sz w:val="22"/>
        <w:szCs w:val="22"/>
      </w:rPr>
    </w:lvl>
    <w:lvl w:ilvl="2" w:tplc="A9BE5AB2">
      <w:start w:val="1"/>
      <w:numFmt w:val="bullet"/>
      <w:lvlText w:val=""/>
      <w:lvlJc w:val="left"/>
      <w:pPr>
        <w:ind w:left="918" w:hanging="361"/>
      </w:pPr>
      <w:rPr>
        <w:rFonts w:ascii="Symbol" w:eastAsia="Symbol" w:hAnsi="Symbol" w:hint="default"/>
        <w:sz w:val="22"/>
        <w:szCs w:val="22"/>
      </w:rPr>
    </w:lvl>
    <w:lvl w:ilvl="3" w:tplc="E07A2AAC">
      <w:start w:val="1"/>
      <w:numFmt w:val="bullet"/>
      <w:lvlText w:val="•"/>
      <w:lvlJc w:val="left"/>
      <w:pPr>
        <w:ind w:left="1961" w:hanging="361"/>
      </w:pPr>
      <w:rPr>
        <w:rFonts w:hint="default"/>
      </w:rPr>
    </w:lvl>
    <w:lvl w:ilvl="4" w:tplc="83C6CCD4">
      <w:start w:val="1"/>
      <w:numFmt w:val="bullet"/>
      <w:lvlText w:val="•"/>
      <w:lvlJc w:val="left"/>
      <w:pPr>
        <w:ind w:left="3005" w:hanging="361"/>
      </w:pPr>
      <w:rPr>
        <w:rFonts w:hint="default"/>
      </w:rPr>
    </w:lvl>
    <w:lvl w:ilvl="5" w:tplc="8F0AE35E">
      <w:start w:val="1"/>
      <w:numFmt w:val="bullet"/>
      <w:lvlText w:val="•"/>
      <w:lvlJc w:val="left"/>
      <w:pPr>
        <w:ind w:left="4048" w:hanging="361"/>
      </w:pPr>
      <w:rPr>
        <w:rFonts w:hint="default"/>
      </w:rPr>
    </w:lvl>
    <w:lvl w:ilvl="6" w:tplc="245AE9FA">
      <w:start w:val="1"/>
      <w:numFmt w:val="bullet"/>
      <w:lvlText w:val="•"/>
      <w:lvlJc w:val="left"/>
      <w:pPr>
        <w:ind w:left="5092" w:hanging="361"/>
      </w:pPr>
      <w:rPr>
        <w:rFonts w:hint="default"/>
      </w:rPr>
    </w:lvl>
    <w:lvl w:ilvl="7" w:tplc="AC22FE5A">
      <w:start w:val="1"/>
      <w:numFmt w:val="bullet"/>
      <w:lvlText w:val="•"/>
      <w:lvlJc w:val="left"/>
      <w:pPr>
        <w:ind w:left="6135" w:hanging="361"/>
      </w:pPr>
      <w:rPr>
        <w:rFonts w:hint="default"/>
      </w:rPr>
    </w:lvl>
    <w:lvl w:ilvl="8" w:tplc="58E0F274">
      <w:start w:val="1"/>
      <w:numFmt w:val="bullet"/>
      <w:lvlText w:val="•"/>
      <w:lvlJc w:val="left"/>
      <w:pPr>
        <w:ind w:left="7179" w:hanging="361"/>
      </w:pPr>
      <w:rPr>
        <w:rFonts w:hint="default"/>
      </w:rPr>
    </w:lvl>
  </w:abstractNum>
  <w:abstractNum w:abstractNumId="23" w15:restartNumberingAfterBreak="0">
    <w:nsid w:val="439D2695"/>
    <w:multiLevelType w:val="hybridMultilevel"/>
    <w:tmpl w:val="E668CDCC"/>
    <w:lvl w:ilvl="0" w:tplc="FFA89AD8">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974080"/>
    <w:multiLevelType w:val="hybridMultilevel"/>
    <w:tmpl w:val="DBF043DA"/>
    <w:lvl w:ilvl="0" w:tplc="45368356">
      <w:start w:val="7"/>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9B744C"/>
    <w:multiLevelType w:val="multilevel"/>
    <w:tmpl w:val="AA8687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7237CD"/>
    <w:multiLevelType w:val="hybridMultilevel"/>
    <w:tmpl w:val="F72E3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4895F01"/>
    <w:multiLevelType w:val="hybridMultilevel"/>
    <w:tmpl w:val="F1888F48"/>
    <w:lvl w:ilvl="0" w:tplc="1764CA7A">
      <w:start w:val="1"/>
      <w:numFmt w:val="bullet"/>
      <w:lvlText w:val=""/>
      <w:lvlJc w:val="left"/>
      <w:pPr>
        <w:ind w:left="718" w:hanging="601"/>
      </w:pPr>
      <w:rPr>
        <w:rFonts w:ascii="Symbol" w:eastAsia="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28"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9" w15:restartNumberingAfterBreak="0">
    <w:nsid w:val="57CF6FE8"/>
    <w:multiLevelType w:val="multilevel"/>
    <w:tmpl w:val="C63A5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C8624E"/>
    <w:multiLevelType w:val="hybridMultilevel"/>
    <w:tmpl w:val="14DEE010"/>
    <w:lvl w:ilvl="0" w:tplc="7A663A86">
      <w:start w:val="1"/>
      <w:numFmt w:val="bullet"/>
      <w:lvlText w:val="•"/>
      <w:lvlJc w:val="left"/>
      <w:pPr>
        <w:ind w:left="764" w:hanging="567"/>
      </w:pPr>
      <w:rPr>
        <w:rFonts w:ascii="Times New Roman" w:eastAsia="Times New Roman" w:hAnsi="Times New Roman" w:hint="default"/>
        <w:sz w:val="22"/>
        <w:szCs w:val="22"/>
      </w:rPr>
    </w:lvl>
    <w:lvl w:ilvl="1" w:tplc="70387E5C">
      <w:start w:val="1"/>
      <w:numFmt w:val="bullet"/>
      <w:lvlText w:val="•"/>
      <w:lvlJc w:val="left"/>
      <w:pPr>
        <w:ind w:left="938" w:hanging="361"/>
      </w:pPr>
      <w:rPr>
        <w:rFonts w:ascii="Times New Roman" w:eastAsia="Times New Roman" w:hAnsi="Times New Roman" w:hint="default"/>
        <w:sz w:val="22"/>
        <w:szCs w:val="22"/>
      </w:rPr>
    </w:lvl>
    <w:lvl w:ilvl="2" w:tplc="0268BFC0">
      <w:start w:val="1"/>
      <w:numFmt w:val="bullet"/>
      <w:lvlText w:val="•"/>
      <w:lvlJc w:val="left"/>
      <w:pPr>
        <w:ind w:left="1883" w:hanging="361"/>
      </w:pPr>
      <w:rPr>
        <w:rFonts w:hint="default"/>
      </w:rPr>
    </w:lvl>
    <w:lvl w:ilvl="3" w:tplc="ABEAAD9A">
      <w:start w:val="1"/>
      <w:numFmt w:val="bullet"/>
      <w:lvlText w:val="•"/>
      <w:lvlJc w:val="left"/>
      <w:pPr>
        <w:ind w:left="2829" w:hanging="361"/>
      </w:pPr>
      <w:rPr>
        <w:rFonts w:hint="default"/>
      </w:rPr>
    </w:lvl>
    <w:lvl w:ilvl="4" w:tplc="6C6E14B8">
      <w:start w:val="1"/>
      <w:numFmt w:val="bullet"/>
      <w:lvlText w:val="•"/>
      <w:lvlJc w:val="left"/>
      <w:pPr>
        <w:ind w:left="3774" w:hanging="361"/>
      </w:pPr>
      <w:rPr>
        <w:rFonts w:hint="default"/>
      </w:rPr>
    </w:lvl>
    <w:lvl w:ilvl="5" w:tplc="441EB764">
      <w:start w:val="1"/>
      <w:numFmt w:val="bullet"/>
      <w:lvlText w:val="•"/>
      <w:lvlJc w:val="left"/>
      <w:pPr>
        <w:ind w:left="4719" w:hanging="361"/>
      </w:pPr>
      <w:rPr>
        <w:rFonts w:hint="default"/>
      </w:rPr>
    </w:lvl>
    <w:lvl w:ilvl="6" w:tplc="F0348546">
      <w:start w:val="1"/>
      <w:numFmt w:val="bullet"/>
      <w:lvlText w:val="•"/>
      <w:lvlJc w:val="left"/>
      <w:pPr>
        <w:ind w:left="5665" w:hanging="361"/>
      </w:pPr>
      <w:rPr>
        <w:rFonts w:hint="default"/>
      </w:rPr>
    </w:lvl>
    <w:lvl w:ilvl="7" w:tplc="6EC60306">
      <w:start w:val="1"/>
      <w:numFmt w:val="bullet"/>
      <w:lvlText w:val="•"/>
      <w:lvlJc w:val="left"/>
      <w:pPr>
        <w:ind w:left="6610" w:hanging="361"/>
      </w:pPr>
      <w:rPr>
        <w:rFonts w:hint="default"/>
      </w:rPr>
    </w:lvl>
    <w:lvl w:ilvl="8" w:tplc="4D02C910">
      <w:start w:val="1"/>
      <w:numFmt w:val="bullet"/>
      <w:lvlText w:val="•"/>
      <w:lvlJc w:val="left"/>
      <w:pPr>
        <w:ind w:left="7555" w:hanging="361"/>
      </w:pPr>
      <w:rPr>
        <w:rFonts w:hint="default"/>
      </w:rPr>
    </w:lvl>
  </w:abstractNum>
  <w:abstractNum w:abstractNumId="31" w15:restartNumberingAfterBreak="0">
    <w:nsid w:val="5E582E5D"/>
    <w:multiLevelType w:val="hybridMultilevel"/>
    <w:tmpl w:val="BD4EE50A"/>
    <w:lvl w:ilvl="0" w:tplc="1764CA7A">
      <w:start w:val="1"/>
      <w:numFmt w:val="bullet"/>
      <w:lvlText w:val=""/>
      <w:lvlJc w:val="left"/>
      <w:pPr>
        <w:ind w:left="718" w:hanging="601"/>
      </w:pPr>
      <w:rPr>
        <w:rFonts w:ascii="Symbol" w:eastAsia="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2" w15:restartNumberingAfterBreak="0">
    <w:nsid w:val="67BB332D"/>
    <w:multiLevelType w:val="hybridMultilevel"/>
    <w:tmpl w:val="2B2EE4AA"/>
    <w:lvl w:ilvl="0" w:tplc="1764CA7A">
      <w:start w:val="1"/>
      <w:numFmt w:val="bullet"/>
      <w:lvlText w:val=""/>
      <w:lvlJc w:val="left"/>
      <w:pPr>
        <w:ind w:left="718" w:hanging="601"/>
      </w:pPr>
      <w:rPr>
        <w:rFonts w:ascii="Symbol" w:eastAsia="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3" w15:restartNumberingAfterBreak="0">
    <w:nsid w:val="6CBF35CD"/>
    <w:multiLevelType w:val="hybridMultilevel"/>
    <w:tmpl w:val="4C7209CA"/>
    <w:lvl w:ilvl="0" w:tplc="023C063E">
      <w:start w:val="1"/>
      <w:numFmt w:val="bullet"/>
      <w:lvlText w:val=""/>
      <w:lvlJc w:val="left"/>
      <w:pPr>
        <w:ind w:left="831" w:hanging="356"/>
      </w:pPr>
      <w:rPr>
        <w:rFonts w:ascii="Symbol" w:eastAsia="Symbol" w:hAnsi="Symbol" w:hint="default"/>
        <w:sz w:val="22"/>
        <w:szCs w:val="22"/>
      </w:rPr>
    </w:lvl>
    <w:lvl w:ilvl="1" w:tplc="C89827E8">
      <w:start w:val="1"/>
      <w:numFmt w:val="bullet"/>
      <w:lvlText w:val=""/>
      <w:lvlJc w:val="left"/>
      <w:pPr>
        <w:ind w:left="1551" w:hanging="356"/>
      </w:pPr>
      <w:rPr>
        <w:rFonts w:ascii="Symbol" w:eastAsia="Symbol" w:hAnsi="Symbol" w:hint="default"/>
        <w:sz w:val="22"/>
        <w:szCs w:val="22"/>
      </w:rPr>
    </w:lvl>
    <w:lvl w:ilvl="2" w:tplc="4CA49114">
      <w:start w:val="1"/>
      <w:numFmt w:val="bullet"/>
      <w:lvlText w:val="•"/>
      <w:lvlJc w:val="left"/>
      <w:pPr>
        <w:ind w:left="1551" w:hanging="356"/>
      </w:pPr>
      <w:rPr>
        <w:rFonts w:hint="default"/>
      </w:rPr>
    </w:lvl>
    <w:lvl w:ilvl="3" w:tplc="397226E0">
      <w:start w:val="1"/>
      <w:numFmt w:val="bullet"/>
      <w:lvlText w:val="•"/>
      <w:lvlJc w:val="left"/>
      <w:pPr>
        <w:ind w:left="2513" w:hanging="356"/>
      </w:pPr>
      <w:rPr>
        <w:rFonts w:hint="default"/>
      </w:rPr>
    </w:lvl>
    <w:lvl w:ilvl="4" w:tplc="A35EDC7E">
      <w:start w:val="1"/>
      <w:numFmt w:val="bullet"/>
      <w:lvlText w:val="•"/>
      <w:lvlJc w:val="left"/>
      <w:pPr>
        <w:ind w:left="3475" w:hanging="356"/>
      </w:pPr>
      <w:rPr>
        <w:rFonts w:hint="default"/>
      </w:rPr>
    </w:lvl>
    <w:lvl w:ilvl="5" w:tplc="49BAFA54">
      <w:start w:val="1"/>
      <w:numFmt w:val="bullet"/>
      <w:lvlText w:val="•"/>
      <w:lvlJc w:val="left"/>
      <w:pPr>
        <w:ind w:left="4436" w:hanging="356"/>
      </w:pPr>
      <w:rPr>
        <w:rFonts w:hint="default"/>
      </w:rPr>
    </w:lvl>
    <w:lvl w:ilvl="6" w:tplc="FB9400F4">
      <w:start w:val="1"/>
      <w:numFmt w:val="bullet"/>
      <w:lvlText w:val="•"/>
      <w:lvlJc w:val="left"/>
      <w:pPr>
        <w:ind w:left="5398" w:hanging="356"/>
      </w:pPr>
      <w:rPr>
        <w:rFonts w:hint="default"/>
      </w:rPr>
    </w:lvl>
    <w:lvl w:ilvl="7" w:tplc="D1C4C4AA">
      <w:start w:val="1"/>
      <w:numFmt w:val="bullet"/>
      <w:lvlText w:val="•"/>
      <w:lvlJc w:val="left"/>
      <w:pPr>
        <w:ind w:left="6360" w:hanging="356"/>
      </w:pPr>
      <w:rPr>
        <w:rFonts w:hint="default"/>
      </w:rPr>
    </w:lvl>
    <w:lvl w:ilvl="8" w:tplc="69648B2C">
      <w:start w:val="1"/>
      <w:numFmt w:val="bullet"/>
      <w:lvlText w:val="•"/>
      <w:lvlJc w:val="left"/>
      <w:pPr>
        <w:ind w:left="7322" w:hanging="356"/>
      </w:pPr>
      <w:rPr>
        <w:rFont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436A3B"/>
    <w:multiLevelType w:val="multilevel"/>
    <w:tmpl w:val="356CE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C55842"/>
    <w:multiLevelType w:val="hybridMultilevel"/>
    <w:tmpl w:val="66044326"/>
    <w:lvl w:ilvl="0" w:tplc="1764CA7A">
      <w:start w:val="1"/>
      <w:numFmt w:val="bullet"/>
      <w:lvlText w:val=""/>
      <w:lvlJc w:val="left"/>
      <w:pPr>
        <w:ind w:left="718" w:hanging="601"/>
      </w:pPr>
      <w:rPr>
        <w:rFonts w:ascii="Symbol" w:eastAsia="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7" w15:restartNumberingAfterBreak="0">
    <w:nsid w:val="723417AA"/>
    <w:multiLevelType w:val="hybridMultilevel"/>
    <w:tmpl w:val="0E807F16"/>
    <w:lvl w:ilvl="0" w:tplc="1764CA7A">
      <w:start w:val="1"/>
      <w:numFmt w:val="bullet"/>
      <w:lvlText w:val=""/>
      <w:lvlJc w:val="left"/>
      <w:pPr>
        <w:ind w:left="718" w:hanging="601"/>
      </w:pPr>
      <w:rPr>
        <w:rFonts w:ascii="Symbol" w:eastAsia="Symbol" w:hAnsi="Symbol" w:hint="default"/>
        <w:sz w:val="22"/>
        <w:szCs w:val="22"/>
      </w:rPr>
    </w:lvl>
    <w:lvl w:ilvl="1" w:tplc="E4FAEC2C">
      <w:start w:val="1"/>
      <w:numFmt w:val="bullet"/>
      <w:lvlText w:val="•"/>
      <w:lvlJc w:val="left"/>
      <w:pPr>
        <w:ind w:left="1573" w:hanging="601"/>
      </w:pPr>
      <w:rPr>
        <w:rFonts w:hint="default"/>
      </w:rPr>
    </w:lvl>
    <w:lvl w:ilvl="2" w:tplc="1C9E2A98">
      <w:start w:val="1"/>
      <w:numFmt w:val="bullet"/>
      <w:lvlText w:val="•"/>
      <w:lvlJc w:val="left"/>
      <w:pPr>
        <w:ind w:left="2427" w:hanging="601"/>
      </w:pPr>
      <w:rPr>
        <w:rFonts w:hint="default"/>
      </w:rPr>
    </w:lvl>
    <w:lvl w:ilvl="3" w:tplc="51629BF0">
      <w:start w:val="1"/>
      <w:numFmt w:val="bullet"/>
      <w:lvlText w:val="•"/>
      <w:lvlJc w:val="left"/>
      <w:pPr>
        <w:ind w:left="3282" w:hanging="601"/>
      </w:pPr>
      <w:rPr>
        <w:rFonts w:hint="default"/>
      </w:rPr>
    </w:lvl>
    <w:lvl w:ilvl="4" w:tplc="F632901A">
      <w:start w:val="1"/>
      <w:numFmt w:val="bullet"/>
      <w:lvlText w:val="•"/>
      <w:lvlJc w:val="left"/>
      <w:pPr>
        <w:ind w:left="4137" w:hanging="601"/>
      </w:pPr>
      <w:rPr>
        <w:rFonts w:hint="default"/>
      </w:rPr>
    </w:lvl>
    <w:lvl w:ilvl="5" w:tplc="C99CE016">
      <w:start w:val="1"/>
      <w:numFmt w:val="bullet"/>
      <w:lvlText w:val="•"/>
      <w:lvlJc w:val="left"/>
      <w:pPr>
        <w:ind w:left="4992" w:hanging="601"/>
      </w:pPr>
      <w:rPr>
        <w:rFonts w:hint="default"/>
      </w:rPr>
    </w:lvl>
    <w:lvl w:ilvl="6" w:tplc="5C42CA18">
      <w:start w:val="1"/>
      <w:numFmt w:val="bullet"/>
      <w:lvlText w:val="•"/>
      <w:lvlJc w:val="left"/>
      <w:pPr>
        <w:ind w:left="5847" w:hanging="601"/>
      </w:pPr>
      <w:rPr>
        <w:rFonts w:hint="default"/>
      </w:rPr>
    </w:lvl>
    <w:lvl w:ilvl="7" w:tplc="79426C86">
      <w:start w:val="1"/>
      <w:numFmt w:val="bullet"/>
      <w:lvlText w:val="•"/>
      <w:lvlJc w:val="left"/>
      <w:pPr>
        <w:ind w:left="6701" w:hanging="601"/>
      </w:pPr>
      <w:rPr>
        <w:rFonts w:hint="default"/>
      </w:rPr>
    </w:lvl>
    <w:lvl w:ilvl="8" w:tplc="A9DA7B88">
      <w:start w:val="1"/>
      <w:numFmt w:val="bullet"/>
      <w:lvlText w:val="•"/>
      <w:lvlJc w:val="left"/>
      <w:pPr>
        <w:ind w:left="7556" w:hanging="601"/>
      </w:pPr>
      <w:rPr>
        <w:rFonts w:hint="default"/>
      </w:rPr>
    </w:lvl>
  </w:abstractNum>
  <w:abstractNum w:abstractNumId="38" w15:restartNumberingAfterBreak="0">
    <w:nsid w:val="77460FC9"/>
    <w:multiLevelType w:val="hybridMultilevel"/>
    <w:tmpl w:val="AB2413EC"/>
    <w:lvl w:ilvl="0" w:tplc="7F1A6C92">
      <w:start w:val="1"/>
      <w:numFmt w:val="upperLetter"/>
      <w:lvlText w:val="%1."/>
      <w:lvlJc w:val="left"/>
      <w:pPr>
        <w:ind w:left="91" w:hanging="360"/>
      </w:pPr>
      <w:rPr>
        <w:rFonts w:hint="default"/>
      </w:rPr>
    </w:lvl>
    <w:lvl w:ilvl="1" w:tplc="08090019" w:tentative="1">
      <w:start w:val="1"/>
      <w:numFmt w:val="lowerLetter"/>
      <w:lvlText w:val="%2."/>
      <w:lvlJc w:val="left"/>
      <w:pPr>
        <w:ind w:left="811" w:hanging="360"/>
      </w:pPr>
    </w:lvl>
    <w:lvl w:ilvl="2" w:tplc="0809001B" w:tentative="1">
      <w:start w:val="1"/>
      <w:numFmt w:val="lowerRoman"/>
      <w:lvlText w:val="%3."/>
      <w:lvlJc w:val="right"/>
      <w:pPr>
        <w:ind w:left="1531" w:hanging="180"/>
      </w:pPr>
    </w:lvl>
    <w:lvl w:ilvl="3" w:tplc="0809000F" w:tentative="1">
      <w:start w:val="1"/>
      <w:numFmt w:val="decimal"/>
      <w:lvlText w:val="%4."/>
      <w:lvlJc w:val="left"/>
      <w:pPr>
        <w:ind w:left="2251" w:hanging="360"/>
      </w:pPr>
    </w:lvl>
    <w:lvl w:ilvl="4" w:tplc="08090019" w:tentative="1">
      <w:start w:val="1"/>
      <w:numFmt w:val="lowerLetter"/>
      <w:lvlText w:val="%5."/>
      <w:lvlJc w:val="left"/>
      <w:pPr>
        <w:ind w:left="2971" w:hanging="360"/>
      </w:pPr>
    </w:lvl>
    <w:lvl w:ilvl="5" w:tplc="0809001B" w:tentative="1">
      <w:start w:val="1"/>
      <w:numFmt w:val="lowerRoman"/>
      <w:lvlText w:val="%6."/>
      <w:lvlJc w:val="right"/>
      <w:pPr>
        <w:ind w:left="3691" w:hanging="180"/>
      </w:pPr>
    </w:lvl>
    <w:lvl w:ilvl="6" w:tplc="0809000F" w:tentative="1">
      <w:start w:val="1"/>
      <w:numFmt w:val="decimal"/>
      <w:lvlText w:val="%7."/>
      <w:lvlJc w:val="left"/>
      <w:pPr>
        <w:ind w:left="4411" w:hanging="360"/>
      </w:pPr>
    </w:lvl>
    <w:lvl w:ilvl="7" w:tplc="08090019" w:tentative="1">
      <w:start w:val="1"/>
      <w:numFmt w:val="lowerLetter"/>
      <w:lvlText w:val="%8."/>
      <w:lvlJc w:val="left"/>
      <w:pPr>
        <w:ind w:left="5131" w:hanging="360"/>
      </w:pPr>
    </w:lvl>
    <w:lvl w:ilvl="8" w:tplc="0809001B" w:tentative="1">
      <w:start w:val="1"/>
      <w:numFmt w:val="lowerRoman"/>
      <w:lvlText w:val="%9."/>
      <w:lvlJc w:val="right"/>
      <w:pPr>
        <w:ind w:left="5851" w:hanging="180"/>
      </w:pPr>
    </w:lvl>
  </w:abstractNum>
  <w:abstractNum w:abstractNumId="39" w15:restartNumberingAfterBreak="0">
    <w:nsid w:val="79434B13"/>
    <w:multiLevelType w:val="hybridMultilevel"/>
    <w:tmpl w:val="AFF86F46"/>
    <w:lvl w:ilvl="0" w:tplc="3752D1C6">
      <w:start w:val="1"/>
      <w:numFmt w:val="decimal"/>
      <w:lvlText w:val="%1."/>
      <w:lvlJc w:val="left"/>
      <w:pPr>
        <w:ind w:left="1816" w:hanging="567"/>
      </w:pPr>
      <w:rPr>
        <w:rFonts w:ascii="Times New Roman" w:eastAsia="Times New Roman" w:hAnsi="Times New Roman" w:hint="default"/>
        <w:sz w:val="22"/>
        <w:szCs w:val="22"/>
      </w:rPr>
    </w:lvl>
    <w:lvl w:ilvl="1" w:tplc="5A76FB42">
      <w:start w:val="1"/>
      <w:numFmt w:val="bullet"/>
      <w:lvlText w:val="•"/>
      <w:lvlJc w:val="left"/>
      <w:pPr>
        <w:ind w:left="2676" w:hanging="567"/>
      </w:pPr>
      <w:rPr>
        <w:rFonts w:hint="default"/>
      </w:rPr>
    </w:lvl>
    <w:lvl w:ilvl="2" w:tplc="AA60B6D0">
      <w:start w:val="1"/>
      <w:numFmt w:val="bullet"/>
      <w:lvlText w:val="•"/>
      <w:lvlJc w:val="left"/>
      <w:pPr>
        <w:ind w:left="3536" w:hanging="567"/>
      </w:pPr>
      <w:rPr>
        <w:rFonts w:hint="default"/>
      </w:rPr>
    </w:lvl>
    <w:lvl w:ilvl="3" w:tplc="F2D813EC">
      <w:start w:val="1"/>
      <w:numFmt w:val="bullet"/>
      <w:lvlText w:val="•"/>
      <w:lvlJc w:val="left"/>
      <w:pPr>
        <w:ind w:left="4397" w:hanging="567"/>
      </w:pPr>
      <w:rPr>
        <w:rFonts w:hint="default"/>
      </w:rPr>
    </w:lvl>
    <w:lvl w:ilvl="4" w:tplc="A36C16E6">
      <w:start w:val="1"/>
      <w:numFmt w:val="bullet"/>
      <w:lvlText w:val="•"/>
      <w:lvlJc w:val="left"/>
      <w:pPr>
        <w:ind w:left="5257" w:hanging="567"/>
      </w:pPr>
      <w:rPr>
        <w:rFonts w:hint="default"/>
      </w:rPr>
    </w:lvl>
    <w:lvl w:ilvl="5" w:tplc="D69EF668">
      <w:start w:val="1"/>
      <w:numFmt w:val="bullet"/>
      <w:lvlText w:val="•"/>
      <w:lvlJc w:val="left"/>
      <w:pPr>
        <w:ind w:left="6117" w:hanging="567"/>
      </w:pPr>
      <w:rPr>
        <w:rFonts w:hint="default"/>
      </w:rPr>
    </w:lvl>
    <w:lvl w:ilvl="6" w:tplc="9978F592">
      <w:start w:val="1"/>
      <w:numFmt w:val="bullet"/>
      <w:lvlText w:val="•"/>
      <w:lvlJc w:val="left"/>
      <w:pPr>
        <w:ind w:left="6977" w:hanging="567"/>
      </w:pPr>
      <w:rPr>
        <w:rFonts w:hint="default"/>
      </w:rPr>
    </w:lvl>
    <w:lvl w:ilvl="7" w:tplc="98100E78">
      <w:start w:val="1"/>
      <w:numFmt w:val="bullet"/>
      <w:lvlText w:val="•"/>
      <w:lvlJc w:val="left"/>
      <w:pPr>
        <w:ind w:left="7837" w:hanging="567"/>
      </w:pPr>
      <w:rPr>
        <w:rFonts w:hint="default"/>
      </w:rPr>
    </w:lvl>
    <w:lvl w:ilvl="8" w:tplc="6C0C881E">
      <w:start w:val="1"/>
      <w:numFmt w:val="bullet"/>
      <w:lvlText w:val="•"/>
      <w:lvlJc w:val="left"/>
      <w:pPr>
        <w:ind w:left="8698" w:hanging="567"/>
      </w:pPr>
      <w:rPr>
        <w:rFonts w:hint="default"/>
      </w:rPr>
    </w:lvl>
  </w:abstractNum>
  <w:abstractNum w:abstractNumId="40" w15:restartNumberingAfterBreak="0">
    <w:nsid w:val="7EE903B7"/>
    <w:multiLevelType w:val="multilevel"/>
    <w:tmpl w:val="6780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4126759">
    <w:abstractNumId w:val="33"/>
  </w:num>
  <w:num w:numId="2" w16cid:durableId="2139760796">
    <w:abstractNumId w:val="30"/>
  </w:num>
  <w:num w:numId="3" w16cid:durableId="950622697">
    <w:abstractNumId w:val="3"/>
  </w:num>
  <w:num w:numId="4" w16cid:durableId="1354922630">
    <w:abstractNumId w:val="18"/>
  </w:num>
  <w:num w:numId="5" w16cid:durableId="600335396">
    <w:abstractNumId w:val="39"/>
  </w:num>
  <w:num w:numId="6" w16cid:durableId="1785884021">
    <w:abstractNumId w:val="15"/>
  </w:num>
  <w:num w:numId="7" w16cid:durableId="1463959531">
    <w:abstractNumId w:val="1"/>
  </w:num>
  <w:num w:numId="8" w16cid:durableId="1205485751">
    <w:abstractNumId w:val="5"/>
  </w:num>
  <w:num w:numId="9" w16cid:durableId="601034310">
    <w:abstractNumId w:val="7"/>
  </w:num>
  <w:num w:numId="10" w16cid:durableId="563830552">
    <w:abstractNumId w:val="12"/>
  </w:num>
  <w:num w:numId="11" w16cid:durableId="1969889962">
    <w:abstractNumId w:val="16"/>
  </w:num>
  <w:num w:numId="12" w16cid:durableId="1415132147">
    <w:abstractNumId w:val="22"/>
  </w:num>
  <w:num w:numId="13" w16cid:durableId="12348187">
    <w:abstractNumId w:val="2"/>
  </w:num>
  <w:num w:numId="14" w16cid:durableId="762147223">
    <w:abstractNumId w:val="11"/>
  </w:num>
  <w:num w:numId="15" w16cid:durableId="1294211461">
    <w:abstractNumId w:val="19"/>
  </w:num>
  <w:num w:numId="16" w16cid:durableId="1660305018">
    <w:abstractNumId w:val="17"/>
  </w:num>
  <w:num w:numId="17" w16cid:durableId="883640351">
    <w:abstractNumId w:val="34"/>
  </w:num>
  <w:num w:numId="18" w16cid:durableId="1228343652">
    <w:abstractNumId w:val="34"/>
  </w:num>
  <w:num w:numId="19" w16cid:durableId="133957535">
    <w:abstractNumId w:val="24"/>
  </w:num>
  <w:num w:numId="20" w16cid:durableId="240020071">
    <w:abstractNumId w:val="23"/>
  </w:num>
  <w:num w:numId="21" w16cid:durableId="1936673026">
    <w:abstractNumId w:val="13"/>
  </w:num>
  <w:num w:numId="22" w16cid:durableId="987127799">
    <w:abstractNumId w:val="21"/>
  </w:num>
  <w:num w:numId="23" w16cid:durableId="1516727819">
    <w:abstractNumId w:val="8"/>
  </w:num>
  <w:num w:numId="24" w16cid:durableId="724984819">
    <w:abstractNumId w:val="11"/>
  </w:num>
  <w:num w:numId="25" w16cid:durableId="1196886652">
    <w:abstractNumId w:val="32"/>
  </w:num>
  <w:num w:numId="26" w16cid:durableId="2053576412">
    <w:abstractNumId w:val="27"/>
  </w:num>
  <w:num w:numId="27" w16cid:durableId="144054094">
    <w:abstractNumId w:val="31"/>
  </w:num>
  <w:num w:numId="28" w16cid:durableId="1984894807">
    <w:abstractNumId w:val="0"/>
  </w:num>
  <w:num w:numId="29" w16cid:durableId="1158152993">
    <w:abstractNumId w:val="20"/>
  </w:num>
  <w:num w:numId="30" w16cid:durableId="586690632">
    <w:abstractNumId w:val="37"/>
  </w:num>
  <w:num w:numId="31" w16cid:durableId="436603070">
    <w:abstractNumId w:val="36"/>
  </w:num>
  <w:num w:numId="32" w16cid:durableId="1506170237">
    <w:abstractNumId w:val="6"/>
  </w:num>
  <w:num w:numId="33" w16cid:durableId="1626422836">
    <w:abstractNumId w:val="28"/>
  </w:num>
  <w:num w:numId="34" w16cid:durableId="1307785630">
    <w:abstractNumId w:val="38"/>
  </w:num>
  <w:num w:numId="35" w16cid:durableId="1041130255">
    <w:abstractNumId w:val="25"/>
  </w:num>
  <w:num w:numId="36" w16cid:durableId="1953635474">
    <w:abstractNumId w:val="10"/>
  </w:num>
  <w:num w:numId="37" w16cid:durableId="1738670558">
    <w:abstractNumId w:val="9"/>
  </w:num>
  <w:num w:numId="38" w16cid:durableId="455762727">
    <w:abstractNumId w:val="14"/>
  </w:num>
  <w:num w:numId="39" w16cid:durableId="1009985899">
    <w:abstractNumId w:val="4"/>
  </w:num>
  <w:num w:numId="40" w16cid:durableId="161358580">
    <w:abstractNumId w:val="40"/>
  </w:num>
  <w:num w:numId="41" w16cid:durableId="1435321733">
    <w:abstractNumId w:val="29"/>
  </w:num>
  <w:num w:numId="42" w16cid:durableId="2046757370">
    <w:abstractNumId w:val="35"/>
  </w:num>
  <w:num w:numId="43" w16cid:durableId="81968888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cs-CZ" w:vendorID="7" w:dllVersion="514" w:checkStyle="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I0tLQ0sTQzMbA0MDJT0lEKTi0uzszPAykwqgUAOU7iWywAAAA="/>
  </w:docVars>
  <w:rsids>
    <w:rsidRoot w:val="00D15122"/>
    <w:rsid w:val="000019F2"/>
    <w:rsid w:val="00002C08"/>
    <w:rsid w:val="0000473D"/>
    <w:rsid w:val="0000620F"/>
    <w:rsid w:val="00007842"/>
    <w:rsid w:val="00010BAD"/>
    <w:rsid w:val="00011EF9"/>
    <w:rsid w:val="000121B8"/>
    <w:rsid w:val="00012537"/>
    <w:rsid w:val="0001647E"/>
    <w:rsid w:val="00016B16"/>
    <w:rsid w:val="000206F2"/>
    <w:rsid w:val="000220DF"/>
    <w:rsid w:val="00022607"/>
    <w:rsid w:val="00023C10"/>
    <w:rsid w:val="0002515C"/>
    <w:rsid w:val="00025976"/>
    <w:rsid w:val="00026011"/>
    <w:rsid w:val="000261CD"/>
    <w:rsid w:val="000262FE"/>
    <w:rsid w:val="00026D5D"/>
    <w:rsid w:val="00030C98"/>
    <w:rsid w:val="00030F20"/>
    <w:rsid w:val="00031D6F"/>
    <w:rsid w:val="0003283F"/>
    <w:rsid w:val="000334EB"/>
    <w:rsid w:val="00033F2C"/>
    <w:rsid w:val="00033F2E"/>
    <w:rsid w:val="0004070E"/>
    <w:rsid w:val="000408F8"/>
    <w:rsid w:val="00043228"/>
    <w:rsid w:val="00043577"/>
    <w:rsid w:val="000442DA"/>
    <w:rsid w:val="0004553C"/>
    <w:rsid w:val="00054CB9"/>
    <w:rsid w:val="00056042"/>
    <w:rsid w:val="00065A93"/>
    <w:rsid w:val="0006697C"/>
    <w:rsid w:val="000704A1"/>
    <w:rsid w:val="00070FC2"/>
    <w:rsid w:val="000720CB"/>
    <w:rsid w:val="00072596"/>
    <w:rsid w:val="0007334F"/>
    <w:rsid w:val="00073860"/>
    <w:rsid w:val="00074936"/>
    <w:rsid w:val="000774C5"/>
    <w:rsid w:val="00081470"/>
    <w:rsid w:val="000817F6"/>
    <w:rsid w:val="000824A5"/>
    <w:rsid w:val="000826C2"/>
    <w:rsid w:val="000834FE"/>
    <w:rsid w:val="00085B08"/>
    <w:rsid w:val="00085F08"/>
    <w:rsid w:val="00086F70"/>
    <w:rsid w:val="00090EA9"/>
    <w:rsid w:val="000A569D"/>
    <w:rsid w:val="000A66B9"/>
    <w:rsid w:val="000B2265"/>
    <w:rsid w:val="000B6326"/>
    <w:rsid w:val="000B75A7"/>
    <w:rsid w:val="000C042C"/>
    <w:rsid w:val="000C1864"/>
    <w:rsid w:val="000C3110"/>
    <w:rsid w:val="000C3129"/>
    <w:rsid w:val="000C4DC0"/>
    <w:rsid w:val="000C6976"/>
    <w:rsid w:val="000D0268"/>
    <w:rsid w:val="000D0F42"/>
    <w:rsid w:val="000D1472"/>
    <w:rsid w:val="000D1B8F"/>
    <w:rsid w:val="000D291F"/>
    <w:rsid w:val="000D34AB"/>
    <w:rsid w:val="000D3CB6"/>
    <w:rsid w:val="000D5D3E"/>
    <w:rsid w:val="000E0270"/>
    <w:rsid w:val="000E13D0"/>
    <w:rsid w:val="000E24CF"/>
    <w:rsid w:val="000E385D"/>
    <w:rsid w:val="000E6E28"/>
    <w:rsid w:val="000F036C"/>
    <w:rsid w:val="000F3FCB"/>
    <w:rsid w:val="000F4242"/>
    <w:rsid w:val="000F7595"/>
    <w:rsid w:val="0010053B"/>
    <w:rsid w:val="00102459"/>
    <w:rsid w:val="00102C26"/>
    <w:rsid w:val="001032FC"/>
    <w:rsid w:val="00107EF8"/>
    <w:rsid w:val="0011205E"/>
    <w:rsid w:val="0011317F"/>
    <w:rsid w:val="00113343"/>
    <w:rsid w:val="00113915"/>
    <w:rsid w:val="00124AE1"/>
    <w:rsid w:val="00125269"/>
    <w:rsid w:val="00127B6C"/>
    <w:rsid w:val="001340F8"/>
    <w:rsid w:val="0013429D"/>
    <w:rsid w:val="00134C75"/>
    <w:rsid w:val="00135C9A"/>
    <w:rsid w:val="001370A8"/>
    <w:rsid w:val="00140EBE"/>
    <w:rsid w:val="0014291D"/>
    <w:rsid w:val="00143600"/>
    <w:rsid w:val="00145BE2"/>
    <w:rsid w:val="00146D96"/>
    <w:rsid w:val="001473C5"/>
    <w:rsid w:val="00151C97"/>
    <w:rsid w:val="0015605B"/>
    <w:rsid w:val="00161EAD"/>
    <w:rsid w:val="00162B93"/>
    <w:rsid w:val="00164109"/>
    <w:rsid w:val="001647F2"/>
    <w:rsid w:val="00166D4F"/>
    <w:rsid w:val="00170D83"/>
    <w:rsid w:val="00171201"/>
    <w:rsid w:val="0017170A"/>
    <w:rsid w:val="00176136"/>
    <w:rsid w:val="00177A47"/>
    <w:rsid w:val="00180599"/>
    <w:rsid w:val="00182387"/>
    <w:rsid w:val="00184871"/>
    <w:rsid w:val="00185E97"/>
    <w:rsid w:val="00187ACD"/>
    <w:rsid w:val="00193D64"/>
    <w:rsid w:val="0019518B"/>
    <w:rsid w:val="00195421"/>
    <w:rsid w:val="001A0C33"/>
    <w:rsid w:val="001A21C8"/>
    <w:rsid w:val="001A4F16"/>
    <w:rsid w:val="001A52E7"/>
    <w:rsid w:val="001A5C1F"/>
    <w:rsid w:val="001A6CB5"/>
    <w:rsid w:val="001B0558"/>
    <w:rsid w:val="001B30E8"/>
    <w:rsid w:val="001B4C0F"/>
    <w:rsid w:val="001B57CF"/>
    <w:rsid w:val="001B6CD8"/>
    <w:rsid w:val="001B728A"/>
    <w:rsid w:val="001C046B"/>
    <w:rsid w:val="001C15C2"/>
    <w:rsid w:val="001C2645"/>
    <w:rsid w:val="001C6DEA"/>
    <w:rsid w:val="001D0A03"/>
    <w:rsid w:val="001D4CFA"/>
    <w:rsid w:val="001E088B"/>
    <w:rsid w:val="001E18F9"/>
    <w:rsid w:val="001E42C1"/>
    <w:rsid w:val="001E610C"/>
    <w:rsid w:val="001F02D5"/>
    <w:rsid w:val="001F3960"/>
    <w:rsid w:val="001F4C7E"/>
    <w:rsid w:val="001F6294"/>
    <w:rsid w:val="001F6DDC"/>
    <w:rsid w:val="00202F7F"/>
    <w:rsid w:val="00202F93"/>
    <w:rsid w:val="00203535"/>
    <w:rsid w:val="00207976"/>
    <w:rsid w:val="002105AF"/>
    <w:rsid w:val="002113BB"/>
    <w:rsid w:val="00211A12"/>
    <w:rsid w:val="00214B41"/>
    <w:rsid w:val="00221031"/>
    <w:rsid w:val="00221EBE"/>
    <w:rsid w:val="00223CD6"/>
    <w:rsid w:val="002256E4"/>
    <w:rsid w:val="00226BE0"/>
    <w:rsid w:val="002274C3"/>
    <w:rsid w:val="00232425"/>
    <w:rsid w:val="00233A19"/>
    <w:rsid w:val="002369E4"/>
    <w:rsid w:val="00237010"/>
    <w:rsid w:val="00240E39"/>
    <w:rsid w:val="00242C13"/>
    <w:rsid w:val="00243524"/>
    <w:rsid w:val="0024450D"/>
    <w:rsid w:val="00250C7E"/>
    <w:rsid w:val="00250F28"/>
    <w:rsid w:val="00251094"/>
    <w:rsid w:val="002557B8"/>
    <w:rsid w:val="00262AA1"/>
    <w:rsid w:val="00265EA8"/>
    <w:rsid w:val="0026622E"/>
    <w:rsid w:val="00266F03"/>
    <w:rsid w:val="00267C68"/>
    <w:rsid w:val="00272C12"/>
    <w:rsid w:val="00273BB0"/>
    <w:rsid w:val="002810A6"/>
    <w:rsid w:val="002A3FEA"/>
    <w:rsid w:val="002A5062"/>
    <w:rsid w:val="002B0AA1"/>
    <w:rsid w:val="002B0C36"/>
    <w:rsid w:val="002B0DE8"/>
    <w:rsid w:val="002B2669"/>
    <w:rsid w:val="002C04DD"/>
    <w:rsid w:val="002C08EC"/>
    <w:rsid w:val="002D2141"/>
    <w:rsid w:val="002D2300"/>
    <w:rsid w:val="002D290F"/>
    <w:rsid w:val="002D354C"/>
    <w:rsid w:val="002D5BEA"/>
    <w:rsid w:val="002E16E8"/>
    <w:rsid w:val="002E57A3"/>
    <w:rsid w:val="002E590F"/>
    <w:rsid w:val="002E5A4F"/>
    <w:rsid w:val="002E69B0"/>
    <w:rsid w:val="002E6AA4"/>
    <w:rsid w:val="002E72FB"/>
    <w:rsid w:val="002E7D43"/>
    <w:rsid w:val="002F07B6"/>
    <w:rsid w:val="002F1776"/>
    <w:rsid w:val="002F1E3E"/>
    <w:rsid w:val="002F49AF"/>
    <w:rsid w:val="002F576D"/>
    <w:rsid w:val="002F6115"/>
    <w:rsid w:val="002F678D"/>
    <w:rsid w:val="002F69E2"/>
    <w:rsid w:val="002F77B9"/>
    <w:rsid w:val="00300882"/>
    <w:rsid w:val="00301388"/>
    <w:rsid w:val="0030327F"/>
    <w:rsid w:val="0030553D"/>
    <w:rsid w:val="00310300"/>
    <w:rsid w:val="003112EF"/>
    <w:rsid w:val="00313FC6"/>
    <w:rsid w:val="003140FF"/>
    <w:rsid w:val="00315F51"/>
    <w:rsid w:val="00316975"/>
    <w:rsid w:val="00317EBB"/>
    <w:rsid w:val="0032022D"/>
    <w:rsid w:val="00321D5A"/>
    <w:rsid w:val="003224A9"/>
    <w:rsid w:val="00323CD0"/>
    <w:rsid w:val="00325263"/>
    <w:rsid w:val="00325C6E"/>
    <w:rsid w:val="00327691"/>
    <w:rsid w:val="00333699"/>
    <w:rsid w:val="00333E6C"/>
    <w:rsid w:val="00334428"/>
    <w:rsid w:val="003361A2"/>
    <w:rsid w:val="0034359B"/>
    <w:rsid w:val="003446C2"/>
    <w:rsid w:val="00344D2D"/>
    <w:rsid w:val="0034581A"/>
    <w:rsid w:val="00346126"/>
    <w:rsid w:val="00346B81"/>
    <w:rsid w:val="00350645"/>
    <w:rsid w:val="00355463"/>
    <w:rsid w:val="0036304C"/>
    <w:rsid w:val="003634D4"/>
    <w:rsid w:val="00363845"/>
    <w:rsid w:val="00363CA4"/>
    <w:rsid w:val="00365DAD"/>
    <w:rsid w:val="003678D4"/>
    <w:rsid w:val="00370484"/>
    <w:rsid w:val="00376C02"/>
    <w:rsid w:val="0038179F"/>
    <w:rsid w:val="00381DC2"/>
    <w:rsid w:val="00382655"/>
    <w:rsid w:val="00386CE0"/>
    <w:rsid w:val="003904CE"/>
    <w:rsid w:val="0039225B"/>
    <w:rsid w:val="00392DFF"/>
    <w:rsid w:val="00395A65"/>
    <w:rsid w:val="003960A6"/>
    <w:rsid w:val="003969FE"/>
    <w:rsid w:val="003A09CF"/>
    <w:rsid w:val="003A6213"/>
    <w:rsid w:val="003A6357"/>
    <w:rsid w:val="003B0241"/>
    <w:rsid w:val="003B572F"/>
    <w:rsid w:val="003B76FA"/>
    <w:rsid w:val="003C031C"/>
    <w:rsid w:val="003C1003"/>
    <w:rsid w:val="003C116E"/>
    <w:rsid w:val="003C3959"/>
    <w:rsid w:val="003C68EE"/>
    <w:rsid w:val="003C6A3B"/>
    <w:rsid w:val="003C7D89"/>
    <w:rsid w:val="003D12F4"/>
    <w:rsid w:val="003D1C6B"/>
    <w:rsid w:val="003D1F79"/>
    <w:rsid w:val="003D3147"/>
    <w:rsid w:val="003D49A0"/>
    <w:rsid w:val="003D623B"/>
    <w:rsid w:val="003E2E75"/>
    <w:rsid w:val="003E37B0"/>
    <w:rsid w:val="003E42EF"/>
    <w:rsid w:val="003E4A60"/>
    <w:rsid w:val="003E5A93"/>
    <w:rsid w:val="003E684C"/>
    <w:rsid w:val="003F0C2A"/>
    <w:rsid w:val="003F105B"/>
    <w:rsid w:val="003F25D5"/>
    <w:rsid w:val="003F5E70"/>
    <w:rsid w:val="003F7EC6"/>
    <w:rsid w:val="004005A7"/>
    <w:rsid w:val="00401B8A"/>
    <w:rsid w:val="0040276D"/>
    <w:rsid w:val="00402F96"/>
    <w:rsid w:val="00404187"/>
    <w:rsid w:val="00404C86"/>
    <w:rsid w:val="004065AC"/>
    <w:rsid w:val="00410591"/>
    <w:rsid w:val="00411BCB"/>
    <w:rsid w:val="00412EF5"/>
    <w:rsid w:val="00413189"/>
    <w:rsid w:val="00413543"/>
    <w:rsid w:val="00422082"/>
    <w:rsid w:val="00422275"/>
    <w:rsid w:val="00423482"/>
    <w:rsid w:val="00424D9A"/>
    <w:rsid w:val="00425FA7"/>
    <w:rsid w:val="00426DA8"/>
    <w:rsid w:val="00426ECC"/>
    <w:rsid w:val="0043060E"/>
    <w:rsid w:val="00433E0A"/>
    <w:rsid w:val="00433E0D"/>
    <w:rsid w:val="00433F27"/>
    <w:rsid w:val="00435CC3"/>
    <w:rsid w:val="00436BCC"/>
    <w:rsid w:val="00440BCA"/>
    <w:rsid w:val="00443E58"/>
    <w:rsid w:val="004457FE"/>
    <w:rsid w:val="00445FEE"/>
    <w:rsid w:val="00450B61"/>
    <w:rsid w:val="004529D2"/>
    <w:rsid w:val="0045463C"/>
    <w:rsid w:val="00456CD4"/>
    <w:rsid w:val="00462917"/>
    <w:rsid w:val="00462B28"/>
    <w:rsid w:val="004640E1"/>
    <w:rsid w:val="004649BF"/>
    <w:rsid w:val="0046635D"/>
    <w:rsid w:val="004666BE"/>
    <w:rsid w:val="004708DE"/>
    <w:rsid w:val="00471360"/>
    <w:rsid w:val="00472E07"/>
    <w:rsid w:val="004822DC"/>
    <w:rsid w:val="0048491C"/>
    <w:rsid w:val="00486818"/>
    <w:rsid w:val="00487F0F"/>
    <w:rsid w:val="004902D9"/>
    <w:rsid w:val="004914FD"/>
    <w:rsid w:val="00491ECD"/>
    <w:rsid w:val="004946DB"/>
    <w:rsid w:val="00494854"/>
    <w:rsid w:val="004A086F"/>
    <w:rsid w:val="004A1D97"/>
    <w:rsid w:val="004A2C52"/>
    <w:rsid w:val="004A60F6"/>
    <w:rsid w:val="004B109A"/>
    <w:rsid w:val="004B236F"/>
    <w:rsid w:val="004B44EE"/>
    <w:rsid w:val="004B65C3"/>
    <w:rsid w:val="004B66BB"/>
    <w:rsid w:val="004B7119"/>
    <w:rsid w:val="004C3118"/>
    <w:rsid w:val="004C3775"/>
    <w:rsid w:val="004C384A"/>
    <w:rsid w:val="004C3FA7"/>
    <w:rsid w:val="004C7645"/>
    <w:rsid w:val="004C7F0E"/>
    <w:rsid w:val="004D239D"/>
    <w:rsid w:val="004D27CA"/>
    <w:rsid w:val="004D45CB"/>
    <w:rsid w:val="004D6F99"/>
    <w:rsid w:val="004E17D6"/>
    <w:rsid w:val="004F0C84"/>
    <w:rsid w:val="004F312E"/>
    <w:rsid w:val="004F49CF"/>
    <w:rsid w:val="004F5D1C"/>
    <w:rsid w:val="004F6645"/>
    <w:rsid w:val="004F76DC"/>
    <w:rsid w:val="005014DD"/>
    <w:rsid w:val="00503043"/>
    <w:rsid w:val="00503439"/>
    <w:rsid w:val="00505956"/>
    <w:rsid w:val="00506565"/>
    <w:rsid w:val="00506A04"/>
    <w:rsid w:val="005100DD"/>
    <w:rsid w:val="0051180C"/>
    <w:rsid w:val="00512C95"/>
    <w:rsid w:val="00512DC1"/>
    <w:rsid w:val="0051337F"/>
    <w:rsid w:val="00515402"/>
    <w:rsid w:val="00521EDC"/>
    <w:rsid w:val="00522E72"/>
    <w:rsid w:val="00524368"/>
    <w:rsid w:val="0052459C"/>
    <w:rsid w:val="00526D85"/>
    <w:rsid w:val="005270BB"/>
    <w:rsid w:val="00527928"/>
    <w:rsid w:val="0053019B"/>
    <w:rsid w:val="00530CA3"/>
    <w:rsid w:val="00542A3C"/>
    <w:rsid w:val="00544E53"/>
    <w:rsid w:val="005541DD"/>
    <w:rsid w:val="005549E1"/>
    <w:rsid w:val="00560A0A"/>
    <w:rsid w:val="00562FB1"/>
    <w:rsid w:val="005637B7"/>
    <w:rsid w:val="00564363"/>
    <w:rsid w:val="00566D8C"/>
    <w:rsid w:val="005721F1"/>
    <w:rsid w:val="00572FA9"/>
    <w:rsid w:val="0057682E"/>
    <w:rsid w:val="005776B4"/>
    <w:rsid w:val="005820D4"/>
    <w:rsid w:val="00583644"/>
    <w:rsid w:val="00584AC4"/>
    <w:rsid w:val="005859D5"/>
    <w:rsid w:val="005968D4"/>
    <w:rsid w:val="00597642"/>
    <w:rsid w:val="005A0AEF"/>
    <w:rsid w:val="005A2E6A"/>
    <w:rsid w:val="005A4986"/>
    <w:rsid w:val="005A6B3C"/>
    <w:rsid w:val="005A76C2"/>
    <w:rsid w:val="005A7FC8"/>
    <w:rsid w:val="005B3020"/>
    <w:rsid w:val="005B4AD3"/>
    <w:rsid w:val="005B7447"/>
    <w:rsid w:val="005C038E"/>
    <w:rsid w:val="005C0B29"/>
    <w:rsid w:val="005C0EB0"/>
    <w:rsid w:val="005C1CF0"/>
    <w:rsid w:val="005C3B01"/>
    <w:rsid w:val="005C3F2E"/>
    <w:rsid w:val="005C6A4C"/>
    <w:rsid w:val="005C71A7"/>
    <w:rsid w:val="005C7987"/>
    <w:rsid w:val="005D48D1"/>
    <w:rsid w:val="005D50DB"/>
    <w:rsid w:val="005D689D"/>
    <w:rsid w:val="005E6498"/>
    <w:rsid w:val="005E6C8E"/>
    <w:rsid w:val="005E7EC2"/>
    <w:rsid w:val="005F4C9C"/>
    <w:rsid w:val="005F5972"/>
    <w:rsid w:val="005F5D78"/>
    <w:rsid w:val="005F7CBA"/>
    <w:rsid w:val="00600DE4"/>
    <w:rsid w:val="00601726"/>
    <w:rsid w:val="00604DA5"/>
    <w:rsid w:val="006154F3"/>
    <w:rsid w:val="00615D31"/>
    <w:rsid w:val="00616CCD"/>
    <w:rsid w:val="006173D2"/>
    <w:rsid w:val="0062254B"/>
    <w:rsid w:val="006257C4"/>
    <w:rsid w:val="0062667B"/>
    <w:rsid w:val="00627671"/>
    <w:rsid w:val="0063042E"/>
    <w:rsid w:val="006305EC"/>
    <w:rsid w:val="00630F51"/>
    <w:rsid w:val="00631993"/>
    <w:rsid w:val="00631BA0"/>
    <w:rsid w:val="00634D4C"/>
    <w:rsid w:val="006376B2"/>
    <w:rsid w:val="00640240"/>
    <w:rsid w:val="00640325"/>
    <w:rsid w:val="006406DD"/>
    <w:rsid w:val="00644B16"/>
    <w:rsid w:val="00647615"/>
    <w:rsid w:val="00662F82"/>
    <w:rsid w:val="00665168"/>
    <w:rsid w:val="00665BFD"/>
    <w:rsid w:val="0066650B"/>
    <w:rsid w:val="00667D3D"/>
    <w:rsid w:val="00667E86"/>
    <w:rsid w:val="00670A47"/>
    <w:rsid w:val="00671516"/>
    <w:rsid w:val="00673A07"/>
    <w:rsid w:val="00674D5A"/>
    <w:rsid w:val="00677B9A"/>
    <w:rsid w:val="006812F8"/>
    <w:rsid w:val="0068336B"/>
    <w:rsid w:val="006858F4"/>
    <w:rsid w:val="006911F2"/>
    <w:rsid w:val="0069180D"/>
    <w:rsid w:val="00694309"/>
    <w:rsid w:val="006950D0"/>
    <w:rsid w:val="006A0DA9"/>
    <w:rsid w:val="006A1360"/>
    <w:rsid w:val="006A1518"/>
    <w:rsid w:val="006A1538"/>
    <w:rsid w:val="006A1754"/>
    <w:rsid w:val="006A1778"/>
    <w:rsid w:val="006A2145"/>
    <w:rsid w:val="006A382C"/>
    <w:rsid w:val="006A67F7"/>
    <w:rsid w:val="006A6C6B"/>
    <w:rsid w:val="006B04E2"/>
    <w:rsid w:val="006B074B"/>
    <w:rsid w:val="006B1F21"/>
    <w:rsid w:val="006B58E5"/>
    <w:rsid w:val="006B6920"/>
    <w:rsid w:val="006C0305"/>
    <w:rsid w:val="006C0348"/>
    <w:rsid w:val="006C49B7"/>
    <w:rsid w:val="006D0F1C"/>
    <w:rsid w:val="006D2F5B"/>
    <w:rsid w:val="006D30D0"/>
    <w:rsid w:val="006D36F5"/>
    <w:rsid w:val="006D61A5"/>
    <w:rsid w:val="006E127F"/>
    <w:rsid w:val="006E165F"/>
    <w:rsid w:val="006E21EB"/>
    <w:rsid w:val="006E51AA"/>
    <w:rsid w:val="006E60B4"/>
    <w:rsid w:val="006E60BE"/>
    <w:rsid w:val="006E6D50"/>
    <w:rsid w:val="006E7AC7"/>
    <w:rsid w:val="006F4395"/>
    <w:rsid w:val="006F5D0A"/>
    <w:rsid w:val="006F7098"/>
    <w:rsid w:val="006F7CE5"/>
    <w:rsid w:val="00700849"/>
    <w:rsid w:val="00701D3B"/>
    <w:rsid w:val="00701DDD"/>
    <w:rsid w:val="00702288"/>
    <w:rsid w:val="00702A25"/>
    <w:rsid w:val="00702CE0"/>
    <w:rsid w:val="00703329"/>
    <w:rsid w:val="00703DF7"/>
    <w:rsid w:val="00705CB2"/>
    <w:rsid w:val="00710EB0"/>
    <w:rsid w:val="00712056"/>
    <w:rsid w:val="00714208"/>
    <w:rsid w:val="00715669"/>
    <w:rsid w:val="007176FA"/>
    <w:rsid w:val="00723878"/>
    <w:rsid w:val="00725222"/>
    <w:rsid w:val="00731214"/>
    <w:rsid w:val="0073399F"/>
    <w:rsid w:val="00735948"/>
    <w:rsid w:val="00742102"/>
    <w:rsid w:val="007421BE"/>
    <w:rsid w:val="007431A2"/>
    <w:rsid w:val="00746C98"/>
    <w:rsid w:val="00747198"/>
    <w:rsid w:val="00747399"/>
    <w:rsid w:val="007508DD"/>
    <w:rsid w:val="00751366"/>
    <w:rsid w:val="0075246E"/>
    <w:rsid w:val="00752705"/>
    <w:rsid w:val="007528A9"/>
    <w:rsid w:val="0075598F"/>
    <w:rsid w:val="00755DDA"/>
    <w:rsid w:val="00755FF7"/>
    <w:rsid w:val="00764A33"/>
    <w:rsid w:val="0076524A"/>
    <w:rsid w:val="00765DE7"/>
    <w:rsid w:val="00766BA8"/>
    <w:rsid w:val="00770173"/>
    <w:rsid w:val="00770AE6"/>
    <w:rsid w:val="00772EFE"/>
    <w:rsid w:val="00773263"/>
    <w:rsid w:val="0077346C"/>
    <w:rsid w:val="007738E5"/>
    <w:rsid w:val="00773959"/>
    <w:rsid w:val="0077696E"/>
    <w:rsid w:val="00776A7C"/>
    <w:rsid w:val="00777CD7"/>
    <w:rsid w:val="0078038F"/>
    <w:rsid w:val="00780CBF"/>
    <w:rsid w:val="007815B0"/>
    <w:rsid w:val="007825D0"/>
    <w:rsid w:val="00783296"/>
    <w:rsid w:val="00784232"/>
    <w:rsid w:val="00784A39"/>
    <w:rsid w:val="0078572E"/>
    <w:rsid w:val="00786231"/>
    <w:rsid w:val="00790EC5"/>
    <w:rsid w:val="007911AF"/>
    <w:rsid w:val="00793075"/>
    <w:rsid w:val="00793718"/>
    <w:rsid w:val="00796434"/>
    <w:rsid w:val="00796B02"/>
    <w:rsid w:val="007A269F"/>
    <w:rsid w:val="007A5E85"/>
    <w:rsid w:val="007A61FD"/>
    <w:rsid w:val="007B19EB"/>
    <w:rsid w:val="007B3D86"/>
    <w:rsid w:val="007B5F7B"/>
    <w:rsid w:val="007B67A5"/>
    <w:rsid w:val="007B7017"/>
    <w:rsid w:val="007B70F9"/>
    <w:rsid w:val="007C0CED"/>
    <w:rsid w:val="007C164D"/>
    <w:rsid w:val="007C3607"/>
    <w:rsid w:val="007D1931"/>
    <w:rsid w:val="007D482B"/>
    <w:rsid w:val="007D6BFD"/>
    <w:rsid w:val="007D6C39"/>
    <w:rsid w:val="007D71AE"/>
    <w:rsid w:val="007E1718"/>
    <w:rsid w:val="007E51BD"/>
    <w:rsid w:val="007E5A0A"/>
    <w:rsid w:val="007F6E1B"/>
    <w:rsid w:val="00801A56"/>
    <w:rsid w:val="008035E0"/>
    <w:rsid w:val="00804C7A"/>
    <w:rsid w:val="00805275"/>
    <w:rsid w:val="00806306"/>
    <w:rsid w:val="00806B7A"/>
    <w:rsid w:val="008105C4"/>
    <w:rsid w:val="00812D94"/>
    <w:rsid w:val="008134BC"/>
    <w:rsid w:val="008142CA"/>
    <w:rsid w:val="008204B6"/>
    <w:rsid w:val="00822B26"/>
    <w:rsid w:val="0082541F"/>
    <w:rsid w:val="008255CF"/>
    <w:rsid w:val="008257E8"/>
    <w:rsid w:val="00827E21"/>
    <w:rsid w:val="00835740"/>
    <w:rsid w:val="00835F32"/>
    <w:rsid w:val="008378F9"/>
    <w:rsid w:val="0083794F"/>
    <w:rsid w:val="00837DF8"/>
    <w:rsid w:val="00840164"/>
    <w:rsid w:val="008414BE"/>
    <w:rsid w:val="00841DFA"/>
    <w:rsid w:val="00847F2D"/>
    <w:rsid w:val="008510BC"/>
    <w:rsid w:val="00851126"/>
    <w:rsid w:val="00853E6B"/>
    <w:rsid w:val="00854642"/>
    <w:rsid w:val="00855D1D"/>
    <w:rsid w:val="00856862"/>
    <w:rsid w:val="00856967"/>
    <w:rsid w:val="00856BB0"/>
    <w:rsid w:val="00857D47"/>
    <w:rsid w:val="00860935"/>
    <w:rsid w:val="008623CC"/>
    <w:rsid w:val="00865518"/>
    <w:rsid w:val="00870B8A"/>
    <w:rsid w:val="00871018"/>
    <w:rsid w:val="00871138"/>
    <w:rsid w:val="0087342B"/>
    <w:rsid w:val="00873B74"/>
    <w:rsid w:val="00875571"/>
    <w:rsid w:val="00877EF3"/>
    <w:rsid w:val="0088217C"/>
    <w:rsid w:val="00883E3C"/>
    <w:rsid w:val="00884809"/>
    <w:rsid w:val="00892493"/>
    <w:rsid w:val="00892AAB"/>
    <w:rsid w:val="00895C74"/>
    <w:rsid w:val="00897DAB"/>
    <w:rsid w:val="008A4147"/>
    <w:rsid w:val="008A4A4C"/>
    <w:rsid w:val="008A6FBF"/>
    <w:rsid w:val="008B0654"/>
    <w:rsid w:val="008B0762"/>
    <w:rsid w:val="008B102D"/>
    <w:rsid w:val="008B15AF"/>
    <w:rsid w:val="008B2384"/>
    <w:rsid w:val="008B250C"/>
    <w:rsid w:val="008B4FB1"/>
    <w:rsid w:val="008B5077"/>
    <w:rsid w:val="008C1609"/>
    <w:rsid w:val="008C3418"/>
    <w:rsid w:val="008C3FC4"/>
    <w:rsid w:val="008C4552"/>
    <w:rsid w:val="008C4C2C"/>
    <w:rsid w:val="008C78B4"/>
    <w:rsid w:val="008D0545"/>
    <w:rsid w:val="008D067E"/>
    <w:rsid w:val="008D40A6"/>
    <w:rsid w:val="008D439F"/>
    <w:rsid w:val="008D5974"/>
    <w:rsid w:val="008D5E9D"/>
    <w:rsid w:val="008D6A46"/>
    <w:rsid w:val="008E14CD"/>
    <w:rsid w:val="008F224B"/>
    <w:rsid w:val="008F36F2"/>
    <w:rsid w:val="008F40C9"/>
    <w:rsid w:val="008F4D42"/>
    <w:rsid w:val="008F624B"/>
    <w:rsid w:val="008F66F8"/>
    <w:rsid w:val="008F692D"/>
    <w:rsid w:val="008F72A5"/>
    <w:rsid w:val="009011BE"/>
    <w:rsid w:val="009033A3"/>
    <w:rsid w:val="00910253"/>
    <w:rsid w:val="00911668"/>
    <w:rsid w:val="00922660"/>
    <w:rsid w:val="0092511C"/>
    <w:rsid w:val="0092587E"/>
    <w:rsid w:val="00925C4F"/>
    <w:rsid w:val="00930C8E"/>
    <w:rsid w:val="00932A9B"/>
    <w:rsid w:val="009334FC"/>
    <w:rsid w:val="009351F2"/>
    <w:rsid w:val="00935315"/>
    <w:rsid w:val="0093730D"/>
    <w:rsid w:val="009420FE"/>
    <w:rsid w:val="00943EE5"/>
    <w:rsid w:val="0094484B"/>
    <w:rsid w:val="009559EA"/>
    <w:rsid w:val="009569A1"/>
    <w:rsid w:val="009569F2"/>
    <w:rsid w:val="00960927"/>
    <w:rsid w:val="00960DA2"/>
    <w:rsid w:val="0096135B"/>
    <w:rsid w:val="0097018B"/>
    <w:rsid w:val="0097277E"/>
    <w:rsid w:val="00972D3C"/>
    <w:rsid w:val="00973F67"/>
    <w:rsid w:val="00974445"/>
    <w:rsid w:val="00975E3F"/>
    <w:rsid w:val="0097624A"/>
    <w:rsid w:val="00980A30"/>
    <w:rsid w:val="009824B2"/>
    <w:rsid w:val="00984090"/>
    <w:rsid w:val="0098434E"/>
    <w:rsid w:val="00986D8D"/>
    <w:rsid w:val="00987670"/>
    <w:rsid w:val="00991DDD"/>
    <w:rsid w:val="0099575F"/>
    <w:rsid w:val="00995DDC"/>
    <w:rsid w:val="00996126"/>
    <w:rsid w:val="00997127"/>
    <w:rsid w:val="009A037B"/>
    <w:rsid w:val="009A2E4C"/>
    <w:rsid w:val="009A2EC6"/>
    <w:rsid w:val="009A44BC"/>
    <w:rsid w:val="009A4E99"/>
    <w:rsid w:val="009A5E5E"/>
    <w:rsid w:val="009A67A9"/>
    <w:rsid w:val="009A7442"/>
    <w:rsid w:val="009B0756"/>
    <w:rsid w:val="009B1B6F"/>
    <w:rsid w:val="009B3DA3"/>
    <w:rsid w:val="009C3165"/>
    <w:rsid w:val="009C3D0F"/>
    <w:rsid w:val="009C469E"/>
    <w:rsid w:val="009C6098"/>
    <w:rsid w:val="009C754E"/>
    <w:rsid w:val="009D2502"/>
    <w:rsid w:val="009D2BF4"/>
    <w:rsid w:val="009D32CF"/>
    <w:rsid w:val="009D5BA6"/>
    <w:rsid w:val="009E0E5C"/>
    <w:rsid w:val="009E1FE5"/>
    <w:rsid w:val="009F5F96"/>
    <w:rsid w:val="00A002CA"/>
    <w:rsid w:val="00A0114B"/>
    <w:rsid w:val="00A0174D"/>
    <w:rsid w:val="00A05455"/>
    <w:rsid w:val="00A05DC6"/>
    <w:rsid w:val="00A0783E"/>
    <w:rsid w:val="00A11DCF"/>
    <w:rsid w:val="00A16CD0"/>
    <w:rsid w:val="00A23513"/>
    <w:rsid w:val="00A24DC7"/>
    <w:rsid w:val="00A24E67"/>
    <w:rsid w:val="00A25AE4"/>
    <w:rsid w:val="00A25E2A"/>
    <w:rsid w:val="00A27878"/>
    <w:rsid w:val="00A30D73"/>
    <w:rsid w:val="00A330A9"/>
    <w:rsid w:val="00A37F62"/>
    <w:rsid w:val="00A41DFF"/>
    <w:rsid w:val="00A451B6"/>
    <w:rsid w:val="00A45DD1"/>
    <w:rsid w:val="00A46FD8"/>
    <w:rsid w:val="00A50FB0"/>
    <w:rsid w:val="00A51C91"/>
    <w:rsid w:val="00A51F4D"/>
    <w:rsid w:val="00A52027"/>
    <w:rsid w:val="00A542C9"/>
    <w:rsid w:val="00A6040A"/>
    <w:rsid w:val="00A60466"/>
    <w:rsid w:val="00A60B9E"/>
    <w:rsid w:val="00A618A5"/>
    <w:rsid w:val="00A61918"/>
    <w:rsid w:val="00A6244F"/>
    <w:rsid w:val="00A62B2F"/>
    <w:rsid w:val="00A62C8E"/>
    <w:rsid w:val="00A64F26"/>
    <w:rsid w:val="00A67752"/>
    <w:rsid w:val="00A67873"/>
    <w:rsid w:val="00A702E1"/>
    <w:rsid w:val="00A70D64"/>
    <w:rsid w:val="00A74D13"/>
    <w:rsid w:val="00A75B6F"/>
    <w:rsid w:val="00A773D1"/>
    <w:rsid w:val="00A77FB6"/>
    <w:rsid w:val="00A852A1"/>
    <w:rsid w:val="00A90756"/>
    <w:rsid w:val="00A92A1F"/>
    <w:rsid w:val="00A936A4"/>
    <w:rsid w:val="00A94643"/>
    <w:rsid w:val="00A97D66"/>
    <w:rsid w:val="00AA5305"/>
    <w:rsid w:val="00AA6BB7"/>
    <w:rsid w:val="00AB0F5A"/>
    <w:rsid w:val="00AB5577"/>
    <w:rsid w:val="00AB66EE"/>
    <w:rsid w:val="00AB7297"/>
    <w:rsid w:val="00AB73AD"/>
    <w:rsid w:val="00AB7DC1"/>
    <w:rsid w:val="00AC1D6D"/>
    <w:rsid w:val="00AC208A"/>
    <w:rsid w:val="00AC4645"/>
    <w:rsid w:val="00AC4E94"/>
    <w:rsid w:val="00AC4F40"/>
    <w:rsid w:val="00AC7077"/>
    <w:rsid w:val="00AD0244"/>
    <w:rsid w:val="00AD6BE6"/>
    <w:rsid w:val="00AD7E3D"/>
    <w:rsid w:val="00AE72E3"/>
    <w:rsid w:val="00AF02D6"/>
    <w:rsid w:val="00AF29EC"/>
    <w:rsid w:val="00AF5221"/>
    <w:rsid w:val="00B045F7"/>
    <w:rsid w:val="00B05B91"/>
    <w:rsid w:val="00B06A55"/>
    <w:rsid w:val="00B06C94"/>
    <w:rsid w:val="00B10528"/>
    <w:rsid w:val="00B11B98"/>
    <w:rsid w:val="00B13A7D"/>
    <w:rsid w:val="00B15D97"/>
    <w:rsid w:val="00B21194"/>
    <w:rsid w:val="00B226FE"/>
    <w:rsid w:val="00B22905"/>
    <w:rsid w:val="00B239AB"/>
    <w:rsid w:val="00B26053"/>
    <w:rsid w:val="00B30C1C"/>
    <w:rsid w:val="00B310A3"/>
    <w:rsid w:val="00B31481"/>
    <w:rsid w:val="00B34BC2"/>
    <w:rsid w:val="00B3579F"/>
    <w:rsid w:val="00B36263"/>
    <w:rsid w:val="00B40AB4"/>
    <w:rsid w:val="00B411E6"/>
    <w:rsid w:val="00B419F6"/>
    <w:rsid w:val="00B428F5"/>
    <w:rsid w:val="00B445A2"/>
    <w:rsid w:val="00B4665C"/>
    <w:rsid w:val="00B474D5"/>
    <w:rsid w:val="00B51AD4"/>
    <w:rsid w:val="00B53EA9"/>
    <w:rsid w:val="00B545D9"/>
    <w:rsid w:val="00B5738B"/>
    <w:rsid w:val="00B63380"/>
    <w:rsid w:val="00B64916"/>
    <w:rsid w:val="00B67434"/>
    <w:rsid w:val="00B6793D"/>
    <w:rsid w:val="00B76311"/>
    <w:rsid w:val="00B82C5A"/>
    <w:rsid w:val="00B8634B"/>
    <w:rsid w:val="00B8688C"/>
    <w:rsid w:val="00B8703E"/>
    <w:rsid w:val="00B872E3"/>
    <w:rsid w:val="00B92D71"/>
    <w:rsid w:val="00B9605C"/>
    <w:rsid w:val="00B96978"/>
    <w:rsid w:val="00B96D04"/>
    <w:rsid w:val="00B97027"/>
    <w:rsid w:val="00BA0E79"/>
    <w:rsid w:val="00BA48C4"/>
    <w:rsid w:val="00BA4CF7"/>
    <w:rsid w:val="00BA5BE8"/>
    <w:rsid w:val="00BA5EF1"/>
    <w:rsid w:val="00BB06A3"/>
    <w:rsid w:val="00BB218A"/>
    <w:rsid w:val="00BB4870"/>
    <w:rsid w:val="00BB5D76"/>
    <w:rsid w:val="00BC2F11"/>
    <w:rsid w:val="00BC2FD0"/>
    <w:rsid w:val="00BC378B"/>
    <w:rsid w:val="00BC3AA0"/>
    <w:rsid w:val="00BD2FC3"/>
    <w:rsid w:val="00BD37F9"/>
    <w:rsid w:val="00BD3CC5"/>
    <w:rsid w:val="00BD51DD"/>
    <w:rsid w:val="00BD75C4"/>
    <w:rsid w:val="00BE1185"/>
    <w:rsid w:val="00BE1DB2"/>
    <w:rsid w:val="00BE2A2F"/>
    <w:rsid w:val="00BE7168"/>
    <w:rsid w:val="00BE7E00"/>
    <w:rsid w:val="00BF3A9D"/>
    <w:rsid w:val="00BF423E"/>
    <w:rsid w:val="00C0667E"/>
    <w:rsid w:val="00C07DD9"/>
    <w:rsid w:val="00C11177"/>
    <w:rsid w:val="00C117B8"/>
    <w:rsid w:val="00C13EC3"/>
    <w:rsid w:val="00C155DC"/>
    <w:rsid w:val="00C159C7"/>
    <w:rsid w:val="00C15C67"/>
    <w:rsid w:val="00C301A4"/>
    <w:rsid w:val="00C313C4"/>
    <w:rsid w:val="00C32061"/>
    <w:rsid w:val="00C34ACD"/>
    <w:rsid w:val="00C3742D"/>
    <w:rsid w:val="00C4077E"/>
    <w:rsid w:val="00C42F5F"/>
    <w:rsid w:val="00C4342C"/>
    <w:rsid w:val="00C437A8"/>
    <w:rsid w:val="00C454E7"/>
    <w:rsid w:val="00C45CAF"/>
    <w:rsid w:val="00C470BA"/>
    <w:rsid w:val="00C50C03"/>
    <w:rsid w:val="00C56DEB"/>
    <w:rsid w:val="00C610B6"/>
    <w:rsid w:val="00C678E7"/>
    <w:rsid w:val="00C70CD8"/>
    <w:rsid w:val="00C7169E"/>
    <w:rsid w:val="00C72917"/>
    <w:rsid w:val="00C740FA"/>
    <w:rsid w:val="00C74A90"/>
    <w:rsid w:val="00C900E5"/>
    <w:rsid w:val="00C9188E"/>
    <w:rsid w:val="00C9565F"/>
    <w:rsid w:val="00C95AB5"/>
    <w:rsid w:val="00C96269"/>
    <w:rsid w:val="00C969D8"/>
    <w:rsid w:val="00C97AED"/>
    <w:rsid w:val="00CA03A1"/>
    <w:rsid w:val="00CA0413"/>
    <w:rsid w:val="00CA111F"/>
    <w:rsid w:val="00CA5C05"/>
    <w:rsid w:val="00CA6A8B"/>
    <w:rsid w:val="00CA74D8"/>
    <w:rsid w:val="00CB0FC9"/>
    <w:rsid w:val="00CB10E0"/>
    <w:rsid w:val="00CB3861"/>
    <w:rsid w:val="00CB5AF2"/>
    <w:rsid w:val="00CB67FC"/>
    <w:rsid w:val="00CB68BE"/>
    <w:rsid w:val="00CB70FA"/>
    <w:rsid w:val="00CC00FF"/>
    <w:rsid w:val="00CC0FAB"/>
    <w:rsid w:val="00CC1FF6"/>
    <w:rsid w:val="00CC30D9"/>
    <w:rsid w:val="00CD1AA6"/>
    <w:rsid w:val="00CD1DCD"/>
    <w:rsid w:val="00CD2851"/>
    <w:rsid w:val="00CD3844"/>
    <w:rsid w:val="00CD3CB5"/>
    <w:rsid w:val="00CD4F24"/>
    <w:rsid w:val="00CE116B"/>
    <w:rsid w:val="00CE15F9"/>
    <w:rsid w:val="00CE2EF5"/>
    <w:rsid w:val="00CE3261"/>
    <w:rsid w:val="00CF03AB"/>
    <w:rsid w:val="00CF0DE5"/>
    <w:rsid w:val="00CF0E03"/>
    <w:rsid w:val="00CF1F07"/>
    <w:rsid w:val="00CF2FBA"/>
    <w:rsid w:val="00CF4906"/>
    <w:rsid w:val="00CF79FF"/>
    <w:rsid w:val="00D023E7"/>
    <w:rsid w:val="00D02A27"/>
    <w:rsid w:val="00D0313A"/>
    <w:rsid w:val="00D0314E"/>
    <w:rsid w:val="00D0406D"/>
    <w:rsid w:val="00D041B0"/>
    <w:rsid w:val="00D11569"/>
    <w:rsid w:val="00D11954"/>
    <w:rsid w:val="00D148C8"/>
    <w:rsid w:val="00D15122"/>
    <w:rsid w:val="00D23489"/>
    <w:rsid w:val="00D23770"/>
    <w:rsid w:val="00D26796"/>
    <w:rsid w:val="00D320D2"/>
    <w:rsid w:val="00D332C0"/>
    <w:rsid w:val="00D33C5F"/>
    <w:rsid w:val="00D3530F"/>
    <w:rsid w:val="00D406BE"/>
    <w:rsid w:val="00D40A9D"/>
    <w:rsid w:val="00D40B53"/>
    <w:rsid w:val="00D43C6F"/>
    <w:rsid w:val="00D473FB"/>
    <w:rsid w:val="00D50E6B"/>
    <w:rsid w:val="00D5123C"/>
    <w:rsid w:val="00D5294C"/>
    <w:rsid w:val="00D52CA0"/>
    <w:rsid w:val="00D538A7"/>
    <w:rsid w:val="00D559CB"/>
    <w:rsid w:val="00D63038"/>
    <w:rsid w:val="00D6353A"/>
    <w:rsid w:val="00D674BE"/>
    <w:rsid w:val="00D733FE"/>
    <w:rsid w:val="00D76DBA"/>
    <w:rsid w:val="00D8152F"/>
    <w:rsid w:val="00D900CE"/>
    <w:rsid w:val="00D9182C"/>
    <w:rsid w:val="00D92878"/>
    <w:rsid w:val="00D946E5"/>
    <w:rsid w:val="00D95275"/>
    <w:rsid w:val="00D95309"/>
    <w:rsid w:val="00D956C7"/>
    <w:rsid w:val="00D97E7F"/>
    <w:rsid w:val="00DA0394"/>
    <w:rsid w:val="00DA23DD"/>
    <w:rsid w:val="00DA304B"/>
    <w:rsid w:val="00DA444D"/>
    <w:rsid w:val="00DA6D85"/>
    <w:rsid w:val="00DB0389"/>
    <w:rsid w:val="00DB26B6"/>
    <w:rsid w:val="00DB395F"/>
    <w:rsid w:val="00DB62BD"/>
    <w:rsid w:val="00DB6D55"/>
    <w:rsid w:val="00DC1732"/>
    <w:rsid w:val="00DC1B42"/>
    <w:rsid w:val="00DC3A2D"/>
    <w:rsid w:val="00DC4E67"/>
    <w:rsid w:val="00DD04AE"/>
    <w:rsid w:val="00DD0A47"/>
    <w:rsid w:val="00DD4501"/>
    <w:rsid w:val="00DD4614"/>
    <w:rsid w:val="00DD4A5A"/>
    <w:rsid w:val="00DD4FC5"/>
    <w:rsid w:val="00DD55BE"/>
    <w:rsid w:val="00DD6D83"/>
    <w:rsid w:val="00DE043A"/>
    <w:rsid w:val="00DE374C"/>
    <w:rsid w:val="00DE3CFF"/>
    <w:rsid w:val="00DE7145"/>
    <w:rsid w:val="00DF0C2D"/>
    <w:rsid w:val="00DF32DD"/>
    <w:rsid w:val="00DF42A2"/>
    <w:rsid w:val="00DF440A"/>
    <w:rsid w:val="00E03821"/>
    <w:rsid w:val="00E03CE1"/>
    <w:rsid w:val="00E141B1"/>
    <w:rsid w:val="00E17659"/>
    <w:rsid w:val="00E23620"/>
    <w:rsid w:val="00E23C07"/>
    <w:rsid w:val="00E2606F"/>
    <w:rsid w:val="00E27EB6"/>
    <w:rsid w:val="00E32C46"/>
    <w:rsid w:val="00E36955"/>
    <w:rsid w:val="00E40A5E"/>
    <w:rsid w:val="00E424AF"/>
    <w:rsid w:val="00E429F7"/>
    <w:rsid w:val="00E42FEF"/>
    <w:rsid w:val="00E438BC"/>
    <w:rsid w:val="00E45324"/>
    <w:rsid w:val="00E523FF"/>
    <w:rsid w:val="00E608ED"/>
    <w:rsid w:val="00E63BA5"/>
    <w:rsid w:val="00E7038C"/>
    <w:rsid w:val="00E7128D"/>
    <w:rsid w:val="00E748B5"/>
    <w:rsid w:val="00E756C9"/>
    <w:rsid w:val="00E80032"/>
    <w:rsid w:val="00E8035D"/>
    <w:rsid w:val="00E829D0"/>
    <w:rsid w:val="00E857ED"/>
    <w:rsid w:val="00E90464"/>
    <w:rsid w:val="00E9328E"/>
    <w:rsid w:val="00E93BFD"/>
    <w:rsid w:val="00E93E96"/>
    <w:rsid w:val="00E943E6"/>
    <w:rsid w:val="00E9672B"/>
    <w:rsid w:val="00EA750F"/>
    <w:rsid w:val="00EB04AB"/>
    <w:rsid w:val="00EB1891"/>
    <w:rsid w:val="00EB1ECE"/>
    <w:rsid w:val="00EB60F7"/>
    <w:rsid w:val="00EB64DD"/>
    <w:rsid w:val="00EB6A51"/>
    <w:rsid w:val="00EC0AE1"/>
    <w:rsid w:val="00EC6CAA"/>
    <w:rsid w:val="00ED2463"/>
    <w:rsid w:val="00ED2694"/>
    <w:rsid w:val="00ED4C2D"/>
    <w:rsid w:val="00EE1F12"/>
    <w:rsid w:val="00EE2E1B"/>
    <w:rsid w:val="00EE3409"/>
    <w:rsid w:val="00EE54CF"/>
    <w:rsid w:val="00EE564B"/>
    <w:rsid w:val="00EE59C5"/>
    <w:rsid w:val="00EE6728"/>
    <w:rsid w:val="00EF051C"/>
    <w:rsid w:val="00EF1C04"/>
    <w:rsid w:val="00EF297B"/>
    <w:rsid w:val="00EF3E66"/>
    <w:rsid w:val="00EF58C4"/>
    <w:rsid w:val="00EF6861"/>
    <w:rsid w:val="00EF72BD"/>
    <w:rsid w:val="00F01658"/>
    <w:rsid w:val="00F0199F"/>
    <w:rsid w:val="00F01FA5"/>
    <w:rsid w:val="00F0218C"/>
    <w:rsid w:val="00F04C4E"/>
    <w:rsid w:val="00F0657D"/>
    <w:rsid w:val="00F0771D"/>
    <w:rsid w:val="00F07B21"/>
    <w:rsid w:val="00F11CD5"/>
    <w:rsid w:val="00F132F5"/>
    <w:rsid w:val="00F13762"/>
    <w:rsid w:val="00F16FE5"/>
    <w:rsid w:val="00F233CB"/>
    <w:rsid w:val="00F2356F"/>
    <w:rsid w:val="00F2630F"/>
    <w:rsid w:val="00F264CA"/>
    <w:rsid w:val="00F276B9"/>
    <w:rsid w:val="00F30111"/>
    <w:rsid w:val="00F32C8A"/>
    <w:rsid w:val="00F333EA"/>
    <w:rsid w:val="00F33CDD"/>
    <w:rsid w:val="00F36395"/>
    <w:rsid w:val="00F37537"/>
    <w:rsid w:val="00F46433"/>
    <w:rsid w:val="00F50B17"/>
    <w:rsid w:val="00F53511"/>
    <w:rsid w:val="00F54962"/>
    <w:rsid w:val="00F55DCE"/>
    <w:rsid w:val="00F55F11"/>
    <w:rsid w:val="00F57104"/>
    <w:rsid w:val="00F60038"/>
    <w:rsid w:val="00F60460"/>
    <w:rsid w:val="00F64E3B"/>
    <w:rsid w:val="00F678D3"/>
    <w:rsid w:val="00F706F5"/>
    <w:rsid w:val="00F723B0"/>
    <w:rsid w:val="00F751E9"/>
    <w:rsid w:val="00F779B7"/>
    <w:rsid w:val="00F8132E"/>
    <w:rsid w:val="00F8155D"/>
    <w:rsid w:val="00F84A12"/>
    <w:rsid w:val="00F85508"/>
    <w:rsid w:val="00F929D5"/>
    <w:rsid w:val="00F93AAA"/>
    <w:rsid w:val="00F95D4C"/>
    <w:rsid w:val="00F961FE"/>
    <w:rsid w:val="00FA0B04"/>
    <w:rsid w:val="00FA0DCB"/>
    <w:rsid w:val="00FA17F2"/>
    <w:rsid w:val="00FA2BE6"/>
    <w:rsid w:val="00FA523B"/>
    <w:rsid w:val="00FA6F53"/>
    <w:rsid w:val="00FA7CCD"/>
    <w:rsid w:val="00FA7D63"/>
    <w:rsid w:val="00FB0A6E"/>
    <w:rsid w:val="00FB2133"/>
    <w:rsid w:val="00FB2367"/>
    <w:rsid w:val="00FB59D0"/>
    <w:rsid w:val="00FB60D5"/>
    <w:rsid w:val="00FB626D"/>
    <w:rsid w:val="00FC0A5C"/>
    <w:rsid w:val="00FC3B9C"/>
    <w:rsid w:val="00FC7327"/>
    <w:rsid w:val="00FC7E9A"/>
    <w:rsid w:val="00FD0134"/>
    <w:rsid w:val="00FD1BC0"/>
    <w:rsid w:val="00FD4179"/>
    <w:rsid w:val="00FE0697"/>
    <w:rsid w:val="00FE1157"/>
    <w:rsid w:val="00FE203E"/>
    <w:rsid w:val="00FE2EAF"/>
    <w:rsid w:val="00FF049A"/>
    <w:rsid w:val="00FF2938"/>
    <w:rsid w:val="00FF564D"/>
    <w:rsid w:val="00FF5AD4"/>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6F847D"/>
  <w15:docId w15:val="{8C6627AE-857E-4C3A-8C21-1F525633C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sz w:val="22"/>
      <w:szCs w:val="22"/>
      <w:lang w:bidi="cs-CZ"/>
    </w:rPr>
  </w:style>
  <w:style w:type="paragraph" w:styleId="Heading1">
    <w:name w:val="heading 1"/>
    <w:basedOn w:val="Normal"/>
    <w:uiPriority w:val="1"/>
    <w:qFormat/>
    <w:rsid w:val="00363CA4"/>
    <w:pPr>
      <w:outlineLvl w:val="0"/>
    </w:pPr>
    <w:rPr>
      <w:rFonts w:ascii="Times New Roman" w:eastAsia="Times New Roman" w:hAnsi="Times New Roman"/>
      <w:b/>
      <w:bCs/>
      <w:cap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50C03"/>
    <w:rPr>
      <w:rFonts w:ascii="Tahoma" w:hAnsi="Tahoma" w:cs="Tahoma"/>
      <w:sz w:val="16"/>
      <w:szCs w:val="16"/>
    </w:rPr>
  </w:style>
  <w:style w:type="character" w:customStyle="1" w:styleId="BalloonTextChar">
    <w:name w:val="Balloon Text Char"/>
    <w:link w:val="BalloonText"/>
    <w:uiPriority w:val="99"/>
    <w:semiHidden/>
    <w:rsid w:val="00C50C03"/>
    <w:rPr>
      <w:rFonts w:ascii="Tahoma" w:hAnsi="Tahoma" w:cs="Tahoma"/>
      <w:sz w:val="16"/>
      <w:szCs w:val="16"/>
    </w:rPr>
  </w:style>
  <w:style w:type="paragraph" w:styleId="Revision">
    <w:name w:val="Revision"/>
    <w:hidden/>
    <w:uiPriority w:val="99"/>
    <w:semiHidden/>
    <w:rsid w:val="00897DAB"/>
    <w:rPr>
      <w:sz w:val="22"/>
      <w:szCs w:val="22"/>
      <w:lang w:bidi="cs-CZ"/>
    </w:rPr>
  </w:style>
  <w:style w:type="paragraph" w:customStyle="1" w:styleId="Default">
    <w:name w:val="Default"/>
    <w:rsid w:val="00812D94"/>
    <w:pPr>
      <w:autoSpaceDE w:val="0"/>
      <w:autoSpaceDN w:val="0"/>
      <w:adjustRightInd w:val="0"/>
    </w:pPr>
    <w:rPr>
      <w:rFonts w:ascii="Times New Roman" w:hAnsi="Times New Roman"/>
      <w:color w:val="000000"/>
      <w:sz w:val="24"/>
      <w:szCs w:val="24"/>
      <w:lang w:bidi="cs-CZ"/>
    </w:rPr>
  </w:style>
  <w:style w:type="character" w:styleId="CommentReference">
    <w:name w:val="annotation reference"/>
    <w:uiPriority w:val="99"/>
    <w:semiHidden/>
    <w:unhideWhenUsed/>
    <w:rsid w:val="004708DE"/>
    <w:rPr>
      <w:sz w:val="16"/>
      <w:szCs w:val="16"/>
    </w:rPr>
  </w:style>
  <w:style w:type="paragraph" w:styleId="CommentText">
    <w:name w:val="annotation text"/>
    <w:basedOn w:val="Normal"/>
    <w:link w:val="CommentTextChar"/>
    <w:uiPriority w:val="99"/>
    <w:unhideWhenUsed/>
    <w:rsid w:val="004708DE"/>
    <w:rPr>
      <w:sz w:val="20"/>
      <w:szCs w:val="20"/>
    </w:rPr>
  </w:style>
  <w:style w:type="character" w:customStyle="1" w:styleId="CommentTextChar">
    <w:name w:val="Comment Text Char"/>
    <w:link w:val="CommentText"/>
    <w:uiPriority w:val="99"/>
    <w:rsid w:val="004708DE"/>
    <w:rPr>
      <w:sz w:val="20"/>
      <w:szCs w:val="20"/>
    </w:rPr>
  </w:style>
  <w:style w:type="paragraph" w:styleId="CommentSubject">
    <w:name w:val="annotation subject"/>
    <w:basedOn w:val="CommentText"/>
    <w:next w:val="CommentText"/>
    <w:link w:val="CommentSubjectChar"/>
    <w:uiPriority w:val="99"/>
    <w:semiHidden/>
    <w:unhideWhenUsed/>
    <w:rsid w:val="004708DE"/>
    <w:rPr>
      <w:b/>
      <w:bCs/>
    </w:rPr>
  </w:style>
  <w:style w:type="character" w:customStyle="1" w:styleId="CommentSubjectChar">
    <w:name w:val="Comment Subject Char"/>
    <w:link w:val="CommentSubject"/>
    <w:uiPriority w:val="99"/>
    <w:semiHidden/>
    <w:rsid w:val="004708DE"/>
    <w:rPr>
      <w:b/>
      <w:bCs/>
      <w:sz w:val="20"/>
      <w:szCs w:val="20"/>
    </w:rPr>
  </w:style>
  <w:style w:type="paragraph" w:customStyle="1" w:styleId="BodytextAgency">
    <w:name w:val="Body text (Agency)"/>
    <w:basedOn w:val="Normal"/>
    <w:link w:val="BodytextAgencyChar"/>
    <w:qFormat/>
    <w:rsid w:val="00853E6B"/>
    <w:pPr>
      <w:widowControl/>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853E6B"/>
    <w:rPr>
      <w:rFonts w:ascii="Verdana" w:eastAsia="Verdana" w:hAnsi="Verdana" w:cs="Verdana"/>
      <w:sz w:val="18"/>
      <w:szCs w:val="18"/>
      <w:lang w:val="cs-CZ" w:eastAsia="cs-CZ"/>
    </w:rPr>
  </w:style>
  <w:style w:type="paragraph" w:customStyle="1" w:styleId="TabletextrowsAgency">
    <w:name w:val="Table text rows (Agency)"/>
    <w:basedOn w:val="Normal"/>
    <w:rsid w:val="00853E6B"/>
    <w:pPr>
      <w:widowControl/>
      <w:spacing w:line="280" w:lineRule="exact"/>
    </w:pPr>
    <w:rPr>
      <w:rFonts w:ascii="Verdana" w:eastAsia="Times New Roman" w:hAnsi="Verdana" w:cs="Verdana"/>
      <w:sz w:val="18"/>
      <w:szCs w:val="18"/>
    </w:rPr>
  </w:style>
  <w:style w:type="table" w:styleId="TableGrid">
    <w:name w:val="Table Grid"/>
    <w:basedOn w:val="TableNormal"/>
    <w:uiPriority w:val="59"/>
    <w:rsid w:val="00626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21BE"/>
    <w:rPr>
      <w:sz w:val="22"/>
      <w:szCs w:val="22"/>
      <w:lang w:bidi="cs-CZ"/>
    </w:rPr>
  </w:style>
  <w:style w:type="paragraph" w:styleId="Footer">
    <w:name w:val="footer"/>
    <w:basedOn w:val="Header"/>
    <w:link w:val="FooterChar"/>
    <w:uiPriority w:val="99"/>
    <w:rsid w:val="00755DDA"/>
    <w:pPr>
      <w:widowControl/>
      <w:tabs>
        <w:tab w:val="clear" w:pos="4680"/>
        <w:tab w:val="clear" w:pos="9360"/>
        <w:tab w:val="center" w:pos="4435"/>
        <w:tab w:val="right" w:pos="8870"/>
      </w:tabs>
    </w:pPr>
    <w:rPr>
      <w:rFonts w:ascii="Times New Roman" w:eastAsia="Times New Roman" w:hAnsi="Times New Roman"/>
      <w:sz w:val="24"/>
      <w:szCs w:val="20"/>
    </w:rPr>
  </w:style>
  <w:style w:type="character" w:customStyle="1" w:styleId="FooterChar">
    <w:name w:val="Footer Char"/>
    <w:link w:val="Footer"/>
    <w:uiPriority w:val="99"/>
    <w:rsid w:val="00755DDA"/>
    <w:rPr>
      <w:rFonts w:ascii="Times New Roman" w:eastAsia="Times New Roman" w:hAnsi="Times New Roman" w:cs="Times New Roman"/>
      <w:sz w:val="24"/>
      <w:szCs w:val="20"/>
      <w:lang w:val="cs-CZ"/>
    </w:rPr>
  </w:style>
  <w:style w:type="paragraph" w:styleId="Header">
    <w:name w:val="header"/>
    <w:basedOn w:val="Normal"/>
    <w:link w:val="HeaderChar"/>
    <w:uiPriority w:val="99"/>
    <w:unhideWhenUsed/>
    <w:rsid w:val="00755DDA"/>
    <w:pPr>
      <w:tabs>
        <w:tab w:val="center" w:pos="4680"/>
        <w:tab w:val="right" w:pos="9360"/>
      </w:tabs>
    </w:pPr>
  </w:style>
  <w:style w:type="character" w:customStyle="1" w:styleId="HeaderChar">
    <w:name w:val="Header Char"/>
    <w:basedOn w:val="DefaultParagraphFont"/>
    <w:link w:val="Header"/>
    <w:uiPriority w:val="99"/>
    <w:rsid w:val="00755DDA"/>
  </w:style>
  <w:style w:type="paragraph" w:customStyle="1" w:styleId="TableText">
    <w:name w:val="TableText"/>
    <w:link w:val="TableTextChar"/>
    <w:rsid w:val="0069180D"/>
    <w:rPr>
      <w:rFonts w:ascii="Times New Roman" w:eastAsia="Times New Roman" w:hAnsi="Times New Roman" w:cs="Arial"/>
      <w:lang w:bidi="cs-CZ"/>
    </w:rPr>
  </w:style>
  <w:style w:type="character" w:customStyle="1" w:styleId="TableTextChar">
    <w:name w:val="TableText Char"/>
    <w:link w:val="TableText"/>
    <w:rsid w:val="0069180D"/>
    <w:rPr>
      <w:rFonts w:ascii="Times New Roman" w:eastAsia="Times New Roman" w:hAnsi="Times New Roman" w:cs="Arial"/>
      <w:sz w:val="20"/>
      <w:szCs w:val="20"/>
    </w:rPr>
  </w:style>
  <w:style w:type="character" w:styleId="Hyperlink">
    <w:name w:val="Hyperlink"/>
    <w:rsid w:val="00DF42A2"/>
    <w:rPr>
      <w:color w:val="0000FF"/>
      <w:u w:val="single"/>
    </w:rPr>
  </w:style>
  <w:style w:type="character" w:styleId="FollowedHyperlink">
    <w:name w:val="FollowedHyperlink"/>
    <w:uiPriority w:val="99"/>
    <w:semiHidden/>
    <w:unhideWhenUsed/>
    <w:rsid w:val="00DF42A2"/>
    <w:rPr>
      <w:color w:val="800080"/>
      <w:u w:val="single"/>
    </w:rPr>
  </w:style>
  <w:style w:type="paragraph" w:customStyle="1" w:styleId="4">
    <w:name w:val="4"/>
    <w:basedOn w:val="Normal"/>
    <w:next w:val="CommentText"/>
    <w:link w:val="MerknadstekstTegn"/>
    <w:uiPriority w:val="99"/>
    <w:unhideWhenUsed/>
    <w:rsid w:val="00572FA9"/>
    <w:rPr>
      <w:sz w:val="20"/>
      <w:szCs w:val="20"/>
    </w:rPr>
  </w:style>
  <w:style w:type="character" w:customStyle="1" w:styleId="MerknadstekstTegn">
    <w:name w:val="Merknadstekst Tegn"/>
    <w:link w:val="4"/>
    <w:uiPriority w:val="99"/>
    <w:rsid w:val="00572FA9"/>
  </w:style>
  <w:style w:type="character" w:customStyle="1" w:styleId="BodyTextChar">
    <w:name w:val="Body Text Char"/>
    <w:link w:val="BodyText"/>
    <w:uiPriority w:val="1"/>
    <w:rsid w:val="00185E97"/>
    <w:rPr>
      <w:rFonts w:ascii="Times New Roman" w:eastAsia="Times New Roman" w:hAnsi="Times New Roman"/>
      <w:sz w:val="22"/>
      <w:szCs w:val="22"/>
    </w:rPr>
  </w:style>
  <w:style w:type="paragraph" w:customStyle="1" w:styleId="3">
    <w:name w:val="3"/>
    <w:basedOn w:val="Normal"/>
    <w:next w:val="BodyText"/>
    <w:uiPriority w:val="1"/>
    <w:qFormat/>
    <w:rsid w:val="0097277E"/>
    <w:pPr>
      <w:ind w:left="118"/>
    </w:pPr>
    <w:rPr>
      <w:rFonts w:ascii="Times New Roman" w:eastAsia="Times New Roman" w:hAnsi="Times New Roman"/>
    </w:rPr>
  </w:style>
  <w:style w:type="character" w:customStyle="1" w:styleId="searchinsearch">
    <w:name w:val="searchinsearch"/>
    <w:rsid w:val="00A61918"/>
  </w:style>
  <w:style w:type="paragraph" w:customStyle="1" w:styleId="2">
    <w:name w:val="2"/>
    <w:rsid w:val="00D0314E"/>
    <w:pPr>
      <w:widowControl w:val="0"/>
    </w:pPr>
    <w:rPr>
      <w:lang w:bidi="cs-CZ"/>
    </w:rPr>
  </w:style>
  <w:style w:type="paragraph" w:customStyle="1" w:styleId="1">
    <w:name w:val="1"/>
    <w:basedOn w:val="Normal"/>
    <w:next w:val="CommentText"/>
    <w:uiPriority w:val="99"/>
    <w:unhideWhenUsed/>
    <w:rsid w:val="007E5A0A"/>
    <w:rPr>
      <w:sz w:val="20"/>
      <w:szCs w:val="20"/>
    </w:rPr>
  </w:style>
  <w:style w:type="character" w:customStyle="1" w:styleId="UnresolvedMention1">
    <w:name w:val="Unresolved Mention1"/>
    <w:uiPriority w:val="99"/>
    <w:semiHidden/>
    <w:unhideWhenUsed/>
    <w:rsid w:val="00564363"/>
    <w:rPr>
      <w:color w:val="605E5C"/>
      <w:shd w:val="clear" w:color="auto" w:fill="E1DFDD"/>
    </w:rPr>
  </w:style>
  <w:style w:type="paragraph" w:styleId="NormalWeb">
    <w:name w:val="Normal (Web)"/>
    <w:basedOn w:val="Normal"/>
    <w:uiPriority w:val="99"/>
    <w:unhideWhenUsed/>
    <w:rsid w:val="00070FC2"/>
    <w:pPr>
      <w:widowControl/>
      <w:spacing w:before="96" w:after="96"/>
    </w:pPr>
    <w:rPr>
      <w:rFonts w:ascii="Times New Roman" w:eastAsia="Times New Roman" w:hAnsi="Times New Roman"/>
      <w:sz w:val="24"/>
      <w:szCs w:val="24"/>
      <w:lang w:bidi="ar-SA"/>
    </w:rPr>
  </w:style>
  <w:style w:type="character" w:styleId="Strong">
    <w:name w:val="Strong"/>
    <w:uiPriority w:val="22"/>
    <w:qFormat/>
    <w:rsid w:val="00070FC2"/>
    <w:rPr>
      <w:b/>
      <w:bCs/>
    </w:rPr>
  </w:style>
  <w:style w:type="character" w:styleId="Emphasis">
    <w:name w:val="Emphasis"/>
    <w:uiPriority w:val="20"/>
    <w:qFormat/>
    <w:rsid w:val="00070FC2"/>
    <w:rPr>
      <w:i/>
      <w:iCs/>
    </w:rPr>
  </w:style>
  <w:style w:type="paragraph" w:customStyle="1" w:styleId="ods">
    <w:name w:val="ods"/>
    <w:basedOn w:val="Normal"/>
    <w:rsid w:val="00ED4C2D"/>
    <w:pPr>
      <w:widowControl/>
      <w:ind w:left="600"/>
    </w:pPr>
    <w:rPr>
      <w:rFonts w:ascii="Times New Roman" w:eastAsia="Times New Roman" w:hAnsi="Times New Roman"/>
      <w:sz w:val="24"/>
      <w:szCs w:val="24"/>
      <w:lang w:bidi="ar-SA"/>
    </w:rPr>
  </w:style>
  <w:style w:type="paragraph" w:customStyle="1" w:styleId="Normln1">
    <w:name w:val="Normální1"/>
    <w:qFormat/>
    <w:rsid w:val="00BE7168"/>
    <w:pPr>
      <w:tabs>
        <w:tab w:val="left" w:pos="567"/>
      </w:tabs>
      <w:spacing w:line="260" w:lineRule="exact"/>
    </w:pPr>
    <w:rPr>
      <w:rFonts w:ascii="Times New Roman" w:eastAsia="Times New Roman" w:hAnsi="Times New Roman"/>
      <w:sz w:val="22"/>
    </w:rPr>
  </w:style>
  <w:style w:type="character" w:customStyle="1" w:styleId="Nevyeenzmnka1">
    <w:name w:val="Nevyřešená zmínka1"/>
    <w:uiPriority w:val="99"/>
    <w:semiHidden/>
    <w:unhideWhenUsed/>
    <w:rsid w:val="0017170A"/>
    <w:rPr>
      <w:color w:val="605E5C"/>
      <w:shd w:val="clear" w:color="auto" w:fill="E1DFDD"/>
    </w:rPr>
  </w:style>
  <w:style w:type="paragraph" w:customStyle="1" w:styleId="Annex">
    <w:name w:val="Annex"/>
    <w:basedOn w:val="Normal"/>
    <w:next w:val="Normal"/>
    <w:rsid w:val="00EE564B"/>
    <w:pPr>
      <w:widowControl/>
      <w:jc w:val="center"/>
    </w:pPr>
    <w:rPr>
      <w:rFonts w:ascii="Times New Roman" w:eastAsia="Times New Roman" w:hAnsi="Times New Roman"/>
      <w:b/>
      <w:szCs w:val="20"/>
      <w:lang w:val="en-US" w:eastAsia="ja-JP" w:bidi="ar-SA"/>
    </w:rPr>
  </w:style>
  <w:style w:type="character" w:customStyle="1" w:styleId="DraftingNotesAgencyChar">
    <w:name w:val="Drafting Notes (Agency) Char"/>
    <w:link w:val="DraftingNotesAgency"/>
    <w:locked/>
    <w:rsid w:val="00EE564B"/>
    <w:rPr>
      <w:rFonts w:ascii="Courier New" w:eastAsia="Verdana" w:hAnsi="Courier New" w:cs="Courier New"/>
      <w:i/>
      <w:color w:val="339966"/>
      <w:sz w:val="22"/>
      <w:szCs w:val="18"/>
      <w:lang w:bidi="cs-CZ"/>
    </w:rPr>
  </w:style>
  <w:style w:type="paragraph" w:customStyle="1" w:styleId="DraftingNotesAgency">
    <w:name w:val="Drafting Notes (Agency)"/>
    <w:basedOn w:val="Normal"/>
    <w:next w:val="BodytextAgency"/>
    <w:link w:val="DraftingNotesAgencyChar"/>
    <w:rsid w:val="00EE564B"/>
    <w:pPr>
      <w:widowControl/>
      <w:spacing w:after="140" w:line="280" w:lineRule="atLeast"/>
    </w:pPr>
    <w:rPr>
      <w:rFonts w:ascii="Courier New" w:eastAsia="Verdana" w:hAnsi="Courier New" w:cs="Courier New"/>
      <w:i/>
      <w:color w:val="339966"/>
      <w:szCs w:val="18"/>
    </w:rPr>
  </w:style>
  <w:style w:type="character" w:customStyle="1" w:styleId="No-numheading3AgencyChar">
    <w:name w:val="No-num heading 3 (Agency) Char"/>
    <w:link w:val="No-numheading3Agency"/>
    <w:locked/>
    <w:rsid w:val="00EE564B"/>
    <w:rPr>
      <w:rFonts w:ascii="Verdana" w:eastAsia="Verdana" w:hAnsi="Verdana"/>
      <w:b/>
      <w:bCs/>
      <w:kern w:val="32"/>
      <w:sz w:val="22"/>
      <w:szCs w:val="22"/>
      <w:lang w:bidi="cs-CZ"/>
    </w:rPr>
  </w:style>
  <w:style w:type="paragraph" w:customStyle="1" w:styleId="No-numheading3Agency">
    <w:name w:val="No-num heading 3 (Agency)"/>
    <w:basedOn w:val="Normal"/>
    <w:next w:val="BodytextAgency"/>
    <w:link w:val="No-numheading3AgencyChar"/>
    <w:rsid w:val="00EE564B"/>
    <w:pPr>
      <w:keepNext/>
      <w:widowControl/>
      <w:spacing w:before="280" w:after="220"/>
      <w:outlineLvl w:val="2"/>
    </w:pPr>
    <w:rPr>
      <w:rFonts w:ascii="Verdana" w:eastAsia="Verdana" w:hAnsi="Verdana"/>
      <w:b/>
      <w:bCs/>
      <w:kern w:val="32"/>
    </w:rPr>
  </w:style>
  <w:style w:type="paragraph" w:styleId="HTMLPreformatted">
    <w:name w:val="HTML Preformatted"/>
    <w:basedOn w:val="Normal"/>
    <w:link w:val="HTMLPreformattedChar"/>
    <w:uiPriority w:val="99"/>
    <w:semiHidden/>
    <w:unhideWhenUsed/>
    <w:rsid w:val="00EE56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PreformattedChar">
    <w:name w:val="HTML Preformatted Char"/>
    <w:link w:val="HTMLPreformatted"/>
    <w:uiPriority w:val="99"/>
    <w:semiHidden/>
    <w:rsid w:val="00EE564B"/>
    <w:rPr>
      <w:rFonts w:ascii="Courier New" w:eastAsia="Times New Roman" w:hAnsi="Courier New" w:cs="Courier New"/>
    </w:rPr>
  </w:style>
  <w:style w:type="character" w:customStyle="1" w:styleId="y2iqfc">
    <w:name w:val="y2iqfc"/>
    <w:basedOn w:val="DefaultParagraphFont"/>
    <w:rsid w:val="00EE564B"/>
  </w:style>
  <w:style w:type="character" w:styleId="UnresolvedMention">
    <w:name w:val="Unresolved Mention"/>
    <w:basedOn w:val="DefaultParagraphFont"/>
    <w:uiPriority w:val="99"/>
    <w:semiHidden/>
    <w:unhideWhenUsed/>
    <w:rsid w:val="00856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7180">
      <w:bodyDiv w:val="1"/>
      <w:marLeft w:val="0"/>
      <w:marRight w:val="0"/>
      <w:marTop w:val="0"/>
      <w:marBottom w:val="0"/>
      <w:divBdr>
        <w:top w:val="none" w:sz="0" w:space="0" w:color="auto"/>
        <w:left w:val="none" w:sz="0" w:space="0" w:color="auto"/>
        <w:bottom w:val="none" w:sz="0" w:space="0" w:color="auto"/>
        <w:right w:val="none" w:sz="0" w:space="0" w:color="auto"/>
      </w:divBdr>
    </w:div>
    <w:div w:id="503666242">
      <w:bodyDiv w:val="1"/>
      <w:marLeft w:val="0"/>
      <w:marRight w:val="0"/>
      <w:marTop w:val="0"/>
      <w:marBottom w:val="0"/>
      <w:divBdr>
        <w:top w:val="none" w:sz="0" w:space="0" w:color="auto"/>
        <w:left w:val="none" w:sz="0" w:space="0" w:color="auto"/>
        <w:bottom w:val="none" w:sz="0" w:space="0" w:color="auto"/>
        <w:right w:val="none" w:sz="0" w:space="0" w:color="auto"/>
      </w:divBdr>
    </w:div>
    <w:div w:id="544761248">
      <w:bodyDiv w:val="1"/>
      <w:marLeft w:val="0"/>
      <w:marRight w:val="0"/>
      <w:marTop w:val="0"/>
      <w:marBottom w:val="0"/>
      <w:divBdr>
        <w:top w:val="none" w:sz="0" w:space="0" w:color="auto"/>
        <w:left w:val="none" w:sz="0" w:space="0" w:color="auto"/>
        <w:bottom w:val="none" w:sz="0" w:space="0" w:color="auto"/>
        <w:right w:val="none" w:sz="0" w:space="0" w:color="auto"/>
      </w:divBdr>
    </w:div>
    <w:div w:id="760226604">
      <w:bodyDiv w:val="1"/>
      <w:marLeft w:val="0"/>
      <w:marRight w:val="0"/>
      <w:marTop w:val="0"/>
      <w:marBottom w:val="0"/>
      <w:divBdr>
        <w:top w:val="none" w:sz="0" w:space="0" w:color="auto"/>
        <w:left w:val="none" w:sz="0" w:space="0" w:color="auto"/>
        <w:bottom w:val="none" w:sz="0" w:space="0" w:color="auto"/>
        <w:right w:val="none" w:sz="0" w:space="0" w:color="auto"/>
      </w:divBdr>
    </w:div>
    <w:div w:id="1041518056">
      <w:bodyDiv w:val="1"/>
      <w:marLeft w:val="0"/>
      <w:marRight w:val="0"/>
      <w:marTop w:val="0"/>
      <w:marBottom w:val="0"/>
      <w:divBdr>
        <w:top w:val="none" w:sz="0" w:space="0" w:color="auto"/>
        <w:left w:val="none" w:sz="0" w:space="0" w:color="auto"/>
        <w:bottom w:val="none" w:sz="0" w:space="0" w:color="auto"/>
        <w:right w:val="none" w:sz="0" w:space="0" w:color="auto"/>
      </w:divBdr>
    </w:div>
    <w:div w:id="1060635262">
      <w:bodyDiv w:val="1"/>
      <w:marLeft w:val="0"/>
      <w:marRight w:val="0"/>
      <w:marTop w:val="0"/>
      <w:marBottom w:val="0"/>
      <w:divBdr>
        <w:top w:val="none" w:sz="0" w:space="0" w:color="auto"/>
        <w:left w:val="none" w:sz="0" w:space="0" w:color="auto"/>
        <w:bottom w:val="none" w:sz="0" w:space="0" w:color="auto"/>
        <w:right w:val="none" w:sz="0" w:space="0" w:color="auto"/>
      </w:divBdr>
    </w:div>
    <w:div w:id="1552883919">
      <w:bodyDiv w:val="1"/>
      <w:marLeft w:val="0"/>
      <w:marRight w:val="0"/>
      <w:marTop w:val="0"/>
      <w:marBottom w:val="0"/>
      <w:divBdr>
        <w:top w:val="none" w:sz="0" w:space="0" w:color="auto"/>
        <w:left w:val="none" w:sz="0" w:space="0" w:color="auto"/>
        <w:bottom w:val="none" w:sz="0" w:space="0" w:color="auto"/>
        <w:right w:val="none" w:sz="0" w:space="0" w:color="auto"/>
      </w:divBdr>
    </w:div>
    <w:div w:id="1734347718">
      <w:bodyDiv w:val="1"/>
      <w:marLeft w:val="0"/>
      <w:marRight w:val="0"/>
      <w:marTop w:val="0"/>
      <w:marBottom w:val="0"/>
      <w:divBdr>
        <w:top w:val="none" w:sz="0" w:space="0" w:color="auto"/>
        <w:left w:val="none" w:sz="0" w:space="0" w:color="auto"/>
        <w:bottom w:val="none" w:sz="0" w:space="0" w:color="auto"/>
        <w:right w:val="none" w:sz="0" w:space="0" w:color="auto"/>
      </w:divBdr>
    </w:div>
    <w:div w:id="1828129188">
      <w:bodyDiv w:val="1"/>
      <w:marLeft w:val="0"/>
      <w:marRight w:val="0"/>
      <w:marTop w:val="0"/>
      <w:marBottom w:val="0"/>
      <w:divBdr>
        <w:top w:val="none" w:sz="0" w:space="0" w:color="auto"/>
        <w:left w:val="none" w:sz="0" w:space="0" w:color="auto"/>
        <w:bottom w:val="none" w:sz="0" w:space="0" w:color="auto"/>
        <w:right w:val="none" w:sz="0" w:space="0" w:color="auto"/>
      </w:divBdr>
    </w:div>
    <w:div w:id="1907059878">
      <w:bodyDiv w:val="1"/>
      <w:marLeft w:val="0"/>
      <w:marRight w:val="0"/>
      <w:marTop w:val="0"/>
      <w:marBottom w:val="0"/>
      <w:divBdr>
        <w:top w:val="none" w:sz="0" w:space="0" w:color="auto"/>
        <w:left w:val="none" w:sz="0" w:space="0" w:color="auto"/>
        <w:bottom w:val="none" w:sz="0" w:space="0" w:color="auto"/>
        <w:right w:val="none" w:sz="0" w:space="0" w:color="auto"/>
      </w:divBdr>
    </w:div>
    <w:div w:id="2062557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EMADOC-1700519818-2434515</_dlc_DocId>
    <_dlc_DocIdUrl xmlns="a034c160-bfb7-45f5-8632-2eb7e0508071">
      <Url>https://euema.sharepoint.com/sites/CRM/_layouts/15/DocIdRedir.aspx?ID=EMADOC-1700519818-2434515</Url>
      <Description>EMADOC-1700519818-2434515</Description>
    </_dlc_DocIdUrl>
  </documentManagement>
</p:properties>
</file>

<file path=customXml/itemProps1.xml><?xml version="1.0" encoding="utf-8"?>
<ds:datastoreItem xmlns:ds="http://schemas.openxmlformats.org/officeDocument/2006/customXml" ds:itemID="{5F0DF9DB-68E3-4996-A382-9C3BB222EB9C}">
  <ds:schemaRefs>
    <ds:schemaRef ds:uri="http://schemas.openxmlformats.org/officeDocument/2006/bibliography"/>
  </ds:schemaRefs>
</ds:datastoreItem>
</file>

<file path=customXml/itemProps2.xml><?xml version="1.0" encoding="utf-8"?>
<ds:datastoreItem xmlns:ds="http://schemas.openxmlformats.org/officeDocument/2006/customXml" ds:itemID="{999C769A-F7DB-4FC6-B906-CFB5948B397E}"/>
</file>

<file path=customXml/itemProps3.xml><?xml version="1.0" encoding="utf-8"?>
<ds:datastoreItem xmlns:ds="http://schemas.openxmlformats.org/officeDocument/2006/customXml" ds:itemID="{AC4D9036-8BEA-49B5-8BC9-7B3125DD3E41}"/>
</file>

<file path=customXml/itemProps4.xml><?xml version="1.0" encoding="utf-8"?>
<ds:datastoreItem xmlns:ds="http://schemas.openxmlformats.org/officeDocument/2006/customXml" ds:itemID="{CC29D776-B8DD-452A-98AC-B0B8F0DB360A}"/>
</file>

<file path=customXml/itemProps5.xml><?xml version="1.0" encoding="utf-8"?>
<ds:datastoreItem xmlns:ds="http://schemas.openxmlformats.org/officeDocument/2006/customXml" ds:itemID="{BB0050B3-A572-40E8-B49D-70FBACEA0FDB}"/>
</file>

<file path=docProps/app.xml><?xml version="1.0" encoding="utf-8"?>
<Properties xmlns="http://schemas.openxmlformats.org/officeDocument/2006/extended-properties" xmlns:vt="http://schemas.openxmlformats.org/officeDocument/2006/docPropsVTypes">
  <Template>Normal.dotm</Template>
  <TotalTime>15</TotalTime>
  <Pages>78</Pages>
  <Words>26819</Words>
  <Characters>152869</Characters>
  <Application>Microsoft Office Word</Application>
  <DocSecurity>0</DocSecurity>
  <Lines>1273</Lines>
  <Paragraphs>358</Paragraphs>
  <ScaleCrop>false</ScaleCrop>
  <HeadingPairs>
    <vt:vector size="6" baseType="variant">
      <vt:variant>
        <vt:lpstr>Název</vt:lpstr>
      </vt:variant>
      <vt:variant>
        <vt:i4>1</vt:i4>
      </vt:variant>
      <vt:variant>
        <vt:lpstr>Title</vt:lpstr>
      </vt:variant>
      <vt:variant>
        <vt:i4>1</vt:i4>
      </vt:variant>
      <vt:variant>
        <vt:lpstr>Название</vt:lpstr>
      </vt:variant>
      <vt:variant>
        <vt:i4>1</vt:i4>
      </vt:variant>
    </vt:vector>
  </HeadingPairs>
  <TitlesOfParts>
    <vt:vector size="3" baseType="lpstr">
      <vt:lpstr>Zirabev, INN-bevacizumab</vt:lpstr>
      <vt:lpstr>Zirabev, INN-bevacizumab</vt:lpstr>
      <vt:lpstr>Zirabev, INN-bevacizumab</vt:lpstr>
    </vt:vector>
  </TitlesOfParts>
  <Company>Pfizer Inc</Company>
  <LinksUpToDate>false</LinksUpToDate>
  <CharactersWithSpaces>179330</CharactersWithSpaces>
  <SharedDoc>false</SharedDoc>
  <HLinks>
    <vt:vector size="30" baseType="variant">
      <vt:variant>
        <vt:i4>1245197</vt:i4>
      </vt:variant>
      <vt:variant>
        <vt:i4>168</vt:i4>
      </vt:variant>
      <vt:variant>
        <vt:i4>0</vt:i4>
      </vt:variant>
      <vt:variant>
        <vt:i4>5</vt:i4>
      </vt:variant>
      <vt:variant>
        <vt:lpwstr>http://www.ema.europa.eu/</vt:lpwstr>
      </vt:variant>
      <vt:variant>
        <vt:lpwstr/>
      </vt:variant>
      <vt:variant>
        <vt:i4>2359399</vt:i4>
      </vt:variant>
      <vt:variant>
        <vt:i4>165</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Zirabev, INN-bevacizumab</dc:title>
  <dc:subject>EPAR</dc:subject>
  <dc:creator>CHMP</dc:creator>
  <cp:keywords>Zirabev, INN-bevacizumab</cp:keywords>
  <cp:lastModifiedBy>Author</cp:lastModifiedBy>
  <cp:revision>6</cp:revision>
  <cp:lastPrinted>2019-09-17T08:35:00Z</cp:lastPrinted>
  <dcterms:created xsi:type="dcterms:W3CDTF">2025-08-04T04:56:00Z</dcterms:created>
  <dcterms:modified xsi:type="dcterms:W3CDTF">2025-08-06T09:31:00Z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2017-05-12T00:00:00Z</vt:filetime>
  </property>
  <property fmtid="{D5CDD505-2E9C-101B-9397-08002B2CF9AE}" pid="3" name="LastSaved">
    <vt:filetime>2017-08-31T00:00:00Z</vt:filetime>
  </property>
  <property fmtid="{D5CDD505-2E9C-101B-9397-08002B2CF9AE}" pid="4" name="MSIP_Label_4791b42f-c435-42ca-9531-75a3f42aae3d_Enabled">
    <vt:lpwstr>true</vt:lpwstr>
  </property>
  <property fmtid="{D5CDD505-2E9C-101B-9397-08002B2CF9AE}" pid="5" name="MSIP_Label_4791b42f-c435-42ca-9531-75a3f42aae3d_SetDate">
    <vt:lpwstr>2023-08-08T07:02:13Z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17f246e5-9613-49b7-99d7-a986391f8bbc</vt:lpwstr>
  </property>
  <property fmtid="{D5CDD505-2E9C-101B-9397-08002B2CF9AE}" pid="10" name="MSIP_Label_4791b42f-c435-42ca-9531-75a3f42aae3d_ContentBits">
    <vt:lpwstr>0</vt:lpwstr>
  </property>
  <property fmtid="{D5CDD505-2E9C-101B-9397-08002B2CF9AE}" pid="11" name="ContentTypeId">
    <vt:lpwstr>0x0101000DA6AD19014FF648A49316945EE786F90200176DED4FF78CD74995F64A0F46B59E48</vt:lpwstr>
  </property>
  <property fmtid="{D5CDD505-2E9C-101B-9397-08002B2CF9AE}" pid="12" name="_dlc_DocIdItemGuid">
    <vt:lpwstr>233c063e-c968-4690-9976-df7d7f7d1803</vt:lpwstr>
  </property>
</Properties>
</file>