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-numheading3Agency"/>
        <w:jc w:val="center"/>
        <w:rPr>
          <w:rFonts w:ascii="Times New Roman" w:hAnsi="Times New Roman" w:cs="Times New Roman"/>
          <w:bCs w:val="0"/>
          <w:lang w:val="cs-CZ"/>
        </w:rPr>
      </w:pPr>
      <w:r w:rsidRPr="006037E5" w:rsidR="006037E5">
        <w:rPr>
          <w:rFonts w:ascii="Times New Roman" w:hAnsi="Times New Roman" w:cs="Times New Roman"/>
          <w:bCs w:val="0"/>
          <w:lang w:val="cs-CZ"/>
        </w:rPr>
        <w:t>PŘÍLOHA IV</w:t>
      </w:r>
    </w:p>
    <w:p w:rsidR="00383BA9" w:rsidRPr="006037E5">
      <w:pPr>
        <w:pStyle w:val="No-numheading3Agency"/>
        <w:jc w:val="center"/>
        <w:rPr>
          <w:rFonts w:ascii="Times New Roman" w:hAnsi="Times New Roman" w:cs="Times New Roman"/>
          <w:bCs w:val="0"/>
          <w:lang w:val="cs-CZ"/>
        </w:rPr>
      </w:pPr>
      <w:r w:rsidRPr="006037E5" w:rsidR="006037E5">
        <w:rPr>
          <w:rFonts w:ascii="Times New Roman" w:hAnsi="Times New Roman" w:cs="Times New Roman"/>
          <w:bCs w:val="0"/>
          <w:lang w:val="cs-CZ"/>
        </w:rPr>
        <w:t>ZÁVĚRY O UDĚLENÍ ROZHODNUTÍ O REGISTRACI PŘÍPRAVKU ZA VÝJIMEČNÝCH OKOLNOSTÍ A &lt;PODOBNOSTI A  ODLIŠNOSTI&gt; &lt;A&gt; &lt;ŽÁDOSTI O JEDNOLETOU &lt;OCHRANU UVÁDĚNÍ PŘÍPRAVKU NA TRH&gt; &lt;EXKLUZIVITU ÚDAJŮ&gt;&gt; PŘEDLOŽENÉ EVROPSKOU AGENTUROU PRO LÉČIVÉ PŘÍPRAVKY</w:t>
      </w: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383BA9" w:rsidRPr="006037E5">
      <w:pPr>
        <w:pStyle w:val="No-numheading3Agency"/>
        <w:rPr>
          <w:rFonts w:ascii="Times New Roman" w:hAnsi="Times New Roman" w:cs="Times New Roman"/>
          <w:bCs w:val="0"/>
          <w:lang w:val="cs-CZ"/>
        </w:rPr>
      </w:pPr>
      <w:r w:rsidRPr="006037E5">
        <w:rPr>
          <w:rFonts w:ascii="Times New Roman" w:hAnsi="Times New Roman" w:cs="Times New Roman"/>
          <w:bCs w:val="0"/>
          <w:lang w:val="cs-CZ"/>
        </w:rPr>
        <w:br w:type="page"/>
        <w:t>Závěry předložené Evropskou agenturou pro léčivé přípravky:</w:t>
      </w:r>
    </w:p>
    <w:p w:rsidR="00383BA9" w:rsidRPr="006037E5">
      <w:pPr>
        <w:pStyle w:val="DraftingNotesAgency"/>
        <w:rPr>
          <w:rFonts w:ascii="Times New Roman" w:hAnsi="Times New Roman"/>
          <w:szCs w:val="22"/>
          <w:lang w:val="cs-CZ"/>
        </w:rPr>
      </w:pPr>
      <w:r w:rsidRPr="006037E5">
        <w:rPr>
          <w:rFonts w:ascii="Times New Roman" w:hAnsi="Times New Roman"/>
          <w:szCs w:val="22"/>
          <w:lang w:val="cs-CZ"/>
        </w:rPr>
        <w:t xml:space="preserve">[ For the status on marketing authorisation under exceptional circumstances and, in case of similarity and an accepted derogation, please select the statement(s) as provided </w:t>
      </w:r>
      <w:r w:rsidRPr="006037E5">
        <w:rPr>
          <w:rFonts w:ascii="Times New Roman" w:hAnsi="Times New Roman"/>
          <w:szCs w:val="22"/>
          <w:lang w:val="cs-CZ"/>
        </w:rPr>
        <w:t>below.]</w:t>
      </w:r>
    </w:p>
    <w:p w:rsidR="00383BA9" w:rsidRPr="006037E5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b/>
          <w:sz w:val="22"/>
          <w:szCs w:val="22"/>
          <w:lang w:val="cs-CZ"/>
        </w:rPr>
        <w:t>Registrace přípravku za výjimečných okolností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>&lt;Výbor CHMP posoudil žádost a je toho názoru, že poměr přínosů a rizik je příznivý, a proto doporučuje, aby přípravku byla udělena registrace za výjimečných okolností, jak je podrobněji popsáno v Evropské veřejné zprávě o hodnocení.&gt;</w:t>
      </w:r>
    </w:p>
    <w:p w:rsidR="00383BA9" w:rsidRPr="006037E5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b/>
          <w:sz w:val="22"/>
          <w:szCs w:val="22"/>
          <w:lang w:val="cs-CZ"/>
        </w:rPr>
        <w:t xml:space="preserve">&lt;Podobnost&gt; 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>&lt;Výbor CHMP je toho názoru, že přípravek &lt;název přípravku&gt; je podobný registrovanému léčivému přípravku (registrovaným léčivým přípravkům) pro vzácná onemocnění ve smyslu článku 3 nařízení Komise (ES) č. 847/2000, jak je podrobněji popsáno v Evropské veřejné zprávě o hodnocení. &gt;</w:t>
      </w:r>
    </w:p>
    <w:p w:rsidR="00383BA9" w:rsidRPr="006037E5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b/>
          <w:sz w:val="22"/>
          <w:szCs w:val="22"/>
          <w:lang w:val="cs-CZ"/>
        </w:rPr>
        <w:t>&lt;Odlišnost&gt;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 xml:space="preserve">&lt;Výbor CHMP je toho názoru, že v souladu s článkem 8 nařízení (ES) č. 141/2000 &lt;a článkem 3 nařízení Komise (ES) č. 847/2000&gt; </w:t>
      </w:r>
      <w:r w:rsidRPr="006037E5">
        <w:rPr>
          <w:rStyle w:val="DraftingNotesAgencyChar"/>
          <w:rFonts w:ascii="Times New Roman" w:hAnsi="Times New Roman" w:cs="Times New Roman"/>
          <w:sz w:val="22"/>
          <w:szCs w:val="22"/>
          <w:lang w:val="cs-CZ" w:eastAsia="en-US"/>
        </w:rPr>
        <w:t>[only for the superiority derogation]</w:t>
      </w:r>
      <w:r w:rsidRPr="006037E5">
        <w:rPr>
          <w:rFonts w:ascii="Times New Roman" w:hAnsi="Times New Roman" w:cs="Times New Roman"/>
          <w:sz w:val="22"/>
          <w:szCs w:val="22"/>
          <w:lang w:val="cs-CZ"/>
        </w:rPr>
        <w:t xml:space="preserve"> &lt;byla doložena tato odlišnost uvedená&gt; &lt;byly doloženy tyto odlišnosti uvedené&gt; v čl. 8 odst. 3 nařízení (ES) č. 141/2000, jak je podrobněji popsáno v Evropské veřejné zprávě o hodnocení: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 xml:space="preserve">&lt;držitel rozhodnutí o registraci pro &lt;registrovaný léčivý přípravek pro vzácná </w:t>
      </w:r>
      <w:r w:rsidRPr="006037E5">
        <w:rPr>
          <w:rFonts w:ascii="Times New Roman" w:hAnsi="Times New Roman" w:cs="Times New Roman"/>
          <w:sz w:val="22"/>
          <w:szCs w:val="22"/>
          <w:lang w:val="cs-CZ"/>
        </w:rPr>
        <w:t>onemocnění&gt; není schopen dodávat dostatečné množství léčivého přípravku&gt; &lt;a&gt;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>&lt;žadatel v žádosti prokázal, že léčivý přípravek, třebaže je podobný &lt;registrovanému léčivému přípravku pro vzácná onemocnění&gt;, je bezpečnější, účinnější nebo jinak klinicky nadřazený (jak je definováno v článku 3 nařízení Komise (ES) č. 847/2000) pro stejnou léčebnou indikaci&gt; &lt;a&gt;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>&lt;držitel rozhodnutí o registraci &lt;registrovaného léčivého přípravku pro vzácná onemocnění&gt; dal žadateli souhlas.&gt;</w:t>
      </w:r>
    </w:p>
    <w:p w:rsidR="00383BA9" w:rsidRPr="006037E5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b/>
          <w:sz w:val="22"/>
          <w:szCs w:val="22"/>
          <w:lang w:val="cs-CZ"/>
        </w:rPr>
        <w:t>&lt;Jednoletá &lt;ochrana uvádění přípravku na trh&gt;&lt;exkluzivita údajů&gt;&gt;</w:t>
      </w:r>
    </w:p>
    <w:p w:rsidR="00383BA9" w:rsidRPr="006037E5">
      <w:pPr>
        <w:pStyle w:val="DraftingNotesAgency"/>
        <w:rPr>
          <w:rFonts w:ascii="Times New Roman" w:hAnsi="Times New Roman"/>
          <w:szCs w:val="22"/>
          <w:lang w:val="cs-CZ"/>
        </w:rPr>
      </w:pPr>
      <w:r w:rsidRPr="006037E5">
        <w:rPr>
          <w:rFonts w:ascii="Times New Roman" w:hAnsi="Times New Roman"/>
          <w:szCs w:val="22"/>
          <w:lang w:val="cs-CZ"/>
        </w:rPr>
        <w:t>[Where one-year marketing protection/data exclusivity is accepted, please select the statement(s) as provided below, otherwise provide scientific conclusions and grounds.]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6037E5">
        <w:rPr>
          <w:rStyle w:val="DraftingNotesAgencyChar"/>
          <w:rFonts w:ascii="Times New Roman" w:hAnsi="Times New Roman" w:cs="Times New Roman"/>
          <w:sz w:val="22"/>
          <w:szCs w:val="22"/>
          <w:lang w:val="cs-CZ" w:eastAsia="en-US"/>
        </w:rPr>
        <w:t>[For Art 14(11)]</w:t>
      </w:r>
      <w:r w:rsidRPr="006037E5">
        <w:rPr>
          <w:rFonts w:ascii="Times New Roman" w:hAnsi="Times New Roman" w:cs="Times New Roman"/>
          <w:sz w:val="22"/>
          <w:szCs w:val="22"/>
          <w:lang w:val="cs-CZ"/>
        </w:rPr>
        <w:t xml:space="preserve"> &lt;Výbor CHMP přezkoumal údaje předložené držitelem rozhodnutí o registraci s ohledem na čl. 14 odst. 11 nařízení (ES) č. 726/2004 a dospěl k závěru, že nová léčebná indikace přináší významný klinický prospěch ve srovnání se stávajícími terapiemi, jak je podrobněji popsáno v Evropské veřejné zprávě o hodnocení. &gt;</w:t>
      </w:r>
    </w:p>
    <w:p w:rsidR="00383BA9" w:rsidRPr="006037E5">
      <w:pPr>
        <w:pStyle w:val="BodytextAgency"/>
        <w:rPr>
          <w:rFonts w:ascii="Times New Roman" w:hAnsi="Times New Roman" w:cs="Times New Roman"/>
          <w:sz w:val="22"/>
          <w:szCs w:val="22"/>
          <w:lang w:val="cs-CZ"/>
        </w:rPr>
      </w:pPr>
      <w:r w:rsidRPr="006037E5">
        <w:rPr>
          <w:rStyle w:val="DraftingNotesAgencyChar"/>
          <w:rFonts w:ascii="Times New Roman" w:hAnsi="Times New Roman" w:cs="Times New Roman"/>
          <w:sz w:val="22"/>
          <w:szCs w:val="22"/>
          <w:lang w:val="cs-CZ" w:eastAsia="en-US"/>
        </w:rPr>
        <w:t xml:space="preserve">[Art 10(5)] </w:t>
      </w:r>
      <w:r w:rsidRPr="006037E5">
        <w:rPr>
          <w:rFonts w:ascii="Times New Roman" w:hAnsi="Times New Roman" w:cs="Times New Roman"/>
          <w:sz w:val="22"/>
          <w:szCs w:val="22"/>
          <w:lang w:val="cs-CZ"/>
        </w:rPr>
        <w:t>&lt;Výbor CHMP přezkoumal údaje předložené držitelem rozhodnutí o registraci s ohledem na čl. 10 odst. 5 směrnice 2001/83/ES a dospěl k závěru, že &lt;předklinické zkoušky&gt; &lt;a&gt; &lt;klinické studie&gt; provedené v souvislosti s novou indikací přinesly významné poznatky, jak je podrobněji popsáno v Evropské veřejné zprávě o hodnocení. &gt;</w:t>
      </w:r>
    </w:p>
    <w:p w:rsidR="00383BA9" w:rsidRPr="006037E5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sectPr w:rsidSect="005349B4">
      <w:footerReference w:type="default" r:id="rId4"/>
      <w:footerReference w:type="first" r:id="rId5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5" w:rsidRPr="00D83631">
    <w:pPr>
      <w:pStyle w:val="Footer"/>
      <w:jc w:val="center"/>
      <w:rPr>
        <w:rFonts w:ascii="Arial" w:hAnsi="Arial" w:cs="Arial"/>
        <w:sz w:val="16"/>
        <w:szCs w:val="16"/>
      </w:rPr>
    </w:pPr>
    <w:r w:rsidRPr="00D83631">
      <w:rPr>
        <w:rFonts w:ascii="Arial" w:hAnsi="Arial" w:cs="Arial"/>
        <w:sz w:val="16"/>
        <w:szCs w:val="16"/>
      </w:rPr>
      <w:fldChar w:fldCharType="begin"/>
    </w:r>
    <w:r w:rsidRPr="00D83631">
      <w:rPr>
        <w:rFonts w:ascii="Arial" w:hAnsi="Arial" w:cs="Arial"/>
        <w:sz w:val="16"/>
        <w:szCs w:val="16"/>
      </w:rPr>
      <w:instrText xml:space="preserve"> PAGE   \* MERGEFORMAT </w:instrText>
    </w:r>
    <w:r w:rsidRPr="00D83631">
      <w:rPr>
        <w:rFonts w:ascii="Arial" w:hAnsi="Arial" w:cs="Arial"/>
        <w:sz w:val="16"/>
        <w:szCs w:val="16"/>
      </w:rPr>
      <w:fldChar w:fldCharType="separate"/>
    </w:r>
    <w:r w:rsidR="00D83631">
      <w:rPr>
        <w:rFonts w:ascii="Arial" w:hAnsi="Arial" w:cs="Arial"/>
        <w:noProof/>
        <w:sz w:val="16"/>
        <w:szCs w:val="16"/>
      </w:rPr>
      <w:t>2</w:t>
    </w:r>
    <w:r w:rsidRPr="00D83631">
      <w:rPr>
        <w:rFonts w:ascii="Arial" w:hAnsi="Arial" w:cs="Arial"/>
        <w:noProof/>
        <w:sz w:val="16"/>
        <w:szCs w:val="16"/>
      </w:rPr>
      <w:fldChar w:fldCharType="end"/>
    </w:r>
  </w:p>
  <w:p w:rsidR="00383BA9">
    <w:pPr>
      <w:pStyle w:val="FooterAgency"/>
      <w:rPr>
        <w:rFonts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A9">
    <w:pPr>
      <w:pStyle w:val="Footer"/>
      <w:jc w:val="cen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07E78"/>
    <w:rsid w:val="00015C18"/>
    <w:rsid w:val="000A045B"/>
    <w:rsid w:val="000A14E5"/>
    <w:rsid w:val="000A3812"/>
    <w:rsid w:val="000C0D39"/>
    <w:rsid w:val="001002D6"/>
    <w:rsid w:val="00107D53"/>
    <w:rsid w:val="00123679"/>
    <w:rsid w:val="00141398"/>
    <w:rsid w:val="001A0DE6"/>
    <w:rsid w:val="001D3282"/>
    <w:rsid w:val="001E7236"/>
    <w:rsid w:val="00202F0F"/>
    <w:rsid w:val="00207BD9"/>
    <w:rsid w:val="00220D27"/>
    <w:rsid w:val="002230E8"/>
    <w:rsid w:val="0023318C"/>
    <w:rsid w:val="002674A1"/>
    <w:rsid w:val="00277336"/>
    <w:rsid w:val="00277B40"/>
    <w:rsid w:val="0028580E"/>
    <w:rsid w:val="002A264B"/>
    <w:rsid w:val="002C025B"/>
    <w:rsid w:val="002E60C5"/>
    <w:rsid w:val="00352E6A"/>
    <w:rsid w:val="00367CA9"/>
    <w:rsid w:val="00383BA9"/>
    <w:rsid w:val="003A79C9"/>
    <w:rsid w:val="003B04BB"/>
    <w:rsid w:val="003C4ABF"/>
    <w:rsid w:val="003C7B54"/>
    <w:rsid w:val="003F3B82"/>
    <w:rsid w:val="0040174D"/>
    <w:rsid w:val="00470428"/>
    <w:rsid w:val="00473BC6"/>
    <w:rsid w:val="00476C3E"/>
    <w:rsid w:val="0049574A"/>
    <w:rsid w:val="004A2E29"/>
    <w:rsid w:val="004A398A"/>
    <w:rsid w:val="004D6A54"/>
    <w:rsid w:val="005210D9"/>
    <w:rsid w:val="005349B4"/>
    <w:rsid w:val="0055091D"/>
    <w:rsid w:val="005633C7"/>
    <w:rsid w:val="005C3479"/>
    <w:rsid w:val="005D1F66"/>
    <w:rsid w:val="005E0D96"/>
    <w:rsid w:val="006037E5"/>
    <w:rsid w:val="006B25E8"/>
    <w:rsid w:val="006C4290"/>
    <w:rsid w:val="006E30D5"/>
    <w:rsid w:val="006F4F7A"/>
    <w:rsid w:val="00706020"/>
    <w:rsid w:val="0073502D"/>
    <w:rsid w:val="00740E98"/>
    <w:rsid w:val="007461A8"/>
    <w:rsid w:val="007525EE"/>
    <w:rsid w:val="00755561"/>
    <w:rsid w:val="00760AFC"/>
    <w:rsid w:val="00770A10"/>
    <w:rsid w:val="00777982"/>
    <w:rsid w:val="00780C02"/>
    <w:rsid w:val="007B157E"/>
    <w:rsid w:val="007C7F62"/>
    <w:rsid w:val="007D3CFA"/>
    <w:rsid w:val="007D6FB7"/>
    <w:rsid w:val="007E668E"/>
    <w:rsid w:val="008312A7"/>
    <w:rsid w:val="00850D6F"/>
    <w:rsid w:val="00855CBC"/>
    <w:rsid w:val="00866F52"/>
    <w:rsid w:val="008C363A"/>
    <w:rsid w:val="008C7DF6"/>
    <w:rsid w:val="00920B5C"/>
    <w:rsid w:val="00931AE3"/>
    <w:rsid w:val="00936BBC"/>
    <w:rsid w:val="0097489A"/>
    <w:rsid w:val="009F6951"/>
    <w:rsid w:val="00A002BB"/>
    <w:rsid w:val="00A03717"/>
    <w:rsid w:val="00A720C7"/>
    <w:rsid w:val="00A76A7F"/>
    <w:rsid w:val="00B11382"/>
    <w:rsid w:val="00B117B1"/>
    <w:rsid w:val="00B12AAC"/>
    <w:rsid w:val="00B31C9D"/>
    <w:rsid w:val="00B333E5"/>
    <w:rsid w:val="00B370D1"/>
    <w:rsid w:val="00B53E3C"/>
    <w:rsid w:val="00B608F0"/>
    <w:rsid w:val="00B9497B"/>
    <w:rsid w:val="00B95A18"/>
    <w:rsid w:val="00BA1910"/>
    <w:rsid w:val="00BC1060"/>
    <w:rsid w:val="00BE17A8"/>
    <w:rsid w:val="00C03D14"/>
    <w:rsid w:val="00C17424"/>
    <w:rsid w:val="00C31ABE"/>
    <w:rsid w:val="00C50C32"/>
    <w:rsid w:val="00C57461"/>
    <w:rsid w:val="00C60F2A"/>
    <w:rsid w:val="00C672D3"/>
    <w:rsid w:val="00C80A32"/>
    <w:rsid w:val="00C92592"/>
    <w:rsid w:val="00CA5444"/>
    <w:rsid w:val="00CB272C"/>
    <w:rsid w:val="00CD1ADC"/>
    <w:rsid w:val="00CE61D7"/>
    <w:rsid w:val="00D35BE5"/>
    <w:rsid w:val="00D62F0E"/>
    <w:rsid w:val="00D67EB3"/>
    <w:rsid w:val="00D7669D"/>
    <w:rsid w:val="00D83631"/>
    <w:rsid w:val="00DC67CB"/>
    <w:rsid w:val="00DC6C92"/>
    <w:rsid w:val="00DD34DB"/>
    <w:rsid w:val="00DD4CCF"/>
    <w:rsid w:val="00DE3005"/>
    <w:rsid w:val="00DE6E31"/>
    <w:rsid w:val="00E109FE"/>
    <w:rsid w:val="00E30AE1"/>
    <w:rsid w:val="00E54E41"/>
    <w:rsid w:val="00E617BB"/>
    <w:rsid w:val="00E746BA"/>
    <w:rsid w:val="00EC33C2"/>
    <w:rsid w:val="00F34963"/>
    <w:rsid w:val="00F61F7D"/>
    <w:rsid w:val="00F6539B"/>
    <w:rsid w:val="00F86CE6"/>
    <w:rsid w:val="00F966C2"/>
    <w:rsid w:val="00FC5F61"/>
    <w:rsid w:val="00FD4EA2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B7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6FB7"/>
    <w:pPr>
      <w:tabs>
        <w:tab w:val="center" w:pos="4536"/>
        <w:tab w:val="right" w:pos="8306"/>
      </w:tabs>
    </w:pPr>
    <w:rPr>
      <w:rFonts w:cs="Times New Roman"/>
      <w:lang w:eastAsia="en-GB"/>
    </w:rPr>
  </w:style>
  <w:style w:type="character" w:customStyle="1" w:styleId="FooterChar">
    <w:name w:val="Footer Char"/>
    <w:link w:val="Footer"/>
    <w:uiPriority w:val="99"/>
    <w:locked/>
    <w:rsid w:val="007D6FB7"/>
    <w:rPr>
      <w:rFonts w:ascii="Verdana" w:hAnsi="Verdana" w:cs="Times New Roman"/>
      <w:snapToGrid w:val="0"/>
      <w:sz w:val="18"/>
      <w:lang w:val="en-GB" w:eastAsia="x-none"/>
    </w:rPr>
  </w:style>
  <w:style w:type="paragraph" w:customStyle="1" w:styleId="FooterAgency">
    <w:name w:val="Footer (Agency)"/>
    <w:basedOn w:val="Normal"/>
    <w:rsid w:val="007D6FB7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7D6FB7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7D6FB7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7D6FB7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7D6FB7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7D6FB7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7D6FB7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7D6FB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7D6FB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D6FB7"/>
    <w:rPr>
      <w:color w:val="0000FF"/>
    </w:rPr>
  </w:style>
  <w:style w:type="character" w:customStyle="1" w:styleId="tw4winPopup">
    <w:name w:val="tw4winPopup"/>
    <w:uiPriority w:val="99"/>
    <w:rsid w:val="007D6FB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D6FB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D6FB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D6FB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D6FB7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BA1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A1910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CommentReference">
    <w:name w:val="annotation reference"/>
    <w:uiPriority w:val="99"/>
    <w:rsid w:val="005D1F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F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D1F66"/>
    <w:rPr>
      <w:rFonts w:ascii="Verdana" w:hAnsi="Verdana" w:cs="Verdana"/>
      <w:snapToGrid w:val="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1F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D1F66"/>
    <w:rPr>
      <w:rFonts w:ascii="Verdana" w:hAnsi="Verdana" w:cs="Verdana"/>
      <w:b/>
      <w:bCs/>
      <w:snapToGrid w:val="0"/>
      <w:lang w:val="en-GB" w:eastAsia="x-none"/>
    </w:rPr>
  </w:style>
  <w:style w:type="paragraph" w:styleId="Revision">
    <w:name w:val="Revision"/>
    <w:hidden/>
    <w:uiPriority w:val="99"/>
    <w:semiHidden/>
    <w:rsid w:val="005D1F66"/>
    <w:rPr>
      <w:rFonts w:ascii="Verdana" w:hAnsi="Verdana" w:cs="Verdana"/>
      <w:sz w:val="18"/>
      <w:szCs w:val="18"/>
      <w:lang w:val="en-GB" w:eastAsia="en-US" w:bidi="ar-SA"/>
    </w:rPr>
  </w:style>
  <w:style w:type="numbering" w:customStyle="1" w:styleId="BulletsAgency">
    <w:name w:val="Bullets (Agency)"/>
    <w:rsid w:val="009518A0"/>
    <w:pPr>
      <w:numPr>
        <w:numId w:val="4"/>
      </w:numPr>
    </w:pPr>
  </w:style>
  <w:style w:type="numbering" w:customStyle="1" w:styleId="NumberlistAgency">
    <w:name w:val="Number list (Agency)"/>
    <w:rsid w:val="009518A0"/>
    <w:pPr>
      <w:numPr>
        <w:numId w:val="15"/>
      </w:numPr>
    </w:pPr>
  </w:style>
  <w:style w:type="paragraph" w:styleId="Header">
    <w:name w:val="header"/>
    <w:basedOn w:val="Normal"/>
    <w:link w:val="HeaderChar"/>
    <w:rsid w:val="006037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037E5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45ACBDA4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45ACBDA4.DOT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HannexIVexceptionalcs</vt:lpstr>
      <vt:lpstr>HannexIVexceptionalcs</vt:lpstr>
    </vt:vector>
  </TitlesOfParts>
  <Company>Translation Centre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HannexIVexceptional_cs</dc:title>
  <dc:creator>European Medicines Agency</dc:creator>
  <cp:lastModifiedBy>Akhtar Tia</cp:lastModifiedBy>
  <cp:revision>3</cp:revision>
  <cp:lastPrinted>2012-02-15T09:29:00Z</cp:lastPrinted>
  <dcterms:created xsi:type="dcterms:W3CDTF">2016-12-08T09:48:00Z</dcterms:created>
  <dcterms:modified xsi:type="dcterms:W3CDTF">2018-10-15T08:31:00Z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15/10/2018 09:32:12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EMA/713516/2018</vt:lpwstr>
  </property>
  <property fmtid="{D5CDD505-2E9C-101B-9397-08002B2CF9AE}" pid="7" name="DM_emea_doc_ref_id">
    <vt:lpwstr>EMA/713516/2018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15/10/2018 09:32:12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15/10/2018 09:32:12</vt:lpwstr>
  </property>
  <property fmtid="{D5CDD505-2E9C-101B-9397-08002B2CF9AE}" pid="14" name="DM_Name">
    <vt:lpwstr>HannexIVexceptional_cs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