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bCs/>
          <w:sz w:val="22"/>
          <w:szCs w:val="24"/>
          <w:lang w:val="da-DK" w:eastAsia="en-US"/>
        </w:rPr>
      </w:pPr>
      <w:bookmarkStart w:id="0" w:name="_GoBack"/>
      <w:bookmarkEnd w:id="0"/>
      <w:r>
        <w:rPr>
          <w:bCs/>
          <w:sz w:val="22"/>
          <w:szCs w:val="24"/>
          <w:lang w:val="da-DK" w:eastAsia="en-US"/>
        </w:rPr>
        <w:t xml:space="preserve">Dette dokument er den godkendte produktinformation for </w:t>
      </w:r>
      <w:r>
        <w:rPr>
          <w:noProof/>
          <w:sz w:val="22"/>
          <w:szCs w:val="22"/>
          <w:lang w:val="da-DK" w:eastAsia="en-US"/>
        </w:rPr>
        <w:t>Abiraterone Krka.</w:t>
      </w:r>
      <w:r>
        <w:rPr>
          <w:bCs/>
          <w:sz w:val="22"/>
          <w:szCs w:val="24"/>
          <w:lang w:val="da-DK" w:eastAsia="en-US"/>
        </w:rPr>
        <w:t xml:space="preserve"> Ændringerne siden den foregående procedure, der berører produktinformationen (EMEA/H/C/005649/N/0007), er understreget.</w:t>
      </w:r>
    </w:p>
    <w:p>
      <w:pPr>
        <w:widowControl w:val="0"/>
        <w:pBdr>
          <w:top w:val="single" w:sz="4" w:space="1" w:color="auto"/>
          <w:left w:val="single" w:sz="4" w:space="4" w:color="auto"/>
          <w:bottom w:val="single" w:sz="4" w:space="1" w:color="auto"/>
          <w:right w:val="single" w:sz="4" w:space="4" w:color="auto"/>
        </w:pBdr>
        <w:suppressAutoHyphens/>
        <w:rPr>
          <w:bCs/>
          <w:sz w:val="22"/>
          <w:szCs w:val="24"/>
          <w:lang w:val="da-DK" w:eastAsia="en-US"/>
        </w:rPr>
      </w:pPr>
    </w:p>
    <w:p>
      <w:pPr>
        <w:widowControl w:val="0"/>
        <w:pBdr>
          <w:top w:val="single" w:sz="4" w:space="1" w:color="auto"/>
          <w:left w:val="single" w:sz="4" w:space="4" w:color="auto"/>
          <w:bottom w:val="single" w:sz="4" w:space="1" w:color="auto"/>
          <w:right w:val="single" w:sz="4" w:space="4" w:color="auto"/>
        </w:pBdr>
        <w:suppressAutoHyphens/>
        <w:rPr>
          <w:bCs/>
          <w:sz w:val="22"/>
          <w:szCs w:val="24"/>
          <w:lang w:val="da-DK" w:eastAsia="en-US"/>
        </w:rPr>
      </w:pPr>
      <w:r>
        <w:rPr>
          <w:bCs/>
          <w:sz w:val="22"/>
          <w:szCs w:val="24"/>
          <w:lang w:val="da-DK" w:eastAsia="en-US"/>
        </w:rPr>
        <w:t xml:space="preserve">Yderligere oplysninger findes på Det Europæiske Lægemiddelagenturs webside: </w:t>
      </w:r>
    </w:p>
    <w:p>
      <w:pPr>
        <w:pBdr>
          <w:top w:val="single" w:sz="4" w:space="1" w:color="auto"/>
          <w:left w:val="single" w:sz="4" w:space="4" w:color="auto"/>
          <w:bottom w:val="single" w:sz="4" w:space="1" w:color="auto"/>
          <w:right w:val="single" w:sz="4" w:space="4" w:color="auto"/>
        </w:pBdr>
        <w:spacing w:line="260" w:lineRule="exact"/>
        <w:rPr>
          <w:bCs/>
          <w:sz w:val="22"/>
          <w:szCs w:val="24"/>
          <w:lang w:val="da-DK" w:eastAsia="en-US"/>
        </w:rPr>
      </w:pPr>
      <w:hyperlink r:id="rId7" w:history="1">
        <w:r>
          <w:rPr>
            <w:bCs/>
            <w:color w:val="0000FF"/>
            <w:sz w:val="22"/>
            <w:szCs w:val="24"/>
            <w:u w:val="single"/>
            <w:lang w:val="da-DK" w:eastAsia="en-US"/>
          </w:rPr>
          <w:t>https://www.ema.europa.eu/en/medicines/human/EPAR/abiraterone-krka</w:t>
        </w:r>
      </w:hyperlink>
    </w:p>
    <w:p>
      <w:pPr>
        <w:widowControl w:val="0"/>
        <w:outlineLvl w:val="0"/>
        <w:rPr>
          <w:b/>
          <w:sz w:val="22"/>
          <w:szCs w:val="22"/>
        </w:rPr>
      </w:pPr>
    </w:p>
    <w:p>
      <w:pPr>
        <w:widowControl w:val="0"/>
        <w:outlineLvl w:val="0"/>
        <w:rPr>
          <w:b/>
          <w:sz w:val="22"/>
          <w:szCs w:val="22"/>
        </w:rPr>
      </w:pPr>
    </w:p>
    <w:p>
      <w:pPr>
        <w:widowControl w:val="0"/>
        <w:outlineLvl w:val="0"/>
        <w:rPr>
          <w:b/>
          <w:sz w:val="22"/>
          <w:szCs w:val="22"/>
        </w:rPr>
      </w:pPr>
    </w:p>
    <w:p>
      <w:pPr>
        <w:widowControl w:val="0"/>
        <w:outlineLvl w:val="0"/>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tabs>
          <w:tab w:val="left" w:pos="-1440"/>
          <w:tab w:val="left" w:pos="-720"/>
        </w:tabs>
        <w:rPr>
          <w:b/>
          <w:sz w:val="22"/>
          <w:szCs w:val="22"/>
        </w:rPr>
      </w:pPr>
    </w:p>
    <w:p>
      <w:pPr>
        <w:widowControl w:val="0"/>
        <w:rPr>
          <w:b/>
          <w:sz w:val="22"/>
          <w:szCs w:val="22"/>
        </w:rPr>
      </w:pPr>
    </w:p>
    <w:p>
      <w:pPr>
        <w:widowControl w:val="0"/>
        <w:tabs>
          <w:tab w:val="left" w:pos="567"/>
        </w:tabs>
        <w:jc w:val="center"/>
        <w:rPr>
          <w:b/>
          <w:sz w:val="22"/>
          <w:szCs w:val="22"/>
        </w:rPr>
      </w:pPr>
      <w:r>
        <w:rPr>
          <w:b/>
          <w:sz w:val="22"/>
          <w:szCs w:val="22"/>
        </w:rPr>
        <w:t>BILAG I</w:t>
      </w:r>
    </w:p>
    <w:p>
      <w:pPr>
        <w:widowControl w:val="0"/>
        <w:jc w:val="center"/>
        <w:rPr>
          <w:b/>
          <w:sz w:val="22"/>
          <w:szCs w:val="22"/>
        </w:rPr>
      </w:pPr>
    </w:p>
    <w:p>
      <w:pPr>
        <w:pStyle w:val="TitleA"/>
        <w:rPr>
          <w:b w:val="0"/>
          <w:lang w:val="fr-LU"/>
        </w:rPr>
      </w:pPr>
      <w:r>
        <w:rPr>
          <w:lang w:val="fr-LU"/>
        </w:rPr>
        <w:t>PRODUKTRESUMÉ</w:t>
      </w:r>
    </w:p>
    <w:p>
      <w:pPr>
        <w:widowControl w:val="0"/>
        <w:tabs>
          <w:tab w:val="left" w:pos="-720"/>
          <w:tab w:val="left" w:pos="567"/>
        </w:tabs>
        <w:rPr>
          <w:sz w:val="22"/>
          <w:szCs w:val="22"/>
        </w:rPr>
      </w:pPr>
      <w:r>
        <w:rPr>
          <w:b/>
          <w:sz w:val="22"/>
          <w:szCs w:val="22"/>
        </w:rPr>
        <w:br w:type="page"/>
      </w:r>
    </w:p>
    <w:p>
      <w:pPr>
        <w:widowControl w:val="0"/>
        <w:tabs>
          <w:tab w:val="left" w:pos="-720"/>
        </w:tabs>
        <w:ind w:left="567" w:hanging="567"/>
        <w:rPr>
          <w:sz w:val="22"/>
          <w:szCs w:val="22"/>
        </w:rPr>
      </w:pPr>
    </w:p>
    <w:p>
      <w:pPr>
        <w:widowControl w:val="0"/>
        <w:tabs>
          <w:tab w:val="left" w:pos="-720"/>
        </w:tabs>
        <w:ind w:left="567" w:hanging="567"/>
        <w:rPr>
          <w:sz w:val="22"/>
          <w:szCs w:val="22"/>
        </w:rPr>
      </w:pPr>
      <w:r>
        <w:rPr>
          <w:b/>
          <w:sz w:val="22"/>
          <w:szCs w:val="22"/>
        </w:rPr>
        <w:t>1.</w:t>
      </w:r>
      <w:r>
        <w:rPr>
          <w:b/>
          <w:sz w:val="22"/>
          <w:szCs w:val="22"/>
        </w:rPr>
        <w:tab/>
        <w:t>LÆGEMIDLETS NAVN</w:t>
      </w:r>
    </w:p>
    <w:p>
      <w:pPr>
        <w:widowControl w:val="0"/>
        <w:rPr>
          <w:sz w:val="22"/>
          <w:szCs w:val="22"/>
        </w:rPr>
      </w:pPr>
    </w:p>
    <w:p>
      <w:pPr>
        <w:widowControl w:val="0"/>
        <w:ind w:left="567" w:hanging="567"/>
        <w:rPr>
          <w:sz w:val="22"/>
          <w:szCs w:val="22"/>
        </w:rPr>
      </w:pPr>
      <w:r>
        <w:rPr>
          <w:noProof/>
          <w:sz w:val="22"/>
          <w:szCs w:val="22"/>
        </w:rPr>
        <w:t>Abiraterone Krka 500</w:t>
      </w:r>
      <w:r>
        <w:rPr>
          <w:spacing w:val="1"/>
          <w:sz w:val="22"/>
          <w:szCs w:val="22"/>
        </w:rPr>
        <w:t> mg</w:t>
      </w:r>
      <w:r>
        <w:rPr>
          <w:sz w:val="22"/>
          <w:szCs w:val="22"/>
        </w:rPr>
        <w:t xml:space="preserve"> filmovertrukne</w:t>
      </w:r>
      <w:r>
        <w:rPr>
          <w:spacing w:val="-2"/>
          <w:sz w:val="22"/>
          <w:szCs w:val="22"/>
        </w:rPr>
        <w:t xml:space="preserve"> </w:t>
      </w:r>
      <w:r>
        <w:rPr>
          <w:sz w:val="22"/>
          <w:szCs w:val="22"/>
        </w:rPr>
        <w:t>tabletter</w:t>
      </w:r>
    </w:p>
    <w:p>
      <w:pPr>
        <w:widowControl w:val="0"/>
        <w:rPr>
          <w:sz w:val="22"/>
          <w:szCs w:val="22"/>
        </w:rPr>
      </w:pPr>
    </w:p>
    <w:p>
      <w:pPr>
        <w:widowControl w:val="0"/>
        <w:tabs>
          <w:tab w:val="left" w:pos="-720"/>
        </w:tabs>
        <w:rPr>
          <w:sz w:val="22"/>
          <w:szCs w:val="22"/>
        </w:rPr>
      </w:pPr>
    </w:p>
    <w:p>
      <w:pPr>
        <w:widowControl w:val="0"/>
        <w:tabs>
          <w:tab w:val="left" w:pos="-720"/>
        </w:tabs>
        <w:ind w:left="567" w:hanging="567"/>
        <w:rPr>
          <w:sz w:val="22"/>
          <w:szCs w:val="22"/>
        </w:rPr>
      </w:pPr>
      <w:r>
        <w:rPr>
          <w:b/>
          <w:sz w:val="22"/>
          <w:szCs w:val="22"/>
        </w:rPr>
        <w:t>2.</w:t>
      </w:r>
      <w:r>
        <w:rPr>
          <w:b/>
          <w:sz w:val="22"/>
          <w:szCs w:val="22"/>
        </w:rPr>
        <w:tab/>
        <w:t>KVALITATIV OG KVANTITATIV SAMMENSÆTNING</w:t>
      </w:r>
    </w:p>
    <w:p>
      <w:pPr>
        <w:widowControl w:val="0"/>
        <w:rPr>
          <w:sz w:val="22"/>
          <w:szCs w:val="22"/>
        </w:rPr>
      </w:pPr>
    </w:p>
    <w:p>
      <w:pPr>
        <w:widowControl w:val="0"/>
        <w:tabs>
          <w:tab w:val="left" w:pos="-720"/>
        </w:tabs>
        <w:rPr>
          <w:sz w:val="22"/>
          <w:szCs w:val="22"/>
        </w:rPr>
      </w:pPr>
      <w:r>
        <w:rPr>
          <w:sz w:val="22"/>
          <w:szCs w:val="22"/>
        </w:rPr>
        <w:t>Hver filmovertrukken tablet indeholder 500</w:t>
      </w:r>
      <w:r>
        <w:rPr>
          <w:spacing w:val="1"/>
          <w:sz w:val="22"/>
          <w:szCs w:val="22"/>
        </w:rPr>
        <w:t> </w:t>
      </w:r>
      <w:r>
        <w:rPr>
          <w:sz w:val="22"/>
          <w:szCs w:val="22"/>
        </w:rPr>
        <w:t>mg abirateronacetat</w:t>
      </w:r>
      <w:ins w:id="1" w:author="Skalberg, Fanny" w:date="2025-10-20T13:40:00Z">
        <w:r>
          <w:rPr>
            <w:sz w:val="22"/>
            <w:szCs w:val="22"/>
          </w:rPr>
          <w:t xml:space="preserve"> svarende til 446 mg abirateron</w:t>
        </w:r>
      </w:ins>
      <w:r>
        <w:rPr>
          <w:sz w:val="22"/>
          <w:szCs w:val="22"/>
        </w:rPr>
        <w:t>.</w:t>
      </w:r>
    </w:p>
    <w:p>
      <w:pPr>
        <w:widowControl w:val="0"/>
        <w:tabs>
          <w:tab w:val="left" w:pos="-720"/>
        </w:tabs>
        <w:rPr>
          <w:sz w:val="22"/>
          <w:szCs w:val="22"/>
        </w:rPr>
      </w:pPr>
    </w:p>
    <w:p>
      <w:pPr>
        <w:widowControl w:val="0"/>
        <w:tabs>
          <w:tab w:val="left" w:pos="-720"/>
        </w:tabs>
        <w:rPr>
          <w:sz w:val="22"/>
          <w:szCs w:val="22"/>
          <w:u w:val="single"/>
          <w:lang w:val="da-DK"/>
        </w:rPr>
      </w:pPr>
      <w:r>
        <w:rPr>
          <w:sz w:val="22"/>
          <w:szCs w:val="22"/>
          <w:u w:val="single"/>
          <w:lang w:val="da-DK"/>
        </w:rPr>
        <w:t>Hjælpestoffer, som behandleren skal være opmærksom på:</w:t>
      </w:r>
    </w:p>
    <w:p>
      <w:pPr>
        <w:widowControl w:val="0"/>
        <w:tabs>
          <w:tab w:val="left" w:pos="-720"/>
        </w:tabs>
        <w:rPr>
          <w:sz w:val="22"/>
          <w:szCs w:val="22"/>
          <w:lang w:val="da-DK"/>
        </w:rPr>
      </w:pPr>
      <w:r>
        <w:rPr>
          <w:sz w:val="22"/>
          <w:szCs w:val="22"/>
          <w:lang w:val="da-DK"/>
        </w:rPr>
        <w:t>Hver filmovertrukken tablet indeholder 253,2</w:t>
      </w:r>
      <w:r>
        <w:rPr>
          <w:spacing w:val="1"/>
          <w:sz w:val="22"/>
          <w:szCs w:val="22"/>
          <w:lang w:val="da-DK"/>
        </w:rPr>
        <w:t> </w:t>
      </w:r>
      <w:r>
        <w:rPr>
          <w:sz w:val="22"/>
          <w:szCs w:val="22"/>
          <w:lang w:val="da-DK"/>
        </w:rPr>
        <w:t>mg lactosemonohydrat.</w:t>
      </w:r>
    </w:p>
    <w:p>
      <w:pPr>
        <w:widowControl w:val="0"/>
        <w:tabs>
          <w:tab w:val="left" w:pos="-720"/>
        </w:tabs>
        <w:rPr>
          <w:sz w:val="22"/>
          <w:szCs w:val="22"/>
          <w:lang w:val="da-DK"/>
        </w:rPr>
      </w:pPr>
    </w:p>
    <w:p>
      <w:pPr>
        <w:widowControl w:val="0"/>
        <w:tabs>
          <w:tab w:val="left" w:pos="-720"/>
        </w:tabs>
        <w:rPr>
          <w:sz w:val="22"/>
          <w:szCs w:val="22"/>
          <w:lang w:val="da-DK"/>
        </w:rPr>
      </w:pPr>
      <w:r>
        <w:rPr>
          <w:sz w:val="22"/>
          <w:szCs w:val="22"/>
          <w:lang w:val="da-DK"/>
        </w:rPr>
        <w:t>Alle hjælpestoffer er anført under pkt. 6.1.</w:t>
      </w:r>
    </w:p>
    <w:p>
      <w:pPr>
        <w:widowControl w:val="0"/>
        <w:tabs>
          <w:tab w:val="left" w:pos="-720"/>
        </w:tabs>
        <w:rPr>
          <w:b/>
          <w:sz w:val="22"/>
          <w:szCs w:val="22"/>
          <w:lang w:val="da-DK"/>
        </w:rPr>
      </w:pPr>
    </w:p>
    <w:p>
      <w:pPr>
        <w:widowControl w:val="0"/>
        <w:rPr>
          <w:b/>
          <w:sz w:val="22"/>
          <w:szCs w:val="22"/>
          <w:lang w:val="da-DK"/>
        </w:rPr>
      </w:pPr>
    </w:p>
    <w:p>
      <w:pPr>
        <w:widowControl w:val="0"/>
        <w:tabs>
          <w:tab w:val="left" w:pos="-720"/>
        </w:tabs>
        <w:ind w:left="567" w:hanging="567"/>
        <w:rPr>
          <w:sz w:val="22"/>
          <w:szCs w:val="22"/>
          <w:lang w:val="da-DK"/>
        </w:rPr>
      </w:pPr>
      <w:r>
        <w:rPr>
          <w:b/>
          <w:sz w:val="22"/>
          <w:szCs w:val="22"/>
          <w:lang w:val="da-DK"/>
        </w:rPr>
        <w:t>3.</w:t>
      </w:r>
      <w:r>
        <w:rPr>
          <w:b/>
          <w:sz w:val="22"/>
          <w:szCs w:val="22"/>
          <w:lang w:val="da-DK"/>
        </w:rPr>
        <w:tab/>
        <w:t>LÆGEMIDDELFORM</w:t>
      </w:r>
    </w:p>
    <w:p>
      <w:pPr>
        <w:widowControl w:val="0"/>
        <w:rPr>
          <w:sz w:val="22"/>
          <w:szCs w:val="22"/>
          <w:lang w:val="da-DK"/>
        </w:rPr>
      </w:pPr>
    </w:p>
    <w:p>
      <w:pPr>
        <w:widowControl w:val="0"/>
        <w:rPr>
          <w:sz w:val="22"/>
          <w:szCs w:val="22"/>
          <w:lang w:val="da-DK"/>
        </w:rPr>
      </w:pPr>
      <w:r>
        <w:rPr>
          <w:sz w:val="22"/>
          <w:szCs w:val="22"/>
          <w:lang w:val="da-DK"/>
        </w:rPr>
        <w:t>Filmovertrukken tablet (tablet)</w:t>
      </w:r>
    </w:p>
    <w:p>
      <w:pPr>
        <w:widowControl w:val="0"/>
        <w:rPr>
          <w:sz w:val="22"/>
          <w:szCs w:val="22"/>
          <w:lang w:val="da-DK"/>
        </w:rPr>
      </w:pPr>
    </w:p>
    <w:p>
      <w:pPr>
        <w:widowControl w:val="0"/>
        <w:rPr>
          <w:sz w:val="22"/>
          <w:szCs w:val="22"/>
          <w:lang w:val="da-DK"/>
        </w:rPr>
      </w:pPr>
      <w:r>
        <w:rPr>
          <w:sz w:val="22"/>
          <w:szCs w:val="22"/>
          <w:lang w:val="da-DK"/>
        </w:rPr>
        <w:t>Gråviolet til violet, oval, bikonveks filmovertrukne tabletter som måler ca. 20 mm i længden × 10 mm i bredden.</w:t>
      </w:r>
    </w:p>
    <w:p>
      <w:pPr>
        <w:widowControl w:val="0"/>
        <w:rPr>
          <w:sz w:val="22"/>
          <w:szCs w:val="22"/>
          <w:lang w:val="da-DK"/>
        </w:rPr>
      </w:pPr>
    </w:p>
    <w:p>
      <w:pPr>
        <w:widowControl w:val="0"/>
        <w:rPr>
          <w:sz w:val="22"/>
          <w:szCs w:val="22"/>
          <w:lang w:val="da-DK"/>
        </w:rPr>
      </w:pPr>
    </w:p>
    <w:p>
      <w:pPr>
        <w:widowControl w:val="0"/>
        <w:tabs>
          <w:tab w:val="left" w:pos="-720"/>
        </w:tabs>
        <w:ind w:left="567" w:hanging="567"/>
        <w:rPr>
          <w:sz w:val="22"/>
          <w:szCs w:val="22"/>
          <w:lang w:val="da-DK"/>
        </w:rPr>
      </w:pPr>
      <w:r>
        <w:rPr>
          <w:b/>
          <w:sz w:val="22"/>
          <w:szCs w:val="22"/>
          <w:lang w:val="da-DK"/>
        </w:rPr>
        <w:t>4.</w:t>
      </w:r>
      <w:r>
        <w:rPr>
          <w:b/>
          <w:sz w:val="22"/>
          <w:szCs w:val="22"/>
          <w:lang w:val="da-DK"/>
        </w:rPr>
        <w:tab/>
        <w:t>KLINISKE OPLYSNINGER</w:t>
      </w:r>
    </w:p>
    <w:p>
      <w:pPr>
        <w:widowControl w:val="0"/>
        <w:rPr>
          <w:sz w:val="22"/>
          <w:szCs w:val="22"/>
          <w:lang w:val="da-DK"/>
        </w:rPr>
      </w:pPr>
    </w:p>
    <w:p>
      <w:pPr>
        <w:pStyle w:val="Heading1"/>
      </w:pPr>
      <w:r>
        <w:t>4.1</w:t>
      </w:r>
      <w:r>
        <w:tab/>
        <w:t>Terapeutiske indikationer</w:t>
      </w:r>
    </w:p>
    <w:p>
      <w:pPr>
        <w:widowControl w:val="0"/>
        <w:rPr>
          <w:sz w:val="22"/>
          <w:szCs w:val="22"/>
          <w:lang w:val="da-DK"/>
        </w:rPr>
      </w:pPr>
    </w:p>
    <w:p>
      <w:pPr>
        <w:widowControl w:val="0"/>
        <w:rPr>
          <w:sz w:val="22"/>
          <w:szCs w:val="22"/>
          <w:lang w:val="da-DK"/>
        </w:rPr>
      </w:pPr>
      <w:r>
        <w:rPr>
          <w:sz w:val="22"/>
          <w:szCs w:val="22"/>
          <w:lang w:val="da-DK"/>
        </w:rPr>
        <w:t>Abiraterone Krka er indiceret til brug sammen med prednison eller prednisolon til:</w:t>
      </w:r>
    </w:p>
    <w:p>
      <w:pPr>
        <w:pStyle w:val="ListParagraph"/>
        <w:widowControl w:val="0"/>
        <w:numPr>
          <w:ilvl w:val="0"/>
          <w:numId w:val="7"/>
        </w:numPr>
        <w:ind w:left="567" w:hanging="567"/>
        <w:contextualSpacing w:val="0"/>
        <w:rPr>
          <w:sz w:val="22"/>
          <w:szCs w:val="22"/>
          <w:lang w:val="da-DK"/>
        </w:rPr>
      </w:pPr>
      <w:r>
        <w:rPr>
          <w:sz w:val="22"/>
          <w:szCs w:val="22"/>
          <w:lang w:val="da-DK"/>
        </w:rPr>
        <w:t>Behandling af nydiagnosticeret, metastaserende hormonfølsom prostatacancer (mHSPC) med høj risiko hos voksne mænd i kombination med androgen deprivationsbehandling (ADT) (se pkt. 5.1).</w:t>
      </w:r>
    </w:p>
    <w:p>
      <w:pPr>
        <w:pStyle w:val="ListParagraph"/>
        <w:widowControl w:val="0"/>
        <w:numPr>
          <w:ilvl w:val="0"/>
          <w:numId w:val="7"/>
        </w:numPr>
        <w:ind w:left="567" w:hanging="567"/>
        <w:contextualSpacing w:val="0"/>
        <w:rPr>
          <w:sz w:val="22"/>
          <w:szCs w:val="22"/>
          <w:lang w:val="da-DK"/>
        </w:rPr>
      </w:pPr>
      <w:r>
        <w:rPr>
          <w:sz w:val="22"/>
          <w:szCs w:val="22"/>
          <w:lang w:val="da-DK"/>
        </w:rPr>
        <w:t>behandling af metastatisk kastrationsresistent prostatacancer (mCRPC) hos voksne mænd, som er asymptomatiske eller har lette symptomer efter mislykket androgen deprivationsbehandling, og hvor kemoterapi endnu ikke er klinisk indiceret (se pkt. 5.1).</w:t>
      </w:r>
    </w:p>
    <w:p>
      <w:pPr>
        <w:pStyle w:val="ListParagraph"/>
        <w:widowControl w:val="0"/>
        <w:numPr>
          <w:ilvl w:val="0"/>
          <w:numId w:val="7"/>
        </w:numPr>
        <w:ind w:left="567" w:hanging="567"/>
        <w:contextualSpacing w:val="0"/>
        <w:rPr>
          <w:sz w:val="22"/>
          <w:szCs w:val="22"/>
          <w:lang w:val="da-DK"/>
        </w:rPr>
      </w:pPr>
      <w:r>
        <w:rPr>
          <w:sz w:val="22"/>
          <w:szCs w:val="22"/>
          <w:lang w:val="da-DK"/>
        </w:rPr>
        <w:t>behandling af mCRPC hos voksne mænd med progression af sygdommen under eller efter kemoterapi baseret på docetaxel.</w:t>
      </w:r>
    </w:p>
    <w:p>
      <w:pPr>
        <w:widowControl w:val="0"/>
        <w:rPr>
          <w:sz w:val="22"/>
          <w:szCs w:val="22"/>
          <w:lang w:val="da-DK"/>
        </w:rPr>
      </w:pPr>
    </w:p>
    <w:p>
      <w:pPr>
        <w:pStyle w:val="Heading1"/>
      </w:pPr>
      <w:r>
        <w:t>4.2</w:t>
      </w:r>
      <w:r>
        <w:tab/>
        <w:t>Dosering og administration</w:t>
      </w:r>
    </w:p>
    <w:p>
      <w:pPr>
        <w:widowControl w:val="0"/>
        <w:rPr>
          <w:sz w:val="22"/>
          <w:szCs w:val="22"/>
          <w:lang w:val="da-DK"/>
        </w:rPr>
      </w:pPr>
    </w:p>
    <w:p>
      <w:pPr>
        <w:pStyle w:val="BodyText"/>
        <w:tabs>
          <w:tab w:val="left" w:pos="8505"/>
        </w:tabs>
        <w:rPr>
          <w:lang w:val="da-DK"/>
        </w:rPr>
      </w:pPr>
      <w:r>
        <w:rPr>
          <w:lang w:val="da-DK"/>
        </w:rPr>
        <w:t>Dette lægemiddel skal ordineres af en passende kvalificeret læge.</w:t>
      </w:r>
    </w:p>
    <w:p>
      <w:pPr>
        <w:pStyle w:val="BodyText"/>
        <w:tabs>
          <w:tab w:val="left" w:pos="8505"/>
        </w:tabs>
        <w:rPr>
          <w:spacing w:val="-52"/>
          <w:lang w:val="da-DK"/>
        </w:rPr>
      </w:pPr>
    </w:p>
    <w:p>
      <w:pPr>
        <w:pStyle w:val="BodyText"/>
        <w:tabs>
          <w:tab w:val="left" w:pos="8505"/>
        </w:tabs>
        <w:rPr>
          <w:lang w:val="da-DK"/>
        </w:rPr>
      </w:pPr>
      <w:r>
        <w:rPr>
          <w:u w:val="single"/>
          <w:lang w:val="da-DK"/>
        </w:rPr>
        <w:t>Dosering</w:t>
      </w:r>
    </w:p>
    <w:p>
      <w:pPr>
        <w:pStyle w:val="BodyText"/>
        <w:tabs>
          <w:tab w:val="left" w:pos="8505"/>
        </w:tabs>
        <w:rPr>
          <w:lang w:val="da-DK"/>
        </w:rPr>
      </w:pPr>
      <w:r>
        <w:rPr>
          <w:lang w:val="da-DK"/>
        </w:rPr>
        <w:t>Den anbefalede dosis Abiraterone Krka er 1.000 mg (to tabletter a 500 mg) dagligt som en enkelt dosis, der ikke må indtages sammen med føde (se ”Administration” nedenfor). Ved samtidig fødeindtagelse øges den systemiske eksponering for abirateron (se pkt. 4.5 og 5.2).</w:t>
      </w:r>
    </w:p>
    <w:p>
      <w:pPr>
        <w:pStyle w:val="BodyText"/>
        <w:tabs>
          <w:tab w:val="left" w:pos="8505"/>
        </w:tabs>
        <w:rPr>
          <w:lang w:val="da-DK"/>
        </w:rPr>
      </w:pPr>
    </w:p>
    <w:p>
      <w:pPr>
        <w:widowControl w:val="0"/>
        <w:tabs>
          <w:tab w:val="left" w:pos="8505"/>
        </w:tabs>
        <w:autoSpaceDE w:val="0"/>
        <w:autoSpaceDN w:val="0"/>
        <w:rPr>
          <w:i/>
          <w:sz w:val="22"/>
          <w:szCs w:val="22"/>
          <w:lang w:val="da-DK" w:eastAsia="en-US"/>
        </w:rPr>
      </w:pPr>
      <w:r>
        <w:rPr>
          <w:i/>
          <w:sz w:val="22"/>
          <w:szCs w:val="22"/>
          <w:lang w:val="da-DK" w:eastAsia="en-US"/>
        </w:rPr>
        <w:t>Dosis</w:t>
      </w:r>
      <w:r>
        <w:rPr>
          <w:i/>
          <w:spacing w:val="-4"/>
          <w:sz w:val="22"/>
          <w:szCs w:val="22"/>
          <w:lang w:val="da-DK" w:eastAsia="en-US"/>
        </w:rPr>
        <w:t xml:space="preserve"> </w:t>
      </w:r>
      <w:r>
        <w:rPr>
          <w:i/>
          <w:sz w:val="22"/>
          <w:szCs w:val="22"/>
          <w:lang w:val="da-DK" w:eastAsia="en-US"/>
        </w:rPr>
        <w:t>af</w:t>
      </w:r>
      <w:r>
        <w:rPr>
          <w:i/>
          <w:spacing w:val="-3"/>
          <w:sz w:val="22"/>
          <w:szCs w:val="22"/>
          <w:lang w:val="da-DK" w:eastAsia="en-US"/>
        </w:rPr>
        <w:t xml:space="preserve"> </w:t>
      </w:r>
      <w:r>
        <w:rPr>
          <w:i/>
          <w:sz w:val="22"/>
          <w:szCs w:val="22"/>
          <w:lang w:val="da-DK" w:eastAsia="en-US"/>
        </w:rPr>
        <w:t>prednison</w:t>
      </w:r>
      <w:r>
        <w:rPr>
          <w:i/>
          <w:spacing w:val="-3"/>
          <w:sz w:val="22"/>
          <w:szCs w:val="22"/>
          <w:lang w:val="da-DK" w:eastAsia="en-US"/>
        </w:rPr>
        <w:t xml:space="preserve"> </w:t>
      </w:r>
      <w:r>
        <w:rPr>
          <w:i/>
          <w:sz w:val="22"/>
          <w:szCs w:val="22"/>
          <w:lang w:val="da-DK" w:eastAsia="en-US"/>
        </w:rPr>
        <w:t>eller</w:t>
      </w:r>
      <w:r>
        <w:rPr>
          <w:i/>
          <w:spacing w:val="-3"/>
          <w:sz w:val="22"/>
          <w:szCs w:val="22"/>
          <w:lang w:val="da-DK" w:eastAsia="en-US"/>
        </w:rPr>
        <w:t xml:space="preserve"> </w:t>
      </w:r>
      <w:r>
        <w:rPr>
          <w:i/>
          <w:sz w:val="22"/>
          <w:szCs w:val="22"/>
          <w:lang w:val="da-DK" w:eastAsia="en-US"/>
        </w:rPr>
        <w:t>prednisolon</w:t>
      </w:r>
    </w:p>
    <w:p>
      <w:pPr>
        <w:widowControl w:val="0"/>
        <w:tabs>
          <w:tab w:val="left" w:pos="8505"/>
        </w:tabs>
        <w:autoSpaceDE w:val="0"/>
        <w:autoSpaceDN w:val="0"/>
        <w:rPr>
          <w:spacing w:val="1"/>
          <w:sz w:val="22"/>
          <w:szCs w:val="22"/>
          <w:lang w:val="da-DK" w:eastAsia="en-US"/>
        </w:rPr>
      </w:pPr>
      <w:r>
        <w:rPr>
          <w:sz w:val="22"/>
          <w:szCs w:val="22"/>
          <w:lang w:val="da-DK" w:eastAsia="en-US"/>
        </w:rPr>
        <w:t>Til mHSPC bruges Abiraterone Krka sammen med 5 mg prednison eller prednisolon dagligt.</w:t>
      </w:r>
    </w:p>
    <w:p>
      <w:pPr>
        <w:widowControl w:val="0"/>
        <w:tabs>
          <w:tab w:val="left" w:pos="8505"/>
        </w:tabs>
        <w:autoSpaceDE w:val="0"/>
        <w:autoSpaceDN w:val="0"/>
        <w:rPr>
          <w:sz w:val="22"/>
          <w:szCs w:val="22"/>
          <w:lang w:val="da-DK" w:eastAsia="en-US"/>
        </w:rPr>
      </w:pPr>
      <w:r>
        <w:rPr>
          <w:sz w:val="22"/>
          <w:szCs w:val="22"/>
          <w:lang w:val="da-DK" w:eastAsia="en-US"/>
        </w:rPr>
        <w:t>Til</w:t>
      </w:r>
      <w:r>
        <w:rPr>
          <w:spacing w:val="-4"/>
          <w:sz w:val="22"/>
          <w:szCs w:val="22"/>
          <w:lang w:val="da-DK" w:eastAsia="en-US"/>
        </w:rPr>
        <w:t xml:space="preserve"> </w:t>
      </w:r>
      <w:r>
        <w:rPr>
          <w:sz w:val="22"/>
          <w:szCs w:val="22"/>
          <w:lang w:val="da-DK" w:eastAsia="en-US"/>
        </w:rPr>
        <w:t>mCRPC</w:t>
      </w:r>
      <w:r>
        <w:rPr>
          <w:spacing w:val="-3"/>
          <w:sz w:val="22"/>
          <w:szCs w:val="22"/>
          <w:lang w:val="da-DK" w:eastAsia="en-US"/>
        </w:rPr>
        <w:t xml:space="preserve"> </w:t>
      </w:r>
      <w:r>
        <w:rPr>
          <w:sz w:val="22"/>
          <w:szCs w:val="22"/>
          <w:lang w:val="da-DK" w:eastAsia="en-US"/>
        </w:rPr>
        <w:t>bruges</w:t>
      </w:r>
      <w:r>
        <w:rPr>
          <w:spacing w:val="-3"/>
          <w:sz w:val="22"/>
          <w:szCs w:val="22"/>
          <w:lang w:val="da-DK" w:eastAsia="en-US"/>
        </w:rPr>
        <w:t xml:space="preserve"> </w:t>
      </w:r>
      <w:r>
        <w:rPr>
          <w:sz w:val="22"/>
          <w:szCs w:val="22"/>
          <w:lang w:val="da-DK" w:eastAsia="en-US"/>
        </w:rPr>
        <w:t>Abiraterone Krka</w:t>
      </w:r>
      <w:r>
        <w:rPr>
          <w:spacing w:val="-3"/>
          <w:sz w:val="22"/>
          <w:szCs w:val="22"/>
          <w:lang w:val="da-DK" w:eastAsia="en-US"/>
        </w:rPr>
        <w:t xml:space="preserve"> </w:t>
      </w:r>
      <w:r>
        <w:rPr>
          <w:sz w:val="22"/>
          <w:szCs w:val="22"/>
          <w:lang w:val="da-DK" w:eastAsia="en-US"/>
        </w:rPr>
        <w:t>sammen</w:t>
      </w:r>
      <w:r>
        <w:rPr>
          <w:spacing w:val="-4"/>
          <w:sz w:val="22"/>
          <w:szCs w:val="22"/>
          <w:lang w:val="da-DK" w:eastAsia="en-US"/>
        </w:rPr>
        <w:t xml:space="preserve"> </w:t>
      </w:r>
      <w:r>
        <w:rPr>
          <w:sz w:val="22"/>
          <w:szCs w:val="22"/>
          <w:lang w:val="da-DK" w:eastAsia="en-US"/>
        </w:rPr>
        <w:t>med</w:t>
      </w:r>
      <w:r>
        <w:rPr>
          <w:spacing w:val="-3"/>
          <w:sz w:val="22"/>
          <w:szCs w:val="22"/>
          <w:lang w:val="da-DK" w:eastAsia="en-US"/>
        </w:rPr>
        <w:t xml:space="preserve"> </w:t>
      </w:r>
      <w:r>
        <w:rPr>
          <w:sz w:val="22"/>
          <w:szCs w:val="22"/>
          <w:lang w:val="da-DK" w:eastAsia="en-US"/>
        </w:rPr>
        <w:t>10</w:t>
      </w:r>
      <w:r>
        <w:rPr>
          <w:spacing w:val="-2"/>
          <w:sz w:val="22"/>
          <w:szCs w:val="22"/>
          <w:lang w:val="da-DK" w:eastAsia="en-US"/>
        </w:rPr>
        <w:t> mg</w:t>
      </w:r>
      <w:r>
        <w:rPr>
          <w:spacing w:val="-3"/>
          <w:sz w:val="22"/>
          <w:szCs w:val="22"/>
          <w:lang w:val="da-DK" w:eastAsia="en-US"/>
        </w:rPr>
        <w:t xml:space="preserve"> </w:t>
      </w:r>
      <w:r>
        <w:rPr>
          <w:sz w:val="22"/>
          <w:szCs w:val="22"/>
          <w:lang w:val="da-DK" w:eastAsia="en-US"/>
        </w:rPr>
        <w:t>prednison</w:t>
      </w:r>
      <w:r>
        <w:rPr>
          <w:spacing w:val="-4"/>
          <w:sz w:val="22"/>
          <w:szCs w:val="22"/>
          <w:lang w:val="da-DK" w:eastAsia="en-US"/>
        </w:rPr>
        <w:t xml:space="preserve"> </w:t>
      </w:r>
      <w:r>
        <w:rPr>
          <w:sz w:val="22"/>
          <w:szCs w:val="22"/>
          <w:lang w:val="da-DK" w:eastAsia="en-US"/>
        </w:rPr>
        <w:t>eller</w:t>
      </w:r>
      <w:r>
        <w:rPr>
          <w:spacing w:val="-3"/>
          <w:sz w:val="22"/>
          <w:szCs w:val="22"/>
          <w:lang w:val="da-DK" w:eastAsia="en-US"/>
        </w:rPr>
        <w:t xml:space="preserve"> </w:t>
      </w:r>
      <w:r>
        <w:rPr>
          <w:sz w:val="22"/>
          <w:szCs w:val="22"/>
          <w:lang w:val="da-DK" w:eastAsia="en-US"/>
        </w:rPr>
        <w:t>prednisolon</w:t>
      </w:r>
      <w:r>
        <w:rPr>
          <w:spacing w:val="-3"/>
          <w:sz w:val="22"/>
          <w:szCs w:val="22"/>
          <w:lang w:val="da-DK" w:eastAsia="en-US"/>
        </w:rPr>
        <w:t xml:space="preserve"> </w:t>
      </w:r>
      <w:r>
        <w:rPr>
          <w:sz w:val="22"/>
          <w:szCs w:val="22"/>
          <w:lang w:val="da-DK" w:eastAsia="en-US"/>
        </w:rPr>
        <w:t>dagligt.</w:t>
      </w:r>
    </w:p>
    <w:p>
      <w:pPr>
        <w:widowControl w:val="0"/>
        <w:tabs>
          <w:tab w:val="left" w:pos="8505"/>
        </w:tabs>
        <w:autoSpaceDE w:val="0"/>
        <w:autoSpaceDN w:val="0"/>
        <w:rPr>
          <w:sz w:val="22"/>
          <w:szCs w:val="22"/>
          <w:lang w:val="da-DK" w:eastAsia="en-US"/>
        </w:rPr>
      </w:pPr>
    </w:p>
    <w:p>
      <w:pPr>
        <w:widowControl w:val="0"/>
        <w:tabs>
          <w:tab w:val="left" w:pos="8505"/>
        </w:tabs>
        <w:autoSpaceDE w:val="0"/>
        <w:autoSpaceDN w:val="0"/>
        <w:rPr>
          <w:sz w:val="22"/>
          <w:szCs w:val="22"/>
          <w:lang w:val="da-DK" w:eastAsia="en-US"/>
        </w:rPr>
      </w:pPr>
      <w:r>
        <w:rPr>
          <w:sz w:val="22"/>
          <w:szCs w:val="22"/>
          <w:lang w:val="da-DK" w:eastAsia="en-US"/>
        </w:rPr>
        <w:t>Medicinsk kastration med luteiniserende hormon-releasing hormon- (LHRH-) analog bør fortsætte</w:t>
      </w:r>
      <w:r>
        <w:rPr>
          <w:spacing w:val="-52"/>
          <w:sz w:val="22"/>
          <w:szCs w:val="22"/>
          <w:lang w:val="da-DK" w:eastAsia="en-US"/>
        </w:rPr>
        <w:t xml:space="preserve"> </w:t>
      </w:r>
      <w:r>
        <w:rPr>
          <w:sz w:val="22"/>
          <w:szCs w:val="22"/>
          <w:lang w:val="da-DK" w:eastAsia="en-US"/>
        </w:rPr>
        <w:t>under</w:t>
      </w:r>
      <w:r>
        <w:rPr>
          <w:spacing w:val="-2"/>
          <w:sz w:val="22"/>
          <w:szCs w:val="22"/>
          <w:lang w:val="da-DK" w:eastAsia="en-US"/>
        </w:rPr>
        <w:t xml:space="preserve"> </w:t>
      </w:r>
      <w:r>
        <w:rPr>
          <w:sz w:val="22"/>
          <w:szCs w:val="22"/>
          <w:lang w:val="da-DK" w:eastAsia="en-US"/>
        </w:rPr>
        <w:t>behandling</w:t>
      </w:r>
      <w:r>
        <w:rPr>
          <w:spacing w:val="-1"/>
          <w:sz w:val="22"/>
          <w:szCs w:val="22"/>
          <w:lang w:val="da-DK" w:eastAsia="en-US"/>
        </w:rPr>
        <w:t xml:space="preserve"> </w:t>
      </w:r>
      <w:r>
        <w:rPr>
          <w:sz w:val="22"/>
          <w:szCs w:val="22"/>
          <w:lang w:val="da-DK" w:eastAsia="en-US"/>
        </w:rPr>
        <w:t>af</w:t>
      </w:r>
      <w:r>
        <w:rPr>
          <w:spacing w:val="-2"/>
          <w:sz w:val="22"/>
          <w:szCs w:val="22"/>
          <w:lang w:val="da-DK" w:eastAsia="en-US"/>
        </w:rPr>
        <w:t xml:space="preserve"> </w:t>
      </w:r>
      <w:r>
        <w:rPr>
          <w:sz w:val="22"/>
          <w:szCs w:val="22"/>
          <w:lang w:val="da-DK" w:eastAsia="en-US"/>
        </w:rPr>
        <w:t>patienter,</w:t>
      </w:r>
      <w:r>
        <w:rPr>
          <w:spacing w:val="-1"/>
          <w:sz w:val="22"/>
          <w:szCs w:val="22"/>
          <w:lang w:val="da-DK" w:eastAsia="en-US"/>
        </w:rPr>
        <w:t xml:space="preserve"> </w:t>
      </w:r>
      <w:r>
        <w:rPr>
          <w:sz w:val="22"/>
          <w:szCs w:val="22"/>
          <w:lang w:val="da-DK" w:eastAsia="en-US"/>
        </w:rPr>
        <w:t>der</w:t>
      </w:r>
      <w:r>
        <w:rPr>
          <w:spacing w:val="-2"/>
          <w:sz w:val="22"/>
          <w:szCs w:val="22"/>
          <w:lang w:val="da-DK" w:eastAsia="en-US"/>
        </w:rPr>
        <w:t xml:space="preserve"> </w:t>
      </w:r>
      <w:r>
        <w:rPr>
          <w:sz w:val="22"/>
          <w:szCs w:val="22"/>
          <w:lang w:val="da-DK" w:eastAsia="en-US"/>
        </w:rPr>
        <w:t>ikke</w:t>
      </w:r>
      <w:r>
        <w:rPr>
          <w:spacing w:val="-1"/>
          <w:sz w:val="22"/>
          <w:szCs w:val="22"/>
          <w:lang w:val="da-DK" w:eastAsia="en-US"/>
        </w:rPr>
        <w:t xml:space="preserve"> </w:t>
      </w:r>
      <w:r>
        <w:rPr>
          <w:sz w:val="22"/>
          <w:szCs w:val="22"/>
          <w:lang w:val="da-DK" w:eastAsia="en-US"/>
        </w:rPr>
        <w:t>er</w:t>
      </w:r>
      <w:r>
        <w:rPr>
          <w:spacing w:val="-1"/>
          <w:sz w:val="22"/>
          <w:szCs w:val="22"/>
          <w:lang w:val="da-DK" w:eastAsia="en-US"/>
        </w:rPr>
        <w:t xml:space="preserve"> </w:t>
      </w:r>
      <w:r>
        <w:rPr>
          <w:sz w:val="22"/>
          <w:szCs w:val="22"/>
          <w:lang w:val="da-DK" w:eastAsia="en-US"/>
        </w:rPr>
        <w:t>kastreret</w:t>
      </w:r>
      <w:r>
        <w:rPr>
          <w:spacing w:val="-2"/>
          <w:sz w:val="22"/>
          <w:szCs w:val="22"/>
          <w:lang w:val="da-DK" w:eastAsia="en-US"/>
        </w:rPr>
        <w:t xml:space="preserve"> </w:t>
      </w:r>
      <w:r>
        <w:rPr>
          <w:sz w:val="22"/>
          <w:szCs w:val="22"/>
          <w:lang w:val="da-DK" w:eastAsia="en-US"/>
        </w:rPr>
        <w:t>kirurgisk.</w:t>
      </w:r>
    </w:p>
    <w:p>
      <w:pPr>
        <w:pStyle w:val="BodyText"/>
        <w:tabs>
          <w:tab w:val="left" w:pos="8505"/>
        </w:tabs>
        <w:rPr>
          <w:lang w:val="da-DK"/>
        </w:rPr>
      </w:pPr>
    </w:p>
    <w:p>
      <w:pPr>
        <w:widowControl w:val="0"/>
        <w:tabs>
          <w:tab w:val="left" w:pos="8505"/>
        </w:tabs>
        <w:rPr>
          <w:i/>
          <w:sz w:val="22"/>
          <w:szCs w:val="22"/>
          <w:lang w:val="da-DK"/>
        </w:rPr>
      </w:pPr>
      <w:r>
        <w:rPr>
          <w:i/>
          <w:sz w:val="22"/>
          <w:szCs w:val="22"/>
          <w:u w:val="single"/>
          <w:lang w:val="da-DK"/>
        </w:rPr>
        <w:t>Anbefalet</w:t>
      </w:r>
      <w:r>
        <w:rPr>
          <w:i/>
          <w:spacing w:val="-4"/>
          <w:sz w:val="22"/>
          <w:szCs w:val="22"/>
          <w:u w:val="single"/>
          <w:lang w:val="da-DK"/>
        </w:rPr>
        <w:t xml:space="preserve"> </w:t>
      </w:r>
      <w:r>
        <w:rPr>
          <w:i/>
          <w:sz w:val="22"/>
          <w:szCs w:val="22"/>
          <w:u w:val="single"/>
          <w:lang w:val="da-DK"/>
        </w:rPr>
        <w:t>monitorering</w:t>
      </w:r>
    </w:p>
    <w:p>
      <w:pPr>
        <w:pStyle w:val="BodyText"/>
        <w:tabs>
          <w:tab w:val="left" w:pos="8505"/>
        </w:tabs>
        <w:rPr>
          <w:lang w:val="da-DK"/>
        </w:rPr>
      </w:pPr>
      <w:r>
        <w:rPr>
          <w:lang w:val="da-DK"/>
        </w:rPr>
        <w:t>Aminotransferaser bør måles før indledning af behandlingen, hver anden uge i de første tre måneders</w:t>
      </w:r>
      <w:r>
        <w:rPr>
          <w:spacing w:val="-52"/>
          <w:lang w:val="da-DK"/>
        </w:rPr>
        <w:t xml:space="preserve"> </w:t>
      </w:r>
      <w:r>
        <w:rPr>
          <w:lang w:val="da-DK"/>
        </w:rPr>
        <w:lastRenderedPageBreak/>
        <w:t>behandling og hver måned derefter. Blodtryk, serumkalium og væskeretention bør kontrolleres hver</w:t>
      </w:r>
      <w:r>
        <w:rPr>
          <w:spacing w:val="1"/>
          <w:lang w:val="da-DK"/>
        </w:rPr>
        <w:t xml:space="preserve"> </w:t>
      </w:r>
      <w:r>
        <w:rPr>
          <w:lang w:val="da-DK"/>
        </w:rPr>
        <w:t>måned. Patienter med en væsentlig risiko for at få kongestiv hjerteinsufficiens bør dog kontrolleres</w:t>
      </w:r>
      <w:r>
        <w:rPr>
          <w:spacing w:val="1"/>
          <w:lang w:val="da-DK"/>
        </w:rPr>
        <w:t xml:space="preserve"> </w:t>
      </w:r>
      <w:r>
        <w:rPr>
          <w:lang w:val="da-DK"/>
        </w:rPr>
        <w:t>hver</w:t>
      </w:r>
      <w:r>
        <w:rPr>
          <w:spacing w:val="-3"/>
          <w:lang w:val="da-DK"/>
        </w:rPr>
        <w:t xml:space="preserve"> </w:t>
      </w:r>
      <w:r>
        <w:rPr>
          <w:lang w:val="da-DK"/>
        </w:rPr>
        <w:t>anden</w:t>
      </w:r>
      <w:r>
        <w:rPr>
          <w:spacing w:val="-2"/>
          <w:lang w:val="da-DK"/>
        </w:rPr>
        <w:t xml:space="preserve"> </w:t>
      </w:r>
      <w:r>
        <w:rPr>
          <w:lang w:val="da-DK"/>
        </w:rPr>
        <w:t>uge</w:t>
      </w:r>
      <w:r>
        <w:rPr>
          <w:spacing w:val="-2"/>
          <w:lang w:val="da-DK"/>
        </w:rPr>
        <w:t xml:space="preserve"> </w:t>
      </w:r>
      <w:r>
        <w:rPr>
          <w:lang w:val="da-DK"/>
        </w:rPr>
        <w:t>i</w:t>
      </w:r>
      <w:r>
        <w:rPr>
          <w:spacing w:val="-2"/>
          <w:lang w:val="da-DK"/>
        </w:rPr>
        <w:t xml:space="preserve"> </w:t>
      </w:r>
      <w:r>
        <w:rPr>
          <w:lang w:val="da-DK"/>
        </w:rPr>
        <w:t>de</w:t>
      </w:r>
      <w:r>
        <w:rPr>
          <w:spacing w:val="-2"/>
          <w:lang w:val="da-DK"/>
        </w:rPr>
        <w:t xml:space="preserve"> </w:t>
      </w:r>
      <w:r>
        <w:rPr>
          <w:lang w:val="da-DK"/>
        </w:rPr>
        <w:t>første</w:t>
      </w:r>
      <w:r>
        <w:rPr>
          <w:spacing w:val="-2"/>
          <w:lang w:val="da-DK"/>
        </w:rPr>
        <w:t xml:space="preserve"> </w:t>
      </w:r>
      <w:r>
        <w:rPr>
          <w:lang w:val="da-DK"/>
        </w:rPr>
        <w:t>tre</w:t>
      </w:r>
      <w:r>
        <w:rPr>
          <w:spacing w:val="-2"/>
          <w:lang w:val="da-DK"/>
        </w:rPr>
        <w:t xml:space="preserve"> </w:t>
      </w:r>
      <w:r>
        <w:rPr>
          <w:lang w:val="da-DK"/>
        </w:rPr>
        <w:t>måneder</w:t>
      </w:r>
      <w:r>
        <w:rPr>
          <w:spacing w:val="-2"/>
          <w:lang w:val="da-DK"/>
        </w:rPr>
        <w:t xml:space="preserve"> </w:t>
      </w:r>
      <w:r>
        <w:rPr>
          <w:lang w:val="da-DK"/>
        </w:rPr>
        <w:t>af</w:t>
      </w:r>
      <w:r>
        <w:rPr>
          <w:spacing w:val="-2"/>
          <w:lang w:val="da-DK"/>
        </w:rPr>
        <w:t xml:space="preserve"> </w:t>
      </w:r>
      <w:r>
        <w:rPr>
          <w:lang w:val="da-DK"/>
        </w:rPr>
        <w:t>behandlingen</w:t>
      </w:r>
      <w:r>
        <w:rPr>
          <w:spacing w:val="-2"/>
          <w:lang w:val="da-DK"/>
        </w:rPr>
        <w:t xml:space="preserve"> </w:t>
      </w:r>
      <w:r>
        <w:rPr>
          <w:lang w:val="da-DK"/>
        </w:rPr>
        <w:t>og</w:t>
      </w:r>
      <w:r>
        <w:rPr>
          <w:spacing w:val="-2"/>
          <w:lang w:val="da-DK"/>
        </w:rPr>
        <w:t xml:space="preserve"> </w:t>
      </w:r>
      <w:r>
        <w:rPr>
          <w:lang w:val="da-DK"/>
        </w:rPr>
        <w:t>derefter</w:t>
      </w:r>
      <w:r>
        <w:rPr>
          <w:spacing w:val="-2"/>
          <w:lang w:val="da-DK"/>
        </w:rPr>
        <w:t xml:space="preserve"> </w:t>
      </w:r>
      <w:r>
        <w:rPr>
          <w:lang w:val="da-DK"/>
        </w:rPr>
        <w:t>hver</w:t>
      </w:r>
      <w:r>
        <w:rPr>
          <w:spacing w:val="-2"/>
          <w:lang w:val="da-DK"/>
        </w:rPr>
        <w:t xml:space="preserve"> </w:t>
      </w:r>
      <w:r>
        <w:rPr>
          <w:lang w:val="da-DK"/>
        </w:rPr>
        <w:t>måned</w:t>
      </w:r>
      <w:r>
        <w:rPr>
          <w:spacing w:val="-2"/>
          <w:lang w:val="da-DK"/>
        </w:rPr>
        <w:t xml:space="preserve"> </w:t>
      </w:r>
      <w:r>
        <w:rPr>
          <w:lang w:val="da-DK"/>
        </w:rPr>
        <w:t>(se</w:t>
      </w:r>
      <w:r>
        <w:rPr>
          <w:spacing w:val="-2"/>
          <w:lang w:val="da-DK"/>
        </w:rPr>
        <w:t xml:space="preserve"> </w:t>
      </w:r>
      <w:r>
        <w:rPr>
          <w:lang w:val="da-DK"/>
        </w:rPr>
        <w:t>pkt. 4.4).</w:t>
      </w:r>
    </w:p>
    <w:p>
      <w:pPr>
        <w:pStyle w:val="BodyText"/>
        <w:tabs>
          <w:tab w:val="left" w:pos="8505"/>
        </w:tabs>
        <w:rPr>
          <w:lang w:val="da-DK"/>
        </w:rPr>
      </w:pPr>
    </w:p>
    <w:p>
      <w:pPr>
        <w:pStyle w:val="BodyText"/>
        <w:tabs>
          <w:tab w:val="left" w:pos="8505"/>
        </w:tabs>
        <w:rPr>
          <w:lang w:val="da-DK"/>
        </w:rPr>
      </w:pPr>
      <w:r>
        <w:rPr>
          <w:lang w:val="da-DK"/>
        </w:rPr>
        <w:t>Hos patienter med præ-eksisterende hypokaliæmi og patienter, der udvikler hypokaliæmi under</w:t>
      </w:r>
      <w:r>
        <w:rPr>
          <w:spacing w:val="-52"/>
          <w:lang w:val="da-DK"/>
        </w:rPr>
        <w:t xml:space="preserve"> </w:t>
      </w:r>
      <w:r>
        <w:rPr>
          <w:lang w:val="da-DK"/>
        </w:rPr>
        <w:t>behandling</w:t>
      </w:r>
      <w:r>
        <w:rPr>
          <w:spacing w:val="-3"/>
          <w:lang w:val="da-DK"/>
        </w:rPr>
        <w:t xml:space="preserve"> </w:t>
      </w:r>
      <w:r>
        <w:rPr>
          <w:lang w:val="da-DK"/>
        </w:rPr>
        <w:t>med</w:t>
      </w:r>
      <w:r>
        <w:rPr>
          <w:spacing w:val="-2"/>
          <w:lang w:val="da-DK"/>
        </w:rPr>
        <w:t xml:space="preserve"> </w:t>
      </w:r>
      <w:r>
        <w:rPr>
          <w:noProof/>
          <w:lang w:val="da-DK"/>
        </w:rPr>
        <w:t>Abiraterone Krka</w:t>
      </w:r>
      <w:r>
        <w:rPr>
          <w:lang w:val="da-DK"/>
        </w:rPr>
        <w:t>,</w:t>
      </w:r>
      <w:r>
        <w:rPr>
          <w:spacing w:val="-3"/>
          <w:lang w:val="da-DK"/>
        </w:rPr>
        <w:t xml:space="preserve"> </w:t>
      </w:r>
      <w:r>
        <w:rPr>
          <w:lang w:val="da-DK"/>
        </w:rPr>
        <w:t>skal</w:t>
      </w:r>
      <w:r>
        <w:rPr>
          <w:spacing w:val="-2"/>
          <w:lang w:val="da-DK"/>
        </w:rPr>
        <w:t xml:space="preserve"> </w:t>
      </w:r>
      <w:r>
        <w:rPr>
          <w:lang w:val="da-DK"/>
        </w:rPr>
        <w:t>det</w:t>
      </w:r>
      <w:r>
        <w:rPr>
          <w:spacing w:val="-2"/>
          <w:lang w:val="da-DK"/>
        </w:rPr>
        <w:t xml:space="preserve"> </w:t>
      </w:r>
      <w:r>
        <w:rPr>
          <w:lang w:val="da-DK"/>
        </w:rPr>
        <w:t>overvejes</w:t>
      </w:r>
      <w:r>
        <w:rPr>
          <w:spacing w:val="-3"/>
          <w:lang w:val="da-DK"/>
        </w:rPr>
        <w:t xml:space="preserve"> </w:t>
      </w:r>
      <w:r>
        <w:rPr>
          <w:lang w:val="da-DK"/>
        </w:rPr>
        <w:t>at</w:t>
      </w:r>
      <w:r>
        <w:rPr>
          <w:spacing w:val="-2"/>
          <w:lang w:val="da-DK"/>
        </w:rPr>
        <w:t xml:space="preserve"> </w:t>
      </w:r>
      <w:r>
        <w:rPr>
          <w:lang w:val="da-DK"/>
        </w:rPr>
        <w:t>holde</w:t>
      </w:r>
      <w:r>
        <w:rPr>
          <w:spacing w:val="-2"/>
          <w:lang w:val="da-DK"/>
        </w:rPr>
        <w:t xml:space="preserve"> </w:t>
      </w:r>
      <w:r>
        <w:rPr>
          <w:lang w:val="da-DK"/>
        </w:rPr>
        <w:t>patientens</w:t>
      </w:r>
      <w:r>
        <w:rPr>
          <w:spacing w:val="-3"/>
          <w:lang w:val="da-DK"/>
        </w:rPr>
        <w:t xml:space="preserve"> </w:t>
      </w:r>
      <w:r>
        <w:rPr>
          <w:lang w:val="da-DK"/>
        </w:rPr>
        <w:t>kaliumniveau</w:t>
      </w:r>
      <w:r>
        <w:rPr>
          <w:spacing w:val="-2"/>
          <w:lang w:val="da-DK"/>
        </w:rPr>
        <w:t xml:space="preserve"> </w:t>
      </w:r>
      <w:r>
        <w:rPr>
          <w:lang w:val="da-DK"/>
        </w:rPr>
        <w:t>≥</w:t>
      </w:r>
      <w:r>
        <w:rPr>
          <w:spacing w:val="-2"/>
          <w:lang w:val="da-DK"/>
        </w:rPr>
        <w:t> </w:t>
      </w:r>
      <w:r>
        <w:rPr>
          <w:lang w:val="da-DK"/>
        </w:rPr>
        <w:t>4,0</w:t>
      </w:r>
      <w:r>
        <w:rPr>
          <w:spacing w:val="-2"/>
          <w:lang w:val="da-DK"/>
        </w:rPr>
        <w:t xml:space="preserve"> </w:t>
      </w:r>
      <w:r>
        <w:rPr>
          <w:lang w:val="da-DK"/>
        </w:rPr>
        <w:t>mM. Hos patienter, der udvikler grad ≥ 3 toksiciteter, herunder hypertension, hypokaliæmi, ødemer og</w:t>
      </w:r>
      <w:r>
        <w:rPr>
          <w:spacing w:val="1"/>
          <w:lang w:val="da-DK"/>
        </w:rPr>
        <w:t xml:space="preserve"> </w:t>
      </w:r>
      <w:r>
        <w:rPr>
          <w:lang w:val="da-DK"/>
        </w:rPr>
        <w:t>andre, non-mineralokortikoide toksiciteter, bør behandlingen seponeres og hensigtsmæssig behandling</w:t>
      </w:r>
      <w:r>
        <w:rPr>
          <w:spacing w:val="-52"/>
          <w:lang w:val="da-DK"/>
        </w:rPr>
        <w:t xml:space="preserve"> </w:t>
      </w:r>
      <w:r>
        <w:rPr>
          <w:lang w:val="da-DK"/>
        </w:rPr>
        <w:t xml:space="preserve">institueres. Behandling med </w:t>
      </w:r>
      <w:r>
        <w:rPr>
          <w:noProof/>
          <w:lang w:val="da-DK"/>
        </w:rPr>
        <w:t>Abiraterone Krka</w:t>
      </w:r>
      <w:r>
        <w:rPr>
          <w:lang w:val="da-DK"/>
        </w:rPr>
        <w:t xml:space="preserve"> bør ikke genoptages, før toksicitetssymptomerne er faldet til</w:t>
      </w:r>
      <w:r>
        <w:rPr>
          <w:spacing w:val="1"/>
          <w:lang w:val="da-DK"/>
        </w:rPr>
        <w:t xml:space="preserve"> </w:t>
      </w:r>
      <w:r>
        <w:rPr>
          <w:lang w:val="da-DK"/>
        </w:rPr>
        <w:t>grad</w:t>
      </w:r>
      <w:r>
        <w:rPr>
          <w:spacing w:val="-1"/>
          <w:lang w:val="da-DK"/>
        </w:rPr>
        <w:t> </w:t>
      </w:r>
      <w:r>
        <w:rPr>
          <w:lang w:val="da-DK"/>
        </w:rPr>
        <w:t>1</w:t>
      </w:r>
      <w:r>
        <w:rPr>
          <w:spacing w:val="-1"/>
          <w:lang w:val="da-DK"/>
        </w:rPr>
        <w:t xml:space="preserve"> </w:t>
      </w:r>
      <w:r>
        <w:rPr>
          <w:lang w:val="da-DK"/>
        </w:rPr>
        <w:t>eller</w:t>
      </w:r>
      <w:r>
        <w:rPr>
          <w:spacing w:val="-1"/>
          <w:lang w:val="da-DK"/>
        </w:rPr>
        <w:t xml:space="preserve"> </w:t>
      </w:r>
      <w:r>
        <w:rPr>
          <w:i/>
          <w:lang w:val="da-DK"/>
        </w:rPr>
        <w:t>baseline</w:t>
      </w:r>
      <w:r>
        <w:rPr>
          <w:lang w:val="da-DK"/>
        </w:rPr>
        <w:t>-niveau.</w:t>
      </w:r>
    </w:p>
    <w:p>
      <w:pPr>
        <w:widowControl w:val="0"/>
        <w:tabs>
          <w:tab w:val="left" w:pos="8505"/>
        </w:tabs>
        <w:rPr>
          <w:sz w:val="22"/>
          <w:szCs w:val="22"/>
          <w:lang w:val="da-DK"/>
        </w:rPr>
      </w:pPr>
      <w:r>
        <w:rPr>
          <w:sz w:val="22"/>
          <w:szCs w:val="22"/>
          <w:lang w:val="da-DK"/>
        </w:rPr>
        <w:t>Hvis en daglig dosis af enten Abiraterone Krka prednison eller prednisolon springes over, skal behandlingen fortsætte næste dag med den sædvanlige daglige dosis.</w:t>
      </w:r>
    </w:p>
    <w:p>
      <w:pPr>
        <w:pStyle w:val="BodyText"/>
        <w:tabs>
          <w:tab w:val="left" w:pos="8505"/>
        </w:tabs>
        <w:rPr>
          <w:lang w:val="da-DK"/>
        </w:rPr>
      </w:pPr>
    </w:p>
    <w:p>
      <w:pPr>
        <w:pStyle w:val="BodyText"/>
        <w:tabs>
          <w:tab w:val="left" w:pos="8505"/>
        </w:tabs>
        <w:rPr>
          <w:i/>
          <w:lang w:val="da-DK"/>
        </w:rPr>
      </w:pPr>
      <w:r>
        <w:rPr>
          <w:i/>
          <w:lang w:val="da-DK"/>
        </w:rPr>
        <w:t>Levertoksicitet</w:t>
      </w:r>
    </w:p>
    <w:p>
      <w:pPr>
        <w:pStyle w:val="BodyText"/>
        <w:tabs>
          <w:tab w:val="left" w:pos="8505"/>
        </w:tabs>
        <w:rPr>
          <w:lang w:val="da-DK"/>
        </w:rPr>
      </w:pPr>
      <w:r>
        <w:rPr>
          <w:lang w:val="da-DK"/>
        </w:rPr>
        <w:t>Hos patienter, som får levertoksicitet under behandlingen (alanin-aminotransferase [ALAT] eller</w:t>
      </w:r>
      <w:r>
        <w:rPr>
          <w:spacing w:val="1"/>
          <w:lang w:val="da-DK"/>
        </w:rPr>
        <w:t xml:space="preserve"> </w:t>
      </w:r>
      <w:r>
        <w:rPr>
          <w:lang w:val="da-DK"/>
        </w:rPr>
        <w:t>aspartat-aminotransferase [ASAT] stiger til &gt; 5 × øvre normalgrænse [ULN]), bør behandlingen</w:t>
      </w:r>
      <w:r>
        <w:rPr>
          <w:spacing w:val="1"/>
          <w:lang w:val="da-DK"/>
        </w:rPr>
        <w:t xml:space="preserve"> </w:t>
      </w:r>
      <w:r>
        <w:rPr>
          <w:lang w:val="da-DK"/>
        </w:rPr>
        <w:t>omgående indstilles (se pkt. 4.4). Efter at patientens leverfunktionsprøver er faldet til</w:t>
      </w:r>
      <w:r>
        <w:rPr>
          <w:spacing w:val="1"/>
          <w:lang w:val="da-DK"/>
        </w:rPr>
        <w:t xml:space="preserve"> </w:t>
      </w:r>
      <w:r>
        <w:rPr>
          <w:i/>
          <w:lang w:val="da-DK"/>
        </w:rPr>
        <w:t>baseline-</w:t>
      </w:r>
      <w:r>
        <w:rPr>
          <w:lang w:val="da-DK"/>
        </w:rPr>
        <w:t>niveauet, kan behandlingen genoptages med en reduceret dosis på 500 mg (en tablet) en</w:t>
      </w:r>
      <w:r>
        <w:rPr>
          <w:spacing w:val="-52"/>
          <w:lang w:val="da-DK"/>
        </w:rPr>
        <w:t xml:space="preserve"> </w:t>
      </w:r>
      <w:r>
        <w:rPr>
          <w:lang w:val="da-DK"/>
        </w:rPr>
        <w:t>gang dagligt. Patienter, der starter på behandlingen igen, skal have kontrolleret aminotransferaser</w:t>
      </w:r>
      <w:r>
        <w:rPr>
          <w:spacing w:val="1"/>
          <w:lang w:val="da-DK"/>
        </w:rPr>
        <w:t xml:space="preserve"> </w:t>
      </w:r>
      <w:r>
        <w:rPr>
          <w:lang w:val="da-DK"/>
        </w:rPr>
        <w:t>mindst hver anden uge i tre måneder og en gang om måneden derefter. Hvis der atter opstår</w:t>
      </w:r>
      <w:r>
        <w:rPr>
          <w:spacing w:val="1"/>
          <w:lang w:val="da-DK"/>
        </w:rPr>
        <w:t xml:space="preserve"> </w:t>
      </w:r>
      <w:r>
        <w:rPr>
          <w:lang w:val="da-DK"/>
        </w:rPr>
        <w:t>levertoksicitet</w:t>
      </w:r>
      <w:r>
        <w:rPr>
          <w:spacing w:val="-3"/>
          <w:lang w:val="da-DK"/>
        </w:rPr>
        <w:t xml:space="preserve"> </w:t>
      </w:r>
      <w:r>
        <w:rPr>
          <w:lang w:val="da-DK"/>
        </w:rPr>
        <w:t>med</w:t>
      </w:r>
      <w:r>
        <w:rPr>
          <w:spacing w:val="-2"/>
          <w:lang w:val="da-DK"/>
        </w:rPr>
        <w:t xml:space="preserve"> </w:t>
      </w:r>
      <w:r>
        <w:rPr>
          <w:lang w:val="da-DK"/>
        </w:rPr>
        <w:t>den</w:t>
      </w:r>
      <w:r>
        <w:rPr>
          <w:spacing w:val="-3"/>
          <w:lang w:val="da-DK"/>
        </w:rPr>
        <w:t xml:space="preserve"> </w:t>
      </w:r>
      <w:r>
        <w:rPr>
          <w:lang w:val="da-DK"/>
        </w:rPr>
        <w:t>reducerede</w:t>
      </w:r>
      <w:r>
        <w:rPr>
          <w:spacing w:val="-2"/>
          <w:lang w:val="da-DK"/>
        </w:rPr>
        <w:t xml:space="preserve"> </w:t>
      </w:r>
      <w:r>
        <w:rPr>
          <w:lang w:val="da-DK"/>
        </w:rPr>
        <w:t>dosis</w:t>
      </w:r>
      <w:r>
        <w:rPr>
          <w:spacing w:val="-2"/>
          <w:lang w:val="da-DK"/>
        </w:rPr>
        <w:t xml:space="preserve"> </w:t>
      </w:r>
      <w:r>
        <w:rPr>
          <w:lang w:val="da-DK"/>
        </w:rPr>
        <w:t>på</w:t>
      </w:r>
      <w:r>
        <w:rPr>
          <w:spacing w:val="-3"/>
          <w:lang w:val="da-DK"/>
        </w:rPr>
        <w:t xml:space="preserve"> </w:t>
      </w:r>
      <w:r>
        <w:rPr>
          <w:lang w:val="da-DK"/>
        </w:rPr>
        <w:t>500</w:t>
      </w:r>
      <w:r>
        <w:rPr>
          <w:spacing w:val="-3"/>
          <w:lang w:val="da-DK"/>
        </w:rPr>
        <w:t> mg</w:t>
      </w:r>
      <w:r>
        <w:rPr>
          <w:spacing w:val="-5"/>
          <w:lang w:val="da-DK"/>
        </w:rPr>
        <w:t xml:space="preserve"> </w:t>
      </w:r>
      <w:r>
        <w:rPr>
          <w:lang w:val="da-DK"/>
        </w:rPr>
        <w:t>dagligt,</w:t>
      </w:r>
      <w:r>
        <w:rPr>
          <w:spacing w:val="-2"/>
          <w:lang w:val="da-DK"/>
        </w:rPr>
        <w:t xml:space="preserve"> </w:t>
      </w:r>
      <w:r>
        <w:rPr>
          <w:lang w:val="da-DK"/>
        </w:rPr>
        <w:t>bør</w:t>
      </w:r>
      <w:r>
        <w:rPr>
          <w:spacing w:val="-2"/>
          <w:lang w:val="da-DK"/>
        </w:rPr>
        <w:t xml:space="preserve"> </w:t>
      </w:r>
      <w:r>
        <w:rPr>
          <w:lang w:val="da-DK"/>
        </w:rPr>
        <w:t>behandlingen</w:t>
      </w:r>
      <w:r>
        <w:rPr>
          <w:spacing w:val="-3"/>
          <w:lang w:val="da-DK"/>
        </w:rPr>
        <w:t xml:space="preserve"> </w:t>
      </w:r>
      <w:r>
        <w:rPr>
          <w:lang w:val="da-DK"/>
        </w:rPr>
        <w:t>seponeres.</w:t>
      </w:r>
    </w:p>
    <w:p>
      <w:pPr>
        <w:pStyle w:val="BodyText"/>
        <w:tabs>
          <w:tab w:val="left" w:pos="8505"/>
        </w:tabs>
        <w:rPr>
          <w:lang w:val="da-DK"/>
        </w:rPr>
      </w:pPr>
    </w:p>
    <w:p>
      <w:pPr>
        <w:pStyle w:val="BodyText"/>
        <w:tabs>
          <w:tab w:val="left" w:pos="8505"/>
        </w:tabs>
        <w:rPr>
          <w:lang w:val="da-DK"/>
        </w:rPr>
      </w:pPr>
      <w:r>
        <w:rPr>
          <w:lang w:val="da-DK"/>
        </w:rPr>
        <w:t>I tilfælde af svær levertoksicitet (ALAT eller ASAT 20 × ULN) i løbet af behandlingen bør behandlingen</w:t>
      </w:r>
      <w:r>
        <w:rPr>
          <w:spacing w:val="-2"/>
          <w:lang w:val="da-DK"/>
        </w:rPr>
        <w:t xml:space="preserve"> </w:t>
      </w:r>
      <w:r>
        <w:rPr>
          <w:lang w:val="da-DK"/>
        </w:rPr>
        <w:t>seponeres</w:t>
      </w:r>
      <w:r>
        <w:rPr>
          <w:spacing w:val="-2"/>
          <w:lang w:val="da-DK"/>
        </w:rPr>
        <w:t xml:space="preserve"> </w:t>
      </w:r>
      <w:r>
        <w:rPr>
          <w:lang w:val="da-DK"/>
        </w:rPr>
        <w:t>og</w:t>
      </w:r>
      <w:r>
        <w:rPr>
          <w:spacing w:val="-2"/>
          <w:lang w:val="da-DK"/>
        </w:rPr>
        <w:t xml:space="preserve"> </w:t>
      </w:r>
      <w:r>
        <w:rPr>
          <w:lang w:val="da-DK"/>
        </w:rPr>
        <w:t>ikke</w:t>
      </w:r>
      <w:r>
        <w:rPr>
          <w:spacing w:val="-1"/>
          <w:lang w:val="da-DK"/>
        </w:rPr>
        <w:t xml:space="preserve"> </w:t>
      </w:r>
      <w:r>
        <w:rPr>
          <w:lang w:val="da-DK"/>
        </w:rPr>
        <w:t>senere</w:t>
      </w:r>
      <w:r>
        <w:rPr>
          <w:spacing w:val="-2"/>
          <w:lang w:val="da-DK"/>
        </w:rPr>
        <w:t xml:space="preserve"> </w:t>
      </w:r>
      <w:r>
        <w:rPr>
          <w:lang w:val="da-DK"/>
        </w:rPr>
        <w:t>genoptages</w:t>
      </w:r>
      <w:r>
        <w:rPr>
          <w:spacing w:val="-2"/>
          <w:lang w:val="da-DK"/>
        </w:rPr>
        <w:t xml:space="preserve"> </w:t>
      </w:r>
      <w:r>
        <w:rPr>
          <w:lang w:val="da-DK"/>
        </w:rPr>
        <w:t>hos</w:t>
      </w:r>
      <w:r>
        <w:rPr>
          <w:spacing w:val="-1"/>
          <w:lang w:val="da-DK"/>
        </w:rPr>
        <w:t xml:space="preserve"> </w:t>
      </w:r>
      <w:r>
        <w:rPr>
          <w:lang w:val="da-DK"/>
        </w:rPr>
        <w:t>denne</w:t>
      </w:r>
      <w:r>
        <w:rPr>
          <w:spacing w:val="-2"/>
          <w:lang w:val="da-DK"/>
        </w:rPr>
        <w:t xml:space="preserve"> </w:t>
      </w:r>
      <w:r>
        <w:rPr>
          <w:lang w:val="da-DK"/>
        </w:rPr>
        <w:t>patient.</w:t>
      </w:r>
    </w:p>
    <w:p>
      <w:pPr>
        <w:pStyle w:val="BodyText"/>
        <w:tabs>
          <w:tab w:val="left" w:pos="8505"/>
        </w:tabs>
        <w:rPr>
          <w:lang w:val="da-DK"/>
        </w:rPr>
      </w:pPr>
    </w:p>
    <w:p>
      <w:pPr>
        <w:pStyle w:val="BodyText"/>
        <w:tabs>
          <w:tab w:val="left" w:pos="8505"/>
        </w:tabs>
        <w:rPr>
          <w:i/>
          <w:iCs/>
          <w:lang w:val="da-DK"/>
        </w:rPr>
      </w:pPr>
      <w:r>
        <w:rPr>
          <w:i/>
          <w:iCs/>
          <w:lang w:val="da-DK"/>
        </w:rPr>
        <w:t>Nedsat nyrefunktion</w:t>
      </w:r>
    </w:p>
    <w:p>
      <w:pPr>
        <w:pStyle w:val="BodyText"/>
        <w:tabs>
          <w:tab w:val="left" w:pos="8505"/>
        </w:tabs>
        <w:rPr>
          <w:lang w:val="da-DK"/>
        </w:rPr>
      </w:pPr>
      <w:r>
        <w:rPr>
          <w:lang w:val="da-DK"/>
        </w:rPr>
        <w:t>Det er ikke nødvendigt at justere dosis hos patienter med nedsat nyrefunktion (se pkt. 5.2). Der savnes dog klinisk erfaring hos patienter med prostatacancer og svært nedsat nyrefunktion. Forsigtighed tilrådes hos disse patienter (se pkt. 4.4).</w:t>
      </w:r>
    </w:p>
    <w:p>
      <w:pPr>
        <w:pStyle w:val="BodyText"/>
        <w:tabs>
          <w:tab w:val="left" w:pos="8505"/>
        </w:tabs>
        <w:rPr>
          <w:lang w:val="da-DK"/>
        </w:rPr>
      </w:pPr>
    </w:p>
    <w:p>
      <w:pPr>
        <w:widowControl w:val="0"/>
        <w:tabs>
          <w:tab w:val="left" w:pos="8505"/>
        </w:tabs>
        <w:rPr>
          <w:i/>
          <w:sz w:val="22"/>
          <w:szCs w:val="22"/>
          <w:lang w:val="da-DK"/>
        </w:rPr>
      </w:pPr>
      <w:r>
        <w:rPr>
          <w:i/>
          <w:sz w:val="22"/>
          <w:szCs w:val="22"/>
          <w:lang w:val="da-DK"/>
        </w:rPr>
        <w:t>Nedsat</w:t>
      </w:r>
      <w:r>
        <w:rPr>
          <w:i/>
          <w:spacing w:val="-4"/>
          <w:sz w:val="22"/>
          <w:szCs w:val="22"/>
          <w:lang w:val="da-DK"/>
        </w:rPr>
        <w:t xml:space="preserve"> </w:t>
      </w:r>
      <w:r>
        <w:rPr>
          <w:i/>
          <w:sz w:val="22"/>
          <w:szCs w:val="22"/>
          <w:lang w:val="da-DK"/>
        </w:rPr>
        <w:t>leverfunktion</w:t>
      </w:r>
    </w:p>
    <w:p>
      <w:pPr>
        <w:pStyle w:val="BodyText"/>
        <w:tabs>
          <w:tab w:val="left" w:pos="8505"/>
        </w:tabs>
        <w:rPr>
          <w:lang w:val="da-DK"/>
        </w:rPr>
      </w:pPr>
      <w:r>
        <w:rPr>
          <w:lang w:val="da-DK"/>
        </w:rPr>
        <w:t>Det er ikke nødvendigt at justere dosis hos patienter med eksisterende let nedsat leverfunktion,</w:t>
      </w:r>
      <w:r>
        <w:rPr>
          <w:spacing w:val="-52"/>
          <w:lang w:val="da-DK"/>
        </w:rPr>
        <w:t xml:space="preserve"> </w:t>
      </w:r>
      <w:r>
        <w:rPr>
          <w:lang w:val="da-DK"/>
        </w:rPr>
        <w:t>Child-Pugh-klasse</w:t>
      </w:r>
      <w:r>
        <w:rPr>
          <w:spacing w:val="-1"/>
          <w:lang w:val="da-DK"/>
        </w:rPr>
        <w:t xml:space="preserve"> </w:t>
      </w:r>
      <w:r>
        <w:rPr>
          <w:lang w:val="da-DK"/>
        </w:rPr>
        <w:t>A.</w:t>
      </w:r>
    </w:p>
    <w:p>
      <w:pPr>
        <w:pStyle w:val="BodyText"/>
        <w:tabs>
          <w:tab w:val="left" w:pos="8505"/>
        </w:tabs>
        <w:rPr>
          <w:lang w:val="da-DK"/>
        </w:rPr>
      </w:pPr>
    </w:p>
    <w:p>
      <w:pPr>
        <w:pStyle w:val="BodyText"/>
        <w:tabs>
          <w:tab w:val="left" w:pos="8505"/>
        </w:tabs>
        <w:rPr>
          <w:lang w:val="da-DK"/>
        </w:rPr>
      </w:pPr>
      <w:r>
        <w:rPr>
          <w:lang w:val="da-DK"/>
        </w:rPr>
        <w:t>Moderat nedsat leverfunktion (Child-Pugh-klasse B) har vist sig at øge den systemiske eksponering</w:t>
      </w:r>
      <w:r>
        <w:rPr>
          <w:spacing w:val="1"/>
          <w:lang w:val="da-DK"/>
        </w:rPr>
        <w:t xml:space="preserve"> </w:t>
      </w:r>
      <w:r>
        <w:rPr>
          <w:lang w:val="da-DK"/>
        </w:rPr>
        <w:t>for abirateron med ca. faktor 4 efter enkeltdoser abirateronacetat på 1.000 mg per oral dosis (se pkt. 5.2). Der foreligger ingen data om klinisk sikkerhed og virkning af gentagne doser abirateronacetat efter</w:t>
      </w:r>
      <w:r>
        <w:rPr>
          <w:spacing w:val="1"/>
          <w:lang w:val="da-DK"/>
        </w:rPr>
        <w:t xml:space="preserve"> </w:t>
      </w:r>
      <w:r>
        <w:rPr>
          <w:lang w:val="da-DK"/>
        </w:rPr>
        <w:t>administration hos patienter med moderat eller svært nedsat leverfunktion (Child-Pugh-klasse B eller</w:t>
      </w:r>
      <w:r>
        <w:rPr>
          <w:spacing w:val="1"/>
          <w:lang w:val="da-DK"/>
        </w:rPr>
        <w:t xml:space="preserve"> </w:t>
      </w:r>
      <w:r>
        <w:rPr>
          <w:lang w:val="da-DK"/>
        </w:rPr>
        <w:t xml:space="preserve">C). Behovet for dosisjustering kan ikke forudses. Behandling med </w:t>
      </w:r>
      <w:r>
        <w:rPr>
          <w:noProof/>
          <w:lang w:val="da-DK"/>
        </w:rPr>
        <w:t>Abiraterone Krka</w:t>
      </w:r>
      <w:r>
        <w:rPr>
          <w:lang w:val="da-DK"/>
        </w:rPr>
        <w:t xml:space="preserve"> bør overvejes nøje hos</w:t>
      </w:r>
      <w:r>
        <w:rPr>
          <w:spacing w:val="1"/>
          <w:lang w:val="da-DK"/>
        </w:rPr>
        <w:t xml:space="preserve"> </w:t>
      </w:r>
      <w:r>
        <w:rPr>
          <w:lang w:val="da-DK"/>
        </w:rPr>
        <w:t>patienter med moderat nedsat leverfunktion, og fordelene bør klart overstige risikoen hos disse</w:t>
      </w:r>
      <w:r>
        <w:rPr>
          <w:spacing w:val="1"/>
          <w:lang w:val="da-DK"/>
        </w:rPr>
        <w:t xml:space="preserve"> </w:t>
      </w:r>
      <w:r>
        <w:rPr>
          <w:lang w:val="da-DK"/>
        </w:rPr>
        <w:t xml:space="preserve">patienter (se pkt. 4.2 og 5.2). </w:t>
      </w:r>
      <w:r>
        <w:rPr>
          <w:noProof/>
          <w:lang w:val="da-DK"/>
        </w:rPr>
        <w:t>Abiraterone Krka</w:t>
      </w:r>
      <w:r>
        <w:rPr>
          <w:lang w:val="da-DK"/>
        </w:rPr>
        <w:t xml:space="preserve"> bør ikke anvendes til patienter med svært nedsat leverfunktion</w:t>
      </w:r>
      <w:r>
        <w:rPr>
          <w:spacing w:val="-52"/>
          <w:lang w:val="da-DK"/>
        </w:rPr>
        <w:t xml:space="preserve"> </w:t>
      </w:r>
      <w:r>
        <w:rPr>
          <w:lang w:val="da-DK"/>
        </w:rPr>
        <w:t>(se</w:t>
      </w:r>
      <w:r>
        <w:rPr>
          <w:spacing w:val="-2"/>
          <w:lang w:val="da-DK"/>
        </w:rPr>
        <w:t xml:space="preserve"> </w:t>
      </w:r>
      <w:r>
        <w:rPr>
          <w:lang w:val="da-DK"/>
        </w:rPr>
        <w:t>pkt. 4.3,</w:t>
      </w:r>
      <w:r>
        <w:rPr>
          <w:spacing w:val="-1"/>
          <w:lang w:val="da-DK"/>
        </w:rPr>
        <w:t xml:space="preserve"> </w:t>
      </w:r>
      <w:r>
        <w:rPr>
          <w:lang w:val="da-DK"/>
        </w:rPr>
        <w:t>4.4</w:t>
      </w:r>
      <w:r>
        <w:rPr>
          <w:spacing w:val="-1"/>
          <w:lang w:val="da-DK"/>
        </w:rPr>
        <w:t xml:space="preserve"> </w:t>
      </w:r>
      <w:r>
        <w:rPr>
          <w:lang w:val="da-DK"/>
        </w:rPr>
        <w:t>og</w:t>
      </w:r>
      <w:r>
        <w:rPr>
          <w:spacing w:val="-1"/>
          <w:lang w:val="da-DK"/>
        </w:rPr>
        <w:t xml:space="preserve"> </w:t>
      </w:r>
      <w:r>
        <w:rPr>
          <w:lang w:val="da-DK"/>
        </w:rPr>
        <w:t>5.2).</w:t>
      </w:r>
    </w:p>
    <w:p>
      <w:pPr>
        <w:pStyle w:val="BodyText"/>
        <w:tabs>
          <w:tab w:val="left" w:pos="8505"/>
        </w:tabs>
        <w:rPr>
          <w:lang w:val="da-DK"/>
        </w:rPr>
      </w:pPr>
    </w:p>
    <w:p>
      <w:pPr>
        <w:widowControl w:val="0"/>
        <w:tabs>
          <w:tab w:val="left" w:pos="8505"/>
        </w:tabs>
        <w:rPr>
          <w:i/>
          <w:sz w:val="22"/>
          <w:szCs w:val="22"/>
          <w:lang w:val="da-DK"/>
        </w:rPr>
      </w:pPr>
      <w:r>
        <w:rPr>
          <w:i/>
          <w:sz w:val="22"/>
          <w:szCs w:val="22"/>
          <w:lang w:val="da-DK"/>
        </w:rPr>
        <w:t>Pædiatrisk</w:t>
      </w:r>
      <w:r>
        <w:rPr>
          <w:i/>
          <w:spacing w:val="-4"/>
          <w:sz w:val="22"/>
          <w:szCs w:val="22"/>
          <w:lang w:val="da-DK"/>
        </w:rPr>
        <w:t xml:space="preserve"> </w:t>
      </w:r>
      <w:r>
        <w:rPr>
          <w:i/>
          <w:sz w:val="22"/>
          <w:szCs w:val="22"/>
          <w:lang w:val="da-DK"/>
        </w:rPr>
        <w:t>population</w:t>
      </w:r>
    </w:p>
    <w:p>
      <w:pPr>
        <w:pStyle w:val="BodyText"/>
        <w:tabs>
          <w:tab w:val="left" w:pos="8505"/>
        </w:tabs>
        <w:rPr>
          <w:lang w:val="da-DK"/>
        </w:rPr>
      </w:pPr>
      <w:r>
        <w:rPr>
          <w:lang w:val="da-DK"/>
        </w:rPr>
        <w:t>Det</w:t>
      </w:r>
      <w:r>
        <w:rPr>
          <w:spacing w:val="-4"/>
          <w:lang w:val="da-DK"/>
        </w:rPr>
        <w:t xml:space="preserve"> </w:t>
      </w:r>
      <w:r>
        <w:rPr>
          <w:lang w:val="da-DK"/>
        </w:rPr>
        <w:t>er</w:t>
      </w:r>
      <w:r>
        <w:rPr>
          <w:spacing w:val="-3"/>
          <w:lang w:val="da-DK"/>
        </w:rPr>
        <w:t xml:space="preserve"> </w:t>
      </w:r>
      <w:r>
        <w:rPr>
          <w:lang w:val="da-DK"/>
        </w:rPr>
        <w:t>ikke</w:t>
      </w:r>
      <w:r>
        <w:rPr>
          <w:spacing w:val="-2"/>
          <w:lang w:val="da-DK"/>
        </w:rPr>
        <w:t xml:space="preserve"> </w:t>
      </w:r>
      <w:r>
        <w:rPr>
          <w:lang w:val="da-DK"/>
        </w:rPr>
        <w:t>relevant</w:t>
      </w:r>
      <w:r>
        <w:rPr>
          <w:spacing w:val="-2"/>
          <w:lang w:val="da-DK"/>
        </w:rPr>
        <w:t xml:space="preserve"> </w:t>
      </w:r>
      <w:r>
        <w:rPr>
          <w:lang w:val="da-DK"/>
        </w:rPr>
        <w:t>at</w:t>
      </w:r>
      <w:r>
        <w:rPr>
          <w:spacing w:val="-3"/>
          <w:lang w:val="da-DK"/>
        </w:rPr>
        <w:t xml:space="preserve"> </w:t>
      </w:r>
      <w:r>
        <w:rPr>
          <w:lang w:val="da-DK"/>
        </w:rPr>
        <w:t>anvende</w:t>
      </w:r>
      <w:r>
        <w:rPr>
          <w:spacing w:val="-2"/>
          <w:lang w:val="da-DK"/>
        </w:rPr>
        <w:t xml:space="preserve"> </w:t>
      </w:r>
      <w:bookmarkStart w:id="2" w:name="_Hlk69138960"/>
      <w:r>
        <w:rPr>
          <w:noProof/>
          <w:lang w:val="da-DK"/>
        </w:rPr>
        <w:t>Abiraterone Krka</w:t>
      </w:r>
      <w:r>
        <w:rPr>
          <w:lang w:val="da-DK"/>
        </w:rPr>
        <w:t xml:space="preserve"> </w:t>
      </w:r>
      <w:bookmarkEnd w:id="2"/>
      <w:r>
        <w:rPr>
          <w:lang w:val="da-DK"/>
        </w:rPr>
        <w:t>hos</w:t>
      </w:r>
      <w:r>
        <w:rPr>
          <w:spacing w:val="-2"/>
          <w:lang w:val="da-DK"/>
        </w:rPr>
        <w:t xml:space="preserve"> </w:t>
      </w:r>
      <w:r>
        <w:rPr>
          <w:lang w:val="da-DK"/>
        </w:rPr>
        <w:t>den</w:t>
      </w:r>
      <w:r>
        <w:rPr>
          <w:spacing w:val="-4"/>
          <w:lang w:val="da-DK"/>
        </w:rPr>
        <w:t xml:space="preserve"> </w:t>
      </w:r>
      <w:r>
        <w:rPr>
          <w:lang w:val="da-DK"/>
        </w:rPr>
        <w:t>pædiatriske</w:t>
      </w:r>
      <w:r>
        <w:rPr>
          <w:spacing w:val="-3"/>
          <w:lang w:val="da-DK"/>
        </w:rPr>
        <w:t xml:space="preserve"> </w:t>
      </w:r>
      <w:r>
        <w:rPr>
          <w:lang w:val="da-DK"/>
        </w:rPr>
        <w:t>population.</w:t>
      </w:r>
    </w:p>
    <w:p>
      <w:pPr>
        <w:pStyle w:val="BodyText"/>
        <w:tabs>
          <w:tab w:val="left" w:pos="8505"/>
        </w:tabs>
        <w:rPr>
          <w:lang w:val="da-DK"/>
        </w:rPr>
      </w:pPr>
    </w:p>
    <w:p>
      <w:pPr>
        <w:pStyle w:val="BodyText"/>
        <w:tabs>
          <w:tab w:val="left" w:pos="8505"/>
        </w:tabs>
        <w:rPr>
          <w:lang w:val="da-DK"/>
        </w:rPr>
      </w:pPr>
      <w:r>
        <w:rPr>
          <w:u w:val="single"/>
          <w:lang w:val="da-DK"/>
        </w:rPr>
        <w:t>Administration</w:t>
      </w:r>
    </w:p>
    <w:p>
      <w:pPr>
        <w:pStyle w:val="BodyText"/>
        <w:tabs>
          <w:tab w:val="left" w:pos="8505"/>
        </w:tabs>
        <w:rPr>
          <w:lang w:val="da-DK"/>
        </w:rPr>
      </w:pPr>
      <w:r>
        <w:rPr>
          <w:lang w:val="da-DK"/>
        </w:rPr>
        <w:t>Abiraterone Krka er</w:t>
      </w:r>
      <w:r>
        <w:rPr>
          <w:spacing w:val="-2"/>
          <w:lang w:val="da-DK"/>
        </w:rPr>
        <w:t xml:space="preserve"> </w:t>
      </w:r>
      <w:r>
        <w:rPr>
          <w:lang w:val="da-DK"/>
        </w:rPr>
        <w:t>til</w:t>
      </w:r>
      <w:r>
        <w:rPr>
          <w:spacing w:val="-2"/>
          <w:lang w:val="da-DK"/>
        </w:rPr>
        <w:t xml:space="preserve"> </w:t>
      </w:r>
      <w:r>
        <w:rPr>
          <w:lang w:val="da-DK"/>
        </w:rPr>
        <w:t>oral</w:t>
      </w:r>
      <w:r>
        <w:rPr>
          <w:spacing w:val="-2"/>
          <w:lang w:val="da-DK"/>
        </w:rPr>
        <w:t xml:space="preserve"> </w:t>
      </w:r>
      <w:r>
        <w:rPr>
          <w:lang w:val="da-DK"/>
        </w:rPr>
        <w:t>anvendelse.</w:t>
      </w:r>
    </w:p>
    <w:p>
      <w:pPr>
        <w:widowControl w:val="0"/>
        <w:rPr>
          <w:sz w:val="22"/>
          <w:szCs w:val="22"/>
          <w:lang w:val="da-DK"/>
        </w:rPr>
      </w:pPr>
      <w:r>
        <w:rPr>
          <w:sz w:val="22"/>
          <w:szCs w:val="22"/>
          <w:lang w:val="da-DK"/>
        </w:rPr>
        <w:t>Tabletterne skal tages som en enkeltdosis én gang dagligt på tom mave. Abiraterone Krka skal tages mindst to timer efter et måltid, og mad må ikke indtages før mindst én time efter at have taget Abiraterone Krka.</w:t>
      </w:r>
    </w:p>
    <w:p>
      <w:pPr>
        <w:widowControl w:val="0"/>
        <w:rPr>
          <w:sz w:val="22"/>
          <w:szCs w:val="22"/>
          <w:lang w:val="da-DK"/>
        </w:rPr>
      </w:pPr>
      <w:r>
        <w:rPr>
          <w:sz w:val="22"/>
          <w:szCs w:val="22"/>
          <w:lang w:val="da-DK"/>
        </w:rPr>
        <w:t>Abiraterone Krka tabletter skal synkes hele med vand.</w:t>
      </w:r>
    </w:p>
    <w:p>
      <w:pPr>
        <w:widowControl w:val="0"/>
        <w:rPr>
          <w:sz w:val="22"/>
          <w:szCs w:val="22"/>
          <w:lang w:val="da-DK"/>
        </w:rPr>
      </w:pPr>
    </w:p>
    <w:p>
      <w:pPr>
        <w:pStyle w:val="Heading1"/>
      </w:pPr>
      <w:r>
        <w:t>4.3</w:t>
      </w:r>
      <w:r>
        <w:tab/>
        <w:t>Kontraindikationer</w:t>
      </w:r>
    </w:p>
    <w:p>
      <w:pPr>
        <w:widowControl w:val="0"/>
        <w:rPr>
          <w:sz w:val="22"/>
          <w:szCs w:val="22"/>
          <w:lang w:val="da-DK"/>
        </w:rPr>
      </w:pPr>
    </w:p>
    <w:p>
      <w:pPr>
        <w:pStyle w:val="ListParagraph"/>
        <w:widowControl w:val="0"/>
        <w:numPr>
          <w:ilvl w:val="0"/>
          <w:numId w:val="8"/>
        </w:numPr>
        <w:ind w:left="567" w:hanging="567"/>
        <w:contextualSpacing w:val="0"/>
        <w:rPr>
          <w:sz w:val="22"/>
          <w:szCs w:val="22"/>
          <w:lang w:val="da-DK"/>
        </w:rPr>
      </w:pPr>
      <w:r>
        <w:rPr>
          <w:sz w:val="22"/>
          <w:szCs w:val="22"/>
          <w:lang w:val="da-DK"/>
        </w:rPr>
        <w:t xml:space="preserve">Overfølsomhed over for det aktive stof eller over for et eller flere af hjælpestofferne anført i pkt. </w:t>
      </w:r>
      <w:r>
        <w:rPr>
          <w:sz w:val="22"/>
          <w:szCs w:val="22"/>
          <w:lang w:val="da-DK"/>
        </w:rPr>
        <w:lastRenderedPageBreak/>
        <w:t>6.1.</w:t>
      </w:r>
    </w:p>
    <w:p>
      <w:pPr>
        <w:pStyle w:val="ListParagraph"/>
        <w:widowControl w:val="0"/>
        <w:numPr>
          <w:ilvl w:val="0"/>
          <w:numId w:val="8"/>
        </w:numPr>
        <w:ind w:left="567" w:hanging="567"/>
        <w:contextualSpacing w:val="0"/>
        <w:rPr>
          <w:sz w:val="22"/>
          <w:szCs w:val="22"/>
          <w:lang w:val="da-DK"/>
        </w:rPr>
      </w:pPr>
      <w:r>
        <w:rPr>
          <w:sz w:val="22"/>
          <w:szCs w:val="22"/>
          <w:lang w:val="da-DK"/>
        </w:rPr>
        <w:t>Kvinder, som er eller kan være gravide (se pkt. 4.6).</w:t>
      </w:r>
    </w:p>
    <w:p>
      <w:pPr>
        <w:pStyle w:val="ListParagraph"/>
        <w:widowControl w:val="0"/>
        <w:numPr>
          <w:ilvl w:val="0"/>
          <w:numId w:val="8"/>
        </w:numPr>
        <w:ind w:left="567" w:hanging="567"/>
        <w:contextualSpacing w:val="0"/>
        <w:rPr>
          <w:sz w:val="22"/>
          <w:szCs w:val="22"/>
          <w:lang w:val="da-DK"/>
        </w:rPr>
      </w:pPr>
      <w:r>
        <w:rPr>
          <w:sz w:val="22"/>
          <w:szCs w:val="22"/>
          <w:lang w:val="da-DK"/>
        </w:rPr>
        <w:t>Svært nedsat leverfunktion [Child-Pugh-klasse C (se pkt. 4.2, 4.4 og 5.2)].</w:t>
      </w:r>
    </w:p>
    <w:p>
      <w:pPr>
        <w:pStyle w:val="ListParagraph"/>
        <w:widowControl w:val="0"/>
        <w:numPr>
          <w:ilvl w:val="0"/>
          <w:numId w:val="8"/>
        </w:numPr>
        <w:ind w:left="567" w:hanging="567"/>
        <w:contextualSpacing w:val="0"/>
        <w:rPr>
          <w:sz w:val="22"/>
          <w:szCs w:val="22"/>
          <w:lang w:val="da-DK"/>
        </w:rPr>
      </w:pPr>
      <w:r>
        <w:rPr>
          <w:sz w:val="22"/>
          <w:szCs w:val="22"/>
          <w:lang w:val="da-DK"/>
        </w:rPr>
        <w:t>Abiraterone Krka med prednison eller prednisolon er kontraindiceret i kombination med Ra-223.</w:t>
      </w:r>
    </w:p>
    <w:p>
      <w:pPr>
        <w:widowControl w:val="0"/>
        <w:rPr>
          <w:sz w:val="22"/>
          <w:szCs w:val="22"/>
          <w:lang w:val="da-DK"/>
        </w:rPr>
      </w:pPr>
    </w:p>
    <w:p>
      <w:pPr>
        <w:pStyle w:val="Heading1"/>
      </w:pPr>
      <w:r>
        <w:t>4.4</w:t>
      </w:r>
      <w:r>
        <w:tab/>
        <w:t>Særlige advarsler og forsigtighedsregler vedrørende brugen</w:t>
      </w:r>
    </w:p>
    <w:p>
      <w:pPr>
        <w:widowControl w:val="0"/>
        <w:rPr>
          <w:sz w:val="22"/>
          <w:szCs w:val="22"/>
          <w:lang w:val="da-DK"/>
        </w:rPr>
      </w:pPr>
    </w:p>
    <w:p>
      <w:pPr>
        <w:widowControl w:val="0"/>
        <w:tabs>
          <w:tab w:val="left" w:pos="9071"/>
        </w:tabs>
        <w:rPr>
          <w:sz w:val="22"/>
          <w:szCs w:val="22"/>
          <w:u w:val="single"/>
          <w:lang w:val="da-DK"/>
        </w:rPr>
      </w:pPr>
      <w:r>
        <w:rPr>
          <w:sz w:val="22"/>
          <w:szCs w:val="22"/>
          <w:u w:val="single"/>
          <w:lang w:val="da-DK"/>
        </w:rPr>
        <w:t>Hypertension, hypokaliæmi, væskeretention og hjerteinsufficiens på grund af for store mængder mineralokortikoider</w:t>
      </w:r>
    </w:p>
    <w:p>
      <w:pPr>
        <w:widowControl w:val="0"/>
        <w:tabs>
          <w:tab w:val="left" w:pos="9071"/>
        </w:tabs>
        <w:rPr>
          <w:sz w:val="22"/>
          <w:szCs w:val="22"/>
          <w:lang w:val="da-DK"/>
        </w:rPr>
      </w:pPr>
      <w:bookmarkStart w:id="3" w:name="_Hlk69129648"/>
      <w:r>
        <w:rPr>
          <w:sz w:val="22"/>
          <w:szCs w:val="22"/>
          <w:lang w:val="da-DK"/>
        </w:rPr>
        <w:t xml:space="preserve">Abiraterone Krka </w:t>
      </w:r>
      <w:bookmarkEnd w:id="3"/>
      <w:r>
        <w:rPr>
          <w:sz w:val="22"/>
          <w:szCs w:val="22"/>
          <w:lang w:val="da-DK"/>
        </w:rPr>
        <w:t>kan forårsage hypertension, hypokaliæmi og væskeretention (se pkt. 4.8) som følge af de forhøjede mineralokortikoidniveauer forårsaget af CYP17-hæmning (se pkt. 5.1). Samtidig indgift af et kortikosteroid, hæmmer virkningen af det adrenokortikotrope hormon (ACTH), hvilket fører til en reduktion af forekomsten og sværhedsgraden af disse bivirkninger. Der skal udvises forsigtighed ved behandling af patienter, hvis tilgrundliggende medicinske tilstande kan kompromitteres af blodtryksstigning, hypokaliæmi (f.eks. patienter, der får hjerteglykosider) eller væskeretention (f.eks. patienter med hjerteinsufficiens samt hos patienter med svær eller ustabil angina pectoris, nylig hjerteinfarkt eller ventrikulær arytmi eller med svært nedsat nyrefunktion).</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 xml:space="preserve">Abiraterone Krka bør anvendes med forsigtighed til patienter med en anamnese med kardiovaskulær sygdom. Fase 3-studier udført med </w:t>
      </w:r>
      <w:r>
        <w:rPr>
          <w:noProof/>
          <w:sz w:val="22"/>
          <w:szCs w:val="22"/>
        </w:rPr>
        <w:t>abirateronacetat</w:t>
      </w:r>
      <w:r>
        <w:rPr>
          <w:noProof/>
          <w:szCs w:val="22"/>
        </w:rPr>
        <w:t xml:space="preserve"> </w:t>
      </w:r>
      <w:r>
        <w:rPr>
          <w:sz w:val="22"/>
          <w:szCs w:val="22"/>
          <w:lang w:val="da-DK"/>
        </w:rPr>
        <w:t>udelukkede patienter med ukontrolleret hypertension, klinisk signifikant hjertesygdom udtrykt som myokardieinfarkt, arterielle trombotiske hændelser i de seneste 6 måneder, svær eller ustabil angina pectoris, hjerteinsufficiens af New York Heart Association (NYHA-) klasse III eller IV (studie 301) eller klasse II til IV hjerteinsufficiens (studie 3011 og 302) eller uddrivningsfraktion &lt; 50 %. Patienter med atrieflimren eller anden hjertearytmi, der kræver medicinsk behandling, blev ekskluderet fra studie 3011 og 302. Abiraterone Krkas sikkerhed hos patienter med venstre ventrikels uddrivningsfraktion (LVEF) &lt; 50 % eller hjerteinsufficiens af NYHA-klasse III eller IV hjerteinsufficiens (i studie 301) eller NYHA-klasse II til IV hjerteinsufficiens (i studie 3011 og 302) er ikke klarlagt (se pkt. 4.8 og 5.1).</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Før behandling af patienter med betydelig risiko for kongestiv hjerteinsufficiens (f.eks. anamnese med hjerteinsufficiens, ukontrolleret hypertension eller hjertetilfælde såsom iskæmisk hjertesygdom) bør det overvejes at evaluere hjertefunktionen (f.eks. med ekkokardiogram). Før behandling med Abiraterone Krka bør hjerteinsufficiens behandles og hjertefunktionen optimeres. Hypertension, hypokaliæmi og væskeretention bør korrigeres og kontrolleres. Under behandlingen bør blodtryk, serumkalium, væskeretention (vægtstigning, perifere ødemer) og andre symptomer på kongestiv hjerteinsufficiens kontrolleres hver anden uge i tre måneder og derefter månedligt, og uregelmæssigheder skal korrigeres. QT-forlængelse er blevet observeret hos patienter, der udvikler hypokaliæmi i forbindelse med abirateron-behandling. Hjertefunktionen skal vurderes i henhold til det kliniske behov og passende behandling iværksættes. I tilfælde af et klinisk signifikant fald i hjertefunktionen bør det overvejes at seponere Abiraterone Krka (se pkt. 4.2).</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Levertoksicitet og nedsat leverfunktion</w:t>
      </w:r>
    </w:p>
    <w:p>
      <w:pPr>
        <w:widowControl w:val="0"/>
        <w:tabs>
          <w:tab w:val="left" w:pos="9071"/>
        </w:tabs>
        <w:rPr>
          <w:sz w:val="22"/>
          <w:szCs w:val="22"/>
          <w:lang w:val="da-DK"/>
        </w:rPr>
      </w:pPr>
      <w:r>
        <w:rPr>
          <w:sz w:val="22"/>
          <w:szCs w:val="22"/>
          <w:lang w:val="da-DK"/>
        </w:rPr>
        <w:t xml:space="preserve">I kontrollerede kliniske studier sås markante stigninger i leverenzymer, hvilket førte til seponering af behandlingen eller dosismodifikation (se pkt. 4.8). Aminotransferaser bør måles før indledning af behandlingen, hver anden uge i de første tre måneder af behandlingen og en gang om måneden derefter. I tilfælde af kliniske symptomer, der indikerer udviklingen af hepatotoksicitet, skal der straks udføres kontrol af aminotransferaser. Hvis ALAT eller ASAT på noget tidspunkt stiger til &gt; 5 × ULN, skal behandlingen Abiraterone Krka straks seponeres, og leverfunktionen skal overvåges nøje. Behandlingen må først genoptages, når leverfunktionsprøverne er vendt tilbage til patientens </w:t>
      </w:r>
      <w:r>
        <w:rPr>
          <w:i/>
          <w:iCs/>
          <w:sz w:val="22"/>
          <w:szCs w:val="22"/>
          <w:lang w:val="da-DK"/>
        </w:rPr>
        <w:t>baseline-</w:t>
      </w:r>
      <w:r>
        <w:rPr>
          <w:sz w:val="22"/>
          <w:szCs w:val="22"/>
          <w:lang w:val="da-DK"/>
        </w:rPr>
        <w:t>værdier, og kun med et reduceret dosisniveau (se pkt. 4.2).</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Hvis patienten på noget tidspunkt under behandlingen udvikler alvorlig hepatotoksicitet (ALAT eller ASAT 20 × ULN), bør behandlingen seponeres og ikke genoptages senere.</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 xml:space="preserve">Patienter med aktiv eller symptomatisk viral hepatitis var ekskluderet fra kliniske studier, og der </w:t>
      </w:r>
      <w:r>
        <w:rPr>
          <w:sz w:val="22"/>
          <w:szCs w:val="22"/>
          <w:lang w:val="da-DK"/>
        </w:rPr>
        <w:lastRenderedPageBreak/>
        <w:t>foreligger således ingen data, der understøtter brug af Abiraterone Krka hos denne population.</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Der foreligger ingen data om klinisk sikkerhed og virkning af gentagne doser abirateronacetat hos patienter med moderat eller svært nedsat leverfunktion (Child-Pugh-klasse B eller C). Behandling med Abiraterone Krka bør overvejes nøje hos patienter med moderat nedsat leverfunktion, og fordelene bør klart overstige risikoen hos disse patienter (se pkt. 4.2 og 5.2). Abiraterone Krka bør ikke anvendes til patienter med svært nedsat leverfunktion (se pkt. 4.2, 4.3 og 5.2).</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Der har været rapporteret om sjældne tilfælde af akut leversvigt og fulminant hepatitis efter markedsføringen, hvoraf nogle havde dødelig udgang (se pkt. 4.8).</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Seponering af kortikosteroider og håndtering af stressende situationer</w:t>
      </w:r>
    </w:p>
    <w:p>
      <w:pPr>
        <w:widowControl w:val="0"/>
        <w:tabs>
          <w:tab w:val="left" w:pos="9071"/>
        </w:tabs>
        <w:rPr>
          <w:sz w:val="22"/>
          <w:szCs w:val="22"/>
          <w:lang w:val="da-DK"/>
        </w:rPr>
      </w:pPr>
      <w:r>
        <w:rPr>
          <w:sz w:val="22"/>
          <w:szCs w:val="22"/>
          <w:lang w:val="da-DK"/>
        </w:rPr>
        <w:t>Forsigtighed tilrådes, og patienterne bør overvåges for adrenokortikal insufficiens, hvis de får stoppet behandling med prednison eller prednisolon. Hvis Abiraterone Krka fortsættes efter kortikosteroidbehandlingen er stoppet, bør patienterne overvåges for symptomer på en forhøjet mængde mineralokortikoider (se ovenfor).</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Hos patienter, der får prednison eller prednisolon, og som er udsat for usædvanligt stress, kan der opstå behov for en øget dosis kortikosteroider før, under og efter den stressende situation.</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Knoglemineraltæthed</w:t>
      </w:r>
    </w:p>
    <w:p>
      <w:pPr>
        <w:widowControl w:val="0"/>
        <w:tabs>
          <w:tab w:val="left" w:pos="9071"/>
        </w:tabs>
        <w:rPr>
          <w:sz w:val="22"/>
          <w:szCs w:val="22"/>
          <w:lang w:val="da-DK"/>
        </w:rPr>
      </w:pPr>
      <w:r>
        <w:rPr>
          <w:sz w:val="22"/>
          <w:szCs w:val="22"/>
          <w:lang w:val="da-DK"/>
        </w:rPr>
        <w:t>Der kan forekomme nedsat knoglemineraltæthed hos mænd med metastaserende avanceret prostatacancer. Anvendelse af Abiraterone Krka i kombination med et glukokortikoid kan muligvis øge denne virkning.</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Tidligere anvendelse af ketoconazol</w:t>
      </w:r>
    </w:p>
    <w:p>
      <w:pPr>
        <w:widowControl w:val="0"/>
        <w:tabs>
          <w:tab w:val="left" w:pos="9071"/>
        </w:tabs>
        <w:rPr>
          <w:sz w:val="22"/>
          <w:szCs w:val="22"/>
          <w:lang w:val="da-DK"/>
        </w:rPr>
      </w:pPr>
      <w:r>
        <w:rPr>
          <w:sz w:val="22"/>
          <w:szCs w:val="22"/>
          <w:lang w:val="da-DK"/>
        </w:rPr>
        <w:t>Der kan måske forventes lavere responsrater hos patienter, der tidligere er blevet behandlet med ketoconazol for prostatacancer.</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Hyperglykæmi</w:t>
      </w:r>
    </w:p>
    <w:p>
      <w:pPr>
        <w:widowControl w:val="0"/>
        <w:tabs>
          <w:tab w:val="left" w:pos="9071"/>
        </w:tabs>
        <w:rPr>
          <w:sz w:val="22"/>
          <w:szCs w:val="22"/>
          <w:lang w:val="da-DK"/>
        </w:rPr>
      </w:pPr>
      <w:r>
        <w:rPr>
          <w:sz w:val="22"/>
          <w:szCs w:val="22"/>
          <w:lang w:val="da-DK"/>
        </w:rPr>
        <w:t>Anvendelse af glukokortikoider kan forårsage hyperglykæmi, og blodglucose bør måles hyppigt hos patienter med diabetes.</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Hypoglykæmi</w:t>
      </w:r>
    </w:p>
    <w:p>
      <w:pPr>
        <w:widowControl w:val="0"/>
        <w:tabs>
          <w:tab w:val="left" w:pos="9071"/>
        </w:tabs>
        <w:rPr>
          <w:sz w:val="22"/>
          <w:szCs w:val="22"/>
          <w:lang w:val="da-DK"/>
        </w:rPr>
      </w:pPr>
      <w:r>
        <w:rPr>
          <w:sz w:val="22"/>
          <w:szCs w:val="22"/>
          <w:lang w:val="da-DK"/>
        </w:rPr>
        <w:t>Der er rapporteret tilfælde af hypoglykæmi ved administration af abirateronacetat plus prednison/prednisolon til patienter med præeksisterende diabetes, som fik pioglitazon eller repaglinid (se pkt. 4.5). Derfor bør blodglucose overvåges hos patienter med diabetes.</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Anvendelse sammen med kemoterapi</w:t>
      </w:r>
    </w:p>
    <w:p>
      <w:pPr>
        <w:widowControl w:val="0"/>
        <w:tabs>
          <w:tab w:val="left" w:pos="9071"/>
        </w:tabs>
        <w:rPr>
          <w:sz w:val="22"/>
          <w:szCs w:val="22"/>
          <w:lang w:val="da-DK"/>
        </w:rPr>
      </w:pPr>
      <w:r>
        <w:rPr>
          <w:sz w:val="22"/>
          <w:szCs w:val="22"/>
          <w:lang w:val="da-DK"/>
        </w:rPr>
        <w:t>Abirateronacetats sikkerhed og virkning ved anvendelse sammen med cytotoksisk kemoterapi er ikke klarlagt (se pkt. 5.1).</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Potentielle risici</w:t>
      </w:r>
    </w:p>
    <w:p>
      <w:pPr>
        <w:widowControl w:val="0"/>
        <w:tabs>
          <w:tab w:val="left" w:pos="9071"/>
        </w:tabs>
        <w:rPr>
          <w:sz w:val="22"/>
          <w:szCs w:val="22"/>
          <w:lang w:val="da-DK"/>
        </w:rPr>
      </w:pPr>
      <w:r>
        <w:rPr>
          <w:sz w:val="22"/>
          <w:szCs w:val="22"/>
          <w:lang w:val="da-DK"/>
        </w:rPr>
        <w:t>Der kan opstå anæmi og seksuel dysfunktion hos mænd med metastaserende prostatacancer - også hos mænd i behandling med Abiraterone Krka.</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Påvirkning af skeletmuskulatur</w:t>
      </w:r>
    </w:p>
    <w:p>
      <w:pPr>
        <w:widowControl w:val="0"/>
        <w:tabs>
          <w:tab w:val="left" w:pos="9071"/>
        </w:tabs>
        <w:rPr>
          <w:sz w:val="22"/>
          <w:szCs w:val="22"/>
          <w:lang w:val="da-DK"/>
        </w:rPr>
      </w:pPr>
      <w:r>
        <w:rPr>
          <w:sz w:val="22"/>
          <w:szCs w:val="22"/>
          <w:lang w:val="da-DK"/>
        </w:rPr>
        <w:t>Der er rapporteret tilfælde af myopati og rabdomyolyse hos patienter i behandling med abirateronacetat. De fleste tilfælde indtraf inden for de første 6 behandlingsmåneder og normaliseredes efter seponering af abirateronacetat. Forsigtighed tilrådes hos patienter i samtidig behandling med lægemidler, der er sat i forbindelse med myopati/rabdomyolyse.</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Interaktion med andre lægemidler</w:t>
      </w:r>
    </w:p>
    <w:p>
      <w:pPr>
        <w:widowControl w:val="0"/>
        <w:tabs>
          <w:tab w:val="left" w:pos="9071"/>
        </w:tabs>
        <w:rPr>
          <w:sz w:val="22"/>
          <w:szCs w:val="22"/>
          <w:lang w:val="da-DK"/>
        </w:rPr>
      </w:pPr>
      <w:r>
        <w:rPr>
          <w:sz w:val="22"/>
          <w:szCs w:val="22"/>
          <w:lang w:val="da-DK"/>
        </w:rPr>
        <w:t>Medmindre der ikke findes andre behandlingsmuligheder, bør stærke CYP3A4-induktorer undgås under behandlingen på grund af risiko for nedsat eksponering for abirateron (se pkt. 4.5).</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lastRenderedPageBreak/>
        <w:t>Kombination af abirateron og prednison/prednisolon med Ra-223</w:t>
      </w:r>
    </w:p>
    <w:p>
      <w:pPr>
        <w:widowControl w:val="0"/>
        <w:tabs>
          <w:tab w:val="left" w:pos="9071"/>
        </w:tabs>
        <w:rPr>
          <w:sz w:val="22"/>
          <w:szCs w:val="22"/>
          <w:lang w:val="da-DK"/>
        </w:rPr>
      </w:pPr>
      <w:r>
        <w:rPr>
          <w:sz w:val="22"/>
          <w:szCs w:val="22"/>
          <w:lang w:val="da-DK"/>
        </w:rPr>
        <w:t>Behandling med abirateron og prednison/prednisolon i kombination med Ra-223 er kontraindiceret (se pkt. 4.3) på grund af en øget risiko for frakturer og en tendens til øget dødelighed blandt patienter med asymptomatisk eller let symptomatisk prostatacancer som observeret i kliniske forsøg.</w:t>
      </w:r>
    </w:p>
    <w:p>
      <w:pPr>
        <w:widowControl w:val="0"/>
        <w:tabs>
          <w:tab w:val="left" w:pos="9071"/>
        </w:tabs>
        <w:rPr>
          <w:sz w:val="22"/>
          <w:szCs w:val="22"/>
          <w:lang w:val="da-DK"/>
        </w:rPr>
      </w:pPr>
      <w:r>
        <w:rPr>
          <w:sz w:val="22"/>
          <w:szCs w:val="22"/>
          <w:lang w:val="da-DK"/>
        </w:rPr>
        <w:t>Efterfølgende behandling med Ra-223 må ikke påbegyndes før mindst 5 dage efter den sidste administration af Abiraterone Krka i kombination med prednison/prednisolon.</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Hjælpestoffer med kendt virkning</w:t>
      </w:r>
    </w:p>
    <w:p>
      <w:pPr>
        <w:widowControl w:val="0"/>
        <w:tabs>
          <w:tab w:val="left" w:pos="9071"/>
        </w:tabs>
        <w:rPr>
          <w:sz w:val="22"/>
          <w:szCs w:val="22"/>
          <w:lang w:val="da-DK"/>
        </w:rPr>
      </w:pPr>
      <w:r>
        <w:rPr>
          <w:sz w:val="22"/>
          <w:szCs w:val="22"/>
          <w:lang w:val="da-DK"/>
        </w:rPr>
        <w:t>Dette lægemiddel indeholder lactose. Patienter med arvelig galactoseintolerans, en særlig form af hereditær lactasemangel (Lapp lactase deficiency) eller glucose/galactosemalabsorption bør ikke anvende lægemidlet.</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Dette lægemiddel indeholder mindre end 1 mmol (23 mg) natrium pr. dosis (dvs. 2 tabletter), dvs. det er i det væsentlige natriumfrit.</w:t>
      </w:r>
    </w:p>
    <w:p>
      <w:pPr>
        <w:widowControl w:val="0"/>
        <w:rPr>
          <w:sz w:val="22"/>
          <w:szCs w:val="22"/>
          <w:lang w:val="da-DK"/>
        </w:rPr>
      </w:pPr>
    </w:p>
    <w:p>
      <w:pPr>
        <w:pStyle w:val="Heading1"/>
      </w:pPr>
      <w:r>
        <w:t>4.5</w:t>
      </w:r>
      <w:r>
        <w:tab/>
        <w:t>Interaktion med andre lægemidler og andre former for interaktion</w:t>
      </w:r>
    </w:p>
    <w:p>
      <w:pPr>
        <w:widowControl w:val="0"/>
        <w:rPr>
          <w:sz w:val="22"/>
          <w:szCs w:val="22"/>
          <w:lang w:val="da-DK"/>
        </w:rPr>
      </w:pPr>
    </w:p>
    <w:p>
      <w:pPr>
        <w:widowControl w:val="0"/>
        <w:tabs>
          <w:tab w:val="left" w:pos="9071"/>
        </w:tabs>
        <w:rPr>
          <w:sz w:val="22"/>
          <w:szCs w:val="22"/>
          <w:u w:val="single"/>
          <w:lang w:val="da-DK"/>
        </w:rPr>
      </w:pPr>
      <w:r>
        <w:rPr>
          <w:sz w:val="22"/>
          <w:szCs w:val="22"/>
          <w:u w:val="single"/>
          <w:lang w:val="da-DK"/>
        </w:rPr>
        <w:t>Fødevarers virkning på abirateronacetat</w:t>
      </w:r>
    </w:p>
    <w:p>
      <w:pPr>
        <w:widowControl w:val="0"/>
        <w:tabs>
          <w:tab w:val="left" w:pos="9071"/>
        </w:tabs>
        <w:rPr>
          <w:sz w:val="22"/>
          <w:szCs w:val="22"/>
          <w:lang w:val="da-DK"/>
        </w:rPr>
      </w:pPr>
      <w:r>
        <w:rPr>
          <w:sz w:val="22"/>
          <w:szCs w:val="22"/>
          <w:lang w:val="da-DK"/>
        </w:rPr>
        <w:t>Administration sammen med føde medfører en signifikant øget absorption af abirateron</w:t>
      </w:r>
      <w:del w:id="4" w:author="Vrečar, Irena" w:date="2025-10-20T10:15:00Z">
        <w:r>
          <w:rPr>
            <w:sz w:val="22"/>
            <w:szCs w:val="22"/>
            <w:lang w:val="da-DK"/>
          </w:rPr>
          <w:delText>acetat</w:delText>
        </w:r>
      </w:del>
      <w:r>
        <w:rPr>
          <w:sz w:val="22"/>
          <w:szCs w:val="22"/>
          <w:lang w:val="da-DK"/>
        </w:rPr>
        <w:t>. Dette lægemiddels sikkerhed og virkning, når det tages sammen med føde, er endnu ikke klarlagt. Det må derfor ikke indtages samtidig med føde (se pkt. 4.2 og 5.2).</w:t>
      </w:r>
    </w:p>
    <w:p>
      <w:pPr>
        <w:widowControl w:val="0"/>
        <w:tabs>
          <w:tab w:val="left" w:pos="9071"/>
        </w:tabs>
        <w:rPr>
          <w:sz w:val="22"/>
          <w:szCs w:val="22"/>
          <w:lang w:val="da-DK"/>
        </w:rPr>
      </w:pPr>
    </w:p>
    <w:p>
      <w:pPr>
        <w:widowControl w:val="0"/>
        <w:tabs>
          <w:tab w:val="left" w:pos="9071"/>
        </w:tabs>
        <w:rPr>
          <w:sz w:val="22"/>
          <w:szCs w:val="22"/>
          <w:u w:val="single"/>
          <w:lang w:val="da-DK"/>
        </w:rPr>
      </w:pPr>
      <w:r>
        <w:rPr>
          <w:sz w:val="22"/>
          <w:szCs w:val="22"/>
          <w:u w:val="single"/>
          <w:lang w:val="da-DK"/>
        </w:rPr>
        <w:t>Interaktion med andre lægemidler</w:t>
      </w:r>
    </w:p>
    <w:p>
      <w:pPr>
        <w:widowControl w:val="0"/>
        <w:tabs>
          <w:tab w:val="left" w:pos="9071"/>
        </w:tabs>
        <w:rPr>
          <w:i/>
          <w:iCs/>
          <w:sz w:val="22"/>
          <w:szCs w:val="22"/>
          <w:lang w:val="da-DK"/>
        </w:rPr>
      </w:pPr>
      <w:r>
        <w:rPr>
          <w:i/>
          <w:iCs/>
          <w:sz w:val="22"/>
          <w:szCs w:val="22"/>
          <w:lang w:val="da-DK"/>
        </w:rPr>
        <w:t>Potentialet for, at andre lægemidler påvirker abirateroneksponeringen</w:t>
      </w:r>
    </w:p>
    <w:p>
      <w:pPr>
        <w:widowControl w:val="0"/>
        <w:tabs>
          <w:tab w:val="left" w:pos="9071"/>
        </w:tabs>
        <w:rPr>
          <w:sz w:val="22"/>
          <w:szCs w:val="22"/>
          <w:lang w:val="da-DK"/>
        </w:rPr>
      </w:pPr>
      <w:r>
        <w:rPr>
          <w:sz w:val="22"/>
          <w:szCs w:val="22"/>
          <w:lang w:val="da-DK"/>
        </w:rPr>
        <w:t>I et klinisk farmakokinetisk interaktionsstudie med raske forsøgspersoner, der var blevet præmedicineret med en potent CYP3A4-induktor rifampicin, givet som 600 mg dagligt i 6 dage, efterfulgt af en enkelt dosis abirateronacetat på 1.000 mg, faldt abiraterons gennemsnitlige plasma-AUC</w:t>
      </w:r>
      <w:r>
        <w:rPr>
          <w:sz w:val="22"/>
          <w:szCs w:val="22"/>
          <w:vertAlign w:val="subscript"/>
          <w:lang w:val="da-DK"/>
        </w:rPr>
        <w:t>∞</w:t>
      </w:r>
      <w:r>
        <w:rPr>
          <w:sz w:val="22"/>
          <w:szCs w:val="22"/>
          <w:lang w:val="da-DK"/>
        </w:rPr>
        <w:t xml:space="preserve"> med 55 %.</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Potente CYP3A4-induktorer (f.eks. phenytoin, carbamazepin, rifampicin, rifabutin, rifapentin, phenobarbital, perikon [</w:t>
      </w:r>
      <w:r>
        <w:rPr>
          <w:i/>
          <w:iCs/>
          <w:sz w:val="22"/>
          <w:szCs w:val="22"/>
          <w:lang w:val="da-DK"/>
        </w:rPr>
        <w:t>Hypericum perforatum</w:t>
      </w:r>
      <w:r>
        <w:rPr>
          <w:sz w:val="22"/>
          <w:szCs w:val="22"/>
          <w:lang w:val="da-DK"/>
        </w:rPr>
        <w:t>]) skal undgås under behandlingen, medmindre der ikke er andre behandlingsmuligheder.</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I et separat klinisk farmakokinetisk interaktionsstudie med raske forsøgspersoner havde samtidig administration af ketoconazol, en potent CYP3A4-hæmmer, ingen klinisk relevant indvirkning på abiraterons farmakokinetik.</w:t>
      </w:r>
    </w:p>
    <w:p>
      <w:pPr>
        <w:widowControl w:val="0"/>
        <w:tabs>
          <w:tab w:val="left" w:pos="9071"/>
        </w:tabs>
        <w:rPr>
          <w:sz w:val="22"/>
          <w:szCs w:val="22"/>
          <w:lang w:val="da-DK"/>
        </w:rPr>
      </w:pPr>
    </w:p>
    <w:p>
      <w:pPr>
        <w:widowControl w:val="0"/>
        <w:tabs>
          <w:tab w:val="left" w:pos="9071"/>
        </w:tabs>
        <w:rPr>
          <w:i/>
          <w:iCs/>
          <w:sz w:val="22"/>
          <w:szCs w:val="22"/>
          <w:lang w:val="da-DK"/>
        </w:rPr>
      </w:pPr>
      <w:r>
        <w:rPr>
          <w:i/>
          <w:iCs/>
          <w:sz w:val="22"/>
          <w:szCs w:val="22"/>
          <w:lang w:val="da-DK"/>
        </w:rPr>
        <w:t>Potentialet for, at eksponeringen for andre lægemidler påvirkes</w:t>
      </w:r>
    </w:p>
    <w:p>
      <w:pPr>
        <w:widowControl w:val="0"/>
        <w:tabs>
          <w:tab w:val="left" w:pos="9071"/>
        </w:tabs>
        <w:rPr>
          <w:sz w:val="22"/>
          <w:szCs w:val="22"/>
          <w:lang w:val="da-DK"/>
        </w:rPr>
      </w:pPr>
      <w:r>
        <w:rPr>
          <w:sz w:val="22"/>
          <w:szCs w:val="22"/>
          <w:lang w:val="da-DK"/>
        </w:rPr>
        <w:t>Abirateron hæmmer enzymerne CYP2D6 og CYP2C8, der metaboliserer lægemidler i leveren. I et studie til bestemmelse af virkningerne af abirateronacetat (plus prednison) efter en enkelt dosis af CYP2D6-substratet dextromethorphan steg den systemiske eksponering (AUC) for dextromethorphan ca. med faktor 2,9. AUC</w:t>
      </w:r>
      <w:r>
        <w:rPr>
          <w:sz w:val="22"/>
          <w:szCs w:val="22"/>
          <w:vertAlign w:val="subscript"/>
          <w:lang w:val="da-DK"/>
        </w:rPr>
        <w:t>24</w:t>
      </w:r>
      <w:r>
        <w:rPr>
          <w:sz w:val="22"/>
          <w:szCs w:val="22"/>
          <w:lang w:val="da-DK"/>
        </w:rPr>
        <w:t xml:space="preserve"> for dextrorphan, dextromethorphans aktive metabolit, steg med ca. 33 %.</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Forsigtighed tilrådes ved administration sammen med lægemidler, der aktiveres eller metaboliseres af CYP2D6 – især lægemidler med et snævert terapeutisk indeks. Det bør overvejes at reducere doseringen af lægemidler med snævert terapeutisk indeks, der metaboliseres af CYP2D6. Eksempler på lægemidler, der metaboliseres af CYP2D6, omfatter metoprolol, propranolol, desipramin, venlafaxin, haloperidol, risperidon, propafenon, flecainid, codein, oxycodon og tramadol (de sidste tre lægemidler kræver CYP2D6 ved omdannelse til de aktive analgetiske metabolitter).</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I et lægemiddelinteraktionsforsøg med CYP2C8, som blev foretaget med raske forsøgspersoner, blev AUC for pioglitazon øget med 46 %, og AUC’er for M-III og M-IV, pioglitazons aktive metabolitter, blev begge formindsket med 10 %, når pioglitazon blev givet sammen med en enkelt dosis på 1.000 mg abirateronacetat. Patienterne skal overvåges for tegn på toksicitet, hvis et CYP2C8-substrat med et smalt terapeutisk indeks anvendes samtidigt med Abiraterone Krka. Eksempler på lægemidler, der metaboliseres af CYP2C8, omfatter pioglitazon og repaglinid (se pkt. 4.4).</w:t>
      </w:r>
    </w:p>
    <w:p>
      <w:pPr>
        <w:widowControl w:val="0"/>
        <w:tabs>
          <w:tab w:val="left" w:pos="9071"/>
        </w:tabs>
        <w:rPr>
          <w:sz w:val="22"/>
          <w:szCs w:val="22"/>
          <w:lang w:val="da-DK"/>
        </w:rPr>
      </w:pPr>
    </w:p>
    <w:p>
      <w:pPr>
        <w:widowControl w:val="0"/>
        <w:tabs>
          <w:tab w:val="left" w:pos="9071"/>
        </w:tabs>
        <w:rPr>
          <w:sz w:val="22"/>
          <w:szCs w:val="22"/>
          <w:lang w:val="da-DK"/>
        </w:rPr>
      </w:pPr>
      <w:r>
        <w:rPr>
          <w:sz w:val="22"/>
          <w:szCs w:val="22"/>
          <w:lang w:val="da-DK"/>
        </w:rPr>
        <w:t xml:space="preserve">Det blev påvist </w:t>
      </w:r>
      <w:r>
        <w:rPr>
          <w:i/>
          <w:iCs/>
          <w:sz w:val="22"/>
          <w:szCs w:val="22"/>
          <w:lang w:val="da-DK"/>
        </w:rPr>
        <w:t>in vitro</w:t>
      </w:r>
      <w:r>
        <w:rPr>
          <w:sz w:val="22"/>
          <w:szCs w:val="22"/>
          <w:lang w:val="da-DK"/>
        </w:rPr>
        <w:t>, at hovedmetabolitterne abirateronsulfat og N-oxidabirateronsulfat hæmmer den hepatiske optagelsestransportør OATP1B1, og som følge heraf kan øge koncentrationen af lægemidler, som elimineres af OATP1B1. Der foreligger ingen kliniske data, som bekræfter transportørbaseret interaktion.</w:t>
      </w:r>
    </w:p>
    <w:p>
      <w:pPr>
        <w:widowControl w:val="0"/>
        <w:tabs>
          <w:tab w:val="left" w:pos="9071"/>
        </w:tabs>
        <w:rPr>
          <w:sz w:val="22"/>
          <w:szCs w:val="22"/>
          <w:lang w:val="da-DK"/>
        </w:rPr>
      </w:pPr>
    </w:p>
    <w:p>
      <w:pPr>
        <w:widowControl w:val="0"/>
        <w:tabs>
          <w:tab w:val="left" w:pos="9071"/>
        </w:tabs>
        <w:rPr>
          <w:i/>
          <w:iCs/>
          <w:sz w:val="22"/>
          <w:szCs w:val="22"/>
          <w:lang w:val="da-DK"/>
        </w:rPr>
      </w:pPr>
      <w:r>
        <w:rPr>
          <w:i/>
          <w:iCs/>
          <w:sz w:val="22"/>
          <w:szCs w:val="22"/>
          <w:lang w:val="da-DK"/>
        </w:rPr>
        <w:t>Anvendelse sammen med lægemidler, der vides at forlænge QT-intervallet</w:t>
      </w:r>
    </w:p>
    <w:p>
      <w:pPr>
        <w:widowControl w:val="0"/>
        <w:tabs>
          <w:tab w:val="left" w:pos="9071"/>
        </w:tabs>
        <w:rPr>
          <w:sz w:val="22"/>
          <w:szCs w:val="22"/>
          <w:lang w:val="da-DK"/>
        </w:rPr>
      </w:pPr>
      <w:r>
        <w:rPr>
          <w:sz w:val="22"/>
          <w:szCs w:val="22"/>
          <w:lang w:val="da-DK"/>
        </w:rPr>
        <w:t>Da androgen deprivationsbehandling kan forlænge QT-intervallet, skal der udvises forsigtighed ved administration af Abiraterone Krka sammen med lægemidler, der vides at forlænge QT-intervallet, eller lægemidler, der kan inducere torsades de pointes såsom klasse IA-antiarytmika (f.eks. kinidin, disopyramid) eller klasse III-antiarytmika (f.eks. amiodaron, sotalol, dofetilid, ibutilid), methadon, moxifloxacin, antipsykotika osv.</w:t>
      </w:r>
    </w:p>
    <w:p>
      <w:pPr>
        <w:widowControl w:val="0"/>
        <w:tabs>
          <w:tab w:val="left" w:pos="9071"/>
        </w:tabs>
        <w:rPr>
          <w:sz w:val="22"/>
          <w:szCs w:val="22"/>
          <w:lang w:val="da-DK"/>
        </w:rPr>
      </w:pPr>
    </w:p>
    <w:p>
      <w:pPr>
        <w:widowControl w:val="0"/>
        <w:tabs>
          <w:tab w:val="left" w:pos="9071"/>
        </w:tabs>
        <w:rPr>
          <w:i/>
          <w:iCs/>
          <w:sz w:val="22"/>
          <w:szCs w:val="22"/>
          <w:lang w:val="da-DK"/>
        </w:rPr>
      </w:pPr>
      <w:r>
        <w:rPr>
          <w:i/>
          <w:iCs/>
          <w:sz w:val="22"/>
          <w:szCs w:val="22"/>
          <w:lang w:val="da-DK"/>
        </w:rPr>
        <w:t>Anvendelse sammen med spironolacton</w:t>
      </w:r>
    </w:p>
    <w:p>
      <w:pPr>
        <w:widowControl w:val="0"/>
        <w:rPr>
          <w:sz w:val="22"/>
          <w:szCs w:val="22"/>
          <w:lang w:val="da-DK"/>
        </w:rPr>
      </w:pPr>
      <w:r>
        <w:rPr>
          <w:sz w:val="22"/>
          <w:szCs w:val="22"/>
          <w:lang w:val="da-DK"/>
        </w:rPr>
        <w:t>Spironolacton binder til androgenreceptoren og kan øge koncentrationen af prostataspecifikt antigen (PSA). Anvendelse sammen med Abiraterone Krka frarådes (se pkt. 5.1).</w:t>
      </w:r>
    </w:p>
    <w:p>
      <w:pPr>
        <w:widowControl w:val="0"/>
        <w:rPr>
          <w:sz w:val="22"/>
          <w:szCs w:val="22"/>
          <w:lang w:val="da-DK"/>
        </w:rPr>
      </w:pPr>
    </w:p>
    <w:p>
      <w:pPr>
        <w:pStyle w:val="Heading1"/>
      </w:pPr>
      <w:r>
        <w:t>4.6</w:t>
      </w:r>
      <w:r>
        <w:tab/>
        <w:t>Fertilitet, graviditet og amning</w:t>
      </w:r>
    </w:p>
    <w:p>
      <w:pPr>
        <w:widowControl w:val="0"/>
        <w:rPr>
          <w:sz w:val="22"/>
          <w:szCs w:val="22"/>
          <w:lang w:val="da-DK"/>
        </w:rPr>
      </w:pPr>
    </w:p>
    <w:p>
      <w:pPr>
        <w:pStyle w:val="BodyText"/>
        <w:tabs>
          <w:tab w:val="left" w:pos="9071"/>
        </w:tabs>
        <w:rPr>
          <w:lang w:val="da-DK"/>
        </w:rPr>
      </w:pPr>
      <w:r>
        <w:rPr>
          <w:u w:val="single"/>
          <w:lang w:val="da-DK"/>
        </w:rPr>
        <w:t>Fertile</w:t>
      </w:r>
      <w:r>
        <w:rPr>
          <w:spacing w:val="-3"/>
          <w:u w:val="single"/>
          <w:lang w:val="da-DK"/>
        </w:rPr>
        <w:t xml:space="preserve"> </w:t>
      </w:r>
      <w:r>
        <w:rPr>
          <w:u w:val="single"/>
          <w:lang w:val="da-DK"/>
        </w:rPr>
        <w:t>kvinder</w:t>
      </w:r>
    </w:p>
    <w:p>
      <w:pPr>
        <w:pStyle w:val="BodyText"/>
        <w:tabs>
          <w:tab w:val="left" w:pos="9071"/>
        </w:tabs>
        <w:rPr>
          <w:lang w:val="da-DK"/>
        </w:rPr>
      </w:pPr>
      <w:r>
        <w:rPr>
          <w:lang w:val="da-DK"/>
        </w:rPr>
        <w:t>Der foreligger ingen humane data om anvendelse af abirateron under graviditet, og dette lægemiddel er ikke beregnet</w:t>
      </w:r>
      <w:r>
        <w:rPr>
          <w:spacing w:val="-1"/>
          <w:lang w:val="da-DK"/>
        </w:rPr>
        <w:t xml:space="preserve"> </w:t>
      </w:r>
      <w:r>
        <w:rPr>
          <w:lang w:val="da-DK"/>
        </w:rPr>
        <w:t>til</w:t>
      </w:r>
      <w:r>
        <w:rPr>
          <w:spacing w:val="-1"/>
          <w:lang w:val="da-DK"/>
        </w:rPr>
        <w:t xml:space="preserve"> </w:t>
      </w:r>
      <w:r>
        <w:rPr>
          <w:lang w:val="da-DK"/>
        </w:rPr>
        <w:t>fertile</w:t>
      </w:r>
      <w:r>
        <w:rPr>
          <w:spacing w:val="-1"/>
          <w:lang w:val="da-DK"/>
        </w:rPr>
        <w:t xml:space="preserve"> </w:t>
      </w:r>
      <w:r>
        <w:rPr>
          <w:lang w:val="da-DK"/>
        </w:rPr>
        <w:t>kvinder.</w:t>
      </w:r>
    </w:p>
    <w:p>
      <w:pPr>
        <w:pStyle w:val="BodyText"/>
        <w:tabs>
          <w:tab w:val="left" w:pos="9071"/>
        </w:tabs>
        <w:rPr>
          <w:lang w:val="da-DK"/>
        </w:rPr>
      </w:pPr>
    </w:p>
    <w:p>
      <w:pPr>
        <w:pStyle w:val="BodyText"/>
        <w:tabs>
          <w:tab w:val="left" w:pos="9071"/>
        </w:tabs>
        <w:rPr>
          <w:lang w:val="da-DK"/>
        </w:rPr>
      </w:pPr>
      <w:r>
        <w:rPr>
          <w:u w:val="single"/>
          <w:lang w:val="da-DK"/>
        </w:rPr>
        <w:t>Kontraception</w:t>
      </w:r>
      <w:r>
        <w:rPr>
          <w:spacing w:val="-5"/>
          <w:u w:val="single"/>
          <w:lang w:val="da-DK"/>
        </w:rPr>
        <w:t xml:space="preserve"> </w:t>
      </w:r>
      <w:r>
        <w:rPr>
          <w:u w:val="single"/>
          <w:lang w:val="da-DK"/>
        </w:rPr>
        <w:t>hos</w:t>
      </w:r>
      <w:r>
        <w:rPr>
          <w:spacing w:val="-5"/>
          <w:u w:val="single"/>
          <w:lang w:val="da-DK"/>
        </w:rPr>
        <w:t xml:space="preserve"> </w:t>
      </w:r>
      <w:r>
        <w:rPr>
          <w:u w:val="single"/>
          <w:lang w:val="da-DK"/>
        </w:rPr>
        <w:t>mænd</w:t>
      </w:r>
      <w:r>
        <w:rPr>
          <w:spacing w:val="-4"/>
          <w:u w:val="single"/>
          <w:lang w:val="da-DK"/>
        </w:rPr>
        <w:t xml:space="preserve"> </w:t>
      </w:r>
      <w:r>
        <w:rPr>
          <w:u w:val="single"/>
          <w:lang w:val="da-DK"/>
        </w:rPr>
        <w:t>og</w:t>
      </w:r>
      <w:r>
        <w:rPr>
          <w:spacing w:val="-5"/>
          <w:u w:val="single"/>
          <w:lang w:val="da-DK"/>
        </w:rPr>
        <w:t xml:space="preserve"> </w:t>
      </w:r>
      <w:r>
        <w:rPr>
          <w:u w:val="single"/>
          <w:lang w:val="da-DK"/>
        </w:rPr>
        <w:t>kvinder</w:t>
      </w:r>
    </w:p>
    <w:p>
      <w:pPr>
        <w:pStyle w:val="BodyText"/>
        <w:tabs>
          <w:tab w:val="left" w:pos="9071"/>
        </w:tabs>
        <w:rPr>
          <w:lang w:val="da-DK"/>
        </w:rPr>
      </w:pPr>
      <w:r>
        <w:rPr>
          <w:lang w:val="da-DK"/>
        </w:rPr>
        <w:t>Det er ukendt, om abirateron eller dets metabolitter forekommer i sæd. Der bør anvendes kondom,</w:t>
      </w:r>
      <w:r>
        <w:rPr>
          <w:spacing w:val="1"/>
          <w:lang w:val="da-DK"/>
        </w:rPr>
        <w:t xml:space="preserve"> </w:t>
      </w:r>
      <w:r>
        <w:rPr>
          <w:lang w:val="da-DK"/>
        </w:rPr>
        <w:t>hvis patienten dyrker sex med en gravid kvinde. Hvis patienten dyrker sex med en fertil kvinde, bør parret anvende kondom sammen med en anden metode til sikker kontraception. Dyrestudier har vist reproduktionstoksicitet</w:t>
      </w:r>
      <w:r>
        <w:rPr>
          <w:spacing w:val="-2"/>
          <w:lang w:val="da-DK"/>
        </w:rPr>
        <w:t xml:space="preserve"> </w:t>
      </w:r>
      <w:r>
        <w:rPr>
          <w:lang w:val="da-DK"/>
        </w:rPr>
        <w:t>(se</w:t>
      </w:r>
      <w:r>
        <w:rPr>
          <w:spacing w:val="-1"/>
          <w:lang w:val="da-DK"/>
        </w:rPr>
        <w:t xml:space="preserve"> </w:t>
      </w:r>
      <w:r>
        <w:rPr>
          <w:lang w:val="da-DK"/>
        </w:rPr>
        <w:t>pkt. 5.3).</w:t>
      </w:r>
    </w:p>
    <w:p>
      <w:pPr>
        <w:pStyle w:val="BodyText"/>
        <w:tabs>
          <w:tab w:val="left" w:pos="9071"/>
        </w:tabs>
        <w:rPr>
          <w:lang w:val="da-DK"/>
        </w:rPr>
      </w:pPr>
    </w:p>
    <w:p>
      <w:pPr>
        <w:pStyle w:val="BodyText"/>
        <w:tabs>
          <w:tab w:val="left" w:pos="9071"/>
        </w:tabs>
        <w:rPr>
          <w:lang w:val="da-DK"/>
        </w:rPr>
      </w:pPr>
      <w:r>
        <w:rPr>
          <w:u w:val="single"/>
          <w:lang w:val="da-DK"/>
        </w:rPr>
        <w:t>Graviditet</w:t>
      </w:r>
    </w:p>
    <w:p>
      <w:pPr>
        <w:pStyle w:val="BodyText"/>
        <w:tabs>
          <w:tab w:val="left" w:pos="9071"/>
        </w:tabs>
        <w:rPr>
          <w:lang w:val="da-DK"/>
        </w:rPr>
      </w:pPr>
      <w:r>
        <w:rPr>
          <w:lang w:val="da-DK"/>
        </w:rPr>
        <w:t>Abiraterone Krka er ikke beregnet til kvinder og er kontraindiceret hos kvinder, som er eller kan være gravide</w:t>
      </w:r>
      <w:r>
        <w:rPr>
          <w:spacing w:val="-52"/>
          <w:lang w:val="da-DK"/>
        </w:rPr>
        <w:t xml:space="preserve"> </w:t>
      </w:r>
      <w:r>
        <w:rPr>
          <w:lang w:val="da-DK"/>
        </w:rPr>
        <w:t>(se</w:t>
      </w:r>
      <w:r>
        <w:rPr>
          <w:spacing w:val="-2"/>
          <w:lang w:val="da-DK"/>
        </w:rPr>
        <w:t xml:space="preserve"> </w:t>
      </w:r>
      <w:r>
        <w:rPr>
          <w:lang w:val="da-DK"/>
        </w:rPr>
        <w:t>pkt. 4.3</w:t>
      </w:r>
      <w:r>
        <w:rPr>
          <w:spacing w:val="-1"/>
          <w:lang w:val="da-DK"/>
        </w:rPr>
        <w:t xml:space="preserve"> </w:t>
      </w:r>
      <w:r>
        <w:rPr>
          <w:lang w:val="da-DK"/>
        </w:rPr>
        <w:t>og</w:t>
      </w:r>
      <w:r>
        <w:rPr>
          <w:spacing w:val="-1"/>
          <w:lang w:val="da-DK"/>
        </w:rPr>
        <w:t xml:space="preserve"> </w:t>
      </w:r>
      <w:r>
        <w:rPr>
          <w:lang w:val="da-DK"/>
        </w:rPr>
        <w:t>5.3).</w:t>
      </w:r>
    </w:p>
    <w:p>
      <w:pPr>
        <w:pStyle w:val="BodyText"/>
        <w:tabs>
          <w:tab w:val="left" w:pos="9071"/>
        </w:tabs>
        <w:rPr>
          <w:lang w:val="da-DK"/>
        </w:rPr>
      </w:pPr>
    </w:p>
    <w:p>
      <w:pPr>
        <w:pStyle w:val="BodyText"/>
        <w:tabs>
          <w:tab w:val="left" w:pos="9071"/>
        </w:tabs>
        <w:rPr>
          <w:lang w:val="da-DK"/>
        </w:rPr>
      </w:pPr>
      <w:r>
        <w:rPr>
          <w:u w:val="single"/>
          <w:lang w:val="da-DK"/>
        </w:rPr>
        <w:t>Amning</w:t>
      </w:r>
    </w:p>
    <w:p>
      <w:pPr>
        <w:pStyle w:val="BodyText"/>
        <w:tabs>
          <w:tab w:val="left" w:pos="9071"/>
        </w:tabs>
        <w:rPr>
          <w:lang w:val="da-DK"/>
        </w:rPr>
      </w:pPr>
      <w:r>
        <w:rPr>
          <w:lang w:val="da-DK"/>
        </w:rPr>
        <w:t>Abiraterone Krka</w:t>
      </w:r>
      <w:r>
        <w:rPr>
          <w:spacing w:val="-3"/>
          <w:lang w:val="da-DK"/>
        </w:rPr>
        <w:t xml:space="preserve"> </w:t>
      </w:r>
      <w:r>
        <w:rPr>
          <w:lang w:val="da-DK"/>
        </w:rPr>
        <w:t>er</w:t>
      </w:r>
      <w:r>
        <w:rPr>
          <w:spacing w:val="-2"/>
          <w:lang w:val="da-DK"/>
        </w:rPr>
        <w:t xml:space="preserve"> </w:t>
      </w:r>
      <w:r>
        <w:rPr>
          <w:lang w:val="da-DK"/>
        </w:rPr>
        <w:t>ikke</w:t>
      </w:r>
      <w:r>
        <w:rPr>
          <w:spacing w:val="-2"/>
          <w:lang w:val="da-DK"/>
        </w:rPr>
        <w:t xml:space="preserve"> </w:t>
      </w:r>
      <w:r>
        <w:rPr>
          <w:lang w:val="da-DK"/>
        </w:rPr>
        <w:t>beregnet</w:t>
      </w:r>
      <w:r>
        <w:rPr>
          <w:spacing w:val="-3"/>
          <w:lang w:val="da-DK"/>
        </w:rPr>
        <w:t xml:space="preserve"> </w:t>
      </w:r>
      <w:r>
        <w:rPr>
          <w:lang w:val="da-DK"/>
        </w:rPr>
        <w:t>til</w:t>
      </w:r>
      <w:r>
        <w:rPr>
          <w:spacing w:val="-2"/>
          <w:lang w:val="da-DK"/>
        </w:rPr>
        <w:t xml:space="preserve"> </w:t>
      </w:r>
      <w:r>
        <w:rPr>
          <w:lang w:val="da-DK"/>
        </w:rPr>
        <w:t>kvinder.</w:t>
      </w:r>
    </w:p>
    <w:p>
      <w:pPr>
        <w:pStyle w:val="BodyText"/>
        <w:tabs>
          <w:tab w:val="left" w:pos="9071"/>
        </w:tabs>
        <w:rPr>
          <w:lang w:val="da-DK"/>
        </w:rPr>
      </w:pPr>
    </w:p>
    <w:p>
      <w:pPr>
        <w:pStyle w:val="BodyText"/>
        <w:tabs>
          <w:tab w:val="left" w:pos="9071"/>
        </w:tabs>
        <w:rPr>
          <w:lang w:val="da-DK"/>
        </w:rPr>
      </w:pPr>
      <w:r>
        <w:rPr>
          <w:u w:val="single"/>
          <w:lang w:val="da-DK"/>
        </w:rPr>
        <w:t>Fertilitet</w:t>
      </w:r>
    </w:p>
    <w:p>
      <w:pPr>
        <w:widowControl w:val="0"/>
        <w:tabs>
          <w:tab w:val="left" w:pos="9071"/>
        </w:tabs>
        <w:rPr>
          <w:sz w:val="22"/>
          <w:szCs w:val="22"/>
          <w:lang w:val="da-DK"/>
        </w:rPr>
      </w:pPr>
      <w:r>
        <w:rPr>
          <w:sz w:val="22"/>
          <w:szCs w:val="22"/>
          <w:lang w:val="da-DK"/>
        </w:rPr>
        <w:t>Abirateronacetat påvirkede fertiliteten hos han- og hunrotter, men disse virkninger var fuldt reversible (se pkt. 5.3).</w:t>
      </w:r>
    </w:p>
    <w:p>
      <w:pPr>
        <w:widowControl w:val="0"/>
        <w:rPr>
          <w:sz w:val="22"/>
          <w:szCs w:val="22"/>
          <w:lang w:val="da-DK"/>
        </w:rPr>
      </w:pPr>
    </w:p>
    <w:p>
      <w:pPr>
        <w:pStyle w:val="Heading1"/>
      </w:pPr>
      <w:r>
        <w:t>4.7</w:t>
      </w:r>
      <w:r>
        <w:tab/>
        <w:t xml:space="preserve">Virkning på evnen til at føre motorkøretøj </w:t>
      </w:r>
      <w:r>
        <w:rPr>
          <w:noProof/>
        </w:rPr>
        <w:t>og</w:t>
      </w:r>
      <w:r>
        <w:t xml:space="preserve"> betjene maskiner</w:t>
      </w:r>
    </w:p>
    <w:p>
      <w:pPr>
        <w:widowControl w:val="0"/>
        <w:rPr>
          <w:sz w:val="22"/>
          <w:szCs w:val="22"/>
          <w:lang w:val="da-DK"/>
        </w:rPr>
      </w:pPr>
    </w:p>
    <w:p>
      <w:pPr>
        <w:widowControl w:val="0"/>
        <w:rPr>
          <w:sz w:val="22"/>
          <w:szCs w:val="22"/>
          <w:lang w:val="da-DK"/>
        </w:rPr>
      </w:pPr>
      <w:r>
        <w:rPr>
          <w:sz w:val="22"/>
          <w:szCs w:val="22"/>
          <w:lang w:val="da-DK"/>
        </w:rPr>
        <w:t>Abiraterone Krka påvirker ikke eller kun i ubetydelig grad evnen til at føre motorkøretøj og betjene maskiner.</w:t>
      </w:r>
    </w:p>
    <w:p>
      <w:pPr>
        <w:widowControl w:val="0"/>
        <w:rPr>
          <w:sz w:val="22"/>
          <w:szCs w:val="22"/>
          <w:lang w:val="da-DK"/>
        </w:rPr>
      </w:pPr>
    </w:p>
    <w:p>
      <w:pPr>
        <w:pStyle w:val="Heading1"/>
      </w:pPr>
      <w:r>
        <w:t>4.8</w:t>
      </w:r>
      <w:r>
        <w:tab/>
        <w:t>Bivirkninger</w:t>
      </w:r>
    </w:p>
    <w:p>
      <w:pPr>
        <w:widowControl w:val="0"/>
        <w:ind w:right="-1"/>
        <w:rPr>
          <w:sz w:val="22"/>
          <w:szCs w:val="22"/>
          <w:lang w:val="da-DK"/>
        </w:rPr>
      </w:pPr>
    </w:p>
    <w:p>
      <w:pPr>
        <w:pStyle w:val="BodyText"/>
        <w:tabs>
          <w:tab w:val="left" w:pos="8505"/>
        </w:tabs>
        <w:ind w:right="-1"/>
        <w:rPr>
          <w:lang w:val="da-DK"/>
        </w:rPr>
      </w:pPr>
      <w:r>
        <w:rPr>
          <w:u w:val="single"/>
          <w:lang w:val="da-DK"/>
        </w:rPr>
        <w:t>Resumé</w:t>
      </w:r>
      <w:r>
        <w:rPr>
          <w:spacing w:val="-4"/>
          <w:u w:val="single"/>
          <w:lang w:val="da-DK"/>
        </w:rPr>
        <w:t xml:space="preserve"> </w:t>
      </w:r>
      <w:r>
        <w:rPr>
          <w:u w:val="single"/>
          <w:lang w:val="da-DK"/>
        </w:rPr>
        <w:t>af</w:t>
      </w:r>
      <w:r>
        <w:rPr>
          <w:spacing w:val="-3"/>
          <w:u w:val="single"/>
          <w:lang w:val="da-DK"/>
        </w:rPr>
        <w:t xml:space="preserve"> </w:t>
      </w:r>
      <w:r>
        <w:rPr>
          <w:u w:val="single"/>
          <w:lang w:val="da-DK"/>
        </w:rPr>
        <w:t>sikkerhedsprofilen</w:t>
      </w:r>
    </w:p>
    <w:p>
      <w:pPr>
        <w:pStyle w:val="BodyText"/>
        <w:tabs>
          <w:tab w:val="left" w:pos="8505"/>
        </w:tabs>
        <w:ind w:right="-1"/>
        <w:rPr>
          <w:lang w:val="da-DK"/>
        </w:rPr>
      </w:pPr>
      <w:r>
        <w:rPr>
          <w:lang w:val="da-DK"/>
        </w:rPr>
        <w:t>I</w:t>
      </w:r>
      <w:r>
        <w:rPr>
          <w:spacing w:val="-4"/>
          <w:lang w:val="da-DK"/>
        </w:rPr>
        <w:t xml:space="preserve"> </w:t>
      </w:r>
      <w:r>
        <w:rPr>
          <w:lang w:val="da-DK"/>
        </w:rPr>
        <w:t>en</w:t>
      </w:r>
      <w:r>
        <w:rPr>
          <w:spacing w:val="-3"/>
          <w:lang w:val="da-DK"/>
        </w:rPr>
        <w:t xml:space="preserve"> </w:t>
      </w:r>
      <w:r>
        <w:rPr>
          <w:lang w:val="da-DK"/>
        </w:rPr>
        <w:t>analyse</w:t>
      </w:r>
      <w:r>
        <w:rPr>
          <w:spacing w:val="-3"/>
          <w:lang w:val="da-DK"/>
        </w:rPr>
        <w:t xml:space="preserve"> </w:t>
      </w:r>
      <w:r>
        <w:rPr>
          <w:lang w:val="da-DK"/>
        </w:rPr>
        <w:t>af</w:t>
      </w:r>
      <w:r>
        <w:rPr>
          <w:spacing w:val="-2"/>
          <w:lang w:val="da-DK"/>
        </w:rPr>
        <w:t xml:space="preserve"> </w:t>
      </w:r>
      <w:r>
        <w:rPr>
          <w:lang w:val="da-DK"/>
        </w:rPr>
        <w:t>bivirkninger</w:t>
      </w:r>
      <w:r>
        <w:rPr>
          <w:spacing w:val="-3"/>
          <w:lang w:val="da-DK"/>
        </w:rPr>
        <w:t xml:space="preserve"> </w:t>
      </w:r>
      <w:r>
        <w:rPr>
          <w:lang w:val="da-DK"/>
        </w:rPr>
        <w:t>i</w:t>
      </w:r>
      <w:r>
        <w:rPr>
          <w:spacing w:val="-4"/>
          <w:lang w:val="da-DK"/>
        </w:rPr>
        <w:t xml:space="preserve"> </w:t>
      </w:r>
      <w:r>
        <w:rPr>
          <w:lang w:val="da-DK"/>
        </w:rPr>
        <w:t>sammensatte</w:t>
      </w:r>
      <w:r>
        <w:rPr>
          <w:spacing w:val="-3"/>
          <w:lang w:val="da-DK"/>
        </w:rPr>
        <w:t xml:space="preserve"> </w:t>
      </w:r>
      <w:r>
        <w:rPr>
          <w:lang w:val="da-DK"/>
        </w:rPr>
        <w:t>fase</w:t>
      </w:r>
      <w:r>
        <w:rPr>
          <w:spacing w:val="-3"/>
          <w:lang w:val="da-DK"/>
        </w:rPr>
        <w:t> </w:t>
      </w:r>
      <w:r>
        <w:rPr>
          <w:lang w:val="da-DK"/>
        </w:rPr>
        <w:t>3-studier</w:t>
      </w:r>
      <w:r>
        <w:rPr>
          <w:spacing w:val="-3"/>
          <w:lang w:val="da-DK"/>
        </w:rPr>
        <w:t xml:space="preserve"> </w:t>
      </w:r>
      <w:r>
        <w:rPr>
          <w:lang w:val="da-DK"/>
        </w:rPr>
        <w:t>med</w:t>
      </w:r>
      <w:r>
        <w:rPr>
          <w:spacing w:val="-3"/>
          <w:lang w:val="da-DK"/>
        </w:rPr>
        <w:t xml:space="preserve"> </w:t>
      </w:r>
      <w:r>
        <w:rPr>
          <w:lang w:val="da-DK"/>
        </w:rPr>
        <w:t>abirateronacetat sås</w:t>
      </w:r>
      <w:r>
        <w:rPr>
          <w:spacing w:val="-4"/>
          <w:lang w:val="da-DK"/>
        </w:rPr>
        <w:t xml:space="preserve"> </w:t>
      </w:r>
      <w:r>
        <w:rPr>
          <w:lang w:val="da-DK"/>
        </w:rPr>
        <w:t>følgende</w:t>
      </w:r>
      <w:r>
        <w:rPr>
          <w:spacing w:val="-2"/>
          <w:lang w:val="da-DK"/>
        </w:rPr>
        <w:t xml:space="preserve"> </w:t>
      </w:r>
      <w:r>
        <w:rPr>
          <w:lang w:val="da-DK"/>
        </w:rPr>
        <w:t>bivirkninger</w:t>
      </w:r>
      <w:r>
        <w:rPr>
          <w:spacing w:val="-3"/>
          <w:lang w:val="da-DK"/>
        </w:rPr>
        <w:t xml:space="preserve"> </w:t>
      </w:r>
      <w:r>
        <w:rPr>
          <w:lang w:val="da-DK"/>
        </w:rPr>
        <w:t>hos ≥ 10 % af patienterne: perifert ødem, hypokaliæmi, hypertension, urinvejsinfektion, forhøjet alanin-aminotransferase</w:t>
      </w:r>
      <w:r>
        <w:rPr>
          <w:spacing w:val="-2"/>
          <w:lang w:val="da-DK"/>
        </w:rPr>
        <w:t xml:space="preserve"> </w:t>
      </w:r>
      <w:r>
        <w:rPr>
          <w:lang w:val="da-DK"/>
        </w:rPr>
        <w:t>og/eller</w:t>
      </w:r>
      <w:r>
        <w:rPr>
          <w:spacing w:val="-1"/>
          <w:lang w:val="da-DK"/>
        </w:rPr>
        <w:t xml:space="preserve"> </w:t>
      </w:r>
      <w:r>
        <w:rPr>
          <w:lang w:val="da-DK"/>
        </w:rPr>
        <w:t>forhøjet</w:t>
      </w:r>
      <w:r>
        <w:rPr>
          <w:spacing w:val="-1"/>
          <w:lang w:val="da-DK"/>
        </w:rPr>
        <w:t xml:space="preserve"> </w:t>
      </w:r>
      <w:r>
        <w:rPr>
          <w:lang w:val="da-DK"/>
        </w:rPr>
        <w:t>aspartat-aminotransferase. Andre</w:t>
      </w:r>
      <w:r>
        <w:rPr>
          <w:spacing w:val="-6"/>
          <w:lang w:val="da-DK"/>
        </w:rPr>
        <w:t xml:space="preserve"> </w:t>
      </w:r>
      <w:r>
        <w:rPr>
          <w:lang w:val="da-DK"/>
        </w:rPr>
        <w:t>vigtige</w:t>
      </w:r>
      <w:r>
        <w:rPr>
          <w:spacing w:val="-5"/>
          <w:lang w:val="da-DK"/>
        </w:rPr>
        <w:t xml:space="preserve"> </w:t>
      </w:r>
      <w:r>
        <w:rPr>
          <w:lang w:val="da-DK"/>
        </w:rPr>
        <w:t>bivirkninger</w:t>
      </w:r>
      <w:r>
        <w:rPr>
          <w:spacing w:val="-5"/>
          <w:lang w:val="da-DK"/>
        </w:rPr>
        <w:t xml:space="preserve"> </w:t>
      </w:r>
      <w:r>
        <w:rPr>
          <w:lang w:val="da-DK"/>
        </w:rPr>
        <w:t>omfatter</w:t>
      </w:r>
      <w:r>
        <w:rPr>
          <w:spacing w:val="-5"/>
          <w:lang w:val="da-DK"/>
        </w:rPr>
        <w:t xml:space="preserve"> </w:t>
      </w:r>
      <w:r>
        <w:rPr>
          <w:lang w:val="da-DK"/>
        </w:rPr>
        <w:t>hjertelidelser,</w:t>
      </w:r>
      <w:r>
        <w:rPr>
          <w:spacing w:val="-5"/>
          <w:lang w:val="da-DK"/>
        </w:rPr>
        <w:t xml:space="preserve"> </w:t>
      </w:r>
      <w:r>
        <w:rPr>
          <w:lang w:val="da-DK"/>
        </w:rPr>
        <w:t>levertoksicitet,</w:t>
      </w:r>
      <w:r>
        <w:rPr>
          <w:spacing w:val="-5"/>
          <w:lang w:val="da-DK"/>
        </w:rPr>
        <w:t xml:space="preserve"> </w:t>
      </w:r>
      <w:r>
        <w:rPr>
          <w:lang w:val="da-DK"/>
        </w:rPr>
        <w:t>frakturer</w:t>
      </w:r>
      <w:r>
        <w:rPr>
          <w:spacing w:val="-6"/>
          <w:lang w:val="da-DK"/>
        </w:rPr>
        <w:t xml:space="preserve"> </w:t>
      </w:r>
      <w:r>
        <w:rPr>
          <w:lang w:val="da-DK"/>
        </w:rPr>
        <w:t>og</w:t>
      </w:r>
      <w:r>
        <w:rPr>
          <w:spacing w:val="-5"/>
          <w:lang w:val="da-DK"/>
        </w:rPr>
        <w:t xml:space="preserve"> </w:t>
      </w:r>
      <w:r>
        <w:rPr>
          <w:lang w:val="da-DK"/>
        </w:rPr>
        <w:t>allergisk</w:t>
      </w:r>
      <w:r>
        <w:rPr>
          <w:spacing w:val="-5"/>
          <w:lang w:val="da-DK"/>
        </w:rPr>
        <w:t xml:space="preserve"> </w:t>
      </w:r>
      <w:r>
        <w:rPr>
          <w:lang w:val="da-DK"/>
        </w:rPr>
        <w:t>alveolitis.</w:t>
      </w:r>
    </w:p>
    <w:p>
      <w:pPr>
        <w:pStyle w:val="BodyText"/>
        <w:tabs>
          <w:tab w:val="left" w:pos="8505"/>
        </w:tabs>
        <w:ind w:right="-1"/>
        <w:rPr>
          <w:lang w:val="da-DK"/>
        </w:rPr>
      </w:pPr>
    </w:p>
    <w:p>
      <w:pPr>
        <w:pStyle w:val="BodyText"/>
        <w:tabs>
          <w:tab w:val="left" w:pos="8505"/>
        </w:tabs>
        <w:ind w:right="-1"/>
        <w:rPr>
          <w:lang w:val="da-DK"/>
        </w:rPr>
      </w:pPr>
      <w:r>
        <w:rPr>
          <w:lang w:val="da-DK"/>
        </w:rPr>
        <w:t>Abirateron kan medføre hypertension, hypokaliæmi og væskeretention som en farmakodynamisk</w:t>
      </w:r>
      <w:r>
        <w:rPr>
          <w:spacing w:val="1"/>
          <w:lang w:val="da-DK"/>
        </w:rPr>
        <w:t xml:space="preserve"> </w:t>
      </w:r>
      <w:r>
        <w:rPr>
          <w:lang w:val="da-DK"/>
        </w:rPr>
        <w:t>konsekvens af produktets virkningsmekanisme. I fase 3-studier sås de forventede mineralokortikoide</w:t>
      </w:r>
      <w:r>
        <w:rPr>
          <w:spacing w:val="1"/>
          <w:lang w:val="da-DK"/>
        </w:rPr>
        <w:t xml:space="preserve"> </w:t>
      </w:r>
      <w:r>
        <w:rPr>
          <w:lang w:val="da-DK"/>
        </w:rPr>
        <w:t>bivirkninger hyppigere hos patienter, der fik abirateronacetat, end hos patienter, der fik placebo:</w:t>
      </w:r>
      <w:r>
        <w:rPr>
          <w:spacing w:val="1"/>
          <w:lang w:val="da-DK"/>
        </w:rPr>
        <w:t xml:space="preserve"> </w:t>
      </w:r>
      <w:r>
        <w:rPr>
          <w:lang w:val="da-DK"/>
        </w:rPr>
        <w:lastRenderedPageBreak/>
        <w:t xml:space="preserve">henholdsvis hypokaliæmi 18 % </w:t>
      </w:r>
      <w:r>
        <w:rPr>
          <w:i/>
          <w:lang w:val="da-DK"/>
        </w:rPr>
        <w:t xml:space="preserve">vs. </w:t>
      </w:r>
      <w:r>
        <w:rPr>
          <w:lang w:val="da-DK"/>
        </w:rPr>
        <w:t xml:space="preserve">8 %, hypertension 22 % </w:t>
      </w:r>
      <w:r>
        <w:rPr>
          <w:i/>
          <w:lang w:val="da-DK"/>
        </w:rPr>
        <w:t xml:space="preserve">vs. </w:t>
      </w:r>
      <w:r>
        <w:rPr>
          <w:lang w:val="da-DK"/>
        </w:rPr>
        <w:t>16 % og væskeretention (perifert</w:t>
      </w:r>
      <w:r>
        <w:rPr>
          <w:spacing w:val="1"/>
          <w:lang w:val="da-DK"/>
        </w:rPr>
        <w:t xml:space="preserve"> </w:t>
      </w:r>
      <w:r>
        <w:rPr>
          <w:lang w:val="da-DK"/>
        </w:rPr>
        <w:t xml:space="preserve">ødem) 23 % </w:t>
      </w:r>
      <w:r>
        <w:rPr>
          <w:i/>
          <w:lang w:val="da-DK"/>
        </w:rPr>
        <w:t xml:space="preserve">vs. </w:t>
      </w:r>
      <w:r>
        <w:rPr>
          <w:lang w:val="da-DK"/>
        </w:rPr>
        <w:t>17 %</w:t>
      </w:r>
      <w:r>
        <w:rPr>
          <w:i/>
          <w:lang w:val="da-DK"/>
        </w:rPr>
        <w:t xml:space="preserve">. </w:t>
      </w:r>
      <w:r>
        <w:rPr>
          <w:lang w:val="da-DK"/>
        </w:rPr>
        <w:t xml:space="preserve">Hos patienter der fik abirateronacetat </w:t>
      </w:r>
      <w:r>
        <w:rPr>
          <w:i/>
          <w:lang w:val="da-DK"/>
        </w:rPr>
        <w:t xml:space="preserve">versus </w:t>
      </w:r>
      <w:r>
        <w:rPr>
          <w:lang w:val="da-DK"/>
        </w:rPr>
        <w:t xml:space="preserve">patienter der fik placebo, observeredes hypokaliæmi af CTCAE (version 4.0) grad 3 og 4 hos henholdsvis 6 % </w:t>
      </w:r>
      <w:r>
        <w:rPr>
          <w:i/>
          <w:lang w:val="da-DK"/>
        </w:rPr>
        <w:t xml:space="preserve">versus </w:t>
      </w:r>
      <w:r>
        <w:rPr>
          <w:lang w:val="da-DK"/>
        </w:rPr>
        <w:t>1 %, hypertension af</w:t>
      </w:r>
      <w:r>
        <w:rPr>
          <w:spacing w:val="1"/>
          <w:lang w:val="da-DK"/>
        </w:rPr>
        <w:t xml:space="preserve"> </w:t>
      </w:r>
      <w:r>
        <w:rPr>
          <w:lang w:val="da-DK"/>
        </w:rPr>
        <w:t xml:space="preserve">CTCAE (version 4.0) grad 3 og 4 observeredes hos henholdsvis 7 % </w:t>
      </w:r>
      <w:r>
        <w:rPr>
          <w:i/>
          <w:lang w:val="da-DK"/>
        </w:rPr>
        <w:t xml:space="preserve">versus </w:t>
      </w:r>
      <w:r>
        <w:rPr>
          <w:iCs/>
          <w:lang w:val="da-DK"/>
        </w:rPr>
        <w:t>5</w:t>
      </w:r>
      <w:r>
        <w:rPr>
          <w:lang w:val="da-DK"/>
        </w:rPr>
        <w:t> %, og væskeretention</w:t>
      </w:r>
      <w:r>
        <w:rPr>
          <w:spacing w:val="1"/>
          <w:lang w:val="da-DK"/>
        </w:rPr>
        <w:t xml:space="preserve"> </w:t>
      </w:r>
      <w:r>
        <w:rPr>
          <w:lang w:val="da-DK"/>
        </w:rPr>
        <w:t xml:space="preserve">(perifert ødem) grad 3 og 4 observeredes hos henholdsvis 1 % </w:t>
      </w:r>
      <w:r>
        <w:rPr>
          <w:i/>
          <w:lang w:val="da-DK"/>
        </w:rPr>
        <w:t xml:space="preserve">versus </w:t>
      </w:r>
      <w:r>
        <w:rPr>
          <w:lang w:val="da-DK"/>
        </w:rPr>
        <w:t>1 % af patienterne. Bivirkningerne</w:t>
      </w:r>
      <w:r>
        <w:rPr>
          <w:spacing w:val="1"/>
          <w:lang w:val="da-DK"/>
        </w:rPr>
        <w:t xml:space="preserve"> </w:t>
      </w:r>
      <w:r>
        <w:rPr>
          <w:lang w:val="da-DK"/>
        </w:rPr>
        <w:t>af mineralokortikoider kunne generelt behandles medicinsk. Samtidig anvendelse af et kortikosteroid</w:t>
      </w:r>
      <w:r>
        <w:rPr>
          <w:spacing w:val="1"/>
          <w:lang w:val="da-DK"/>
        </w:rPr>
        <w:t xml:space="preserve"> </w:t>
      </w:r>
      <w:r>
        <w:rPr>
          <w:lang w:val="da-DK"/>
        </w:rPr>
        <w:t>reducerer</w:t>
      </w:r>
      <w:r>
        <w:rPr>
          <w:spacing w:val="-2"/>
          <w:lang w:val="da-DK"/>
        </w:rPr>
        <w:t xml:space="preserve"> </w:t>
      </w:r>
      <w:r>
        <w:rPr>
          <w:lang w:val="da-DK"/>
        </w:rPr>
        <w:t>incidensen</w:t>
      </w:r>
      <w:r>
        <w:rPr>
          <w:spacing w:val="-2"/>
          <w:lang w:val="da-DK"/>
        </w:rPr>
        <w:t xml:space="preserve"> </w:t>
      </w:r>
      <w:r>
        <w:rPr>
          <w:lang w:val="da-DK"/>
        </w:rPr>
        <w:t>og</w:t>
      </w:r>
      <w:r>
        <w:rPr>
          <w:spacing w:val="-1"/>
          <w:lang w:val="da-DK"/>
        </w:rPr>
        <w:t xml:space="preserve"> </w:t>
      </w:r>
      <w:r>
        <w:rPr>
          <w:lang w:val="da-DK"/>
        </w:rPr>
        <w:t>sværhedsgraden</w:t>
      </w:r>
      <w:r>
        <w:rPr>
          <w:spacing w:val="-2"/>
          <w:lang w:val="da-DK"/>
        </w:rPr>
        <w:t xml:space="preserve"> </w:t>
      </w:r>
      <w:r>
        <w:rPr>
          <w:lang w:val="da-DK"/>
        </w:rPr>
        <w:t>af</w:t>
      </w:r>
      <w:r>
        <w:rPr>
          <w:spacing w:val="-2"/>
          <w:lang w:val="da-DK"/>
        </w:rPr>
        <w:t xml:space="preserve"> </w:t>
      </w:r>
      <w:r>
        <w:rPr>
          <w:lang w:val="da-DK"/>
        </w:rPr>
        <w:t>disse</w:t>
      </w:r>
      <w:r>
        <w:rPr>
          <w:spacing w:val="-1"/>
          <w:lang w:val="da-DK"/>
        </w:rPr>
        <w:t xml:space="preserve"> </w:t>
      </w:r>
      <w:r>
        <w:rPr>
          <w:lang w:val="da-DK"/>
        </w:rPr>
        <w:t>bivirkninger</w:t>
      </w:r>
      <w:r>
        <w:rPr>
          <w:spacing w:val="-2"/>
          <w:lang w:val="da-DK"/>
        </w:rPr>
        <w:t xml:space="preserve"> </w:t>
      </w:r>
      <w:r>
        <w:rPr>
          <w:lang w:val="da-DK"/>
        </w:rPr>
        <w:t>(se</w:t>
      </w:r>
      <w:r>
        <w:rPr>
          <w:spacing w:val="-1"/>
          <w:lang w:val="da-DK"/>
        </w:rPr>
        <w:t xml:space="preserve"> </w:t>
      </w:r>
      <w:r>
        <w:rPr>
          <w:lang w:val="da-DK"/>
        </w:rPr>
        <w:t>pkt. 4.4).</w:t>
      </w:r>
    </w:p>
    <w:p>
      <w:pPr>
        <w:pStyle w:val="BodyText"/>
        <w:tabs>
          <w:tab w:val="left" w:pos="8505"/>
        </w:tabs>
        <w:ind w:right="-1"/>
        <w:rPr>
          <w:lang w:val="da-DK"/>
        </w:rPr>
      </w:pPr>
    </w:p>
    <w:p>
      <w:pPr>
        <w:pStyle w:val="BodyText"/>
        <w:tabs>
          <w:tab w:val="left" w:pos="8505"/>
        </w:tabs>
        <w:ind w:right="-1"/>
        <w:rPr>
          <w:lang w:val="da-DK"/>
        </w:rPr>
      </w:pPr>
      <w:r>
        <w:rPr>
          <w:u w:val="single"/>
          <w:lang w:val="da-DK"/>
        </w:rPr>
        <w:t>Bivirkninger</w:t>
      </w:r>
      <w:r>
        <w:rPr>
          <w:spacing w:val="-4"/>
          <w:u w:val="single"/>
          <w:lang w:val="da-DK"/>
        </w:rPr>
        <w:t xml:space="preserve"> </w:t>
      </w:r>
      <w:r>
        <w:rPr>
          <w:u w:val="single"/>
          <w:lang w:val="da-DK"/>
        </w:rPr>
        <w:t>opstillet</w:t>
      </w:r>
      <w:r>
        <w:rPr>
          <w:spacing w:val="-4"/>
          <w:u w:val="single"/>
          <w:lang w:val="da-DK"/>
        </w:rPr>
        <w:t xml:space="preserve"> </w:t>
      </w:r>
      <w:r>
        <w:rPr>
          <w:u w:val="single"/>
          <w:lang w:val="da-DK"/>
        </w:rPr>
        <w:t>i</w:t>
      </w:r>
      <w:r>
        <w:rPr>
          <w:spacing w:val="-3"/>
          <w:u w:val="single"/>
          <w:lang w:val="da-DK"/>
        </w:rPr>
        <w:t xml:space="preserve"> </w:t>
      </w:r>
      <w:r>
        <w:rPr>
          <w:u w:val="single"/>
          <w:lang w:val="da-DK"/>
        </w:rPr>
        <w:t>tabelform</w:t>
      </w:r>
    </w:p>
    <w:p>
      <w:pPr>
        <w:pStyle w:val="BodyText"/>
        <w:tabs>
          <w:tab w:val="left" w:pos="8505"/>
        </w:tabs>
        <w:ind w:right="-1"/>
        <w:rPr>
          <w:lang w:val="da-DK"/>
        </w:rPr>
      </w:pPr>
      <w:r>
        <w:rPr>
          <w:lang w:val="da-DK"/>
        </w:rPr>
        <w:t>I studier med patienter med metastaserende avanceret prostatacancer, som blev behandlet med en</w:t>
      </w:r>
      <w:r>
        <w:rPr>
          <w:spacing w:val="1"/>
          <w:lang w:val="da-DK"/>
        </w:rPr>
        <w:t xml:space="preserve"> </w:t>
      </w:r>
      <w:r>
        <w:rPr>
          <w:spacing w:val="-1"/>
          <w:lang w:val="da-DK"/>
        </w:rPr>
        <w:t xml:space="preserve">LHRH-analog, eller som tidligere havde fået foretaget </w:t>
      </w:r>
      <w:r>
        <w:rPr>
          <w:lang w:val="da-DK"/>
        </w:rPr>
        <w:t>orkiektomi, blev abirateronacetat administreret i en</w:t>
      </w:r>
      <w:r>
        <w:rPr>
          <w:spacing w:val="1"/>
          <w:lang w:val="da-DK"/>
        </w:rPr>
        <w:t xml:space="preserve"> </w:t>
      </w:r>
      <w:r>
        <w:rPr>
          <w:lang w:val="da-DK"/>
        </w:rPr>
        <w:t>dosis på 1.000 mg dagligt i kombination med lavdosis prednison eller prednisolon (enten 5 eller 10 mg dagligt afhængigt</w:t>
      </w:r>
      <w:r>
        <w:rPr>
          <w:spacing w:val="-1"/>
          <w:lang w:val="da-DK"/>
        </w:rPr>
        <w:t xml:space="preserve"> </w:t>
      </w:r>
      <w:r>
        <w:rPr>
          <w:lang w:val="da-DK"/>
        </w:rPr>
        <w:t>af</w:t>
      </w:r>
      <w:r>
        <w:rPr>
          <w:spacing w:val="-1"/>
          <w:lang w:val="da-DK"/>
        </w:rPr>
        <w:t xml:space="preserve"> </w:t>
      </w:r>
      <w:r>
        <w:rPr>
          <w:lang w:val="da-DK"/>
        </w:rPr>
        <w:t>indikationen).</w:t>
      </w:r>
    </w:p>
    <w:p>
      <w:pPr>
        <w:pStyle w:val="BodyText"/>
        <w:tabs>
          <w:tab w:val="left" w:pos="8505"/>
        </w:tabs>
        <w:ind w:right="-1"/>
        <w:rPr>
          <w:sz w:val="21"/>
          <w:lang w:val="da-DK"/>
        </w:rPr>
      </w:pPr>
    </w:p>
    <w:p>
      <w:pPr>
        <w:pStyle w:val="BodyText"/>
        <w:tabs>
          <w:tab w:val="left" w:pos="8505"/>
        </w:tabs>
        <w:ind w:right="-1"/>
        <w:rPr>
          <w:lang w:val="da-DK"/>
        </w:rPr>
      </w:pPr>
      <w:r>
        <w:rPr>
          <w:lang w:val="da-DK"/>
        </w:rPr>
        <w:t>Bivirkninger observeret i kliniske studier og efter markedsføring med Abirateronacetat er anført nedenfor</w:t>
      </w:r>
      <w:r>
        <w:rPr>
          <w:spacing w:val="1"/>
          <w:lang w:val="da-DK"/>
        </w:rPr>
        <w:t xml:space="preserve"> </w:t>
      </w:r>
      <w:r>
        <w:rPr>
          <w:lang w:val="da-DK"/>
        </w:rPr>
        <w:t>inddelt efter hyppighed. Hyppigheden klassificeres som følger: meget almindelig (≥ 1/10), almindelig (≥ 1/100 til &lt; 1/10), ikke almindelig (≥ 1/1.000 til &lt; 1/100), sjælden (≥ 1/10.000 til &lt; 1/1.000), meget</w:t>
      </w:r>
      <w:r>
        <w:rPr>
          <w:spacing w:val="1"/>
          <w:lang w:val="da-DK"/>
        </w:rPr>
        <w:t xml:space="preserve"> </w:t>
      </w:r>
      <w:r>
        <w:rPr>
          <w:lang w:val="da-DK"/>
        </w:rPr>
        <w:t>sjælden</w:t>
      </w:r>
      <w:r>
        <w:rPr>
          <w:spacing w:val="-2"/>
          <w:lang w:val="da-DK"/>
        </w:rPr>
        <w:t xml:space="preserve"> </w:t>
      </w:r>
      <w:r>
        <w:rPr>
          <w:lang w:val="da-DK"/>
        </w:rPr>
        <w:t>(&lt;</w:t>
      </w:r>
      <w:r>
        <w:rPr>
          <w:spacing w:val="-1"/>
          <w:lang w:val="da-DK"/>
        </w:rPr>
        <w:t> </w:t>
      </w:r>
      <w:r>
        <w:rPr>
          <w:lang w:val="da-DK"/>
        </w:rPr>
        <w:t>1/10.000)</w:t>
      </w:r>
      <w:r>
        <w:rPr>
          <w:spacing w:val="-2"/>
          <w:lang w:val="da-DK"/>
        </w:rPr>
        <w:t xml:space="preserve"> </w:t>
      </w:r>
      <w:r>
        <w:rPr>
          <w:lang w:val="da-DK"/>
        </w:rPr>
        <w:t>og</w:t>
      </w:r>
      <w:r>
        <w:rPr>
          <w:spacing w:val="-2"/>
          <w:lang w:val="da-DK"/>
        </w:rPr>
        <w:t xml:space="preserve"> </w:t>
      </w:r>
      <w:r>
        <w:rPr>
          <w:lang w:val="da-DK"/>
        </w:rPr>
        <w:t>ikke</w:t>
      </w:r>
      <w:r>
        <w:rPr>
          <w:spacing w:val="-2"/>
          <w:lang w:val="da-DK"/>
        </w:rPr>
        <w:t xml:space="preserve"> </w:t>
      </w:r>
      <w:r>
        <w:rPr>
          <w:lang w:val="da-DK"/>
        </w:rPr>
        <w:t>kendt</w:t>
      </w:r>
      <w:r>
        <w:rPr>
          <w:spacing w:val="-2"/>
          <w:lang w:val="da-DK"/>
        </w:rPr>
        <w:t xml:space="preserve"> </w:t>
      </w:r>
      <w:r>
        <w:rPr>
          <w:lang w:val="da-DK"/>
        </w:rPr>
        <w:t>(kan</w:t>
      </w:r>
      <w:r>
        <w:rPr>
          <w:spacing w:val="-1"/>
          <w:lang w:val="da-DK"/>
        </w:rPr>
        <w:t xml:space="preserve"> </w:t>
      </w:r>
      <w:r>
        <w:rPr>
          <w:lang w:val="da-DK"/>
        </w:rPr>
        <w:t>ikke</w:t>
      </w:r>
      <w:r>
        <w:rPr>
          <w:spacing w:val="-2"/>
          <w:lang w:val="da-DK"/>
        </w:rPr>
        <w:t xml:space="preserve"> </w:t>
      </w:r>
      <w:r>
        <w:rPr>
          <w:lang w:val="da-DK"/>
        </w:rPr>
        <w:t>estimeres</w:t>
      </w:r>
      <w:r>
        <w:rPr>
          <w:spacing w:val="-2"/>
          <w:lang w:val="da-DK"/>
        </w:rPr>
        <w:t xml:space="preserve"> </w:t>
      </w:r>
      <w:r>
        <w:rPr>
          <w:lang w:val="da-DK"/>
        </w:rPr>
        <w:t>ud</w:t>
      </w:r>
      <w:r>
        <w:rPr>
          <w:spacing w:val="-2"/>
          <w:lang w:val="da-DK"/>
        </w:rPr>
        <w:t xml:space="preserve"> </w:t>
      </w:r>
      <w:r>
        <w:rPr>
          <w:lang w:val="da-DK"/>
        </w:rPr>
        <w:t>fra</w:t>
      </w:r>
      <w:r>
        <w:rPr>
          <w:spacing w:val="-2"/>
          <w:lang w:val="da-DK"/>
        </w:rPr>
        <w:t xml:space="preserve"> </w:t>
      </w:r>
      <w:r>
        <w:rPr>
          <w:lang w:val="da-DK"/>
        </w:rPr>
        <w:t>forhåndenværende</w:t>
      </w:r>
      <w:r>
        <w:rPr>
          <w:spacing w:val="-2"/>
          <w:lang w:val="da-DK"/>
        </w:rPr>
        <w:t xml:space="preserve"> </w:t>
      </w:r>
      <w:r>
        <w:rPr>
          <w:lang w:val="da-DK"/>
        </w:rPr>
        <w:t>data).</w:t>
      </w:r>
    </w:p>
    <w:p>
      <w:pPr>
        <w:pStyle w:val="BodyText"/>
        <w:tabs>
          <w:tab w:val="left" w:pos="8505"/>
        </w:tabs>
        <w:ind w:right="-1"/>
        <w:rPr>
          <w:lang w:val="da-DK"/>
        </w:rPr>
      </w:pPr>
    </w:p>
    <w:p>
      <w:pPr>
        <w:pStyle w:val="BodyText"/>
        <w:tabs>
          <w:tab w:val="left" w:pos="8505"/>
        </w:tabs>
        <w:ind w:right="-1"/>
        <w:rPr>
          <w:lang w:val="da-DK"/>
        </w:rPr>
      </w:pPr>
      <w:r>
        <w:rPr>
          <w:lang w:val="da-DK"/>
        </w:rPr>
        <w:t>Inden</w:t>
      </w:r>
      <w:r>
        <w:rPr>
          <w:spacing w:val="-4"/>
          <w:lang w:val="da-DK"/>
        </w:rPr>
        <w:t xml:space="preserve"> </w:t>
      </w:r>
      <w:r>
        <w:rPr>
          <w:lang w:val="da-DK"/>
        </w:rPr>
        <w:t>for</w:t>
      </w:r>
      <w:r>
        <w:rPr>
          <w:spacing w:val="-4"/>
          <w:lang w:val="da-DK"/>
        </w:rPr>
        <w:t xml:space="preserve"> </w:t>
      </w:r>
      <w:r>
        <w:rPr>
          <w:lang w:val="da-DK"/>
        </w:rPr>
        <w:t>hver</w:t>
      </w:r>
      <w:r>
        <w:rPr>
          <w:spacing w:val="-4"/>
          <w:lang w:val="da-DK"/>
        </w:rPr>
        <w:t xml:space="preserve"> </w:t>
      </w:r>
      <w:r>
        <w:rPr>
          <w:lang w:val="da-DK"/>
        </w:rPr>
        <w:t>hyppighed</w:t>
      </w:r>
      <w:r>
        <w:rPr>
          <w:spacing w:val="-4"/>
          <w:lang w:val="da-DK"/>
        </w:rPr>
        <w:t xml:space="preserve"> </w:t>
      </w:r>
      <w:r>
        <w:rPr>
          <w:lang w:val="da-DK"/>
        </w:rPr>
        <w:t>er</w:t>
      </w:r>
      <w:r>
        <w:rPr>
          <w:spacing w:val="-4"/>
          <w:lang w:val="da-DK"/>
        </w:rPr>
        <w:t xml:space="preserve"> </w:t>
      </w:r>
      <w:r>
        <w:rPr>
          <w:lang w:val="da-DK"/>
        </w:rPr>
        <w:t>bivirkningerne</w:t>
      </w:r>
      <w:r>
        <w:rPr>
          <w:spacing w:val="-3"/>
          <w:lang w:val="da-DK"/>
        </w:rPr>
        <w:t xml:space="preserve"> </w:t>
      </w:r>
      <w:r>
        <w:rPr>
          <w:lang w:val="da-DK"/>
        </w:rPr>
        <w:t>opstillet</w:t>
      </w:r>
      <w:r>
        <w:rPr>
          <w:spacing w:val="-4"/>
          <w:lang w:val="da-DK"/>
        </w:rPr>
        <w:t xml:space="preserve"> </w:t>
      </w:r>
      <w:r>
        <w:rPr>
          <w:lang w:val="da-DK"/>
        </w:rPr>
        <w:t>med</w:t>
      </w:r>
      <w:r>
        <w:rPr>
          <w:spacing w:val="-4"/>
          <w:lang w:val="da-DK"/>
        </w:rPr>
        <w:t xml:space="preserve"> </w:t>
      </w:r>
      <w:r>
        <w:rPr>
          <w:lang w:val="da-DK"/>
        </w:rPr>
        <w:t>faldende</w:t>
      </w:r>
      <w:r>
        <w:rPr>
          <w:spacing w:val="-4"/>
          <w:lang w:val="da-DK"/>
        </w:rPr>
        <w:t xml:space="preserve"> </w:t>
      </w:r>
      <w:r>
        <w:rPr>
          <w:lang w:val="da-DK"/>
        </w:rPr>
        <w:t>sværhedsgrad.</w:t>
      </w:r>
    </w:p>
    <w:p>
      <w:pPr>
        <w:pStyle w:val="BodyText"/>
        <w:tabs>
          <w:tab w:val="left" w:pos="8505"/>
        </w:tabs>
        <w:ind w:right="-1"/>
        <w:rPr>
          <w:lang w:val="da-DK"/>
        </w:rPr>
      </w:pPr>
    </w:p>
    <w:p>
      <w:pPr>
        <w:pStyle w:val="Heading1"/>
      </w:pPr>
      <w:r>
        <w:t>Tabel</w:t>
      </w:r>
      <w:r>
        <w:rPr>
          <w:spacing w:val="-2"/>
        </w:rPr>
        <w:t> </w:t>
      </w:r>
      <w:r>
        <w:t>1: Bivirkninger</w:t>
      </w:r>
      <w:r>
        <w:rPr>
          <w:spacing w:val="-4"/>
        </w:rPr>
        <w:t xml:space="preserve"> </w:t>
      </w:r>
      <w:r>
        <w:t>påvist</w:t>
      </w:r>
      <w:r>
        <w:rPr>
          <w:spacing w:val="-3"/>
        </w:rPr>
        <w:t xml:space="preserve"> </w:t>
      </w:r>
      <w:r>
        <w:t>i</w:t>
      </w:r>
      <w:r>
        <w:rPr>
          <w:spacing w:val="-4"/>
        </w:rPr>
        <w:t xml:space="preserve"> </w:t>
      </w:r>
      <w:r>
        <w:t>kliniske</w:t>
      </w:r>
      <w:r>
        <w:rPr>
          <w:spacing w:val="-3"/>
        </w:rPr>
        <w:t xml:space="preserve"> </w:t>
      </w:r>
      <w:r>
        <w:t>studier</w:t>
      </w:r>
      <w:r>
        <w:rPr>
          <w:spacing w:val="-4"/>
        </w:rPr>
        <w:t xml:space="preserve"> </w:t>
      </w:r>
      <w:r>
        <w:t>og</w:t>
      </w:r>
      <w:r>
        <w:rPr>
          <w:spacing w:val="-3"/>
        </w:rPr>
        <w:t xml:space="preserve"> </w:t>
      </w:r>
      <w:r>
        <w:t>efter</w:t>
      </w:r>
      <w:r>
        <w:rPr>
          <w:spacing w:val="-4"/>
        </w:rPr>
        <w:t xml:space="preserve"> </w:t>
      </w:r>
      <w:r>
        <w:t>markedsføring</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5103"/>
      </w:tblGrid>
      <w:tr>
        <w:trPr>
          <w:trHeight w:val="253"/>
        </w:trPr>
        <w:tc>
          <w:tcPr>
            <w:tcW w:w="3969" w:type="dxa"/>
          </w:tcPr>
          <w:p>
            <w:pPr>
              <w:pStyle w:val="TableParagraph"/>
              <w:tabs>
                <w:tab w:val="left" w:pos="8505"/>
              </w:tabs>
              <w:ind w:left="142" w:right="-1"/>
              <w:rPr>
                <w:b/>
                <w:lang w:val="da-DK"/>
              </w:rPr>
            </w:pPr>
            <w:r>
              <w:rPr>
                <w:b/>
                <w:lang w:val="da-DK"/>
              </w:rPr>
              <w:t>Systemorganklasse</w:t>
            </w:r>
          </w:p>
        </w:tc>
        <w:tc>
          <w:tcPr>
            <w:tcW w:w="5103" w:type="dxa"/>
          </w:tcPr>
          <w:p>
            <w:pPr>
              <w:pStyle w:val="TableParagraph"/>
              <w:tabs>
                <w:tab w:val="left" w:pos="8505"/>
              </w:tabs>
              <w:ind w:left="141" w:right="-1"/>
              <w:rPr>
                <w:b/>
                <w:lang w:val="da-DK"/>
              </w:rPr>
            </w:pPr>
            <w:r>
              <w:rPr>
                <w:b/>
                <w:lang w:val="da-DK"/>
              </w:rPr>
              <w:t>Bivirkning</w:t>
            </w:r>
            <w:r>
              <w:rPr>
                <w:b/>
                <w:spacing w:val="-3"/>
                <w:lang w:val="da-DK"/>
              </w:rPr>
              <w:t xml:space="preserve"> </w:t>
            </w:r>
            <w:r>
              <w:rPr>
                <w:b/>
                <w:lang w:val="da-DK"/>
              </w:rPr>
              <w:t>og</w:t>
            </w:r>
            <w:r>
              <w:rPr>
                <w:b/>
                <w:spacing w:val="-3"/>
                <w:lang w:val="da-DK"/>
              </w:rPr>
              <w:t xml:space="preserve"> </w:t>
            </w:r>
            <w:r>
              <w:rPr>
                <w:b/>
                <w:lang w:val="da-DK"/>
              </w:rPr>
              <w:t>hyppighed</w:t>
            </w:r>
          </w:p>
        </w:tc>
      </w:tr>
      <w:tr>
        <w:trPr>
          <w:trHeight w:val="506"/>
        </w:trPr>
        <w:tc>
          <w:tcPr>
            <w:tcW w:w="3969" w:type="dxa"/>
          </w:tcPr>
          <w:p>
            <w:pPr>
              <w:pStyle w:val="TableParagraph"/>
              <w:tabs>
                <w:tab w:val="left" w:pos="8505"/>
              </w:tabs>
              <w:ind w:left="142" w:right="-1"/>
              <w:rPr>
                <w:b/>
                <w:lang w:val="da-DK"/>
              </w:rPr>
            </w:pPr>
            <w:r>
              <w:rPr>
                <w:b/>
                <w:lang w:val="da-DK"/>
              </w:rPr>
              <w:t>Infektioner</w:t>
            </w:r>
            <w:r>
              <w:rPr>
                <w:b/>
                <w:spacing w:val="-4"/>
                <w:lang w:val="da-DK"/>
              </w:rPr>
              <w:t xml:space="preserve"> </w:t>
            </w:r>
            <w:r>
              <w:rPr>
                <w:b/>
                <w:lang w:val="da-DK"/>
              </w:rPr>
              <w:t>og</w:t>
            </w:r>
            <w:r>
              <w:rPr>
                <w:b/>
                <w:spacing w:val="-3"/>
                <w:lang w:val="da-DK"/>
              </w:rPr>
              <w:t xml:space="preserve"> </w:t>
            </w:r>
            <w:r>
              <w:rPr>
                <w:b/>
                <w:lang w:val="da-DK"/>
              </w:rPr>
              <w:t>parasitære</w:t>
            </w:r>
            <w:r>
              <w:rPr>
                <w:b/>
                <w:spacing w:val="-3"/>
                <w:lang w:val="da-DK"/>
              </w:rPr>
              <w:t xml:space="preserve"> </w:t>
            </w:r>
            <w:r>
              <w:rPr>
                <w:b/>
                <w:lang w:val="da-DK"/>
              </w:rPr>
              <w:t>sygdomme</w:t>
            </w:r>
          </w:p>
        </w:tc>
        <w:tc>
          <w:tcPr>
            <w:tcW w:w="5103" w:type="dxa"/>
          </w:tcPr>
          <w:p>
            <w:pPr>
              <w:pStyle w:val="TableParagraph"/>
              <w:tabs>
                <w:tab w:val="left" w:pos="8505"/>
              </w:tabs>
              <w:ind w:left="141" w:right="-1"/>
              <w:rPr>
                <w:lang w:val="da-DK"/>
              </w:rPr>
            </w:pPr>
            <w:r>
              <w:rPr>
                <w:lang w:val="da-DK"/>
              </w:rPr>
              <w:t>Meget almindelige: urinvejsinfektion</w:t>
            </w:r>
          </w:p>
          <w:p>
            <w:pPr>
              <w:pStyle w:val="TableParagraph"/>
              <w:tabs>
                <w:tab w:val="left" w:pos="8505"/>
              </w:tabs>
              <w:ind w:left="141" w:right="-1"/>
              <w:rPr>
                <w:lang w:val="da-DK"/>
              </w:rPr>
            </w:pPr>
            <w:r>
              <w:rPr>
                <w:lang w:val="da-DK"/>
              </w:rPr>
              <w:t>Almindelig:</w:t>
            </w:r>
            <w:r>
              <w:rPr>
                <w:spacing w:val="-2"/>
                <w:lang w:val="da-DK"/>
              </w:rPr>
              <w:t xml:space="preserve"> </w:t>
            </w:r>
            <w:r>
              <w:rPr>
                <w:lang w:val="da-DK"/>
              </w:rPr>
              <w:t>sepsis</w:t>
            </w:r>
          </w:p>
        </w:tc>
      </w:tr>
      <w:tr>
        <w:trPr>
          <w:trHeight w:val="251"/>
        </w:trPr>
        <w:tc>
          <w:tcPr>
            <w:tcW w:w="3969" w:type="dxa"/>
          </w:tcPr>
          <w:p>
            <w:pPr>
              <w:pStyle w:val="TableParagraph"/>
              <w:tabs>
                <w:tab w:val="left" w:pos="8505"/>
              </w:tabs>
              <w:ind w:left="142" w:right="-1"/>
              <w:rPr>
                <w:b/>
                <w:lang w:val="da-DK"/>
              </w:rPr>
            </w:pPr>
            <w:r>
              <w:rPr>
                <w:b/>
                <w:lang w:val="da-DK"/>
              </w:rPr>
              <w:t>Immunsystemet</w:t>
            </w:r>
          </w:p>
        </w:tc>
        <w:tc>
          <w:tcPr>
            <w:tcW w:w="5103" w:type="dxa"/>
          </w:tcPr>
          <w:p>
            <w:pPr>
              <w:pStyle w:val="TableParagraph"/>
              <w:tabs>
                <w:tab w:val="left" w:pos="8505"/>
              </w:tabs>
              <w:ind w:left="141" w:right="-1"/>
              <w:rPr>
                <w:lang w:val="da-DK"/>
              </w:rPr>
            </w:pPr>
            <w:r>
              <w:rPr>
                <w:lang w:val="da-DK"/>
              </w:rPr>
              <w:t>Ikke</w:t>
            </w:r>
            <w:r>
              <w:rPr>
                <w:spacing w:val="-4"/>
                <w:lang w:val="da-DK"/>
              </w:rPr>
              <w:t xml:space="preserve"> </w:t>
            </w:r>
            <w:r>
              <w:rPr>
                <w:lang w:val="da-DK"/>
              </w:rPr>
              <w:t>kendt:</w:t>
            </w:r>
            <w:r>
              <w:rPr>
                <w:spacing w:val="-3"/>
                <w:lang w:val="da-DK"/>
              </w:rPr>
              <w:t xml:space="preserve"> </w:t>
            </w:r>
            <w:r>
              <w:rPr>
                <w:lang w:val="da-DK"/>
              </w:rPr>
              <w:t>anafylaktiske</w:t>
            </w:r>
            <w:r>
              <w:rPr>
                <w:spacing w:val="-3"/>
                <w:lang w:val="da-DK"/>
              </w:rPr>
              <w:t xml:space="preserve"> </w:t>
            </w:r>
            <w:r>
              <w:rPr>
                <w:lang w:val="da-DK"/>
              </w:rPr>
              <w:t>reaktioner</w:t>
            </w:r>
          </w:p>
        </w:tc>
      </w:tr>
      <w:tr>
        <w:trPr>
          <w:trHeight w:val="254"/>
        </w:trPr>
        <w:tc>
          <w:tcPr>
            <w:tcW w:w="3969" w:type="dxa"/>
          </w:tcPr>
          <w:p>
            <w:pPr>
              <w:pStyle w:val="TableParagraph"/>
              <w:tabs>
                <w:tab w:val="left" w:pos="8505"/>
              </w:tabs>
              <w:ind w:left="142" w:right="-1"/>
              <w:rPr>
                <w:b/>
                <w:lang w:val="da-DK"/>
              </w:rPr>
            </w:pPr>
            <w:r>
              <w:rPr>
                <w:b/>
                <w:lang w:val="da-DK"/>
              </w:rPr>
              <w:t>Det</w:t>
            </w:r>
            <w:r>
              <w:rPr>
                <w:b/>
                <w:spacing w:val="-3"/>
                <w:lang w:val="da-DK"/>
              </w:rPr>
              <w:t xml:space="preserve"> </w:t>
            </w:r>
            <w:r>
              <w:rPr>
                <w:b/>
                <w:lang w:val="da-DK"/>
              </w:rPr>
              <w:t>endokrine</w:t>
            </w:r>
            <w:r>
              <w:rPr>
                <w:b/>
                <w:spacing w:val="-3"/>
                <w:lang w:val="da-DK"/>
              </w:rPr>
              <w:t xml:space="preserve"> </w:t>
            </w:r>
            <w:r>
              <w:rPr>
                <w:b/>
                <w:lang w:val="da-DK"/>
              </w:rPr>
              <w:t>system</w:t>
            </w:r>
          </w:p>
        </w:tc>
        <w:tc>
          <w:tcPr>
            <w:tcW w:w="5103" w:type="dxa"/>
          </w:tcPr>
          <w:p>
            <w:pPr>
              <w:pStyle w:val="TableParagraph"/>
              <w:tabs>
                <w:tab w:val="left" w:pos="8505"/>
              </w:tabs>
              <w:ind w:left="141" w:right="-1"/>
              <w:rPr>
                <w:lang w:val="da-DK"/>
              </w:rPr>
            </w:pPr>
            <w:r>
              <w:rPr>
                <w:lang w:val="da-DK"/>
              </w:rPr>
              <w:t>Ikke</w:t>
            </w:r>
            <w:r>
              <w:rPr>
                <w:spacing w:val="-5"/>
                <w:lang w:val="da-DK"/>
              </w:rPr>
              <w:t xml:space="preserve"> </w:t>
            </w:r>
            <w:r>
              <w:rPr>
                <w:lang w:val="da-DK"/>
              </w:rPr>
              <w:t>almindelige:</w:t>
            </w:r>
            <w:r>
              <w:rPr>
                <w:spacing w:val="-4"/>
                <w:lang w:val="da-DK"/>
              </w:rPr>
              <w:t xml:space="preserve"> </w:t>
            </w:r>
            <w:r>
              <w:rPr>
                <w:lang w:val="da-DK"/>
              </w:rPr>
              <w:t>binyreinsufficiens</w:t>
            </w:r>
          </w:p>
        </w:tc>
      </w:tr>
      <w:tr>
        <w:trPr>
          <w:trHeight w:val="505"/>
        </w:trPr>
        <w:tc>
          <w:tcPr>
            <w:tcW w:w="3969" w:type="dxa"/>
          </w:tcPr>
          <w:p>
            <w:pPr>
              <w:pStyle w:val="TableParagraph"/>
              <w:tabs>
                <w:tab w:val="left" w:pos="8505"/>
              </w:tabs>
              <w:ind w:left="142" w:right="-1"/>
              <w:rPr>
                <w:b/>
                <w:lang w:val="da-DK"/>
              </w:rPr>
            </w:pPr>
            <w:r>
              <w:rPr>
                <w:b/>
                <w:lang w:val="da-DK"/>
              </w:rPr>
              <w:t>Metabolisme</w:t>
            </w:r>
            <w:r>
              <w:rPr>
                <w:b/>
                <w:spacing w:val="-3"/>
                <w:lang w:val="da-DK"/>
              </w:rPr>
              <w:t xml:space="preserve"> </w:t>
            </w:r>
            <w:r>
              <w:rPr>
                <w:b/>
                <w:lang w:val="da-DK"/>
              </w:rPr>
              <w:t>og</w:t>
            </w:r>
            <w:r>
              <w:rPr>
                <w:b/>
                <w:spacing w:val="-3"/>
                <w:lang w:val="da-DK"/>
              </w:rPr>
              <w:t xml:space="preserve"> </w:t>
            </w:r>
            <w:r>
              <w:rPr>
                <w:b/>
                <w:lang w:val="da-DK"/>
              </w:rPr>
              <w:t>ernæring</w:t>
            </w:r>
          </w:p>
        </w:tc>
        <w:tc>
          <w:tcPr>
            <w:tcW w:w="5103" w:type="dxa"/>
          </w:tcPr>
          <w:p>
            <w:pPr>
              <w:pStyle w:val="TableParagraph"/>
              <w:tabs>
                <w:tab w:val="left" w:pos="8505"/>
              </w:tabs>
              <w:ind w:left="141" w:right="-1"/>
              <w:rPr>
                <w:spacing w:val="1"/>
                <w:lang w:val="da-DK"/>
              </w:rPr>
            </w:pPr>
            <w:r>
              <w:rPr>
                <w:lang w:val="da-DK"/>
              </w:rPr>
              <w:t>Meget almindelige: hypokaliæmi</w:t>
            </w:r>
            <w:r>
              <w:rPr>
                <w:spacing w:val="1"/>
                <w:lang w:val="da-DK"/>
              </w:rPr>
              <w:t xml:space="preserve"> </w:t>
            </w:r>
          </w:p>
          <w:p>
            <w:pPr>
              <w:pStyle w:val="TableParagraph"/>
              <w:tabs>
                <w:tab w:val="left" w:pos="8505"/>
              </w:tabs>
              <w:ind w:left="141" w:right="-1"/>
              <w:rPr>
                <w:lang w:val="da-DK"/>
              </w:rPr>
            </w:pPr>
            <w:r>
              <w:rPr>
                <w:spacing w:val="-1"/>
                <w:lang w:val="da-DK"/>
              </w:rPr>
              <w:t>Almindelige:</w:t>
            </w:r>
            <w:r>
              <w:rPr>
                <w:spacing w:val="-7"/>
                <w:lang w:val="da-DK"/>
              </w:rPr>
              <w:t xml:space="preserve"> </w:t>
            </w:r>
            <w:r>
              <w:rPr>
                <w:lang w:val="da-DK"/>
              </w:rPr>
              <w:t>hypertriglyceridæmi</w:t>
            </w:r>
          </w:p>
        </w:tc>
      </w:tr>
      <w:tr>
        <w:trPr>
          <w:trHeight w:val="1264"/>
        </w:trPr>
        <w:tc>
          <w:tcPr>
            <w:tcW w:w="3969" w:type="dxa"/>
          </w:tcPr>
          <w:p>
            <w:pPr>
              <w:pStyle w:val="TableParagraph"/>
              <w:tabs>
                <w:tab w:val="left" w:pos="8505"/>
              </w:tabs>
              <w:ind w:left="142" w:right="-1"/>
              <w:rPr>
                <w:b/>
                <w:lang w:val="da-DK"/>
              </w:rPr>
            </w:pPr>
            <w:r>
              <w:rPr>
                <w:b/>
                <w:lang w:val="da-DK"/>
              </w:rPr>
              <w:t>Hjerte</w:t>
            </w:r>
          </w:p>
        </w:tc>
        <w:tc>
          <w:tcPr>
            <w:tcW w:w="5103" w:type="dxa"/>
          </w:tcPr>
          <w:p>
            <w:pPr>
              <w:pStyle w:val="TableParagraph"/>
              <w:tabs>
                <w:tab w:val="left" w:pos="8505"/>
              </w:tabs>
              <w:ind w:left="141" w:right="-1"/>
              <w:rPr>
                <w:lang w:val="da-DK"/>
              </w:rPr>
            </w:pPr>
            <w:r>
              <w:rPr>
                <w:lang w:val="da-DK"/>
              </w:rPr>
              <w:t>Almindelige: hjerteinsufficiens*, angina</w:t>
            </w:r>
            <w:r>
              <w:rPr>
                <w:spacing w:val="-52"/>
                <w:lang w:val="da-DK"/>
              </w:rPr>
              <w:t xml:space="preserve"> </w:t>
            </w:r>
            <w:r>
              <w:rPr>
                <w:lang w:val="da-DK"/>
              </w:rPr>
              <w:t>pectoris,</w:t>
            </w:r>
            <w:r>
              <w:rPr>
                <w:spacing w:val="-3"/>
                <w:lang w:val="da-DK"/>
              </w:rPr>
              <w:t xml:space="preserve"> </w:t>
            </w:r>
            <w:r>
              <w:rPr>
                <w:lang w:val="da-DK"/>
              </w:rPr>
              <w:t>atrieflimren,</w:t>
            </w:r>
            <w:r>
              <w:rPr>
                <w:spacing w:val="-2"/>
                <w:lang w:val="da-DK"/>
              </w:rPr>
              <w:t xml:space="preserve"> </w:t>
            </w:r>
            <w:r>
              <w:rPr>
                <w:lang w:val="da-DK"/>
              </w:rPr>
              <w:t>takykardi</w:t>
            </w:r>
          </w:p>
          <w:p>
            <w:pPr>
              <w:pStyle w:val="TableParagraph"/>
              <w:tabs>
                <w:tab w:val="left" w:pos="8505"/>
              </w:tabs>
              <w:ind w:left="141" w:right="-1"/>
              <w:rPr>
                <w:lang w:val="da-DK"/>
              </w:rPr>
            </w:pPr>
            <w:r>
              <w:rPr>
                <w:lang w:val="da-DK"/>
              </w:rPr>
              <w:t>Ikke</w:t>
            </w:r>
            <w:r>
              <w:rPr>
                <w:spacing w:val="-6"/>
                <w:lang w:val="da-DK"/>
              </w:rPr>
              <w:t xml:space="preserve"> </w:t>
            </w:r>
            <w:r>
              <w:rPr>
                <w:lang w:val="da-DK"/>
              </w:rPr>
              <w:t>almindelige:</w:t>
            </w:r>
            <w:r>
              <w:rPr>
                <w:spacing w:val="-6"/>
                <w:lang w:val="da-DK"/>
              </w:rPr>
              <w:t xml:space="preserve"> </w:t>
            </w:r>
            <w:r>
              <w:rPr>
                <w:lang w:val="da-DK"/>
              </w:rPr>
              <w:t>anden</w:t>
            </w:r>
            <w:r>
              <w:rPr>
                <w:spacing w:val="-6"/>
                <w:lang w:val="da-DK"/>
              </w:rPr>
              <w:t xml:space="preserve"> </w:t>
            </w:r>
            <w:r>
              <w:rPr>
                <w:lang w:val="da-DK"/>
              </w:rPr>
              <w:t>arytmi</w:t>
            </w:r>
          </w:p>
          <w:p>
            <w:pPr>
              <w:pStyle w:val="TableParagraph"/>
              <w:tabs>
                <w:tab w:val="left" w:pos="8505"/>
              </w:tabs>
              <w:ind w:left="141" w:right="-1"/>
              <w:rPr>
                <w:lang w:val="da-DK"/>
              </w:rPr>
            </w:pPr>
            <w:r>
              <w:rPr>
                <w:lang w:val="da-DK"/>
              </w:rPr>
              <w:t>Ikke kendt: myokardieinfarkt, QT-forlængelse</w:t>
            </w:r>
            <w:r>
              <w:rPr>
                <w:spacing w:val="-52"/>
                <w:lang w:val="da-DK"/>
              </w:rPr>
              <w:t xml:space="preserve"> </w:t>
            </w:r>
            <w:r>
              <w:rPr>
                <w:lang w:val="da-DK"/>
              </w:rPr>
              <w:t>(se</w:t>
            </w:r>
            <w:r>
              <w:rPr>
                <w:spacing w:val="-1"/>
                <w:lang w:val="da-DK"/>
              </w:rPr>
              <w:t xml:space="preserve"> </w:t>
            </w:r>
            <w:r>
              <w:rPr>
                <w:lang w:val="da-DK"/>
              </w:rPr>
              <w:t>pkt. 4.4</w:t>
            </w:r>
            <w:r>
              <w:rPr>
                <w:spacing w:val="-1"/>
                <w:lang w:val="da-DK"/>
              </w:rPr>
              <w:t xml:space="preserve"> </w:t>
            </w:r>
            <w:r>
              <w:rPr>
                <w:lang w:val="da-DK"/>
              </w:rPr>
              <w:t>og</w:t>
            </w:r>
            <w:r>
              <w:rPr>
                <w:spacing w:val="-1"/>
                <w:lang w:val="da-DK"/>
              </w:rPr>
              <w:t xml:space="preserve"> </w:t>
            </w:r>
            <w:r>
              <w:rPr>
                <w:lang w:val="da-DK"/>
              </w:rPr>
              <w:t>4.5)</w:t>
            </w:r>
          </w:p>
        </w:tc>
      </w:tr>
      <w:tr>
        <w:trPr>
          <w:trHeight w:val="251"/>
        </w:trPr>
        <w:tc>
          <w:tcPr>
            <w:tcW w:w="3969" w:type="dxa"/>
          </w:tcPr>
          <w:p>
            <w:pPr>
              <w:pStyle w:val="TableParagraph"/>
              <w:tabs>
                <w:tab w:val="left" w:pos="8505"/>
              </w:tabs>
              <w:ind w:left="142" w:right="-1"/>
              <w:rPr>
                <w:b/>
                <w:lang w:val="da-DK"/>
              </w:rPr>
            </w:pPr>
            <w:r>
              <w:rPr>
                <w:b/>
                <w:lang w:val="da-DK"/>
              </w:rPr>
              <w:t>Vaskulære</w:t>
            </w:r>
            <w:r>
              <w:rPr>
                <w:b/>
                <w:spacing w:val="-3"/>
                <w:lang w:val="da-DK"/>
              </w:rPr>
              <w:t xml:space="preserve"> </w:t>
            </w:r>
            <w:r>
              <w:rPr>
                <w:b/>
                <w:lang w:val="da-DK"/>
              </w:rPr>
              <w:t>sygdomme</w:t>
            </w:r>
          </w:p>
        </w:tc>
        <w:tc>
          <w:tcPr>
            <w:tcW w:w="5103" w:type="dxa"/>
          </w:tcPr>
          <w:p>
            <w:pPr>
              <w:pStyle w:val="TableParagraph"/>
              <w:tabs>
                <w:tab w:val="left" w:pos="8505"/>
              </w:tabs>
              <w:ind w:left="141" w:right="-1"/>
              <w:rPr>
                <w:lang w:val="da-DK"/>
              </w:rPr>
            </w:pPr>
            <w:r>
              <w:rPr>
                <w:lang w:val="da-DK"/>
              </w:rPr>
              <w:t>Meget</w:t>
            </w:r>
            <w:r>
              <w:rPr>
                <w:spacing w:val="-4"/>
                <w:lang w:val="da-DK"/>
              </w:rPr>
              <w:t xml:space="preserve"> </w:t>
            </w:r>
            <w:r>
              <w:rPr>
                <w:lang w:val="da-DK"/>
              </w:rPr>
              <w:t>almindelige:</w:t>
            </w:r>
            <w:r>
              <w:rPr>
                <w:spacing w:val="-4"/>
                <w:lang w:val="da-DK"/>
              </w:rPr>
              <w:t xml:space="preserve"> </w:t>
            </w:r>
            <w:r>
              <w:rPr>
                <w:lang w:val="da-DK"/>
              </w:rPr>
              <w:t>hypertension</w:t>
            </w:r>
          </w:p>
        </w:tc>
      </w:tr>
      <w:tr>
        <w:trPr>
          <w:trHeight w:val="251"/>
        </w:trPr>
        <w:tc>
          <w:tcPr>
            <w:tcW w:w="3969" w:type="dxa"/>
          </w:tcPr>
          <w:p>
            <w:pPr>
              <w:pStyle w:val="TableParagraph"/>
              <w:tabs>
                <w:tab w:val="left" w:pos="8505"/>
              </w:tabs>
              <w:ind w:left="142" w:right="-1"/>
              <w:rPr>
                <w:b/>
                <w:lang w:val="da-DK"/>
              </w:rPr>
            </w:pPr>
            <w:r>
              <w:rPr>
                <w:b/>
                <w:lang w:val="da-DK"/>
              </w:rPr>
              <w:t>Luftveje,</w:t>
            </w:r>
            <w:r>
              <w:rPr>
                <w:b/>
                <w:spacing w:val="-4"/>
                <w:lang w:val="da-DK"/>
              </w:rPr>
              <w:t xml:space="preserve"> </w:t>
            </w:r>
            <w:r>
              <w:rPr>
                <w:b/>
                <w:lang w:val="da-DK"/>
              </w:rPr>
              <w:t>thorax</w:t>
            </w:r>
            <w:r>
              <w:rPr>
                <w:b/>
                <w:spacing w:val="-3"/>
                <w:lang w:val="da-DK"/>
              </w:rPr>
              <w:t xml:space="preserve"> </w:t>
            </w:r>
            <w:r>
              <w:rPr>
                <w:b/>
                <w:lang w:val="da-DK"/>
              </w:rPr>
              <w:t>og</w:t>
            </w:r>
            <w:r>
              <w:rPr>
                <w:b/>
                <w:spacing w:val="-3"/>
                <w:lang w:val="da-DK"/>
              </w:rPr>
              <w:t xml:space="preserve"> </w:t>
            </w:r>
            <w:r>
              <w:rPr>
                <w:b/>
                <w:lang w:val="da-DK"/>
              </w:rPr>
              <w:t>mediastinum</w:t>
            </w:r>
          </w:p>
        </w:tc>
        <w:tc>
          <w:tcPr>
            <w:tcW w:w="5103" w:type="dxa"/>
          </w:tcPr>
          <w:p>
            <w:pPr>
              <w:pStyle w:val="TableParagraph"/>
              <w:tabs>
                <w:tab w:val="left" w:pos="8505"/>
              </w:tabs>
              <w:ind w:left="141" w:right="-1"/>
              <w:rPr>
                <w:lang w:val="da-DK"/>
              </w:rPr>
            </w:pPr>
            <w:r>
              <w:rPr>
                <w:lang w:val="da-DK"/>
              </w:rPr>
              <w:t>Sjælden:</w:t>
            </w:r>
            <w:r>
              <w:rPr>
                <w:spacing w:val="-5"/>
                <w:lang w:val="da-DK"/>
              </w:rPr>
              <w:t xml:space="preserve"> </w:t>
            </w:r>
            <w:r>
              <w:rPr>
                <w:lang w:val="da-DK"/>
              </w:rPr>
              <w:t>allergisk</w:t>
            </w:r>
            <w:r>
              <w:rPr>
                <w:spacing w:val="-3"/>
                <w:lang w:val="da-DK"/>
              </w:rPr>
              <w:t xml:space="preserve"> </w:t>
            </w:r>
            <w:r>
              <w:rPr>
                <w:lang w:val="da-DK"/>
              </w:rPr>
              <w:t>alveolitis</w:t>
            </w:r>
            <w:r>
              <w:rPr>
                <w:vertAlign w:val="superscript"/>
                <w:lang w:val="da-DK"/>
              </w:rPr>
              <w:t>a</w:t>
            </w:r>
          </w:p>
        </w:tc>
      </w:tr>
      <w:tr>
        <w:trPr>
          <w:trHeight w:val="505"/>
        </w:trPr>
        <w:tc>
          <w:tcPr>
            <w:tcW w:w="3969" w:type="dxa"/>
          </w:tcPr>
          <w:p>
            <w:pPr>
              <w:pStyle w:val="TableParagraph"/>
              <w:tabs>
                <w:tab w:val="left" w:pos="8505"/>
              </w:tabs>
              <w:ind w:left="142" w:right="-1"/>
              <w:rPr>
                <w:b/>
                <w:lang w:val="da-DK"/>
              </w:rPr>
            </w:pPr>
            <w:r>
              <w:rPr>
                <w:b/>
                <w:lang w:val="da-DK"/>
              </w:rPr>
              <w:t>Mave-tarm-kanalen</w:t>
            </w:r>
          </w:p>
        </w:tc>
        <w:tc>
          <w:tcPr>
            <w:tcW w:w="5103" w:type="dxa"/>
          </w:tcPr>
          <w:p>
            <w:pPr>
              <w:pStyle w:val="TableParagraph"/>
              <w:tabs>
                <w:tab w:val="left" w:pos="8505"/>
              </w:tabs>
              <w:ind w:left="141" w:right="-1"/>
              <w:rPr>
                <w:lang w:val="da-DK"/>
              </w:rPr>
            </w:pPr>
            <w:r>
              <w:rPr>
                <w:lang w:val="da-DK"/>
              </w:rPr>
              <w:t>Meget almindelige: diarré</w:t>
            </w:r>
          </w:p>
          <w:p>
            <w:pPr>
              <w:pStyle w:val="TableParagraph"/>
              <w:tabs>
                <w:tab w:val="left" w:pos="8505"/>
              </w:tabs>
              <w:ind w:left="141" w:right="-1"/>
              <w:rPr>
                <w:lang w:val="da-DK"/>
              </w:rPr>
            </w:pPr>
            <w:r>
              <w:rPr>
                <w:lang w:val="da-DK"/>
              </w:rPr>
              <w:t>Almindelige:</w:t>
            </w:r>
            <w:r>
              <w:rPr>
                <w:spacing w:val="-3"/>
                <w:lang w:val="da-DK"/>
              </w:rPr>
              <w:t xml:space="preserve"> </w:t>
            </w:r>
            <w:r>
              <w:rPr>
                <w:lang w:val="da-DK"/>
              </w:rPr>
              <w:t>dyspepsi</w:t>
            </w:r>
          </w:p>
        </w:tc>
      </w:tr>
      <w:tr>
        <w:trPr>
          <w:trHeight w:val="758"/>
        </w:trPr>
        <w:tc>
          <w:tcPr>
            <w:tcW w:w="3969" w:type="dxa"/>
          </w:tcPr>
          <w:p>
            <w:pPr>
              <w:pStyle w:val="TableParagraph"/>
              <w:tabs>
                <w:tab w:val="left" w:pos="8505"/>
              </w:tabs>
              <w:ind w:left="142" w:right="-1"/>
              <w:rPr>
                <w:b/>
                <w:lang w:val="da-DK"/>
              </w:rPr>
            </w:pPr>
            <w:r>
              <w:rPr>
                <w:b/>
                <w:lang w:val="da-DK"/>
              </w:rPr>
              <w:t>Lever</w:t>
            </w:r>
            <w:r>
              <w:rPr>
                <w:b/>
                <w:spacing w:val="-3"/>
                <w:lang w:val="da-DK"/>
              </w:rPr>
              <w:t xml:space="preserve"> </w:t>
            </w:r>
            <w:r>
              <w:rPr>
                <w:b/>
                <w:lang w:val="da-DK"/>
              </w:rPr>
              <w:t>og</w:t>
            </w:r>
            <w:r>
              <w:rPr>
                <w:b/>
                <w:spacing w:val="-2"/>
                <w:lang w:val="da-DK"/>
              </w:rPr>
              <w:t xml:space="preserve"> </w:t>
            </w:r>
            <w:r>
              <w:rPr>
                <w:b/>
                <w:lang w:val="da-DK"/>
              </w:rPr>
              <w:t>galdeveje</w:t>
            </w:r>
          </w:p>
        </w:tc>
        <w:tc>
          <w:tcPr>
            <w:tcW w:w="5103" w:type="dxa"/>
          </w:tcPr>
          <w:p>
            <w:pPr>
              <w:pStyle w:val="TableParagraph"/>
              <w:tabs>
                <w:tab w:val="left" w:pos="8505"/>
              </w:tabs>
              <w:ind w:left="141" w:right="-1"/>
              <w:rPr>
                <w:lang w:val="da-DK"/>
              </w:rPr>
            </w:pPr>
            <w:r>
              <w:rPr>
                <w:lang w:val="da-DK"/>
              </w:rPr>
              <w:t>Meget almindelige: forhøjet ALAT og/eller</w:t>
            </w:r>
            <w:r>
              <w:rPr>
                <w:spacing w:val="-52"/>
                <w:lang w:val="da-DK"/>
              </w:rPr>
              <w:t xml:space="preserve"> </w:t>
            </w:r>
            <w:r>
              <w:rPr>
                <w:spacing w:val="-1"/>
                <w:lang w:val="da-DK"/>
              </w:rPr>
              <w:t xml:space="preserve">forhøjet </w:t>
            </w:r>
            <w:r>
              <w:rPr>
                <w:lang w:val="da-DK"/>
              </w:rPr>
              <w:t>ASAT</w:t>
            </w:r>
            <w:r>
              <w:rPr>
                <w:vertAlign w:val="superscript"/>
                <w:lang w:val="da-DK"/>
              </w:rPr>
              <w:t>b</w:t>
            </w:r>
          </w:p>
          <w:p>
            <w:pPr>
              <w:pStyle w:val="TableParagraph"/>
              <w:tabs>
                <w:tab w:val="left" w:pos="8505"/>
              </w:tabs>
              <w:ind w:left="141" w:right="-1"/>
              <w:rPr>
                <w:lang w:val="da-DK"/>
              </w:rPr>
            </w:pPr>
            <w:r>
              <w:rPr>
                <w:lang w:val="da-DK"/>
              </w:rPr>
              <w:t>Sjælden:</w:t>
            </w:r>
            <w:r>
              <w:rPr>
                <w:spacing w:val="-4"/>
                <w:lang w:val="da-DK"/>
              </w:rPr>
              <w:t xml:space="preserve"> </w:t>
            </w:r>
            <w:r>
              <w:rPr>
                <w:lang w:val="da-DK"/>
              </w:rPr>
              <w:t>fulminant</w:t>
            </w:r>
            <w:r>
              <w:rPr>
                <w:spacing w:val="-4"/>
                <w:lang w:val="da-DK"/>
              </w:rPr>
              <w:t xml:space="preserve"> </w:t>
            </w:r>
            <w:r>
              <w:rPr>
                <w:lang w:val="da-DK"/>
              </w:rPr>
              <w:t>hepatitis,</w:t>
            </w:r>
            <w:r>
              <w:rPr>
                <w:spacing w:val="-3"/>
                <w:lang w:val="da-DK"/>
              </w:rPr>
              <w:t xml:space="preserve"> </w:t>
            </w:r>
            <w:r>
              <w:rPr>
                <w:lang w:val="da-DK"/>
              </w:rPr>
              <w:t>akut</w:t>
            </w:r>
            <w:r>
              <w:rPr>
                <w:spacing w:val="-4"/>
                <w:lang w:val="da-DK"/>
              </w:rPr>
              <w:t xml:space="preserve"> </w:t>
            </w:r>
            <w:r>
              <w:rPr>
                <w:lang w:val="da-DK"/>
              </w:rPr>
              <w:t>leversvigt</w:t>
            </w:r>
          </w:p>
        </w:tc>
      </w:tr>
      <w:tr>
        <w:trPr>
          <w:trHeight w:val="251"/>
        </w:trPr>
        <w:tc>
          <w:tcPr>
            <w:tcW w:w="3969" w:type="dxa"/>
          </w:tcPr>
          <w:p>
            <w:pPr>
              <w:pStyle w:val="TableParagraph"/>
              <w:tabs>
                <w:tab w:val="left" w:pos="8505"/>
              </w:tabs>
              <w:ind w:left="142" w:right="-1"/>
              <w:rPr>
                <w:b/>
                <w:lang w:val="da-DK"/>
              </w:rPr>
            </w:pPr>
            <w:r>
              <w:rPr>
                <w:b/>
                <w:lang w:val="da-DK"/>
              </w:rPr>
              <w:t>Hud</w:t>
            </w:r>
            <w:r>
              <w:rPr>
                <w:b/>
                <w:spacing w:val="-2"/>
                <w:lang w:val="da-DK"/>
              </w:rPr>
              <w:t xml:space="preserve"> </w:t>
            </w:r>
            <w:r>
              <w:rPr>
                <w:b/>
                <w:lang w:val="da-DK"/>
              </w:rPr>
              <w:t>og</w:t>
            </w:r>
            <w:r>
              <w:rPr>
                <w:b/>
                <w:spacing w:val="-2"/>
                <w:lang w:val="da-DK"/>
              </w:rPr>
              <w:t xml:space="preserve"> </w:t>
            </w:r>
            <w:r>
              <w:rPr>
                <w:b/>
                <w:lang w:val="da-DK"/>
              </w:rPr>
              <w:t>subkutane</w:t>
            </w:r>
            <w:r>
              <w:rPr>
                <w:b/>
                <w:spacing w:val="-2"/>
                <w:lang w:val="da-DK"/>
              </w:rPr>
              <w:t xml:space="preserve"> </w:t>
            </w:r>
            <w:r>
              <w:rPr>
                <w:b/>
                <w:lang w:val="da-DK"/>
              </w:rPr>
              <w:t>væv</w:t>
            </w:r>
          </w:p>
        </w:tc>
        <w:tc>
          <w:tcPr>
            <w:tcW w:w="5103" w:type="dxa"/>
          </w:tcPr>
          <w:p>
            <w:pPr>
              <w:pStyle w:val="TableParagraph"/>
              <w:tabs>
                <w:tab w:val="left" w:pos="8505"/>
              </w:tabs>
              <w:ind w:left="141" w:right="-1"/>
              <w:rPr>
                <w:lang w:val="da-DK"/>
              </w:rPr>
            </w:pPr>
            <w:r>
              <w:rPr>
                <w:lang w:val="da-DK"/>
              </w:rPr>
              <w:t>Almindelige:</w:t>
            </w:r>
            <w:r>
              <w:rPr>
                <w:spacing w:val="-4"/>
                <w:lang w:val="da-DK"/>
              </w:rPr>
              <w:t xml:space="preserve"> </w:t>
            </w:r>
            <w:r>
              <w:rPr>
                <w:lang w:val="da-DK"/>
              </w:rPr>
              <w:t>udslæt</w:t>
            </w:r>
          </w:p>
        </w:tc>
      </w:tr>
      <w:tr>
        <w:trPr>
          <w:trHeight w:val="253"/>
        </w:trPr>
        <w:tc>
          <w:tcPr>
            <w:tcW w:w="3969" w:type="dxa"/>
          </w:tcPr>
          <w:p>
            <w:pPr>
              <w:pStyle w:val="TableParagraph"/>
              <w:tabs>
                <w:tab w:val="left" w:pos="8505"/>
              </w:tabs>
              <w:ind w:left="142" w:right="-1"/>
              <w:rPr>
                <w:b/>
                <w:lang w:val="da-DK"/>
              </w:rPr>
            </w:pPr>
            <w:r>
              <w:rPr>
                <w:b/>
                <w:lang w:val="da-DK"/>
              </w:rPr>
              <w:t>Knogler,</w:t>
            </w:r>
            <w:r>
              <w:rPr>
                <w:b/>
                <w:spacing w:val="-2"/>
                <w:lang w:val="da-DK"/>
              </w:rPr>
              <w:t xml:space="preserve"> </w:t>
            </w:r>
            <w:r>
              <w:rPr>
                <w:b/>
                <w:lang w:val="da-DK"/>
              </w:rPr>
              <w:t>led,</w:t>
            </w:r>
            <w:r>
              <w:rPr>
                <w:b/>
                <w:spacing w:val="-2"/>
                <w:lang w:val="da-DK"/>
              </w:rPr>
              <w:t xml:space="preserve"> </w:t>
            </w:r>
            <w:r>
              <w:rPr>
                <w:b/>
                <w:lang w:val="da-DK"/>
              </w:rPr>
              <w:t>muskler</w:t>
            </w:r>
            <w:r>
              <w:rPr>
                <w:b/>
                <w:spacing w:val="-2"/>
                <w:lang w:val="da-DK"/>
              </w:rPr>
              <w:t xml:space="preserve"> </w:t>
            </w:r>
            <w:r>
              <w:rPr>
                <w:b/>
                <w:lang w:val="da-DK"/>
              </w:rPr>
              <w:t>og</w:t>
            </w:r>
            <w:r>
              <w:rPr>
                <w:b/>
                <w:spacing w:val="-2"/>
                <w:lang w:val="da-DK"/>
              </w:rPr>
              <w:t xml:space="preserve"> </w:t>
            </w:r>
            <w:r>
              <w:rPr>
                <w:b/>
                <w:lang w:val="da-DK"/>
              </w:rPr>
              <w:t>bindevæv</w:t>
            </w:r>
          </w:p>
        </w:tc>
        <w:tc>
          <w:tcPr>
            <w:tcW w:w="5103" w:type="dxa"/>
          </w:tcPr>
          <w:p>
            <w:pPr>
              <w:pStyle w:val="TableParagraph"/>
              <w:tabs>
                <w:tab w:val="left" w:pos="8505"/>
              </w:tabs>
              <w:ind w:left="141" w:right="-1"/>
              <w:rPr>
                <w:lang w:val="da-DK"/>
              </w:rPr>
            </w:pPr>
            <w:r>
              <w:rPr>
                <w:lang w:val="da-DK"/>
              </w:rPr>
              <w:t>Ikke</w:t>
            </w:r>
            <w:r>
              <w:rPr>
                <w:spacing w:val="-4"/>
                <w:lang w:val="da-DK"/>
              </w:rPr>
              <w:t xml:space="preserve"> </w:t>
            </w:r>
            <w:r>
              <w:rPr>
                <w:lang w:val="da-DK"/>
              </w:rPr>
              <w:t>almindelige:</w:t>
            </w:r>
            <w:r>
              <w:rPr>
                <w:spacing w:val="-4"/>
                <w:lang w:val="da-DK"/>
              </w:rPr>
              <w:t xml:space="preserve"> </w:t>
            </w:r>
            <w:r>
              <w:rPr>
                <w:lang w:val="da-DK"/>
              </w:rPr>
              <w:t>myopati,</w:t>
            </w:r>
            <w:r>
              <w:rPr>
                <w:spacing w:val="-5"/>
                <w:lang w:val="da-DK"/>
              </w:rPr>
              <w:t xml:space="preserve"> </w:t>
            </w:r>
            <w:r>
              <w:rPr>
                <w:lang w:val="da-DK"/>
              </w:rPr>
              <w:t>rabdomyolyse</w:t>
            </w:r>
          </w:p>
        </w:tc>
      </w:tr>
      <w:tr>
        <w:trPr>
          <w:trHeight w:val="251"/>
        </w:trPr>
        <w:tc>
          <w:tcPr>
            <w:tcW w:w="3969" w:type="dxa"/>
          </w:tcPr>
          <w:p>
            <w:pPr>
              <w:pStyle w:val="TableParagraph"/>
              <w:tabs>
                <w:tab w:val="left" w:pos="8505"/>
              </w:tabs>
              <w:ind w:left="142" w:right="-1"/>
              <w:rPr>
                <w:b/>
                <w:lang w:val="da-DK"/>
              </w:rPr>
            </w:pPr>
            <w:r>
              <w:rPr>
                <w:b/>
                <w:lang w:val="da-DK"/>
              </w:rPr>
              <w:t>Nyrer</w:t>
            </w:r>
            <w:r>
              <w:rPr>
                <w:b/>
                <w:spacing w:val="-3"/>
                <w:lang w:val="da-DK"/>
              </w:rPr>
              <w:t xml:space="preserve"> </w:t>
            </w:r>
            <w:r>
              <w:rPr>
                <w:b/>
                <w:lang w:val="da-DK"/>
              </w:rPr>
              <w:t>og</w:t>
            </w:r>
            <w:r>
              <w:rPr>
                <w:b/>
                <w:spacing w:val="-2"/>
                <w:lang w:val="da-DK"/>
              </w:rPr>
              <w:t xml:space="preserve"> </w:t>
            </w:r>
            <w:r>
              <w:rPr>
                <w:b/>
                <w:lang w:val="da-DK"/>
              </w:rPr>
              <w:t>urinveje</w:t>
            </w:r>
          </w:p>
        </w:tc>
        <w:tc>
          <w:tcPr>
            <w:tcW w:w="5103" w:type="dxa"/>
          </w:tcPr>
          <w:p>
            <w:pPr>
              <w:pStyle w:val="TableParagraph"/>
              <w:tabs>
                <w:tab w:val="left" w:pos="8505"/>
              </w:tabs>
              <w:ind w:left="141" w:right="-1"/>
              <w:rPr>
                <w:lang w:val="da-DK"/>
              </w:rPr>
            </w:pPr>
            <w:r>
              <w:rPr>
                <w:lang w:val="da-DK"/>
              </w:rPr>
              <w:t>Almindelige:</w:t>
            </w:r>
            <w:r>
              <w:rPr>
                <w:spacing w:val="-4"/>
                <w:lang w:val="da-DK"/>
              </w:rPr>
              <w:t xml:space="preserve"> </w:t>
            </w:r>
            <w:r>
              <w:rPr>
                <w:lang w:val="da-DK"/>
              </w:rPr>
              <w:t>hæmaturi</w:t>
            </w:r>
          </w:p>
        </w:tc>
      </w:tr>
      <w:tr>
        <w:trPr>
          <w:trHeight w:val="505"/>
        </w:trPr>
        <w:tc>
          <w:tcPr>
            <w:tcW w:w="3969" w:type="dxa"/>
          </w:tcPr>
          <w:p>
            <w:pPr>
              <w:pStyle w:val="TableParagraph"/>
              <w:tabs>
                <w:tab w:val="left" w:pos="8505"/>
              </w:tabs>
              <w:ind w:left="142" w:right="-1"/>
              <w:rPr>
                <w:b/>
                <w:lang w:val="da-DK"/>
              </w:rPr>
            </w:pPr>
            <w:r>
              <w:rPr>
                <w:b/>
                <w:lang w:val="da-DK"/>
              </w:rPr>
              <w:t>Almene symptomer og reaktioner på</w:t>
            </w:r>
            <w:r>
              <w:rPr>
                <w:b/>
                <w:spacing w:val="-52"/>
                <w:lang w:val="da-DK"/>
              </w:rPr>
              <w:t xml:space="preserve">   </w:t>
            </w:r>
            <w:r>
              <w:rPr>
                <w:b/>
                <w:lang w:val="da-DK"/>
              </w:rPr>
              <w:t>administrationsstedet</w:t>
            </w:r>
          </w:p>
        </w:tc>
        <w:tc>
          <w:tcPr>
            <w:tcW w:w="5103" w:type="dxa"/>
          </w:tcPr>
          <w:p>
            <w:pPr>
              <w:pStyle w:val="TableParagraph"/>
              <w:tabs>
                <w:tab w:val="left" w:pos="8505"/>
              </w:tabs>
              <w:ind w:left="141" w:right="-1"/>
              <w:rPr>
                <w:lang w:val="da-DK"/>
              </w:rPr>
            </w:pPr>
            <w:r>
              <w:rPr>
                <w:lang w:val="da-DK"/>
              </w:rPr>
              <w:t>Meget</w:t>
            </w:r>
            <w:r>
              <w:rPr>
                <w:spacing w:val="-4"/>
                <w:lang w:val="da-DK"/>
              </w:rPr>
              <w:t xml:space="preserve"> </w:t>
            </w:r>
            <w:r>
              <w:rPr>
                <w:lang w:val="da-DK"/>
              </w:rPr>
              <w:t>almindelige:</w:t>
            </w:r>
            <w:r>
              <w:rPr>
                <w:spacing w:val="-3"/>
                <w:lang w:val="da-DK"/>
              </w:rPr>
              <w:t xml:space="preserve"> </w:t>
            </w:r>
            <w:r>
              <w:rPr>
                <w:lang w:val="da-DK"/>
              </w:rPr>
              <w:t>perifert</w:t>
            </w:r>
            <w:r>
              <w:rPr>
                <w:spacing w:val="-3"/>
                <w:lang w:val="da-DK"/>
              </w:rPr>
              <w:t xml:space="preserve"> </w:t>
            </w:r>
            <w:r>
              <w:rPr>
                <w:lang w:val="da-DK"/>
              </w:rPr>
              <w:t>ødem</w:t>
            </w:r>
          </w:p>
        </w:tc>
      </w:tr>
      <w:tr>
        <w:trPr>
          <w:trHeight w:val="506"/>
        </w:trPr>
        <w:tc>
          <w:tcPr>
            <w:tcW w:w="3969" w:type="dxa"/>
          </w:tcPr>
          <w:p>
            <w:pPr>
              <w:pStyle w:val="TableParagraph"/>
              <w:tabs>
                <w:tab w:val="left" w:pos="8505"/>
              </w:tabs>
              <w:ind w:left="142" w:right="-1"/>
              <w:rPr>
                <w:b/>
                <w:lang w:val="da-DK"/>
              </w:rPr>
            </w:pPr>
            <w:r>
              <w:rPr>
                <w:b/>
                <w:lang w:val="da-DK"/>
              </w:rPr>
              <w:t>Traumer, forgiftninger og behandlings-</w:t>
            </w:r>
            <w:r>
              <w:rPr>
                <w:b/>
                <w:spacing w:val="-52"/>
                <w:lang w:val="da-DK"/>
              </w:rPr>
              <w:t xml:space="preserve"> </w:t>
            </w:r>
            <w:r>
              <w:rPr>
                <w:b/>
                <w:lang w:val="da-DK"/>
              </w:rPr>
              <w:t>komplikationer</w:t>
            </w:r>
          </w:p>
        </w:tc>
        <w:tc>
          <w:tcPr>
            <w:tcW w:w="5103" w:type="dxa"/>
          </w:tcPr>
          <w:p>
            <w:pPr>
              <w:pStyle w:val="TableParagraph"/>
              <w:tabs>
                <w:tab w:val="left" w:pos="8505"/>
              </w:tabs>
              <w:ind w:left="141" w:right="-1"/>
              <w:rPr>
                <w:lang w:val="da-DK"/>
              </w:rPr>
            </w:pPr>
            <w:r>
              <w:rPr>
                <w:lang w:val="da-DK"/>
              </w:rPr>
              <w:t>Almindelige:</w:t>
            </w:r>
            <w:r>
              <w:rPr>
                <w:spacing w:val="-5"/>
                <w:lang w:val="da-DK"/>
              </w:rPr>
              <w:t xml:space="preserve"> </w:t>
            </w:r>
            <w:r>
              <w:rPr>
                <w:lang w:val="da-DK"/>
              </w:rPr>
              <w:t>frakturer**</w:t>
            </w:r>
          </w:p>
        </w:tc>
      </w:tr>
    </w:tbl>
    <w:p>
      <w:pPr>
        <w:widowControl w:val="0"/>
        <w:ind w:left="284" w:hanging="284"/>
        <w:rPr>
          <w:sz w:val="18"/>
          <w:szCs w:val="18"/>
          <w:lang w:val="da-DK"/>
        </w:rPr>
      </w:pPr>
      <w:r>
        <w:rPr>
          <w:sz w:val="18"/>
          <w:szCs w:val="18"/>
          <w:lang w:val="da-DK"/>
        </w:rPr>
        <w:t>*</w:t>
      </w:r>
      <w:r>
        <w:rPr>
          <w:sz w:val="18"/>
          <w:szCs w:val="18"/>
          <w:lang w:val="da-DK"/>
        </w:rPr>
        <w:tab/>
        <w:t>Hjerteinsufficiens omfatter også kongestiv hjerteinsufficiens, nedsat funktion af venstre ventrikel og nedsat</w:t>
      </w:r>
      <w:r>
        <w:rPr>
          <w:spacing w:val="-42"/>
          <w:sz w:val="18"/>
          <w:szCs w:val="18"/>
          <w:lang w:val="da-DK"/>
        </w:rPr>
        <w:t xml:space="preserve"> </w:t>
      </w:r>
      <w:r>
        <w:rPr>
          <w:sz w:val="18"/>
          <w:szCs w:val="18"/>
          <w:lang w:val="da-DK"/>
        </w:rPr>
        <w:t>uddrivningsfraktion</w:t>
      </w:r>
    </w:p>
    <w:p>
      <w:pPr>
        <w:widowControl w:val="0"/>
        <w:ind w:left="284" w:hanging="284"/>
        <w:rPr>
          <w:sz w:val="18"/>
          <w:szCs w:val="18"/>
          <w:lang w:val="da-DK"/>
        </w:rPr>
      </w:pPr>
      <w:r>
        <w:rPr>
          <w:sz w:val="18"/>
          <w:szCs w:val="18"/>
          <w:lang w:val="da-DK"/>
        </w:rPr>
        <w:t>**</w:t>
      </w:r>
      <w:r>
        <w:rPr>
          <w:spacing w:val="14"/>
          <w:sz w:val="18"/>
          <w:szCs w:val="18"/>
          <w:lang w:val="da-DK"/>
        </w:rPr>
        <w:tab/>
      </w:r>
      <w:r>
        <w:rPr>
          <w:sz w:val="18"/>
          <w:szCs w:val="18"/>
          <w:lang w:val="da-DK"/>
        </w:rPr>
        <w:t>Frakturer</w:t>
      </w:r>
      <w:r>
        <w:rPr>
          <w:spacing w:val="-2"/>
          <w:sz w:val="18"/>
          <w:szCs w:val="18"/>
          <w:lang w:val="da-DK"/>
        </w:rPr>
        <w:t xml:space="preserve"> </w:t>
      </w:r>
      <w:r>
        <w:rPr>
          <w:sz w:val="18"/>
          <w:szCs w:val="18"/>
          <w:lang w:val="da-DK"/>
        </w:rPr>
        <w:t>omfatter</w:t>
      </w:r>
      <w:r>
        <w:rPr>
          <w:spacing w:val="-1"/>
          <w:sz w:val="18"/>
          <w:szCs w:val="18"/>
          <w:lang w:val="da-DK"/>
        </w:rPr>
        <w:t xml:space="preserve"> </w:t>
      </w:r>
      <w:r>
        <w:rPr>
          <w:sz w:val="18"/>
          <w:szCs w:val="18"/>
          <w:lang w:val="da-DK"/>
        </w:rPr>
        <w:t>osteoporose og</w:t>
      </w:r>
      <w:r>
        <w:rPr>
          <w:spacing w:val="-1"/>
          <w:sz w:val="18"/>
          <w:szCs w:val="18"/>
          <w:lang w:val="da-DK"/>
        </w:rPr>
        <w:t xml:space="preserve"> </w:t>
      </w:r>
      <w:r>
        <w:rPr>
          <w:sz w:val="18"/>
          <w:szCs w:val="18"/>
          <w:lang w:val="da-DK"/>
        </w:rPr>
        <w:t>alle former</w:t>
      </w:r>
      <w:r>
        <w:rPr>
          <w:spacing w:val="-1"/>
          <w:sz w:val="18"/>
          <w:szCs w:val="18"/>
          <w:lang w:val="da-DK"/>
        </w:rPr>
        <w:t xml:space="preserve"> </w:t>
      </w:r>
      <w:r>
        <w:rPr>
          <w:sz w:val="18"/>
          <w:szCs w:val="18"/>
          <w:lang w:val="da-DK"/>
        </w:rPr>
        <w:t>for fraktur</w:t>
      </w:r>
      <w:r>
        <w:rPr>
          <w:spacing w:val="-1"/>
          <w:sz w:val="18"/>
          <w:szCs w:val="18"/>
          <w:lang w:val="da-DK"/>
        </w:rPr>
        <w:t xml:space="preserve"> </w:t>
      </w:r>
      <w:r>
        <w:rPr>
          <w:sz w:val="18"/>
          <w:szCs w:val="18"/>
          <w:lang w:val="da-DK"/>
        </w:rPr>
        <w:t>med undtagelse</w:t>
      </w:r>
      <w:r>
        <w:rPr>
          <w:spacing w:val="-1"/>
          <w:sz w:val="18"/>
          <w:szCs w:val="18"/>
          <w:lang w:val="da-DK"/>
        </w:rPr>
        <w:t xml:space="preserve"> </w:t>
      </w:r>
      <w:r>
        <w:rPr>
          <w:sz w:val="18"/>
          <w:szCs w:val="18"/>
          <w:lang w:val="da-DK"/>
        </w:rPr>
        <w:t>af patologiske</w:t>
      </w:r>
      <w:r>
        <w:rPr>
          <w:spacing w:val="-1"/>
          <w:sz w:val="18"/>
          <w:szCs w:val="18"/>
          <w:lang w:val="da-DK"/>
        </w:rPr>
        <w:t xml:space="preserve"> </w:t>
      </w:r>
      <w:r>
        <w:rPr>
          <w:sz w:val="18"/>
          <w:szCs w:val="18"/>
          <w:lang w:val="da-DK"/>
        </w:rPr>
        <w:t>frakturer</w:t>
      </w:r>
    </w:p>
    <w:p>
      <w:pPr>
        <w:pStyle w:val="ListParagraph"/>
        <w:widowControl w:val="0"/>
        <w:numPr>
          <w:ilvl w:val="0"/>
          <w:numId w:val="27"/>
        </w:numPr>
        <w:ind w:left="284" w:hanging="284"/>
        <w:contextualSpacing w:val="0"/>
        <w:jc w:val="both"/>
        <w:rPr>
          <w:sz w:val="18"/>
          <w:szCs w:val="18"/>
          <w:lang w:val="da-DK"/>
        </w:rPr>
      </w:pPr>
      <w:r>
        <w:rPr>
          <w:sz w:val="18"/>
          <w:szCs w:val="18"/>
          <w:lang w:val="da-DK"/>
        </w:rPr>
        <w:t>Spontane</w:t>
      </w:r>
      <w:r>
        <w:rPr>
          <w:spacing w:val="-2"/>
          <w:sz w:val="18"/>
          <w:szCs w:val="18"/>
          <w:lang w:val="da-DK"/>
        </w:rPr>
        <w:t xml:space="preserve"> </w:t>
      </w:r>
      <w:r>
        <w:rPr>
          <w:sz w:val="18"/>
          <w:szCs w:val="18"/>
          <w:lang w:val="da-DK"/>
        </w:rPr>
        <w:t>indberetninger</w:t>
      </w:r>
      <w:r>
        <w:rPr>
          <w:spacing w:val="-1"/>
          <w:sz w:val="18"/>
          <w:szCs w:val="18"/>
          <w:lang w:val="da-DK"/>
        </w:rPr>
        <w:t xml:space="preserve"> </w:t>
      </w:r>
      <w:r>
        <w:rPr>
          <w:sz w:val="18"/>
          <w:szCs w:val="18"/>
          <w:lang w:val="da-DK"/>
        </w:rPr>
        <w:t>efter</w:t>
      </w:r>
      <w:r>
        <w:rPr>
          <w:spacing w:val="-1"/>
          <w:sz w:val="18"/>
          <w:szCs w:val="18"/>
          <w:lang w:val="da-DK"/>
        </w:rPr>
        <w:t xml:space="preserve"> </w:t>
      </w:r>
      <w:r>
        <w:rPr>
          <w:sz w:val="18"/>
          <w:szCs w:val="18"/>
          <w:lang w:val="da-DK"/>
        </w:rPr>
        <w:t>markedsføring</w:t>
      </w:r>
    </w:p>
    <w:p>
      <w:pPr>
        <w:pStyle w:val="ListParagraph"/>
        <w:widowControl w:val="0"/>
        <w:numPr>
          <w:ilvl w:val="0"/>
          <w:numId w:val="27"/>
        </w:numPr>
        <w:tabs>
          <w:tab w:val="left" w:pos="426"/>
          <w:tab w:val="left" w:pos="8505"/>
        </w:tabs>
        <w:autoSpaceDE w:val="0"/>
        <w:autoSpaceDN w:val="0"/>
        <w:ind w:left="284" w:right="-1" w:hanging="284"/>
        <w:contextualSpacing w:val="0"/>
        <w:jc w:val="both"/>
        <w:rPr>
          <w:sz w:val="18"/>
          <w:szCs w:val="18"/>
          <w:lang w:val="da-DK"/>
        </w:rPr>
      </w:pPr>
      <w:r>
        <w:rPr>
          <w:sz w:val="18"/>
          <w:szCs w:val="18"/>
          <w:lang w:val="da-DK"/>
        </w:rPr>
        <w:t>Forhøjet ALAT og/eller forhøjet ASAT omfatter forhøjet alanin-aminotransferase, forhøjet aspartat-aminotransferase og unormal leverfunktion.</w:t>
      </w:r>
    </w:p>
    <w:p>
      <w:pPr>
        <w:widowControl w:val="0"/>
        <w:ind w:right="-1"/>
        <w:rPr>
          <w:lang w:val="da-DK"/>
        </w:rPr>
      </w:pPr>
    </w:p>
    <w:p>
      <w:pPr>
        <w:pStyle w:val="BodyText"/>
        <w:tabs>
          <w:tab w:val="left" w:pos="8505"/>
        </w:tabs>
        <w:ind w:right="-1"/>
        <w:rPr>
          <w:lang w:val="da-DK"/>
        </w:rPr>
      </w:pPr>
      <w:r>
        <w:rPr>
          <w:lang w:val="da-DK"/>
        </w:rPr>
        <w:lastRenderedPageBreak/>
        <w:t>Følgende CTCAE (version 4.0) grad 3-bivirkninger opstod hos patienter, der fik abirateronacetat:</w:t>
      </w:r>
      <w:r>
        <w:rPr>
          <w:spacing w:val="1"/>
          <w:lang w:val="da-DK"/>
        </w:rPr>
        <w:t xml:space="preserve"> </w:t>
      </w:r>
      <w:r>
        <w:rPr>
          <w:lang w:val="da-DK"/>
        </w:rPr>
        <w:t>hypokaliæmi 5 %; urinvejsinfektion 2 %; forhøjet ALAT og/eller forhøjet ASAT 4 %; hypertension 6 %, frakturer 2 %, perifert ødem, hjerteinsufficiens og atrieflimren alle 1 %. CTCAE (version 4.0)</w:t>
      </w:r>
      <w:r>
        <w:rPr>
          <w:spacing w:val="1"/>
          <w:lang w:val="da-DK"/>
        </w:rPr>
        <w:t xml:space="preserve"> </w:t>
      </w:r>
      <w:r>
        <w:rPr>
          <w:lang w:val="da-DK"/>
        </w:rPr>
        <w:t>grad 3-hypertriglyceridæmi og angina pectoris forekom hos &lt; 1 % af patienterne. CTCAE (version</w:t>
      </w:r>
      <w:r>
        <w:rPr>
          <w:spacing w:val="1"/>
          <w:lang w:val="da-DK"/>
        </w:rPr>
        <w:t> </w:t>
      </w:r>
      <w:r>
        <w:rPr>
          <w:lang w:val="da-DK"/>
        </w:rPr>
        <w:t>4.0) grad 4 urinvejsinfektion, forhøjet alanin-aminotransferase og/eller forhøjet aspartat-aminotransferase, hypokaliæmi, hjerteinsufficiens, atrieflimren og frakturer forekom hos &lt; 1 % af</w:t>
      </w:r>
      <w:r>
        <w:rPr>
          <w:spacing w:val="1"/>
          <w:lang w:val="da-DK"/>
        </w:rPr>
        <w:t xml:space="preserve"> </w:t>
      </w:r>
      <w:r>
        <w:rPr>
          <w:lang w:val="da-DK"/>
        </w:rPr>
        <w:t>patienterne.</w:t>
      </w:r>
    </w:p>
    <w:p>
      <w:pPr>
        <w:pStyle w:val="BodyText"/>
        <w:tabs>
          <w:tab w:val="left" w:pos="8505"/>
        </w:tabs>
        <w:ind w:right="-1"/>
        <w:rPr>
          <w:sz w:val="21"/>
          <w:lang w:val="da-DK"/>
        </w:rPr>
      </w:pPr>
    </w:p>
    <w:p>
      <w:pPr>
        <w:pStyle w:val="BodyText"/>
        <w:tabs>
          <w:tab w:val="left" w:pos="8505"/>
        </w:tabs>
        <w:ind w:right="-1"/>
        <w:rPr>
          <w:lang w:val="da-DK"/>
        </w:rPr>
      </w:pPr>
      <w:r>
        <w:rPr>
          <w:lang w:val="da-DK"/>
        </w:rPr>
        <w:t>Der sås en højere forekomst af hypertension og hypokaliæmi hos den hormonfølsomme population (studie</w:t>
      </w:r>
      <w:r>
        <w:rPr>
          <w:spacing w:val="-4"/>
          <w:lang w:val="da-DK"/>
        </w:rPr>
        <w:t xml:space="preserve"> </w:t>
      </w:r>
      <w:r>
        <w:rPr>
          <w:lang w:val="da-DK"/>
        </w:rPr>
        <w:t>3011).</w:t>
      </w:r>
      <w:r>
        <w:rPr>
          <w:spacing w:val="-3"/>
          <w:lang w:val="da-DK"/>
        </w:rPr>
        <w:t xml:space="preserve"> </w:t>
      </w:r>
      <w:r>
        <w:rPr>
          <w:lang w:val="da-DK"/>
        </w:rPr>
        <w:t>Hypertension</w:t>
      </w:r>
      <w:r>
        <w:rPr>
          <w:spacing w:val="-2"/>
          <w:lang w:val="da-DK"/>
        </w:rPr>
        <w:t xml:space="preserve"> </w:t>
      </w:r>
      <w:r>
        <w:rPr>
          <w:lang w:val="da-DK"/>
        </w:rPr>
        <w:t>blev</w:t>
      </w:r>
      <w:r>
        <w:rPr>
          <w:spacing w:val="-3"/>
          <w:lang w:val="da-DK"/>
        </w:rPr>
        <w:t xml:space="preserve"> </w:t>
      </w:r>
      <w:r>
        <w:rPr>
          <w:lang w:val="da-DK"/>
        </w:rPr>
        <w:t>rapporteret</w:t>
      </w:r>
      <w:r>
        <w:rPr>
          <w:spacing w:val="-3"/>
          <w:lang w:val="da-DK"/>
        </w:rPr>
        <w:t xml:space="preserve"> </w:t>
      </w:r>
      <w:r>
        <w:rPr>
          <w:lang w:val="da-DK"/>
        </w:rPr>
        <w:t>hos</w:t>
      </w:r>
      <w:r>
        <w:rPr>
          <w:spacing w:val="-2"/>
          <w:lang w:val="da-DK"/>
        </w:rPr>
        <w:t xml:space="preserve"> </w:t>
      </w:r>
      <w:r>
        <w:rPr>
          <w:lang w:val="da-DK"/>
        </w:rPr>
        <w:t>36,7</w:t>
      </w:r>
      <w:r>
        <w:rPr>
          <w:spacing w:val="-4"/>
          <w:lang w:val="da-DK"/>
        </w:rPr>
        <w:t> %</w:t>
      </w:r>
      <w:r>
        <w:rPr>
          <w:spacing w:val="-3"/>
          <w:lang w:val="da-DK"/>
        </w:rPr>
        <w:t xml:space="preserve"> </w:t>
      </w:r>
      <w:r>
        <w:rPr>
          <w:lang w:val="da-DK"/>
        </w:rPr>
        <w:t>af</w:t>
      </w:r>
      <w:r>
        <w:rPr>
          <w:spacing w:val="-2"/>
          <w:lang w:val="da-DK"/>
        </w:rPr>
        <w:t xml:space="preserve"> </w:t>
      </w:r>
      <w:r>
        <w:rPr>
          <w:lang w:val="da-DK"/>
        </w:rPr>
        <w:t>patienterne</w:t>
      </w:r>
      <w:r>
        <w:rPr>
          <w:spacing w:val="-3"/>
          <w:lang w:val="da-DK"/>
        </w:rPr>
        <w:t xml:space="preserve"> </w:t>
      </w:r>
      <w:r>
        <w:rPr>
          <w:lang w:val="da-DK"/>
        </w:rPr>
        <w:t>i</w:t>
      </w:r>
      <w:r>
        <w:rPr>
          <w:spacing w:val="-2"/>
          <w:lang w:val="da-DK"/>
        </w:rPr>
        <w:t xml:space="preserve"> </w:t>
      </w:r>
      <w:r>
        <w:rPr>
          <w:lang w:val="da-DK"/>
        </w:rPr>
        <w:t>den</w:t>
      </w:r>
      <w:r>
        <w:rPr>
          <w:spacing w:val="-3"/>
          <w:lang w:val="da-DK"/>
        </w:rPr>
        <w:t xml:space="preserve"> </w:t>
      </w:r>
      <w:r>
        <w:rPr>
          <w:lang w:val="da-DK"/>
        </w:rPr>
        <w:t>hormonfølsomme population (studie 3011) sammenlignet med henholdsvis 11,8 % og 20,2 % i studierne 301 og 302.</w:t>
      </w:r>
      <w:r>
        <w:rPr>
          <w:spacing w:val="-52"/>
          <w:lang w:val="da-DK"/>
        </w:rPr>
        <w:t xml:space="preserve"> </w:t>
      </w:r>
      <w:r>
        <w:rPr>
          <w:lang w:val="da-DK"/>
        </w:rPr>
        <w:t>Hypokaliæmi sås hos 20,4 % af patienterne i den hormonfølsomme population (studie 3011)</w:t>
      </w:r>
      <w:r>
        <w:rPr>
          <w:spacing w:val="1"/>
          <w:lang w:val="da-DK"/>
        </w:rPr>
        <w:t xml:space="preserve"> </w:t>
      </w:r>
      <w:r>
        <w:rPr>
          <w:lang w:val="da-DK"/>
        </w:rPr>
        <w:t>sammenlignet</w:t>
      </w:r>
      <w:r>
        <w:rPr>
          <w:spacing w:val="-2"/>
          <w:lang w:val="da-DK"/>
        </w:rPr>
        <w:t xml:space="preserve"> </w:t>
      </w:r>
      <w:r>
        <w:rPr>
          <w:lang w:val="da-DK"/>
        </w:rPr>
        <w:t>med</w:t>
      </w:r>
      <w:r>
        <w:rPr>
          <w:spacing w:val="-1"/>
          <w:lang w:val="da-DK"/>
        </w:rPr>
        <w:t xml:space="preserve"> </w:t>
      </w:r>
      <w:r>
        <w:rPr>
          <w:lang w:val="da-DK"/>
        </w:rPr>
        <w:t>henholdsvis</w:t>
      </w:r>
      <w:r>
        <w:rPr>
          <w:spacing w:val="-2"/>
          <w:lang w:val="da-DK"/>
        </w:rPr>
        <w:t xml:space="preserve"> </w:t>
      </w:r>
      <w:r>
        <w:rPr>
          <w:lang w:val="da-DK"/>
        </w:rPr>
        <w:t>19,2</w:t>
      </w:r>
      <w:r>
        <w:rPr>
          <w:spacing w:val="-2"/>
          <w:lang w:val="da-DK"/>
        </w:rPr>
        <w:t xml:space="preserve"> % </w:t>
      </w:r>
      <w:r>
        <w:rPr>
          <w:lang w:val="da-DK"/>
        </w:rPr>
        <w:t>og</w:t>
      </w:r>
      <w:r>
        <w:rPr>
          <w:spacing w:val="-1"/>
          <w:lang w:val="da-DK"/>
        </w:rPr>
        <w:t xml:space="preserve"> </w:t>
      </w:r>
      <w:r>
        <w:rPr>
          <w:lang w:val="da-DK"/>
        </w:rPr>
        <w:t>14,9</w:t>
      </w:r>
      <w:r>
        <w:rPr>
          <w:spacing w:val="-1"/>
          <w:lang w:val="da-DK"/>
        </w:rPr>
        <w:t xml:space="preserve"> % </w:t>
      </w:r>
      <w:r>
        <w:rPr>
          <w:lang w:val="da-DK"/>
        </w:rPr>
        <w:t>i</w:t>
      </w:r>
      <w:r>
        <w:rPr>
          <w:spacing w:val="-2"/>
          <w:lang w:val="da-DK"/>
        </w:rPr>
        <w:t xml:space="preserve"> </w:t>
      </w:r>
      <w:r>
        <w:rPr>
          <w:lang w:val="da-DK"/>
        </w:rPr>
        <w:t>studierne 301</w:t>
      </w:r>
      <w:r>
        <w:rPr>
          <w:spacing w:val="-2"/>
          <w:lang w:val="da-DK"/>
        </w:rPr>
        <w:t xml:space="preserve"> </w:t>
      </w:r>
      <w:r>
        <w:rPr>
          <w:lang w:val="da-DK"/>
        </w:rPr>
        <w:t>og</w:t>
      </w:r>
      <w:r>
        <w:rPr>
          <w:spacing w:val="-1"/>
          <w:lang w:val="da-DK"/>
        </w:rPr>
        <w:t xml:space="preserve"> </w:t>
      </w:r>
      <w:r>
        <w:rPr>
          <w:lang w:val="da-DK"/>
        </w:rPr>
        <w:t>302).</w:t>
      </w:r>
    </w:p>
    <w:p>
      <w:pPr>
        <w:pStyle w:val="BodyText"/>
        <w:tabs>
          <w:tab w:val="left" w:pos="8505"/>
        </w:tabs>
        <w:ind w:right="-1"/>
        <w:rPr>
          <w:lang w:val="da-DK"/>
        </w:rPr>
      </w:pPr>
    </w:p>
    <w:p>
      <w:pPr>
        <w:pStyle w:val="BodyText"/>
        <w:tabs>
          <w:tab w:val="left" w:pos="8505"/>
        </w:tabs>
        <w:ind w:right="-1"/>
        <w:rPr>
          <w:lang w:val="da-DK"/>
        </w:rPr>
      </w:pPr>
      <w:r>
        <w:rPr>
          <w:lang w:val="da-DK"/>
        </w:rPr>
        <w:t>Forekomsten og sværhedsgraden af bivirkningerne var højere i subgrupperne af patienter med ECOG2 i</w:t>
      </w:r>
      <w:r>
        <w:rPr>
          <w:spacing w:val="-2"/>
          <w:lang w:val="da-DK"/>
        </w:rPr>
        <w:t xml:space="preserve"> </w:t>
      </w:r>
      <w:r>
        <w:rPr>
          <w:lang w:val="da-DK"/>
        </w:rPr>
        <w:t>performancestatusgrad</w:t>
      </w:r>
      <w:r>
        <w:rPr>
          <w:spacing w:val="-2"/>
          <w:lang w:val="da-DK"/>
        </w:rPr>
        <w:t xml:space="preserve"> </w:t>
      </w:r>
      <w:r>
        <w:rPr>
          <w:lang w:val="da-DK"/>
        </w:rPr>
        <w:t xml:space="preserve">ved </w:t>
      </w:r>
      <w:r>
        <w:rPr>
          <w:i/>
          <w:lang w:val="da-DK"/>
        </w:rPr>
        <w:t>baseline</w:t>
      </w:r>
      <w:r>
        <w:rPr>
          <w:i/>
          <w:spacing w:val="-1"/>
          <w:lang w:val="da-DK"/>
        </w:rPr>
        <w:t xml:space="preserve"> </w:t>
      </w:r>
      <w:r>
        <w:rPr>
          <w:lang w:val="da-DK"/>
        </w:rPr>
        <w:t>såvel</w:t>
      </w:r>
      <w:r>
        <w:rPr>
          <w:spacing w:val="-2"/>
          <w:lang w:val="da-DK"/>
        </w:rPr>
        <w:t xml:space="preserve"> </w:t>
      </w:r>
      <w:r>
        <w:rPr>
          <w:lang w:val="da-DK"/>
        </w:rPr>
        <w:t>som</w:t>
      </w:r>
      <w:r>
        <w:rPr>
          <w:spacing w:val="-1"/>
          <w:lang w:val="da-DK"/>
        </w:rPr>
        <w:t xml:space="preserve"> </w:t>
      </w:r>
      <w:r>
        <w:rPr>
          <w:lang w:val="da-DK"/>
        </w:rPr>
        <w:t>hos</w:t>
      </w:r>
      <w:r>
        <w:rPr>
          <w:spacing w:val="-2"/>
          <w:lang w:val="da-DK"/>
        </w:rPr>
        <w:t xml:space="preserve"> </w:t>
      </w:r>
      <w:r>
        <w:rPr>
          <w:lang w:val="da-DK"/>
        </w:rPr>
        <w:t>ældre</w:t>
      </w:r>
      <w:r>
        <w:rPr>
          <w:spacing w:val="-2"/>
          <w:lang w:val="da-DK"/>
        </w:rPr>
        <w:t xml:space="preserve"> </w:t>
      </w:r>
      <w:r>
        <w:rPr>
          <w:lang w:val="da-DK"/>
        </w:rPr>
        <w:t>patienter</w:t>
      </w:r>
      <w:r>
        <w:rPr>
          <w:spacing w:val="-1"/>
          <w:lang w:val="da-DK"/>
        </w:rPr>
        <w:t xml:space="preserve"> </w:t>
      </w:r>
      <w:r>
        <w:rPr>
          <w:lang w:val="da-DK"/>
        </w:rPr>
        <w:t>(≥ 75</w:t>
      </w:r>
      <w:r>
        <w:rPr>
          <w:spacing w:val="-1"/>
          <w:lang w:val="da-DK"/>
        </w:rPr>
        <w:t xml:space="preserve"> </w:t>
      </w:r>
      <w:r>
        <w:rPr>
          <w:lang w:val="da-DK"/>
        </w:rPr>
        <w:t>år).</w:t>
      </w:r>
    </w:p>
    <w:p>
      <w:pPr>
        <w:pStyle w:val="BodyText"/>
        <w:tabs>
          <w:tab w:val="left" w:pos="8505"/>
        </w:tabs>
        <w:ind w:right="-1"/>
        <w:rPr>
          <w:sz w:val="21"/>
          <w:lang w:val="da-DK"/>
        </w:rPr>
      </w:pPr>
    </w:p>
    <w:p>
      <w:pPr>
        <w:pStyle w:val="BodyText"/>
        <w:tabs>
          <w:tab w:val="left" w:pos="8505"/>
        </w:tabs>
        <w:ind w:right="-1"/>
        <w:rPr>
          <w:lang w:val="da-DK"/>
        </w:rPr>
      </w:pPr>
      <w:r>
        <w:rPr>
          <w:u w:val="single"/>
          <w:lang w:val="da-DK"/>
        </w:rPr>
        <w:t>Beskrivelse</w:t>
      </w:r>
      <w:r>
        <w:rPr>
          <w:spacing w:val="-4"/>
          <w:u w:val="single"/>
          <w:lang w:val="da-DK"/>
        </w:rPr>
        <w:t xml:space="preserve"> </w:t>
      </w:r>
      <w:r>
        <w:rPr>
          <w:u w:val="single"/>
          <w:lang w:val="da-DK"/>
        </w:rPr>
        <w:t>af</w:t>
      </w:r>
      <w:r>
        <w:rPr>
          <w:spacing w:val="-4"/>
          <w:u w:val="single"/>
          <w:lang w:val="da-DK"/>
        </w:rPr>
        <w:t xml:space="preserve"> </w:t>
      </w:r>
      <w:r>
        <w:rPr>
          <w:u w:val="single"/>
          <w:lang w:val="da-DK"/>
        </w:rPr>
        <w:t>udvalgte</w:t>
      </w:r>
      <w:r>
        <w:rPr>
          <w:spacing w:val="-4"/>
          <w:u w:val="single"/>
          <w:lang w:val="da-DK"/>
        </w:rPr>
        <w:t xml:space="preserve"> </w:t>
      </w:r>
      <w:r>
        <w:rPr>
          <w:u w:val="single"/>
          <w:lang w:val="da-DK"/>
        </w:rPr>
        <w:t>bivirkninger</w:t>
      </w:r>
    </w:p>
    <w:p>
      <w:pPr>
        <w:widowControl w:val="0"/>
        <w:tabs>
          <w:tab w:val="left" w:pos="8505"/>
        </w:tabs>
        <w:ind w:right="-1"/>
        <w:rPr>
          <w:i/>
          <w:lang w:val="da-DK"/>
        </w:rPr>
      </w:pPr>
      <w:r>
        <w:rPr>
          <w:i/>
          <w:sz w:val="22"/>
          <w:lang w:val="da-DK"/>
        </w:rPr>
        <w:t>Kardiovaskulære</w:t>
      </w:r>
      <w:r>
        <w:rPr>
          <w:i/>
          <w:spacing w:val="-4"/>
          <w:sz w:val="22"/>
          <w:lang w:val="da-DK"/>
        </w:rPr>
        <w:t xml:space="preserve"> </w:t>
      </w:r>
      <w:r>
        <w:rPr>
          <w:i/>
          <w:sz w:val="22"/>
          <w:lang w:val="da-DK"/>
        </w:rPr>
        <w:t>reaktioner</w:t>
      </w:r>
    </w:p>
    <w:p>
      <w:pPr>
        <w:pStyle w:val="BodyText"/>
        <w:tabs>
          <w:tab w:val="left" w:pos="8505"/>
        </w:tabs>
        <w:ind w:right="-1"/>
        <w:rPr>
          <w:lang w:val="da-DK"/>
        </w:rPr>
      </w:pPr>
      <w:r>
        <w:rPr>
          <w:lang w:val="da-DK"/>
        </w:rPr>
        <w:t>De 3 fase 3-studier ekskluderede patienter med ukontrolleret hypertension, klinisk signifikant</w:t>
      </w:r>
      <w:r>
        <w:rPr>
          <w:spacing w:val="1"/>
          <w:lang w:val="da-DK"/>
        </w:rPr>
        <w:t xml:space="preserve"> </w:t>
      </w:r>
      <w:r>
        <w:rPr>
          <w:lang w:val="da-DK"/>
        </w:rPr>
        <w:t>hjertesygdom udtrykt som myokardieinfarkt, arterielle trombotiske hændelser i de seneste 6 måneder,</w:t>
      </w:r>
      <w:r>
        <w:rPr>
          <w:spacing w:val="1"/>
          <w:lang w:val="da-DK"/>
        </w:rPr>
        <w:t xml:space="preserve"> </w:t>
      </w:r>
      <w:r>
        <w:rPr>
          <w:lang w:val="da-DK"/>
        </w:rPr>
        <w:t>svær eller ustabil angina pectoris, NYHA-klasse III eller IV hjerteinsufficiens (studie 301) eller klasse</w:t>
      </w:r>
      <w:r>
        <w:rPr>
          <w:spacing w:val="1"/>
          <w:lang w:val="da-DK"/>
        </w:rPr>
        <w:t xml:space="preserve"> </w:t>
      </w:r>
      <w:r>
        <w:rPr>
          <w:lang w:val="da-DK"/>
        </w:rPr>
        <w:t>II til IV hjerteinsufficiens (studie 3011 og 302) eller uddrivningsfraktion &lt; 50 %. Alle patienter, der</w:t>
      </w:r>
      <w:r>
        <w:rPr>
          <w:spacing w:val="1"/>
          <w:lang w:val="da-DK"/>
        </w:rPr>
        <w:t xml:space="preserve"> </w:t>
      </w:r>
      <w:r>
        <w:rPr>
          <w:lang w:val="da-DK"/>
        </w:rPr>
        <w:t>indgik i</w:t>
      </w:r>
      <w:r>
        <w:rPr>
          <w:spacing w:val="1"/>
          <w:lang w:val="da-DK"/>
        </w:rPr>
        <w:t xml:space="preserve"> </w:t>
      </w:r>
      <w:r>
        <w:rPr>
          <w:lang w:val="da-DK"/>
        </w:rPr>
        <w:t>studiet,</w:t>
      </w:r>
      <w:r>
        <w:rPr>
          <w:spacing w:val="1"/>
          <w:lang w:val="da-DK"/>
        </w:rPr>
        <w:t xml:space="preserve"> </w:t>
      </w:r>
      <w:r>
        <w:rPr>
          <w:lang w:val="da-DK"/>
        </w:rPr>
        <w:t>uanset</w:t>
      </w:r>
      <w:r>
        <w:rPr>
          <w:spacing w:val="1"/>
          <w:lang w:val="da-DK"/>
        </w:rPr>
        <w:t xml:space="preserve"> </w:t>
      </w:r>
      <w:r>
        <w:rPr>
          <w:lang w:val="da-DK"/>
        </w:rPr>
        <w:t>om</w:t>
      </w:r>
      <w:r>
        <w:rPr>
          <w:spacing w:val="1"/>
          <w:lang w:val="da-DK"/>
        </w:rPr>
        <w:t xml:space="preserve"> </w:t>
      </w:r>
      <w:r>
        <w:rPr>
          <w:lang w:val="da-DK"/>
        </w:rPr>
        <w:t>de fik</w:t>
      </w:r>
      <w:r>
        <w:rPr>
          <w:spacing w:val="1"/>
          <w:lang w:val="da-DK"/>
        </w:rPr>
        <w:t xml:space="preserve"> </w:t>
      </w:r>
      <w:r>
        <w:rPr>
          <w:lang w:val="da-DK"/>
        </w:rPr>
        <w:t>aktiv</w:t>
      </w:r>
      <w:r>
        <w:rPr>
          <w:spacing w:val="1"/>
          <w:lang w:val="da-DK"/>
        </w:rPr>
        <w:t xml:space="preserve"> </w:t>
      </w:r>
      <w:r>
        <w:rPr>
          <w:lang w:val="da-DK"/>
        </w:rPr>
        <w:t>behandling</w:t>
      </w:r>
      <w:r>
        <w:rPr>
          <w:spacing w:val="1"/>
          <w:lang w:val="da-DK"/>
        </w:rPr>
        <w:t xml:space="preserve"> </w:t>
      </w:r>
      <w:r>
        <w:rPr>
          <w:lang w:val="da-DK"/>
        </w:rPr>
        <w:t>eller</w:t>
      </w:r>
      <w:r>
        <w:rPr>
          <w:spacing w:val="1"/>
          <w:lang w:val="da-DK"/>
        </w:rPr>
        <w:t xml:space="preserve"> </w:t>
      </w:r>
      <w:r>
        <w:rPr>
          <w:lang w:val="da-DK"/>
        </w:rPr>
        <w:t>placebo,</w:t>
      </w:r>
      <w:r>
        <w:rPr>
          <w:spacing w:val="1"/>
          <w:lang w:val="da-DK"/>
        </w:rPr>
        <w:t xml:space="preserve"> </w:t>
      </w:r>
      <w:r>
        <w:rPr>
          <w:lang w:val="da-DK"/>
        </w:rPr>
        <w:t>blev samtidig</w:t>
      </w:r>
      <w:r>
        <w:rPr>
          <w:spacing w:val="1"/>
          <w:lang w:val="da-DK"/>
        </w:rPr>
        <w:t xml:space="preserve"> </w:t>
      </w:r>
      <w:r>
        <w:rPr>
          <w:lang w:val="da-DK"/>
        </w:rPr>
        <w:t>behandlet</w:t>
      </w:r>
      <w:r>
        <w:rPr>
          <w:spacing w:val="1"/>
          <w:lang w:val="da-DK"/>
        </w:rPr>
        <w:t xml:space="preserve"> </w:t>
      </w:r>
      <w:r>
        <w:rPr>
          <w:lang w:val="da-DK"/>
        </w:rPr>
        <w:t>med</w:t>
      </w:r>
      <w:r>
        <w:rPr>
          <w:spacing w:val="1"/>
          <w:lang w:val="da-DK"/>
        </w:rPr>
        <w:t xml:space="preserve"> </w:t>
      </w:r>
      <w:r>
        <w:rPr>
          <w:lang w:val="da-DK"/>
        </w:rPr>
        <w:t>androgen deprivationsbehandling, hovedsageligt i form af LHRH-analog, som har en mulig påvirkning af diabetes, myokardieinfarkt, cerebrovaskulært attak og pludselig hjertedød. Forekomsten af</w:t>
      </w:r>
      <w:r>
        <w:rPr>
          <w:spacing w:val="1"/>
          <w:lang w:val="da-DK"/>
        </w:rPr>
        <w:t xml:space="preserve"> </w:t>
      </w:r>
      <w:r>
        <w:rPr>
          <w:lang w:val="da-DK"/>
        </w:rPr>
        <w:t>kardiovaskulære bivirkninger</w:t>
      </w:r>
      <w:r>
        <w:rPr>
          <w:spacing w:val="1"/>
          <w:lang w:val="da-DK"/>
        </w:rPr>
        <w:t xml:space="preserve"> </w:t>
      </w:r>
      <w:r>
        <w:rPr>
          <w:lang w:val="da-DK"/>
        </w:rPr>
        <w:t>i</w:t>
      </w:r>
      <w:r>
        <w:rPr>
          <w:spacing w:val="1"/>
          <w:lang w:val="da-DK"/>
        </w:rPr>
        <w:t xml:space="preserve"> </w:t>
      </w:r>
      <w:r>
        <w:rPr>
          <w:lang w:val="da-DK"/>
        </w:rPr>
        <w:t>fase</w:t>
      </w:r>
      <w:r>
        <w:rPr>
          <w:spacing w:val="1"/>
          <w:lang w:val="da-DK"/>
        </w:rPr>
        <w:t> </w:t>
      </w:r>
      <w:r>
        <w:rPr>
          <w:lang w:val="da-DK"/>
        </w:rPr>
        <w:t>3-studierne med</w:t>
      </w:r>
      <w:r>
        <w:rPr>
          <w:spacing w:val="1"/>
          <w:lang w:val="da-DK"/>
        </w:rPr>
        <w:t xml:space="preserve"> </w:t>
      </w:r>
      <w:r>
        <w:rPr>
          <w:lang w:val="da-DK"/>
        </w:rPr>
        <w:t>patienter,</w:t>
      </w:r>
      <w:r>
        <w:rPr>
          <w:spacing w:val="1"/>
          <w:lang w:val="da-DK"/>
        </w:rPr>
        <w:t xml:space="preserve"> </w:t>
      </w:r>
      <w:r>
        <w:rPr>
          <w:lang w:val="da-DK"/>
        </w:rPr>
        <w:t>der</w:t>
      </w:r>
      <w:r>
        <w:rPr>
          <w:spacing w:val="1"/>
          <w:lang w:val="da-DK"/>
        </w:rPr>
        <w:t xml:space="preserve"> </w:t>
      </w:r>
      <w:r>
        <w:rPr>
          <w:lang w:val="da-DK"/>
        </w:rPr>
        <w:t xml:space="preserve">fik abirateronacetat, </w:t>
      </w:r>
      <w:r>
        <w:rPr>
          <w:i/>
          <w:lang w:val="da-DK"/>
        </w:rPr>
        <w:t>versus</w:t>
      </w:r>
      <w:r>
        <w:rPr>
          <w:i/>
          <w:spacing w:val="1"/>
          <w:lang w:val="da-DK"/>
        </w:rPr>
        <w:t xml:space="preserve"> </w:t>
      </w:r>
      <w:r>
        <w:rPr>
          <w:lang w:val="da-DK"/>
        </w:rPr>
        <w:t xml:space="preserve">patienter, der fik placebo, var følgende: atrieflimren 2,6 % </w:t>
      </w:r>
      <w:r>
        <w:rPr>
          <w:i/>
          <w:lang w:val="da-DK"/>
        </w:rPr>
        <w:t xml:space="preserve">vs. </w:t>
      </w:r>
      <w:r>
        <w:rPr>
          <w:lang w:val="da-DK"/>
        </w:rPr>
        <w:t xml:space="preserve">2,0 %, takykardi 1,9 % </w:t>
      </w:r>
      <w:r>
        <w:rPr>
          <w:i/>
          <w:lang w:val="da-DK"/>
        </w:rPr>
        <w:t xml:space="preserve">vs. </w:t>
      </w:r>
      <w:r>
        <w:rPr>
          <w:lang w:val="da-DK"/>
        </w:rPr>
        <w:t>1,0 %, angina</w:t>
      </w:r>
      <w:r>
        <w:rPr>
          <w:spacing w:val="-52"/>
          <w:lang w:val="da-DK"/>
        </w:rPr>
        <w:t xml:space="preserve"> </w:t>
      </w:r>
      <w:r>
        <w:rPr>
          <w:lang w:val="da-DK"/>
        </w:rPr>
        <w:t>pectoris</w:t>
      </w:r>
      <w:r>
        <w:rPr>
          <w:spacing w:val="-1"/>
          <w:lang w:val="da-DK"/>
        </w:rPr>
        <w:t xml:space="preserve"> </w:t>
      </w:r>
      <w:r>
        <w:rPr>
          <w:lang w:val="da-DK"/>
        </w:rPr>
        <w:t>1,7</w:t>
      </w:r>
      <w:r>
        <w:rPr>
          <w:spacing w:val="-3"/>
          <w:lang w:val="da-DK"/>
        </w:rPr>
        <w:t> %</w:t>
      </w:r>
      <w:r>
        <w:rPr>
          <w:lang w:val="da-DK"/>
        </w:rPr>
        <w:t xml:space="preserve"> </w:t>
      </w:r>
      <w:r>
        <w:rPr>
          <w:i/>
          <w:lang w:val="da-DK"/>
        </w:rPr>
        <w:t xml:space="preserve">vs. </w:t>
      </w:r>
      <w:r>
        <w:rPr>
          <w:lang w:val="da-DK"/>
        </w:rPr>
        <w:t>0,8</w:t>
      </w:r>
      <w:r>
        <w:rPr>
          <w:spacing w:val="-4"/>
          <w:lang w:val="da-DK"/>
        </w:rPr>
        <w:t> %</w:t>
      </w:r>
      <w:r>
        <w:rPr>
          <w:lang w:val="da-DK"/>
        </w:rPr>
        <w:t>,</w:t>
      </w:r>
      <w:r>
        <w:rPr>
          <w:spacing w:val="-1"/>
          <w:lang w:val="da-DK"/>
        </w:rPr>
        <w:t xml:space="preserve"> </w:t>
      </w:r>
      <w:r>
        <w:rPr>
          <w:lang w:val="da-DK"/>
        </w:rPr>
        <w:t>hjerteinsufficiens</w:t>
      </w:r>
      <w:r>
        <w:rPr>
          <w:spacing w:val="-2"/>
          <w:lang w:val="da-DK"/>
        </w:rPr>
        <w:t xml:space="preserve"> </w:t>
      </w:r>
      <w:r>
        <w:rPr>
          <w:lang w:val="da-DK"/>
        </w:rPr>
        <w:t>0,7</w:t>
      </w:r>
      <w:r>
        <w:rPr>
          <w:spacing w:val="-3"/>
          <w:lang w:val="da-DK"/>
        </w:rPr>
        <w:t xml:space="preserve"> % </w:t>
      </w:r>
      <w:r>
        <w:rPr>
          <w:i/>
          <w:lang w:val="da-DK"/>
        </w:rPr>
        <w:t xml:space="preserve">vs. </w:t>
      </w:r>
      <w:r>
        <w:rPr>
          <w:lang w:val="da-DK"/>
        </w:rPr>
        <w:t>0,2</w:t>
      </w:r>
      <w:r>
        <w:rPr>
          <w:spacing w:val="-1"/>
          <w:lang w:val="da-DK"/>
        </w:rPr>
        <w:t xml:space="preserve"> % </w:t>
      </w:r>
      <w:r>
        <w:rPr>
          <w:lang w:val="da-DK"/>
        </w:rPr>
        <w:t>og</w:t>
      </w:r>
      <w:r>
        <w:rPr>
          <w:spacing w:val="-2"/>
          <w:lang w:val="da-DK"/>
        </w:rPr>
        <w:t xml:space="preserve"> </w:t>
      </w:r>
      <w:r>
        <w:rPr>
          <w:lang w:val="da-DK"/>
        </w:rPr>
        <w:t>arytmi</w:t>
      </w:r>
      <w:r>
        <w:rPr>
          <w:spacing w:val="-1"/>
          <w:lang w:val="da-DK"/>
        </w:rPr>
        <w:t xml:space="preserve"> </w:t>
      </w:r>
      <w:r>
        <w:rPr>
          <w:lang w:val="da-DK"/>
        </w:rPr>
        <w:t>0,7</w:t>
      </w:r>
      <w:r>
        <w:rPr>
          <w:spacing w:val="-2"/>
          <w:lang w:val="da-DK"/>
        </w:rPr>
        <w:t xml:space="preserve"> % </w:t>
      </w:r>
      <w:r>
        <w:rPr>
          <w:i/>
          <w:lang w:val="da-DK"/>
        </w:rPr>
        <w:t>vs.</w:t>
      </w:r>
      <w:r>
        <w:rPr>
          <w:i/>
          <w:spacing w:val="-1"/>
          <w:lang w:val="da-DK"/>
        </w:rPr>
        <w:t xml:space="preserve"> </w:t>
      </w:r>
      <w:r>
        <w:rPr>
          <w:lang w:val="da-DK"/>
        </w:rPr>
        <w:t>0,5</w:t>
      </w:r>
      <w:r>
        <w:rPr>
          <w:spacing w:val="-3"/>
          <w:lang w:val="da-DK"/>
        </w:rPr>
        <w:t> %</w:t>
      </w:r>
      <w:r>
        <w:rPr>
          <w:lang w:val="da-DK"/>
        </w:rPr>
        <w:t>.</w:t>
      </w:r>
    </w:p>
    <w:p>
      <w:pPr>
        <w:pStyle w:val="BodyText"/>
        <w:tabs>
          <w:tab w:val="left" w:pos="8505"/>
        </w:tabs>
        <w:ind w:right="-1"/>
        <w:rPr>
          <w:lang w:val="da-DK"/>
        </w:rPr>
      </w:pPr>
    </w:p>
    <w:p>
      <w:pPr>
        <w:widowControl w:val="0"/>
        <w:tabs>
          <w:tab w:val="left" w:pos="8505"/>
        </w:tabs>
        <w:ind w:right="-1"/>
        <w:rPr>
          <w:i/>
          <w:lang w:val="da-DK"/>
        </w:rPr>
      </w:pPr>
      <w:r>
        <w:rPr>
          <w:i/>
          <w:sz w:val="22"/>
          <w:lang w:val="da-DK"/>
        </w:rPr>
        <w:t>Levertoksicitet</w:t>
      </w:r>
    </w:p>
    <w:p>
      <w:pPr>
        <w:pStyle w:val="BodyText"/>
        <w:tabs>
          <w:tab w:val="left" w:pos="8505"/>
        </w:tabs>
        <w:ind w:right="-1"/>
        <w:rPr>
          <w:lang w:val="da-DK"/>
        </w:rPr>
      </w:pPr>
      <w:r>
        <w:rPr>
          <w:lang w:val="da-DK"/>
        </w:rPr>
        <w:t>Hepatotoksicitet med forhøjet ALAT, ASAT og total bilirubin er forekommet hos patienter i</w:t>
      </w:r>
      <w:r>
        <w:rPr>
          <w:spacing w:val="1"/>
          <w:lang w:val="da-DK"/>
        </w:rPr>
        <w:t xml:space="preserve"> </w:t>
      </w:r>
      <w:r>
        <w:rPr>
          <w:lang w:val="da-DK"/>
        </w:rPr>
        <w:t>behandling med abirateronacetat. På tværs af de fase 3 kliniske studier blev der rapporteret</w:t>
      </w:r>
      <w:r>
        <w:rPr>
          <w:spacing w:val="1"/>
          <w:lang w:val="da-DK"/>
        </w:rPr>
        <w:t xml:space="preserve"> </w:t>
      </w:r>
      <w:r>
        <w:rPr>
          <w:lang w:val="da-DK"/>
        </w:rPr>
        <w:t>hepatotoksicitet af grad 3 og 4 (f.eks. stigning i ALAT eller ASAT til &gt; 5 × ULN eller stigning i</w:t>
      </w:r>
      <w:r>
        <w:rPr>
          <w:spacing w:val="-52"/>
          <w:lang w:val="da-DK"/>
        </w:rPr>
        <w:t xml:space="preserve"> </w:t>
      </w:r>
      <w:r>
        <w:rPr>
          <w:lang w:val="da-DK"/>
        </w:rPr>
        <w:t>bilirubin</w:t>
      </w:r>
      <w:r>
        <w:rPr>
          <w:spacing w:val="-2"/>
          <w:lang w:val="da-DK"/>
        </w:rPr>
        <w:t xml:space="preserve"> </w:t>
      </w:r>
      <w:r>
        <w:rPr>
          <w:lang w:val="da-DK"/>
        </w:rPr>
        <w:t>til</w:t>
      </w:r>
      <w:r>
        <w:rPr>
          <w:spacing w:val="-2"/>
          <w:lang w:val="da-DK"/>
        </w:rPr>
        <w:t xml:space="preserve"> </w:t>
      </w:r>
      <w:r>
        <w:rPr>
          <w:lang w:val="da-DK"/>
        </w:rPr>
        <w:t>&gt;</w:t>
      </w:r>
      <w:r>
        <w:rPr>
          <w:spacing w:val="-4"/>
          <w:lang w:val="da-DK"/>
        </w:rPr>
        <w:t> </w:t>
      </w:r>
      <w:r>
        <w:rPr>
          <w:lang w:val="da-DK"/>
        </w:rPr>
        <w:t>1,5</w:t>
      </w:r>
      <w:r>
        <w:rPr>
          <w:spacing w:val="-2"/>
          <w:lang w:val="da-DK"/>
        </w:rPr>
        <w:t> × </w:t>
      </w:r>
      <w:r>
        <w:rPr>
          <w:lang w:val="da-DK"/>
        </w:rPr>
        <w:t>ULN)</w:t>
      </w:r>
      <w:r>
        <w:rPr>
          <w:spacing w:val="-3"/>
          <w:lang w:val="da-DK"/>
        </w:rPr>
        <w:t xml:space="preserve"> </w:t>
      </w:r>
      <w:r>
        <w:rPr>
          <w:lang w:val="da-DK"/>
        </w:rPr>
        <w:t>hos</w:t>
      </w:r>
      <w:r>
        <w:rPr>
          <w:spacing w:val="-2"/>
          <w:lang w:val="da-DK"/>
        </w:rPr>
        <w:t xml:space="preserve"> </w:t>
      </w:r>
      <w:r>
        <w:rPr>
          <w:lang w:val="da-DK"/>
        </w:rPr>
        <w:t>ca.</w:t>
      </w:r>
      <w:r>
        <w:rPr>
          <w:spacing w:val="-3"/>
          <w:lang w:val="da-DK"/>
        </w:rPr>
        <w:t xml:space="preserve"> </w:t>
      </w:r>
      <w:r>
        <w:rPr>
          <w:lang w:val="da-DK"/>
        </w:rPr>
        <w:t>6</w:t>
      </w:r>
      <w:r>
        <w:rPr>
          <w:spacing w:val="-1"/>
          <w:lang w:val="da-DK"/>
        </w:rPr>
        <w:t> %</w:t>
      </w:r>
      <w:r>
        <w:rPr>
          <w:spacing w:val="-3"/>
          <w:lang w:val="da-DK"/>
        </w:rPr>
        <w:t xml:space="preserve"> </w:t>
      </w:r>
      <w:r>
        <w:rPr>
          <w:lang w:val="da-DK"/>
        </w:rPr>
        <w:t>af</w:t>
      </w:r>
      <w:r>
        <w:rPr>
          <w:spacing w:val="-3"/>
          <w:lang w:val="da-DK"/>
        </w:rPr>
        <w:t xml:space="preserve"> </w:t>
      </w:r>
      <w:r>
        <w:rPr>
          <w:lang w:val="da-DK"/>
        </w:rPr>
        <w:t>de</w:t>
      </w:r>
      <w:r>
        <w:rPr>
          <w:spacing w:val="-2"/>
          <w:lang w:val="da-DK"/>
        </w:rPr>
        <w:t xml:space="preserve"> </w:t>
      </w:r>
      <w:r>
        <w:rPr>
          <w:lang w:val="da-DK"/>
        </w:rPr>
        <w:t>patienter,</w:t>
      </w:r>
      <w:r>
        <w:rPr>
          <w:spacing w:val="-3"/>
          <w:lang w:val="da-DK"/>
        </w:rPr>
        <w:t xml:space="preserve"> </w:t>
      </w:r>
      <w:r>
        <w:rPr>
          <w:lang w:val="da-DK"/>
        </w:rPr>
        <w:t>som</w:t>
      </w:r>
      <w:r>
        <w:rPr>
          <w:spacing w:val="-2"/>
          <w:lang w:val="da-DK"/>
        </w:rPr>
        <w:t xml:space="preserve"> </w:t>
      </w:r>
      <w:r>
        <w:rPr>
          <w:lang w:val="da-DK"/>
        </w:rPr>
        <w:t>fik</w:t>
      </w:r>
      <w:r>
        <w:rPr>
          <w:spacing w:val="-3"/>
          <w:lang w:val="da-DK"/>
        </w:rPr>
        <w:t xml:space="preserve"> </w:t>
      </w:r>
      <w:r>
        <w:rPr>
          <w:lang w:val="da-DK"/>
        </w:rPr>
        <w:t>abirateronacetat,</w:t>
      </w:r>
      <w:r>
        <w:rPr>
          <w:spacing w:val="-2"/>
          <w:lang w:val="da-DK"/>
        </w:rPr>
        <w:t xml:space="preserve"> </w:t>
      </w:r>
      <w:r>
        <w:rPr>
          <w:lang w:val="da-DK"/>
        </w:rPr>
        <w:t>typisk</w:t>
      </w:r>
      <w:r>
        <w:rPr>
          <w:spacing w:val="-3"/>
          <w:lang w:val="da-DK"/>
        </w:rPr>
        <w:t xml:space="preserve"> </w:t>
      </w:r>
      <w:r>
        <w:rPr>
          <w:lang w:val="da-DK"/>
        </w:rPr>
        <w:t>i</w:t>
      </w:r>
      <w:r>
        <w:rPr>
          <w:spacing w:val="-2"/>
          <w:lang w:val="da-DK"/>
        </w:rPr>
        <w:t xml:space="preserve"> </w:t>
      </w:r>
      <w:r>
        <w:rPr>
          <w:lang w:val="da-DK"/>
        </w:rPr>
        <w:t>de</w:t>
      </w:r>
      <w:r>
        <w:rPr>
          <w:spacing w:val="-3"/>
          <w:lang w:val="da-DK"/>
        </w:rPr>
        <w:t xml:space="preserve"> </w:t>
      </w:r>
      <w:r>
        <w:rPr>
          <w:lang w:val="da-DK"/>
        </w:rPr>
        <w:t>første 3 måneder efter indledning af behandlingen. I studie 3011 sås hepatotoksicitet af grad 3 eller 4 hos</w:t>
      </w:r>
      <w:r>
        <w:rPr>
          <w:spacing w:val="1"/>
          <w:lang w:val="da-DK"/>
        </w:rPr>
        <w:t xml:space="preserve"> </w:t>
      </w:r>
      <w:r>
        <w:rPr>
          <w:lang w:val="da-DK"/>
        </w:rPr>
        <w:t>8,4 % af de patienter, der blev behandlet med abirateron. Hos ti af de patienter, der fik abirateron, blev behandlingen seponeret på grund af hepatotoksicitet, to havde hepatotoksicitet af grad 2, seks havde</w:t>
      </w:r>
      <w:r>
        <w:rPr>
          <w:spacing w:val="1"/>
          <w:lang w:val="da-DK"/>
        </w:rPr>
        <w:t xml:space="preserve"> </w:t>
      </w:r>
      <w:r>
        <w:rPr>
          <w:lang w:val="da-DK"/>
        </w:rPr>
        <w:t>hepatotoksicitet af grad 3, og to havde hepatotoksicitet af grad 4. Ingen patienter døde af</w:t>
      </w:r>
      <w:r>
        <w:rPr>
          <w:spacing w:val="1"/>
          <w:lang w:val="da-DK"/>
        </w:rPr>
        <w:t xml:space="preserve"> </w:t>
      </w:r>
      <w:r>
        <w:rPr>
          <w:lang w:val="da-DK"/>
        </w:rPr>
        <w:t>hepatotoksicitet</w:t>
      </w:r>
      <w:r>
        <w:rPr>
          <w:spacing w:val="-4"/>
          <w:lang w:val="da-DK"/>
        </w:rPr>
        <w:t xml:space="preserve"> </w:t>
      </w:r>
      <w:r>
        <w:rPr>
          <w:lang w:val="da-DK"/>
        </w:rPr>
        <w:t>i</w:t>
      </w:r>
      <w:r>
        <w:rPr>
          <w:spacing w:val="-3"/>
          <w:lang w:val="da-DK"/>
        </w:rPr>
        <w:t xml:space="preserve"> </w:t>
      </w:r>
      <w:r>
        <w:rPr>
          <w:lang w:val="da-DK"/>
        </w:rPr>
        <w:t>studie</w:t>
      </w:r>
      <w:r>
        <w:rPr>
          <w:spacing w:val="-5"/>
          <w:lang w:val="da-DK"/>
        </w:rPr>
        <w:t xml:space="preserve"> </w:t>
      </w:r>
      <w:r>
        <w:rPr>
          <w:lang w:val="da-DK"/>
        </w:rPr>
        <w:t>3011.</w:t>
      </w:r>
      <w:r>
        <w:rPr>
          <w:spacing w:val="-3"/>
          <w:lang w:val="da-DK"/>
        </w:rPr>
        <w:t xml:space="preserve"> </w:t>
      </w:r>
      <w:r>
        <w:rPr>
          <w:lang w:val="da-DK"/>
        </w:rPr>
        <w:t>I</w:t>
      </w:r>
      <w:r>
        <w:rPr>
          <w:spacing w:val="-3"/>
          <w:lang w:val="da-DK"/>
        </w:rPr>
        <w:t xml:space="preserve"> </w:t>
      </w:r>
      <w:r>
        <w:rPr>
          <w:lang w:val="da-DK"/>
        </w:rPr>
        <w:t>de</w:t>
      </w:r>
      <w:r>
        <w:rPr>
          <w:spacing w:val="-4"/>
          <w:lang w:val="da-DK"/>
        </w:rPr>
        <w:t xml:space="preserve"> </w:t>
      </w:r>
      <w:r>
        <w:rPr>
          <w:lang w:val="da-DK"/>
        </w:rPr>
        <w:t>fase</w:t>
      </w:r>
      <w:r>
        <w:rPr>
          <w:spacing w:val="-2"/>
          <w:lang w:val="da-DK"/>
        </w:rPr>
        <w:t> </w:t>
      </w:r>
      <w:r>
        <w:rPr>
          <w:lang w:val="da-DK"/>
        </w:rPr>
        <w:t>3</w:t>
      </w:r>
      <w:r>
        <w:rPr>
          <w:spacing w:val="-3"/>
          <w:lang w:val="da-DK"/>
        </w:rPr>
        <w:t xml:space="preserve"> </w:t>
      </w:r>
      <w:r>
        <w:rPr>
          <w:lang w:val="da-DK"/>
        </w:rPr>
        <w:t>kliniske</w:t>
      </w:r>
      <w:r>
        <w:rPr>
          <w:spacing w:val="-4"/>
          <w:lang w:val="da-DK"/>
        </w:rPr>
        <w:t xml:space="preserve"> </w:t>
      </w:r>
      <w:r>
        <w:rPr>
          <w:lang w:val="da-DK"/>
        </w:rPr>
        <w:t>studier</w:t>
      </w:r>
      <w:r>
        <w:rPr>
          <w:spacing w:val="-3"/>
          <w:lang w:val="da-DK"/>
        </w:rPr>
        <w:t xml:space="preserve"> </w:t>
      </w:r>
      <w:r>
        <w:rPr>
          <w:lang w:val="da-DK"/>
        </w:rPr>
        <w:t>var</w:t>
      </w:r>
      <w:r>
        <w:rPr>
          <w:spacing w:val="-4"/>
          <w:lang w:val="da-DK"/>
        </w:rPr>
        <w:t xml:space="preserve"> </w:t>
      </w:r>
      <w:r>
        <w:rPr>
          <w:lang w:val="da-DK"/>
        </w:rPr>
        <w:t>de</w:t>
      </w:r>
      <w:r>
        <w:rPr>
          <w:spacing w:val="-3"/>
          <w:lang w:val="da-DK"/>
        </w:rPr>
        <w:t xml:space="preserve"> </w:t>
      </w:r>
      <w:r>
        <w:rPr>
          <w:lang w:val="da-DK"/>
        </w:rPr>
        <w:t>patienter,</w:t>
      </w:r>
      <w:r>
        <w:rPr>
          <w:spacing w:val="-3"/>
          <w:lang w:val="da-DK"/>
        </w:rPr>
        <w:t xml:space="preserve"> </w:t>
      </w:r>
      <w:r>
        <w:rPr>
          <w:lang w:val="da-DK"/>
        </w:rPr>
        <w:t>som</w:t>
      </w:r>
      <w:r>
        <w:rPr>
          <w:spacing w:val="-4"/>
          <w:lang w:val="da-DK"/>
        </w:rPr>
        <w:t xml:space="preserve"> </w:t>
      </w:r>
      <w:r>
        <w:rPr>
          <w:lang w:val="da-DK"/>
        </w:rPr>
        <w:t>havde</w:t>
      </w:r>
      <w:r>
        <w:rPr>
          <w:spacing w:val="-3"/>
          <w:lang w:val="da-DK"/>
        </w:rPr>
        <w:t xml:space="preserve"> </w:t>
      </w:r>
      <w:r>
        <w:rPr>
          <w:lang w:val="da-DK"/>
        </w:rPr>
        <w:t>forhøjet</w:t>
      </w:r>
      <w:r>
        <w:rPr>
          <w:spacing w:val="-3"/>
          <w:lang w:val="da-DK"/>
        </w:rPr>
        <w:t xml:space="preserve"> </w:t>
      </w:r>
      <w:r>
        <w:rPr>
          <w:lang w:val="da-DK"/>
        </w:rPr>
        <w:t xml:space="preserve">ALAT eller ASAT ved </w:t>
      </w:r>
      <w:r>
        <w:rPr>
          <w:i/>
          <w:lang w:val="da-DK"/>
        </w:rPr>
        <w:t>baseline</w:t>
      </w:r>
      <w:r>
        <w:rPr>
          <w:lang w:val="da-DK"/>
        </w:rPr>
        <w:t>, mere tilbøjelige til at få forhøjede leverfunktionsprøver end dem, som havde</w:t>
      </w:r>
      <w:r>
        <w:rPr>
          <w:spacing w:val="-52"/>
          <w:lang w:val="da-DK"/>
        </w:rPr>
        <w:t xml:space="preserve"> </w:t>
      </w:r>
      <w:r>
        <w:rPr>
          <w:lang w:val="da-DK"/>
        </w:rPr>
        <w:t>normale værdier ved start. Ved observation af enten forhøjet ALAT eller ASAT &gt; 5 × ULN eller</w:t>
      </w:r>
      <w:r>
        <w:rPr>
          <w:spacing w:val="1"/>
          <w:lang w:val="da-DK"/>
        </w:rPr>
        <w:t xml:space="preserve"> </w:t>
      </w:r>
      <w:r>
        <w:rPr>
          <w:lang w:val="da-DK"/>
        </w:rPr>
        <w:t>forhøjet bilirubin &gt;</w:t>
      </w:r>
      <w:r>
        <w:rPr>
          <w:spacing w:val="1"/>
          <w:lang w:val="da-DK"/>
        </w:rPr>
        <w:t> </w:t>
      </w:r>
      <w:r>
        <w:rPr>
          <w:lang w:val="da-DK"/>
        </w:rPr>
        <w:t>3</w:t>
      </w:r>
      <w:r>
        <w:rPr>
          <w:spacing w:val="2"/>
          <w:lang w:val="da-DK"/>
        </w:rPr>
        <w:t> × </w:t>
      </w:r>
      <w:r>
        <w:rPr>
          <w:lang w:val="da-DK"/>
        </w:rPr>
        <w:t>ULN blev</w:t>
      </w:r>
      <w:r>
        <w:rPr>
          <w:spacing w:val="1"/>
          <w:lang w:val="da-DK"/>
        </w:rPr>
        <w:t xml:space="preserve"> </w:t>
      </w:r>
      <w:r>
        <w:rPr>
          <w:lang w:val="da-DK"/>
        </w:rPr>
        <w:t>abirateronacetat-behandlingen midlertidigt eller permanent</w:t>
      </w:r>
      <w:r>
        <w:rPr>
          <w:spacing w:val="1"/>
          <w:lang w:val="da-DK"/>
        </w:rPr>
        <w:t xml:space="preserve"> </w:t>
      </w:r>
      <w:r>
        <w:rPr>
          <w:lang w:val="da-DK"/>
        </w:rPr>
        <w:t>afbrudt.</w:t>
      </w:r>
      <w:r>
        <w:rPr>
          <w:spacing w:val="1"/>
          <w:lang w:val="da-DK"/>
        </w:rPr>
        <w:t xml:space="preserve"> </w:t>
      </w:r>
      <w:r>
        <w:rPr>
          <w:lang w:val="da-DK"/>
        </w:rPr>
        <w:t>I to tilfælde sås markante stigninger i leverfunktionsprøver (se pkt. 4.4). De to patienter med normal</w:t>
      </w:r>
      <w:r>
        <w:rPr>
          <w:spacing w:val="1"/>
          <w:lang w:val="da-DK"/>
        </w:rPr>
        <w:t xml:space="preserve"> </w:t>
      </w:r>
      <w:r>
        <w:rPr>
          <w:lang w:val="da-DK"/>
        </w:rPr>
        <w:t>leverfunktion</w:t>
      </w:r>
      <w:r>
        <w:rPr>
          <w:spacing w:val="-3"/>
          <w:lang w:val="da-DK"/>
        </w:rPr>
        <w:t xml:space="preserve"> </w:t>
      </w:r>
      <w:r>
        <w:rPr>
          <w:lang w:val="da-DK"/>
        </w:rPr>
        <w:t>ved</w:t>
      </w:r>
      <w:r>
        <w:rPr>
          <w:spacing w:val="-4"/>
          <w:lang w:val="da-DK"/>
        </w:rPr>
        <w:t xml:space="preserve"> </w:t>
      </w:r>
      <w:r>
        <w:rPr>
          <w:i/>
          <w:lang w:val="da-DK"/>
        </w:rPr>
        <w:t>baseline</w:t>
      </w:r>
      <w:r>
        <w:rPr>
          <w:i/>
          <w:spacing w:val="-6"/>
          <w:lang w:val="da-DK"/>
        </w:rPr>
        <w:t xml:space="preserve"> </w:t>
      </w:r>
      <w:r>
        <w:rPr>
          <w:lang w:val="da-DK"/>
        </w:rPr>
        <w:t>fik</w:t>
      </w:r>
      <w:r>
        <w:rPr>
          <w:spacing w:val="-3"/>
          <w:lang w:val="da-DK"/>
        </w:rPr>
        <w:t xml:space="preserve"> </w:t>
      </w:r>
      <w:r>
        <w:rPr>
          <w:lang w:val="da-DK"/>
        </w:rPr>
        <w:t>forhøjet</w:t>
      </w:r>
      <w:r>
        <w:rPr>
          <w:spacing w:val="-3"/>
          <w:lang w:val="da-DK"/>
        </w:rPr>
        <w:t xml:space="preserve"> </w:t>
      </w:r>
      <w:r>
        <w:rPr>
          <w:lang w:val="da-DK"/>
        </w:rPr>
        <w:t>ALAT</w:t>
      </w:r>
      <w:r>
        <w:rPr>
          <w:spacing w:val="-3"/>
          <w:lang w:val="da-DK"/>
        </w:rPr>
        <w:t xml:space="preserve"> </w:t>
      </w:r>
      <w:r>
        <w:rPr>
          <w:lang w:val="da-DK"/>
        </w:rPr>
        <w:t>eller</w:t>
      </w:r>
      <w:r>
        <w:rPr>
          <w:spacing w:val="-2"/>
          <w:lang w:val="da-DK"/>
        </w:rPr>
        <w:t xml:space="preserve"> </w:t>
      </w:r>
      <w:r>
        <w:rPr>
          <w:lang w:val="da-DK"/>
        </w:rPr>
        <w:t>ASAT</w:t>
      </w:r>
      <w:r>
        <w:rPr>
          <w:spacing w:val="-3"/>
          <w:lang w:val="da-DK"/>
        </w:rPr>
        <w:t xml:space="preserve"> </w:t>
      </w:r>
      <w:r>
        <w:rPr>
          <w:lang w:val="da-DK"/>
        </w:rPr>
        <w:t>på</w:t>
      </w:r>
      <w:r>
        <w:rPr>
          <w:spacing w:val="-3"/>
          <w:lang w:val="da-DK"/>
        </w:rPr>
        <w:t xml:space="preserve"> </w:t>
      </w:r>
      <w:r>
        <w:rPr>
          <w:lang w:val="da-DK"/>
        </w:rPr>
        <w:t>15-40</w:t>
      </w:r>
      <w:r>
        <w:rPr>
          <w:spacing w:val="-2"/>
          <w:lang w:val="da-DK"/>
        </w:rPr>
        <w:t> × </w:t>
      </w:r>
      <w:r>
        <w:rPr>
          <w:lang w:val="da-DK"/>
        </w:rPr>
        <w:t>ULN</w:t>
      </w:r>
      <w:r>
        <w:rPr>
          <w:spacing w:val="-3"/>
          <w:lang w:val="da-DK"/>
        </w:rPr>
        <w:t xml:space="preserve"> </w:t>
      </w:r>
      <w:r>
        <w:rPr>
          <w:lang w:val="da-DK"/>
        </w:rPr>
        <w:t>og</w:t>
      </w:r>
      <w:r>
        <w:rPr>
          <w:spacing w:val="-3"/>
          <w:lang w:val="da-DK"/>
        </w:rPr>
        <w:t xml:space="preserve"> </w:t>
      </w:r>
      <w:r>
        <w:rPr>
          <w:lang w:val="da-DK"/>
        </w:rPr>
        <w:t>forhøjet</w:t>
      </w:r>
      <w:r>
        <w:rPr>
          <w:spacing w:val="-2"/>
          <w:lang w:val="da-DK"/>
        </w:rPr>
        <w:t xml:space="preserve"> </w:t>
      </w:r>
      <w:r>
        <w:rPr>
          <w:lang w:val="da-DK"/>
        </w:rPr>
        <w:t>bilirubin</w:t>
      </w:r>
      <w:r>
        <w:rPr>
          <w:spacing w:val="-3"/>
          <w:lang w:val="da-DK"/>
        </w:rPr>
        <w:t xml:space="preserve"> </w:t>
      </w:r>
      <w:r>
        <w:rPr>
          <w:lang w:val="da-DK"/>
        </w:rPr>
        <w:t>på 2-6 × ULN. Efter seponering af behandlingen normaliseredes leverfunktionsprøverne hos begge</w:t>
      </w:r>
      <w:r>
        <w:rPr>
          <w:spacing w:val="1"/>
          <w:lang w:val="da-DK"/>
        </w:rPr>
        <w:t xml:space="preserve"> </w:t>
      </w:r>
      <w:r>
        <w:rPr>
          <w:lang w:val="da-DK"/>
        </w:rPr>
        <w:t>patienter, og den ene patient genoptog behandlingen, uden at forhøjelserne indtraf igen. I studie 302 blev der observeret grad 3 eller 4 ALAT- eller ASAT-forhøjelser hos 35 (6,5 %) af de patienter, der blev behandlet</w:t>
      </w:r>
      <w:r>
        <w:rPr>
          <w:spacing w:val="-4"/>
          <w:lang w:val="da-DK"/>
        </w:rPr>
        <w:t xml:space="preserve"> </w:t>
      </w:r>
      <w:r>
        <w:rPr>
          <w:lang w:val="da-DK"/>
        </w:rPr>
        <w:t>med</w:t>
      </w:r>
      <w:r>
        <w:rPr>
          <w:spacing w:val="-4"/>
          <w:lang w:val="da-DK"/>
        </w:rPr>
        <w:t xml:space="preserve"> </w:t>
      </w:r>
      <w:r>
        <w:rPr>
          <w:lang w:val="da-DK"/>
        </w:rPr>
        <w:t>abirateronacetat.</w:t>
      </w:r>
      <w:r>
        <w:rPr>
          <w:spacing w:val="-5"/>
          <w:lang w:val="da-DK"/>
        </w:rPr>
        <w:t xml:space="preserve"> </w:t>
      </w:r>
      <w:r>
        <w:rPr>
          <w:lang w:val="da-DK"/>
        </w:rPr>
        <w:t>Forhøjelserne i aminotransferase forsvandt</w:t>
      </w:r>
      <w:r>
        <w:rPr>
          <w:spacing w:val="-4"/>
          <w:lang w:val="da-DK"/>
        </w:rPr>
        <w:t xml:space="preserve"> </w:t>
      </w:r>
      <w:r>
        <w:rPr>
          <w:lang w:val="da-DK"/>
        </w:rPr>
        <w:t>hos</w:t>
      </w:r>
      <w:r>
        <w:rPr>
          <w:spacing w:val="-5"/>
          <w:lang w:val="da-DK"/>
        </w:rPr>
        <w:t xml:space="preserve"> </w:t>
      </w:r>
      <w:r>
        <w:rPr>
          <w:lang w:val="da-DK"/>
        </w:rPr>
        <w:t>alle</w:t>
      </w:r>
      <w:r>
        <w:rPr>
          <w:spacing w:val="-4"/>
          <w:lang w:val="da-DK"/>
        </w:rPr>
        <w:t xml:space="preserve"> </w:t>
      </w:r>
      <w:r>
        <w:rPr>
          <w:lang w:val="da-DK"/>
        </w:rPr>
        <w:t>undtagen 3 patienter (2 med multiple levermetastaser og 1 med ASAT-forhøjelse cirka 3 uger efter sidste</w:t>
      </w:r>
      <w:r>
        <w:rPr>
          <w:spacing w:val="1"/>
          <w:lang w:val="da-DK"/>
        </w:rPr>
        <w:t xml:space="preserve"> </w:t>
      </w:r>
      <w:r>
        <w:rPr>
          <w:lang w:val="da-DK"/>
        </w:rPr>
        <w:t>abirateronacetat-dosis). I de fase 3 kliniske studier blev seponering på grund af ALAT- og ASAT-</w:t>
      </w:r>
      <w:r>
        <w:rPr>
          <w:spacing w:val="1"/>
          <w:lang w:val="da-DK"/>
        </w:rPr>
        <w:t xml:space="preserve"> </w:t>
      </w:r>
      <w:r>
        <w:rPr>
          <w:lang w:val="da-DK"/>
        </w:rPr>
        <w:t>stigning eller unormal leverfunktion rapporteret hos 1,1 % af de patienter, der fik abirateronacetat, og hos 0,6 % af de patienter, der fik placebo. Der blev ikke rapporteret dødsfald forårsaget af</w:t>
      </w:r>
      <w:r>
        <w:rPr>
          <w:spacing w:val="1"/>
          <w:lang w:val="da-DK"/>
        </w:rPr>
        <w:t xml:space="preserve"> </w:t>
      </w:r>
      <w:r>
        <w:rPr>
          <w:lang w:val="da-DK"/>
        </w:rPr>
        <w:t>levertoksicitet.</w:t>
      </w:r>
    </w:p>
    <w:p>
      <w:pPr>
        <w:pStyle w:val="BodyText"/>
        <w:tabs>
          <w:tab w:val="left" w:pos="8505"/>
        </w:tabs>
        <w:ind w:right="-1"/>
        <w:rPr>
          <w:sz w:val="21"/>
          <w:lang w:val="da-DK"/>
        </w:rPr>
      </w:pPr>
    </w:p>
    <w:p>
      <w:pPr>
        <w:pStyle w:val="BodyText"/>
        <w:tabs>
          <w:tab w:val="left" w:pos="8505"/>
        </w:tabs>
        <w:ind w:right="-1"/>
        <w:rPr>
          <w:lang w:val="da-DK"/>
        </w:rPr>
      </w:pPr>
      <w:r>
        <w:rPr>
          <w:lang w:val="da-DK"/>
        </w:rPr>
        <w:t xml:space="preserve">I kliniske studier begrænsedes risikoen for hepatotoksicitet ved at udelukke patienter med </w:t>
      </w:r>
      <w:r>
        <w:rPr>
          <w:i/>
          <w:lang w:val="da-DK"/>
        </w:rPr>
        <w:t>baseline</w:t>
      </w:r>
      <w:r>
        <w:rPr>
          <w:i/>
          <w:spacing w:val="1"/>
          <w:lang w:val="da-DK"/>
        </w:rPr>
        <w:t xml:space="preserve"> </w:t>
      </w:r>
      <w:r>
        <w:rPr>
          <w:lang w:val="da-DK"/>
        </w:rPr>
        <w:lastRenderedPageBreak/>
        <w:t>hepatitis eller signifikante unormale leverfunktionstest. Studie 3011 ekskluderede patienter med</w:t>
      </w:r>
      <w:r>
        <w:rPr>
          <w:spacing w:val="1"/>
          <w:lang w:val="da-DK"/>
        </w:rPr>
        <w:t xml:space="preserve"> </w:t>
      </w:r>
      <w:r>
        <w:rPr>
          <w:i/>
          <w:lang w:val="da-DK"/>
        </w:rPr>
        <w:t>baseline</w:t>
      </w:r>
      <w:r>
        <w:rPr>
          <w:lang w:val="da-DK"/>
        </w:rPr>
        <w:t>-ALAT og -ASAT ≥ 2,5 × ULN, bilirubin ≥ 1,5 × ULN, eller med aktiv eller symptomatisk</w:t>
      </w:r>
      <w:r>
        <w:rPr>
          <w:spacing w:val="1"/>
          <w:lang w:val="da-DK"/>
        </w:rPr>
        <w:t xml:space="preserve"> </w:t>
      </w:r>
      <w:r>
        <w:rPr>
          <w:lang w:val="da-DK"/>
        </w:rPr>
        <w:t>viral hepatitis eller kronisk leversygdom, ascites eller blødningssygdom sekundært til hepatisk</w:t>
      </w:r>
      <w:r>
        <w:rPr>
          <w:spacing w:val="1"/>
          <w:lang w:val="da-DK"/>
        </w:rPr>
        <w:t xml:space="preserve"> </w:t>
      </w:r>
      <w:r>
        <w:rPr>
          <w:lang w:val="da-DK"/>
        </w:rPr>
        <w:t xml:space="preserve">dysfunktion. 301-studiet ekskluderede patienter med </w:t>
      </w:r>
      <w:r>
        <w:rPr>
          <w:i/>
          <w:lang w:val="da-DK"/>
        </w:rPr>
        <w:t>baseline</w:t>
      </w:r>
      <w:r>
        <w:rPr>
          <w:lang w:val="da-DK"/>
        </w:rPr>
        <w:t>-ALAT og -ASAT ≥ 2,5 × ULN, hvis der</w:t>
      </w:r>
      <w:r>
        <w:rPr>
          <w:spacing w:val="-52"/>
          <w:lang w:val="da-DK"/>
        </w:rPr>
        <w:t xml:space="preserve"> </w:t>
      </w:r>
      <w:r>
        <w:rPr>
          <w:lang w:val="da-DK"/>
        </w:rPr>
        <w:t xml:space="preserve">ikke forekom levermetastaser, og &gt; 5 × ULN ved forekomst af levermetastaser. Studie 302 inkluderede ikke patienter med levermetastaser, og patienter med </w:t>
      </w:r>
      <w:r>
        <w:rPr>
          <w:i/>
          <w:lang w:val="da-DK"/>
        </w:rPr>
        <w:t>baseline</w:t>
      </w:r>
      <w:r>
        <w:rPr>
          <w:lang w:val="da-DK"/>
        </w:rPr>
        <w:t>-ALAT og -ASAT ≥ 2,5 × ULN blev</w:t>
      </w:r>
      <w:r>
        <w:rPr>
          <w:spacing w:val="1"/>
          <w:lang w:val="da-DK"/>
        </w:rPr>
        <w:t xml:space="preserve"> </w:t>
      </w:r>
      <w:r>
        <w:rPr>
          <w:lang w:val="da-DK"/>
        </w:rPr>
        <w:t>ekskluderet. Anormale leverfunktionsprøver, der udvikledes hos patienter, der deltog i kliniske studier, blev håndteret konsekvent, ved at kræve seponering af behandlingen, og udelukkende tillade</w:t>
      </w:r>
      <w:r>
        <w:rPr>
          <w:spacing w:val="1"/>
          <w:lang w:val="da-DK"/>
        </w:rPr>
        <w:t xml:space="preserve"> </w:t>
      </w:r>
      <w:r>
        <w:rPr>
          <w:lang w:val="da-DK"/>
        </w:rPr>
        <w:t>genoptagelse</w:t>
      </w:r>
      <w:r>
        <w:rPr>
          <w:spacing w:val="-4"/>
          <w:lang w:val="da-DK"/>
        </w:rPr>
        <w:t xml:space="preserve"> </w:t>
      </w:r>
      <w:r>
        <w:rPr>
          <w:lang w:val="da-DK"/>
        </w:rPr>
        <w:t>af</w:t>
      </w:r>
      <w:r>
        <w:rPr>
          <w:spacing w:val="-4"/>
          <w:lang w:val="da-DK"/>
        </w:rPr>
        <w:t xml:space="preserve"> </w:t>
      </w:r>
      <w:r>
        <w:rPr>
          <w:lang w:val="da-DK"/>
        </w:rPr>
        <w:t>behandlingen,</w:t>
      </w:r>
      <w:r>
        <w:rPr>
          <w:spacing w:val="-3"/>
          <w:lang w:val="da-DK"/>
        </w:rPr>
        <w:t xml:space="preserve"> </w:t>
      </w:r>
      <w:r>
        <w:rPr>
          <w:lang w:val="da-DK"/>
        </w:rPr>
        <w:t>hvis</w:t>
      </w:r>
      <w:r>
        <w:rPr>
          <w:spacing w:val="-4"/>
          <w:lang w:val="da-DK"/>
        </w:rPr>
        <w:t xml:space="preserve"> </w:t>
      </w:r>
      <w:r>
        <w:rPr>
          <w:lang w:val="da-DK"/>
        </w:rPr>
        <w:t>leverfunktionsprøverne</w:t>
      </w:r>
      <w:r>
        <w:rPr>
          <w:spacing w:val="-4"/>
          <w:lang w:val="da-DK"/>
        </w:rPr>
        <w:t xml:space="preserve"> </w:t>
      </w:r>
      <w:r>
        <w:rPr>
          <w:lang w:val="da-DK"/>
        </w:rPr>
        <w:t>faldt</w:t>
      </w:r>
      <w:r>
        <w:rPr>
          <w:spacing w:val="-3"/>
          <w:lang w:val="da-DK"/>
        </w:rPr>
        <w:t xml:space="preserve"> </w:t>
      </w:r>
      <w:r>
        <w:rPr>
          <w:lang w:val="da-DK"/>
        </w:rPr>
        <w:t>til</w:t>
      </w:r>
      <w:r>
        <w:rPr>
          <w:spacing w:val="-4"/>
          <w:lang w:val="da-DK"/>
        </w:rPr>
        <w:t xml:space="preserve"> </w:t>
      </w:r>
      <w:r>
        <w:rPr>
          <w:lang w:val="da-DK"/>
        </w:rPr>
        <w:t>patientens</w:t>
      </w:r>
      <w:r>
        <w:rPr>
          <w:spacing w:val="-5"/>
          <w:lang w:val="da-DK"/>
        </w:rPr>
        <w:t xml:space="preserve"> </w:t>
      </w:r>
      <w:r>
        <w:rPr>
          <w:i/>
          <w:lang w:val="da-DK"/>
        </w:rPr>
        <w:t>baseline-</w:t>
      </w:r>
      <w:r>
        <w:rPr>
          <w:lang w:val="da-DK"/>
        </w:rPr>
        <w:t>værdier</w:t>
      </w:r>
      <w:r>
        <w:rPr>
          <w:spacing w:val="-4"/>
          <w:lang w:val="da-DK"/>
        </w:rPr>
        <w:t xml:space="preserve"> </w:t>
      </w:r>
      <w:r>
        <w:rPr>
          <w:lang w:val="da-DK"/>
        </w:rPr>
        <w:t>(se pkt. 4.2).</w:t>
      </w:r>
      <w:r>
        <w:rPr>
          <w:spacing w:val="-3"/>
          <w:lang w:val="da-DK"/>
        </w:rPr>
        <w:t xml:space="preserve"> </w:t>
      </w:r>
      <w:r>
        <w:rPr>
          <w:lang w:val="da-DK"/>
        </w:rPr>
        <w:t>Hos</w:t>
      </w:r>
      <w:r>
        <w:rPr>
          <w:spacing w:val="-2"/>
          <w:lang w:val="da-DK"/>
        </w:rPr>
        <w:t xml:space="preserve"> </w:t>
      </w:r>
      <w:r>
        <w:rPr>
          <w:lang w:val="da-DK"/>
        </w:rPr>
        <w:t>patienter</w:t>
      </w:r>
      <w:r>
        <w:rPr>
          <w:spacing w:val="-3"/>
          <w:lang w:val="da-DK"/>
        </w:rPr>
        <w:t xml:space="preserve"> </w:t>
      </w:r>
      <w:r>
        <w:rPr>
          <w:lang w:val="da-DK"/>
        </w:rPr>
        <w:t>med</w:t>
      </w:r>
      <w:r>
        <w:rPr>
          <w:spacing w:val="-2"/>
          <w:lang w:val="da-DK"/>
        </w:rPr>
        <w:t xml:space="preserve"> </w:t>
      </w:r>
      <w:r>
        <w:rPr>
          <w:lang w:val="da-DK"/>
        </w:rPr>
        <w:t>forhøjet</w:t>
      </w:r>
      <w:r>
        <w:rPr>
          <w:spacing w:val="-3"/>
          <w:lang w:val="da-DK"/>
        </w:rPr>
        <w:t xml:space="preserve"> </w:t>
      </w:r>
      <w:r>
        <w:rPr>
          <w:lang w:val="da-DK"/>
        </w:rPr>
        <w:t>ALAT</w:t>
      </w:r>
      <w:r>
        <w:rPr>
          <w:spacing w:val="-2"/>
          <w:lang w:val="da-DK"/>
        </w:rPr>
        <w:t xml:space="preserve"> </w:t>
      </w:r>
      <w:r>
        <w:rPr>
          <w:lang w:val="da-DK"/>
        </w:rPr>
        <w:t>eller</w:t>
      </w:r>
      <w:r>
        <w:rPr>
          <w:spacing w:val="-3"/>
          <w:lang w:val="da-DK"/>
        </w:rPr>
        <w:t xml:space="preserve"> </w:t>
      </w:r>
      <w:r>
        <w:rPr>
          <w:lang w:val="da-DK"/>
        </w:rPr>
        <w:t>ASAT</w:t>
      </w:r>
      <w:r>
        <w:rPr>
          <w:spacing w:val="-2"/>
          <w:lang w:val="da-DK"/>
        </w:rPr>
        <w:t xml:space="preserve"> </w:t>
      </w:r>
      <w:r>
        <w:rPr>
          <w:lang w:val="da-DK"/>
        </w:rPr>
        <w:t>&gt;</w:t>
      </w:r>
      <w:r>
        <w:rPr>
          <w:spacing w:val="-4"/>
          <w:lang w:val="da-DK"/>
        </w:rPr>
        <w:t> </w:t>
      </w:r>
      <w:r>
        <w:rPr>
          <w:lang w:val="da-DK"/>
        </w:rPr>
        <w:t>20</w:t>
      </w:r>
      <w:r>
        <w:rPr>
          <w:spacing w:val="-1"/>
          <w:lang w:val="da-DK"/>
        </w:rPr>
        <w:t> × </w:t>
      </w:r>
      <w:r>
        <w:rPr>
          <w:lang w:val="da-DK"/>
        </w:rPr>
        <w:t>ULN</w:t>
      </w:r>
      <w:r>
        <w:rPr>
          <w:spacing w:val="-2"/>
          <w:lang w:val="da-DK"/>
        </w:rPr>
        <w:t xml:space="preserve"> </w:t>
      </w:r>
      <w:r>
        <w:rPr>
          <w:lang w:val="da-DK"/>
        </w:rPr>
        <w:t>blev</w:t>
      </w:r>
      <w:r>
        <w:rPr>
          <w:spacing w:val="-3"/>
          <w:lang w:val="da-DK"/>
        </w:rPr>
        <w:t xml:space="preserve"> </w:t>
      </w:r>
      <w:r>
        <w:rPr>
          <w:lang w:val="da-DK"/>
        </w:rPr>
        <w:t>behandlingen</w:t>
      </w:r>
      <w:r>
        <w:rPr>
          <w:spacing w:val="-3"/>
          <w:lang w:val="da-DK"/>
        </w:rPr>
        <w:t xml:space="preserve"> </w:t>
      </w:r>
      <w:r>
        <w:rPr>
          <w:lang w:val="da-DK"/>
        </w:rPr>
        <w:t>ikke genoptaget. Sikkerheden ved at genoptage behandlingen hos disse patienter er ikke klarlagt.</w:t>
      </w:r>
      <w:r>
        <w:rPr>
          <w:spacing w:val="-52"/>
          <w:lang w:val="da-DK"/>
        </w:rPr>
        <w:t xml:space="preserve"> </w:t>
      </w:r>
      <w:r>
        <w:rPr>
          <w:lang w:val="da-DK"/>
        </w:rPr>
        <w:t>Mekanismen</w:t>
      </w:r>
      <w:r>
        <w:rPr>
          <w:spacing w:val="-2"/>
          <w:lang w:val="da-DK"/>
        </w:rPr>
        <w:t xml:space="preserve"> </w:t>
      </w:r>
      <w:r>
        <w:rPr>
          <w:lang w:val="da-DK"/>
        </w:rPr>
        <w:t>bag</w:t>
      </w:r>
      <w:r>
        <w:rPr>
          <w:spacing w:val="-1"/>
          <w:lang w:val="da-DK"/>
        </w:rPr>
        <w:t xml:space="preserve"> </w:t>
      </w:r>
      <w:r>
        <w:rPr>
          <w:lang w:val="da-DK"/>
        </w:rPr>
        <w:t>hepatotoksicitet</w:t>
      </w:r>
      <w:r>
        <w:rPr>
          <w:spacing w:val="-1"/>
          <w:lang w:val="da-DK"/>
        </w:rPr>
        <w:t xml:space="preserve"> </w:t>
      </w:r>
      <w:r>
        <w:rPr>
          <w:lang w:val="da-DK"/>
        </w:rPr>
        <w:t>er</w:t>
      </w:r>
      <w:r>
        <w:rPr>
          <w:spacing w:val="-2"/>
          <w:lang w:val="da-DK"/>
        </w:rPr>
        <w:t xml:space="preserve"> </w:t>
      </w:r>
      <w:r>
        <w:rPr>
          <w:lang w:val="da-DK"/>
        </w:rPr>
        <w:t>ikke</w:t>
      </w:r>
      <w:r>
        <w:rPr>
          <w:spacing w:val="-1"/>
          <w:lang w:val="da-DK"/>
        </w:rPr>
        <w:t xml:space="preserve"> </w:t>
      </w:r>
      <w:r>
        <w:rPr>
          <w:lang w:val="da-DK"/>
        </w:rPr>
        <w:t>klarlagt.</w:t>
      </w:r>
    </w:p>
    <w:p>
      <w:pPr>
        <w:pStyle w:val="BodyText"/>
        <w:tabs>
          <w:tab w:val="left" w:pos="8505"/>
        </w:tabs>
        <w:ind w:right="-1"/>
        <w:rPr>
          <w:lang w:val="da-DK"/>
        </w:rPr>
      </w:pPr>
    </w:p>
    <w:p>
      <w:pPr>
        <w:pStyle w:val="BodyText"/>
        <w:tabs>
          <w:tab w:val="left" w:pos="8505"/>
        </w:tabs>
        <w:ind w:right="-1"/>
        <w:rPr>
          <w:lang w:val="da-DK"/>
        </w:rPr>
      </w:pPr>
      <w:r>
        <w:rPr>
          <w:u w:val="single"/>
          <w:lang w:val="da-DK"/>
        </w:rPr>
        <w:t>Indberetning</w:t>
      </w:r>
      <w:r>
        <w:rPr>
          <w:spacing w:val="-4"/>
          <w:u w:val="single"/>
          <w:lang w:val="da-DK"/>
        </w:rPr>
        <w:t xml:space="preserve"> </w:t>
      </w:r>
      <w:r>
        <w:rPr>
          <w:u w:val="single"/>
          <w:lang w:val="da-DK"/>
        </w:rPr>
        <w:t>af</w:t>
      </w:r>
      <w:r>
        <w:rPr>
          <w:spacing w:val="-4"/>
          <w:u w:val="single"/>
          <w:lang w:val="da-DK"/>
        </w:rPr>
        <w:t xml:space="preserve"> </w:t>
      </w:r>
      <w:r>
        <w:rPr>
          <w:u w:val="single"/>
          <w:lang w:val="da-DK"/>
        </w:rPr>
        <w:t>formodede</w:t>
      </w:r>
      <w:r>
        <w:rPr>
          <w:spacing w:val="-4"/>
          <w:u w:val="single"/>
          <w:lang w:val="da-DK"/>
        </w:rPr>
        <w:t xml:space="preserve"> </w:t>
      </w:r>
      <w:r>
        <w:rPr>
          <w:u w:val="single"/>
          <w:lang w:val="da-DK"/>
        </w:rPr>
        <w:t>bivirkninger</w:t>
      </w:r>
    </w:p>
    <w:p>
      <w:pPr>
        <w:widowControl w:val="0"/>
        <w:ind w:right="-1"/>
        <w:rPr>
          <w:sz w:val="22"/>
          <w:szCs w:val="22"/>
          <w:lang w:val="da-DK"/>
        </w:rPr>
      </w:pPr>
      <w:r>
        <w:rPr>
          <w:sz w:val="22"/>
          <w:szCs w:val="22"/>
          <w:lang w:val="da-DK"/>
        </w:rPr>
        <w:t>Når lægemidlet er godkendt, er indberetning af formodede bivirkninger vigtig. Det muliggør løbende</w:t>
      </w:r>
      <w:r>
        <w:rPr>
          <w:spacing w:val="1"/>
          <w:sz w:val="22"/>
          <w:szCs w:val="22"/>
          <w:lang w:val="da-DK"/>
        </w:rPr>
        <w:t xml:space="preserve"> </w:t>
      </w:r>
      <w:r>
        <w:rPr>
          <w:sz w:val="22"/>
          <w:szCs w:val="22"/>
          <w:lang w:val="da-DK"/>
        </w:rPr>
        <w:t>overvågning af benefit/risk-forholdet for lægemidlet. Sundhedspersoner anmodes om at indberette alle</w:t>
      </w:r>
      <w:r>
        <w:rPr>
          <w:spacing w:val="-52"/>
          <w:sz w:val="22"/>
          <w:szCs w:val="22"/>
          <w:lang w:val="da-DK"/>
        </w:rPr>
        <w:t xml:space="preserve"> </w:t>
      </w:r>
      <w:r>
        <w:rPr>
          <w:sz w:val="22"/>
          <w:szCs w:val="22"/>
          <w:lang w:val="da-DK"/>
        </w:rPr>
        <w:t>formodede</w:t>
      </w:r>
      <w:r>
        <w:rPr>
          <w:spacing w:val="-2"/>
          <w:sz w:val="22"/>
          <w:szCs w:val="22"/>
          <w:lang w:val="da-DK"/>
        </w:rPr>
        <w:t xml:space="preserve"> </w:t>
      </w:r>
      <w:r>
        <w:rPr>
          <w:sz w:val="22"/>
          <w:szCs w:val="22"/>
          <w:lang w:val="da-DK"/>
        </w:rPr>
        <w:t>bivirkninger</w:t>
      </w:r>
      <w:r>
        <w:rPr>
          <w:spacing w:val="-2"/>
          <w:sz w:val="22"/>
          <w:szCs w:val="22"/>
          <w:lang w:val="da-DK"/>
        </w:rPr>
        <w:t xml:space="preserve"> </w:t>
      </w:r>
      <w:r>
        <w:rPr>
          <w:sz w:val="22"/>
          <w:szCs w:val="22"/>
          <w:lang w:val="da-DK"/>
        </w:rPr>
        <w:t>via</w:t>
      </w:r>
      <w:r>
        <w:rPr>
          <w:spacing w:val="-2"/>
          <w:sz w:val="22"/>
          <w:szCs w:val="22"/>
          <w:lang w:val="da-DK"/>
        </w:rPr>
        <w:t xml:space="preserve"> </w:t>
      </w:r>
      <w:r>
        <w:rPr>
          <w:sz w:val="22"/>
          <w:szCs w:val="22"/>
          <w:shd w:val="clear" w:color="auto" w:fill="C0C0C0"/>
          <w:lang w:val="da-DK"/>
        </w:rPr>
        <w:t>det</w:t>
      </w:r>
      <w:r>
        <w:rPr>
          <w:spacing w:val="-2"/>
          <w:sz w:val="22"/>
          <w:szCs w:val="22"/>
          <w:shd w:val="clear" w:color="auto" w:fill="C0C0C0"/>
          <w:lang w:val="da-DK"/>
        </w:rPr>
        <w:t xml:space="preserve"> </w:t>
      </w:r>
      <w:r>
        <w:rPr>
          <w:sz w:val="22"/>
          <w:szCs w:val="22"/>
          <w:shd w:val="clear" w:color="auto" w:fill="C0C0C0"/>
          <w:lang w:val="da-DK"/>
        </w:rPr>
        <w:t>nationale</w:t>
      </w:r>
      <w:r>
        <w:rPr>
          <w:spacing w:val="-1"/>
          <w:sz w:val="22"/>
          <w:szCs w:val="22"/>
          <w:shd w:val="clear" w:color="auto" w:fill="C0C0C0"/>
          <w:lang w:val="da-DK"/>
        </w:rPr>
        <w:t xml:space="preserve"> </w:t>
      </w:r>
      <w:r>
        <w:rPr>
          <w:sz w:val="22"/>
          <w:szCs w:val="22"/>
          <w:shd w:val="clear" w:color="auto" w:fill="C0C0C0"/>
          <w:lang w:val="da-DK"/>
        </w:rPr>
        <w:t>rapporteringssystem</w:t>
      </w:r>
      <w:r>
        <w:rPr>
          <w:spacing w:val="-5"/>
          <w:sz w:val="22"/>
          <w:szCs w:val="22"/>
          <w:shd w:val="clear" w:color="auto" w:fill="C0C0C0"/>
          <w:lang w:val="da-DK"/>
        </w:rPr>
        <w:t xml:space="preserve"> </w:t>
      </w:r>
      <w:r>
        <w:rPr>
          <w:sz w:val="22"/>
          <w:szCs w:val="22"/>
          <w:shd w:val="clear" w:color="auto" w:fill="C0C0C0"/>
          <w:lang w:val="da-DK"/>
        </w:rPr>
        <w:t>anført</w:t>
      </w:r>
      <w:r>
        <w:rPr>
          <w:spacing w:val="-1"/>
          <w:sz w:val="22"/>
          <w:szCs w:val="22"/>
          <w:shd w:val="clear" w:color="auto" w:fill="C0C0C0"/>
          <w:lang w:val="da-DK"/>
        </w:rPr>
        <w:t xml:space="preserve"> </w:t>
      </w:r>
      <w:r>
        <w:rPr>
          <w:sz w:val="22"/>
          <w:szCs w:val="22"/>
          <w:shd w:val="clear" w:color="auto" w:fill="C0C0C0"/>
          <w:lang w:val="da-DK"/>
        </w:rPr>
        <w:t>i</w:t>
      </w:r>
      <w:r>
        <w:rPr>
          <w:spacing w:val="-1"/>
          <w:sz w:val="22"/>
          <w:szCs w:val="22"/>
          <w:shd w:val="clear" w:color="auto" w:fill="C0C0C0"/>
          <w:lang w:val="da-DK"/>
        </w:rPr>
        <w:t xml:space="preserve"> </w:t>
      </w:r>
      <w:hyperlink r:id="rId8">
        <w:r>
          <w:rPr>
            <w:color w:val="0000FD"/>
            <w:sz w:val="22"/>
            <w:szCs w:val="22"/>
            <w:u w:val="single" w:color="0000FF"/>
            <w:shd w:val="clear" w:color="auto" w:fill="C0C0C0"/>
            <w:lang w:val="da-DK"/>
          </w:rPr>
          <w:t>Appendiks V</w:t>
        </w:r>
      </w:hyperlink>
      <w:r>
        <w:rPr>
          <w:sz w:val="22"/>
          <w:szCs w:val="22"/>
          <w:lang w:val="da-DK"/>
        </w:rPr>
        <w:t>.</w:t>
      </w:r>
    </w:p>
    <w:p>
      <w:pPr>
        <w:widowControl w:val="0"/>
        <w:rPr>
          <w:sz w:val="22"/>
          <w:szCs w:val="22"/>
          <w:lang w:val="da-DK"/>
        </w:rPr>
      </w:pPr>
    </w:p>
    <w:p>
      <w:pPr>
        <w:widowControl w:val="0"/>
        <w:ind w:left="567" w:hanging="567"/>
        <w:rPr>
          <w:sz w:val="22"/>
          <w:szCs w:val="22"/>
          <w:lang w:val="da-DK"/>
        </w:rPr>
      </w:pPr>
      <w:r>
        <w:rPr>
          <w:b/>
          <w:sz w:val="22"/>
          <w:szCs w:val="22"/>
          <w:lang w:val="da-DK"/>
        </w:rPr>
        <w:t>4.9</w:t>
      </w:r>
      <w:r>
        <w:rPr>
          <w:b/>
          <w:sz w:val="22"/>
          <w:szCs w:val="22"/>
          <w:lang w:val="da-DK"/>
        </w:rPr>
        <w:tab/>
        <w:t>Overdosering</w:t>
      </w:r>
    </w:p>
    <w:p>
      <w:pPr>
        <w:widowControl w:val="0"/>
        <w:rPr>
          <w:sz w:val="22"/>
          <w:szCs w:val="22"/>
          <w:lang w:val="da-DK"/>
        </w:rPr>
      </w:pPr>
    </w:p>
    <w:p>
      <w:pPr>
        <w:widowControl w:val="0"/>
        <w:rPr>
          <w:sz w:val="22"/>
          <w:szCs w:val="22"/>
          <w:lang w:val="da-DK"/>
        </w:rPr>
      </w:pPr>
      <w:r>
        <w:rPr>
          <w:sz w:val="22"/>
          <w:szCs w:val="22"/>
          <w:lang w:val="da-DK"/>
        </w:rPr>
        <w:t>Der er begrænset erfaring med overdosering med abirateron hos mennesker.</w:t>
      </w:r>
    </w:p>
    <w:p>
      <w:pPr>
        <w:widowControl w:val="0"/>
        <w:rPr>
          <w:sz w:val="22"/>
          <w:szCs w:val="22"/>
          <w:lang w:val="da-DK"/>
        </w:rPr>
      </w:pPr>
    </w:p>
    <w:p>
      <w:pPr>
        <w:widowControl w:val="0"/>
        <w:rPr>
          <w:sz w:val="22"/>
          <w:szCs w:val="22"/>
          <w:lang w:val="da-DK"/>
        </w:rPr>
      </w:pPr>
      <w:r>
        <w:rPr>
          <w:sz w:val="22"/>
          <w:szCs w:val="22"/>
          <w:lang w:val="da-DK"/>
        </w:rPr>
        <w:t>Der findes intet specifikt antidot. I tilfælde af overdosering skal behandlingen afbrydes, og generel understøttende behandling institueres med overvågning af patienten for arytmi, hypokaliæmi samt symptomer på væskeretention. Leverfunktionen bør også kontrolleres.</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5.</w:t>
      </w:r>
      <w:r>
        <w:rPr>
          <w:b/>
          <w:sz w:val="22"/>
          <w:szCs w:val="22"/>
          <w:lang w:val="da-DK"/>
        </w:rPr>
        <w:tab/>
        <w:t>FARMAKOLOGISKE EGENSKABER</w:t>
      </w:r>
    </w:p>
    <w:p>
      <w:pPr>
        <w:widowControl w:val="0"/>
        <w:rPr>
          <w:sz w:val="22"/>
          <w:szCs w:val="22"/>
          <w:lang w:val="da-DK"/>
        </w:rPr>
      </w:pPr>
    </w:p>
    <w:p>
      <w:pPr>
        <w:widowControl w:val="0"/>
        <w:ind w:left="567" w:hanging="567"/>
        <w:rPr>
          <w:sz w:val="22"/>
          <w:szCs w:val="22"/>
          <w:lang w:val="da-DK"/>
        </w:rPr>
      </w:pPr>
      <w:r>
        <w:rPr>
          <w:b/>
          <w:sz w:val="22"/>
          <w:szCs w:val="22"/>
          <w:lang w:val="da-DK"/>
        </w:rPr>
        <w:t>5.1</w:t>
      </w:r>
      <w:r>
        <w:rPr>
          <w:b/>
          <w:sz w:val="22"/>
          <w:szCs w:val="22"/>
          <w:lang w:val="da-DK"/>
        </w:rPr>
        <w:tab/>
        <w:t>Farmakodynamiske egenskaber</w:t>
      </w:r>
    </w:p>
    <w:p>
      <w:pPr>
        <w:widowControl w:val="0"/>
        <w:rPr>
          <w:sz w:val="22"/>
          <w:szCs w:val="22"/>
          <w:lang w:val="da-DK"/>
        </w:rPr>
      </w:pPr>
    </w:p>
    <w:p>
      <w:pPr>
        <w:pStyle w:val="BodyText"/>
        <w:tabs>
          <w:tab w:val="left" w:pos="8505"/>
        </w:tabs>
        <w:ind w:right="140"/>
        <w:jc w:val="both"/>
        <w:rPr>
          <w:lang w:val="da-DK"/>
        </w:rPr>
      </w:pPr>
      <w:r>
        <w:rPr>
          <w:lang w:val="da-DK"/>
        </w:rPr>
        <w:t>Farmakoterapeutisk klassifikation: Endokrin terapi, andre hormonantagonister og lignende stoffer, ATC-kode:</w:t>
      </w:r>
      <w:r>
        <w:rPr>
          <w:spacing w:val="-2"/>
          <w:lang w:val="da-DK"/>
        </w:rPr>
        <w:t xml:space="preserve"> </w:t>
      </w:r>
      <w:r>
        <w:rPr>
          <w:lang w:val="da-DK"/>
        </w:rPr>
        <w:t>L02BX03</w:t>
      </w:r>
    </w:p>
    <w:p>
      <w:pPr>
        <w:pStyle w:val="BodyText"/>
        <w:tabs>
          <w:tab w:val="left" w:pos="8505"/>
        </w:tabs>
        <w:ind w:right="140"/>
        <w:rPr>
          <w:sz w:val="21"/>
          <w:lang w:val="da-DK"/>
        </w:rPr>
      </w:pPr>
    </w:p>
    <w:p>
      <w:pPr>
        <w:pStyle w:val="BodyText"/>
        <w:tabs>
          <w:tab w:val="left" w:pos="8505"/>
        </w:tabs>
        <w:ind w:right="140"/>
        <w:rPr>
          <w:lang w:val="da-DK"/>
        </w:rPr>
      </w:pPr>
      <w:r>
        <w:rPr>
          <w:u w:val="single"/>
          <w:lang w:val="da-DK"/>
        </w:rPr>
        <w:t>Virkningsmekanisme</w:t>
      </w:r>
    </w:p>
    <w:p>
      <w:pPr>
        <w:pStyle w:val="BodyText"/>
        <w:tabs>
          <w:tab w:val="left" w:pos="8505"/>
        </w:tabs>
        <w:ind w:right="140"/>
        <w:rPr>
          <w:lang w:val="da-DK"/>
        </w:rPr>
      </w:pPr>
      <w:r>
        <w:rPr>
          <w:lang w:val="da-DK"/>
        </w:rPr>
        <w:t xml:space="preserve">Abirateronacetat konverteres </w:t>
      </w:r>
      <w:r>
        <w:rPr>
          <w:i/>
          <w:lang w:val="da-DK"/>
        </w:rPr>
        <w:t xml:space="preserve">in vivo </w:t>
      </w:r>
      <w:r>
        <w:rPr>
          <w:lang w:val="da-DK"/>
        </w:rPr>
        <w:t>til abirateron – en androgen biosyntese-hæmmer. Helt specifikt er abirateron en selektiv hæmmer af enzymet 17α-hydroxylase/C17,20-lyase (CYP17). Dette enzym eksprimeres under og er nødvendigt for androgen biosyntese i tumorvæv i testikler, binyrer og</w:t>
      </w:r>
      <w:r>
        <w:rPr>
          <w:spacing w:val="1"/>
          <w:lang w:val="da-DK"/>
        </w:rPr>
        <w:t xml:space="preserve"> </w:t>
      </w:r>
      <w:r>
        <w:rPr>
          <w:lang w:val="da-DK"/>
        </w:rPr>
        <w:t>prostata.</w:t>
      </w:r>
      <w:r>
        <w:rPr>
          <w:spacing w:val="-3"/>
          <w:lang w:val="da-DK"/>
        </w:rPr>
        <w:t xml:space="preserve"> </w:t>
      </w:r>
      <w:r>
        <w:rPr>
          <w:lang w:val="da-DK"/>
        </w:rPr>
        <w:t>CYP17</w:t>
      </w:r>
      <w:r>
        <w:rPr>
          <w:spacing w:val="-2"/>
          <w:lang w:val="da-DK"/>
        </w:rPr>
        <w:t xml:space="preserve"> </w:t>
      </w:r>
      <w:r>
        <w:rPr>
          <w:lang w:val="da-DK"/>
        </w:rPr>
        <w:t>katalyserer</w:t>
      </w:r>
      <w:r>
        <w:rPr>
          <w:spacing w:val="-3"/>
          <w:lang w:val="da-DK"/>
        </w:rPr>
        <w:t xml:space="preserve"> </w:t>
      </w:r>
      <w:r>
        <w:rPr>
          <w:lang w:val="da-DK"/>
        </w:rPr>
        <w:t>konverteringen</w:t>
      </w:r>
      <w:r>
        <w:rPr>
          <w:spacing w:val="-2"/>
          <w:lang w:val="da-DK"/>
        </w:rPr>
        <w:t xml:space="preserve"> </w:t>
      </w:r>
      <w:r>
        <w:rPr>
          <w:lang w:val="da-DK"/>
        </w:rPr>
        <w:t>af</w:t>
      </w:r>
      <w:r>
        <w:rPr>
          <w:spacing w:val="-3"/>
          <w:lang w:val="da-DK"/>
        </w:rPr>
        <w:t xml:space="preserve"> </w:t>
      </w:r>
      <w:r>
        <w:rPr>
          <w:lang w:val="da-DK"/>
        </w:rPr>
        <w:t>henholdsvis</w:t>
      </w:r>
      <w:r>
        <w:rPr>
          <w:spacing w:val="-2"/>
          <w:lang w:val="da-DK"/>
        </w:rPr>
        <w:t xml:space="preserve"> </w:t>
      </w:r>
      <w:r>
        <w:rPr>
          <w:lang w:val="da-DK"/>
        </w:rPr>
        <w:t>pregnenolon</w:t>
      </w:r>
      <w:r>
        <w:rPr>
          <w:spacing w:val="-2"/>
          <w:lang w:val="da-DK"/>
        </w:rPr>
        <w:t xml:space="preserve"> </w:t>
      </w:r>
      <w:r>
        <w:rPr>
          <w:lang w:val="da-DK"/>
        </w:rPr>
        <w:t>og</w:t>
      </w:r>
      <w:r>
        <w:rPr>
          <w:spacing w:val="-3"/>
          <w:lang w:val="da-DK"/>
        </w:rPr>
        <w:t xml:space="preserve"> </w:t>
      </w:r>
      <w:r>
        <w:rPr>
          <w:lang w:val="da-DK"/>
        </w:rPr>
        <w:t>progesteron</w:t>
      </w:r>
      <w:r>
        <w:rPr>
          <w:spacing w:val="-2"/>
          <w:lang w:val="da-DK"/>
        </w:rPr>
        <w:t xml:space="preserve"> </w:t>
      </w:r>
      <w:r>
        <w:rPr>
          <w:lang w:val="da-DK"/>
        </w:rPr>
        <w:t>til testosteron-forstadierne DHEA og androstenedion ved hjælp af 17α-hydroxylering og spaltning af</w:t>
      </w:r>
      <w:r>
        <w:rPr>
          <w:spacing w:val="1"/>
          <w:lang w:val="da-DK"/>
        </w:rPr>
        <w:t xml:space="preserve"> </w:t>
      </w:r>
      <w:r>
        <w:rPr>
          <w:lang w:val="da-DK"/>
        </w:rPr>
        <w:t>C17,20-bindingen. CYP17-hæmning medfører også øget produktion af mineralokortikoid i binyrene (se</w:t>
      </w:r>
      <w:r>
        <w:rPr>
          <w:spacing w:val="-1"/>
          <w:lang w:val="da-DK"/>
        </w:rPr>
        <w:t xml:space="preserve"> </w:t>
      </w:r>
      <w:r>
        <w:rPr>
          <w:lang w:val="da-DK"/>
        </w:rPr>
        <w:t>pkt. 4.4).</w:t>
      </w:r>
    </w:p>
    <w:p>
      <w:pPr>
        <w:pStyle w:val="BodyText"/>
        <w:tabs>
          <w:tab w:val="left" w:pos="8505"/>
        </w:tabs>
        <w:ind w:right="140"/>
        <w:rPr>
          <w:sz w:val="21"/>
          <w:lang w:val="da-DK"/>
        </w:rPr>
      </w:pPr>
    </w:p>
    <w:p>
      <w:pPr>
        <w:pStyle w:val="BodyText"/>
        <w:tabs>
          <w:tab w:val="left" w:pos="8505"/>
        </w:tabs>
        <w:ind w:right="140"/>
        <w:rPr>
          <w:lang w:val="da-DK"/>
        </w:rPr>
      </w:pPr>
      <w:r>
        <w:rPr>
          <w:lang w:val="da-DK"/>
        </w:rPr>
        <w:t>Androgen-følsomme prostatakarcinomer responderer på behandling, der nedsætter androgenniveauet.</w:t>
      </w:r>
      <w:r>
        <w:rPr>
          <w:spacing w:val="-52"/>
          <w:lang w:val="da-DK"/>
        </w:rPr>
        <w:t xml:space="preserve"> </w:t>
      </w:r>
      <w:r>
        <w:rPr>
          <w:lang w:val="da-DK"/>
        </w:rPr>
        <w:t>Androgen deprivationsbehandling såsom behandling med LHRH-analog eller orkiektomi, nedsætter</w:t>
      </w:r>
      <w:r>
        <w:rPr>
          <w:spacing w:val="1"/>
          <w:lang w:val="da-DK"/>
        </w:rPr>
        <w:t xml:space="preserve"> </w:t>
      </w:r>
      <w:r>
        <w:rPr>
          <w:lang w:val="da-DK"/>
        </w:rPr>
        <w:t>produktion af androgen i testiklerne, men påvirker ikke androgenproduktion i binyrerne eller i</w:t>
      </w:r>
      <w:r>
        <w:rPr>
          <w:spacing w:val="1"/>
          <w:lang w:val="da-DK"/>
        </w:rPr>
        <w:t xml:space="preserve"> </w:t>
      </w:r>
      <w:r>
        <w:rPr>
          <w:lang w:val="da-DK"/>
        </w:rPr>
        <w:t>tumoren. Behandling med abirateronacetat nedsætter serum-testosteron til et ikke-påviseligt niveau (målt</w:t>
      </w:r>
      <w:r>
        <w:rPr>
          <w:spacing w:val="1"/>
          <w:lang w:val="da-DK"/>
        </w:rPr>
        <w:t xml:space="preserve"> </w:t>
      </w:r>
      <w:r>
        <w:rPr>
          <w:lang w:val="da-DK"/>
        </w:rPr>
        <w:t>med kommercielle kvantitative bestemmelser), når det gives sammen med LHRH-analoger (eller</w:t>
      </w:r>
      <w:r>
        <w:rPr>
          <w:spacing w:val="1"/>
          <w:lang w:val="da-DK"/>
        </w:rPr>
        <w:t xml:space="preserve"> </w:t>
      </w:r>
      <w:r>
        <w:rPr>
          <w:lang w:val="da-DK"/>
        </w:rPr>
        <w:t>orkiektomi).</w:t>
      </w:r>
    </w:p>
    <w:p>
      <w:pPr>
        <w:pStyle w:val="BodyText"/>
        <w:tabs>
          <w:tab w:val="left" w:pos="8505"/>
        </w:tabs>
        <w:ind w:right="140"/>
        <w:rPr>
          <w:lang w:val="da-DK"/>
        </w:rPr>
      </w:pPr>
    </w:p>
    <w:p>
      <w:pPr>
        <w:pStyle w:val="BodyText"/>
        <w:tabs>
          <w:tab w:val="left" w:pos="8505"/>
        </w:tabs>
        <w:ind w:right="140"/>
        <w:rPr>
          <w:lang w:val="da-DK"/>
        </w:rPr>
      </w:pPr>
      <w:r>
        <w:rPr>
          <w:u w:val="single"/>
          <w:lang w:val="da-DK"/>
        </w:rPr>
        <w:t>Farmakodynamisk</w:t>
      </w:r>
      <w:r>
        <w:rPr>
          <w:spacing w:val="-3"/>
          <w:u w:val="single"/>
          <w:lang w:val="da-DK"/>
        </w:rPr>
        <w:t xml:space="preserve"> </w:t>
      </w:r>
      <w:r>
        <w:rPr>
          <w:u w:val="single"/>
          <w:lang w:val="da-DK"/>
        </w:rPr>
        <w:t>virkning</w:t>
      </w:r>
    </w:p>
    <w:p>
      <w:pPr>
        <w:pStyle w:val="BodyText"/>
        <w:tabs>
          <w:tab w:val="left" w:pos="8505"/>
        </w:tabs>
        <w:ind w:right="140"/>
        <w:rPr>
          <w:lang w:val="da-DK"/>
        </w:rPr>
      </w:pPr>
      <w:r>
        <w:rPr>
          <w:lang w:val="da-DK"/>
        </w:rPr>
        <w:t>Abirateronacetat nedsætter serum-testosteron og andre androgener til lavere koncentrationer, end der opnås</w:t>
      </w:r>
      <w:r>
        <w:rPr>
          <w:spacing w:val="1"/>
          <w:lang w:val="da-DK"/>
        </w:rPr>
        <w:t xml:space="preserve"> </w:t>
      </w:r>
      <w:r>
        <w:rPr>
          <w:lang w:val="da-DK"/>
        </w:rPr>
        <w:t>ved hjælp af LHRH-analoger alene eller med orkiektomi. Det skyldes den selektive hæmning af</w:t>
      </w:r>
      <w:r>
        <w:rPr>
          <w:spacing w:val="1"/>
          <w:lang w:val="da-DK"/>
        </w:rPr>
        <w:t xml:space="preserve"> </w:t>
      </w:r>
      <w:r>
        <w:rPr>
          <w:lang w:val="da-DK"/>
        </w:rPr>
        <w:t>CYP17-enzymet, som er nødvendig for androgen-biosyntesen. PSA fungerer som biomarkør hos</w:t>
      </w:r>
      <w:r>
        <w:rPr>
          <w:spacing w:val="1"/>
          <w:lang w:val="da-DK"/>
        </w:rPr>
        <w:t xml:space="preserve"> </w:t>
      </w:r>
      <w:r>
        <w:rPr>
          <w:lang w:val="da-DK"/>
        </w:rPr>
        <w:t>patienter med prostatacancer. I et klinisk fase 3-studie med patienter, som oplevede behandlingssvigt</w:t>
      </w:r>
      <w:r>
        <w:rPr>
          <w:spacing w:val="1"/>
          <w:lang w:val="da-DK"/>
        </w:rPr>
        <w:t xml:space="preserve"> </w:t>
      </w:r>
      <w:r>
        <w:rPr>
          <w:lang w:val="da-DK"/>
        </w:rPr>
        <w:t xml:space="preserve">af tidligere kemoterapi med taxaner, blev der set et fald på mindst 50 % fra PSA-værdier ved </w:t>
      </w:r>
      <w:r>
        <w:rPr>
          <w:i/>
          <w:iCs/>
          <w:lang w:val="da-DK"/>
        </w:rPr>
        <w:lastRenderedPageBreak/>
        <w:t>baseline</w:t>
      </w:r>
      <w:r>
        <w:rPr>
          <w:lang w:val="da-DK"/>
        </w:rPr>
        <w:t xml:space="preserve"> hos</w:t>
      </w:r>
      <w:r>
        <w:rPr>
          <w:spacing w:val="-1"/>
          <w:lang w:val="da-DK"/>
        </w:rPr>
        <w:t xml:space="preserve"> </w:t>
      </w:r>
      <w:r>
        <w:rPr>
          <w:lang w:val="da-DK"/>
        </w:rPr>
        <w:t>38</w:t>
      </w:r>
      <w:r>
        <w:rPr>
          <w:spacing w:val="-4"/>
          <w:lang w:val="da-DK"/>
        </w:rPr>
        <w:t> %</w:t>
      </w:r>
      <w:r>
        <w:rPr>
          <w:spacing w:val="-2"/>
          <w:lang w:val="da-DK"/>
        </w:rPr>
        <w:t xml:space="preserve"> </w:t>
      </w:r>
      <w:r>
        <w:rPr>
          <w:lang w:val="da-DK"/>
        </w:rPr>
        <w:t>af</w:t>
      </w:r>
      <w:r>
        <w:rPr>
          <w:spacing w:val="-2"/>
          <w:lang w:val="da-DK"/>
        </w:rPr>
        <w:t xml:space="preserve"> </w:t>
      </w:r>
      <w:r>
        <w:rPr>
          <w:lang w:val="da-DK"/>
        </w:rPr>
        <w:t>de</w:t>
      </w:r>
      <w:r>
        <w:rPr>
          <w:spacing w:val="-2"/>
          <w:lang w:val="da-DK"/>
        </w:rPr>
        <w:t xml:space="preserve"> </w:t>
      </w:r>
      <w:r>
        <w:rPr>
          <w:lang w:val="da-DK"/>
        </w:rPr>
        <w:t>patienter,</w:t>
      </w:r>
      <w:r>
        <w:rPr>
          <w:spacing w:val="-2"/>
          <w:lang w:val="da-DK"/>
        </w:rPr>
        <w:t xml:space="preserve"> </w:t>
      </w:r>
      <w:r>
        <w:rPr>
          <w:lang w:val="da-DK"/>
        </w:rPr>
        <w:t>der</w:t>
      </w:r>
      <w:r>
        <w:rPr>
          <w:spacing w:val="-2"/>
          <w:lang w:val="da-DK"/>
        </w:rPr>
        <w:t xml:space="preserve"> </w:t>
      </w:r>
      <w:r>
        <w:rPr>
          <w:lang w:val="da-DK"/>
        </w:rPr>
        <w:t>fik</w:t>
      </w:r>
      <w:r>
        <w:rPr>
          <w:spacing w:val="-2"/>
          <w:lang w:val="da-DK"/>
        </w:rPr>
        <w:t xml:space="preserve"> </w:t>
      </w:r>
      <w:r>
        <w:rPr>
          <w:lang w:val="da-DK"/>
        </w:rPr>
        <w:t>abirateronacetat</w:t>
      </w:r>
      <w:r>
        <w:rPr>
          <w:spacing w:val="-3"/>
          <w:lang w:val="da-DK"/>
        </w:rPr>
        <w:t xml:space="preserve"> </w:t>
      </w:r>
      <w:r>
        <w:rPr>
          <w:i/>
          <w:lang w:val="da-DK"/>
        </w:rPr>
        <w:t>versus</w:t>
      </w:r>
      <w:r>
        <w:rPr>
          <w:i/>
          <w:spacing w:val="-1"/>
          <w:lang w:val="da-DK"/>
        </w:rPr>
        <w:t xml:space="preserve"> </w:t>
      </w:r>
      <w:r>
        <w:rPr>
          <w:lang w:val="da-DK"/>
        </w:rPr>
        <w:t>10</w:t>
      </w:r>
      <w:r>
        <w:rPr>
          <w:spacing w:val="-1"/>
          <w:lang w:val="da-DK"/>
        </w:rPr>
        <w:t> %</w:t>
      </w:r>
      <w:r>
        <w:rPr>
          <w:spacing w:val="-2"/>
          <w:lang w:val="da-DK"/>
        </w:rPr>
        <w:t xml:space="preserve"> </w:t>
      </w:r>
      <w:r>
        <w:rPr>
          <w:lang w:val="da-DK"/>
        </w:rPr>
        <w:t>af</w:t>
      </w:r>
      <w:r>
        <w:rPr>
          <w:spacing w:val="-2"/>
          <w:lang w:val="da-DK"/>
        </w:rPr>
        <w:t xml:space="preserve"> </w:t>
      </w:r>
      <w:r>
        <w:rPr>
          <w:lang w:val="da-DK"/>
        </w:rPr>
        <w:t>de</w:t>
      </w:r>
      <w:r>
        <w:rPr>
          <w:spacing w:val="-2"/>
          <w:lang w:val="da-DK"/>
        </w:rPr>
        <w:t xml:space="preserve"> </w:t>
      </w:r>
      <w:r>
        <w:rPr>
          <w:lang w:val="da-DK"/>
        </w:rPr>
        <w:t>patienter</w:t>
      </w:r>
      <w:r>
        <w:rPr>
          <w:spacing w:val="-2"/>
          <w:lang w:val="da-DK"/>
        </w:rPr>
        <w:t xml:space="preserve"> </w:t>
      </w:r>
      <w:r>
        <w:rPr>
          <w:lang w:val="da-DK"/>
        </w:rPr>
        <w:t>der</w:t>
      </w:r>
      <w:r>
        <w:rPr>
          <w:spacing w:val="-2"/>
          <w:lang w:val="da-DK"/>
        </w:rPr>
        <w:t xml:space="preserve"> </w:t>
      </w:r>
      <w:r>
        <w:rPr>
          <w:lang w:val="da-DK"/>
        </w:rPr>
        <w:t>fik</w:t>
      </w:r>
      <w:r>
        <w:rPr>
          <w:spacing w:val="-2"/>
          <w:lang w:val="da-DK"/>
        </w:rPr>
        <w:t xml:space="preserve"> </w:t>
      </w:r>
      <w:r>
        <w:rPr>
          <w:lang w:val="da-DK"/>
        </w:rPr>
        <w:t>placebo.</w:t>
      </w:r>
    </w:p>
    <w:p>
      <w:pPr>
        <w:pStyle w:val="BodyText"/>
        <w:tabs>
          <w:tab w:val="left" w:pos="8505"/>
        </w:tabs>
        <w:ind w:right="140"/>
        <w:rPr>
          <w:sz w:val="21"/>
          <w:lang w:val="da-DK"/>
        </w:rPr>
      </w:pPr>
    </w:p>
    <w:p>
      <w:pPr>
        <w:pStyle w:val="BodyText"/>
        <w:tabs>
          <w:tab w:val="left" w:pos="8505"/>
        </w:tabs>
        <w:ind w:right="140"/>
        <w:rPr>
          <w:lang w:val="da-DK"/>
        </w:rPr>
      </w:pPr>
      <w:r>
        <w:rPr>
          <w:u w:val="single"/>
          <w:lang w:val="da-DK"/>
        </w:rPr>
        <w:t>Klinisk</w:t>
      </w:r>
      <w:r>
        <w:rPr>
          <w:spacing w:val="-3"/>
          <w:u w:val="single"/>
          <w:lang w:val="da-DK"/>
        </w:rPr>
        <w:t xml:space="preserve"> </w:t>
      </w:r>
      <w:r>
        <w:rPr>
          <w:u w:val="single"/>
          <w:lang w:val="da-DK"/>
        </w:rPr>
        <w:t>virkning</w:t>
      </w:r>
      <w:r>
        <w:rPr>
          <w:spacing w:val="-3"/>
          <w:u w:val="single"/>
          <w:lang w:val="da-DK"/>
        </w:rPr>
        <w:t xml:space="preserve"> </w:t>
      </w:r>
      <w:r>
        <w:rPr>
          <w:u w:val="single"/>
          <w:lang w:val="da-DK"/>
        </w:rPr>
        <w:t>og</w:t>
      </w:r>
      <w:r>
        <w:rPr>
          <w:spacing w:val="-3"/>
          <w:u w:val="single"/>
          <w:lang w:val="da-DK"/>
        </w:rPr>
        <w:t xml:space="preserve"> </w:t>
      </w:r>
      <w:r>
        <w:rPr>
          <w:u w:val="single"/>
          <w:lang w:val="da-DK"/>
        </w:rPr>
        <w:t>sikkerhed</w:t>
      </w:r>
    </w:p>
    <w:p>
      <w:pPr>
        <w:pStyle w:val="BodyText"/>
        <w:tabs>
          <w:tab w:val="left" w:pos="8505"/>
        </w:tabs>
        <w:ind w:right="140"/>
        <w:rPr>
          <w:lang w:val="da-DK"/>
        </w:rPr>
      </w:pPr>
      <w:r>
        <w:rPr>
          <w:lang w:val="da-DK"/>
        </w:rPr>
        <w:t>Virkning</w:t>
      </w:r>
      <w:r>
        <w:rPr>
          <w:spacing w:val="-4"/>
          <w:lang w:val="da-DK"/>
        </w:rPr>
        <w:t xml:space="preserve"> </w:t>
      </w:r>
      <w:r>
        <w:rPr>
          <w:lang w:val="da-DK"/>
        </w:rPr>
        <w:t>blev</w:t>
      </w:r>
      <w:r>
        <w:rPr>
          <w:spacing w:val="-4"/>
          <w:lang w:val="da-DK"/>
        </w:rPr>
        <w:t xml:space="preserve"> </w:t>
      </w:r>
      <w:r>
        <w:rPr>
          <w:lang w:val="da-DK"/>
        </w:rPr>
        <w:t>klarlagt</w:t>
      </w:r>
      <w:r>
        <w:rPr>
          <w:spacing w:val="-4"/>
          <w:lang w:val="da-DK"/>
        </w:rPr>
        <w:t xml:space="preserve"> </w:t>
      </w:r>
      <w:r>
        <w:rPr>
          <w:lang w:val="da-DK"/>
        </w:rPr>
        <w:t>i</w:t>
      </w:r>
      <w:r>
        <w:rPr>
          <w:spacing w:val="-4"/>
          <w:lang w:val="da-DK"/>
        </w:rPr>
        <w:t xml:space="preserve"> </w:t>
      </w:r>
      <w:r>
        <w:rPr>
          <w:lang w:val="da-DK"/>
        </w:rPr>
        <w:t>tre</w:t>
      </w:r>
      <w:r>
        <w:rPr>
          <w:spacing w:val="-4"/>
          <w:lang w:val="da-DK"/>
        </w:rPr>
        <w:t xml:space="preserve"> </w:t>
      </w:r>
      <w:r>
        <w:rPr>
          <w:lang w:val="da-DK"/>
        </w:rPr>
        <w:t>randomiserede,</w:t>
      </w:r>
      <w:r>
        <w:rPr>
          <w:spacing w:val="-4"/>
          <w:lang w:val="da-DK"/>
        </w:rPr>
        <w:t xml:space="preserve"> </w:t>
      </w:r>
      <w:r>
        <w:rPr>
          <w:lang w:val="da-DK"/>
        </w:rPr>
        <w:t>placebokontrollerede,</w:t>
      </w:r>
      <w:r>
        <w:rPr>
          <w:spacing w:val="-4"/>
          <w:lang w:val="da-DK"/>
        </w:rPr>
        <w:t xml:space="preserve"> </w:t>
      </w:r>
      <w:r>
        <w:rPr>
          <w:lang w:val="da-DK"/>
        </w:rPr>
        <w:t>kliniske fase</w:t>
      </w:r>
      <w:r>
        <w:rPr>
          <w:spacing w:val="-5"/>
          <w:lang w:val="da-DK"/>
        </w:rPr>
        <w:t> </w:t>
      </w:r>
      <w:r>
        <w:rPr>
          <w:lang w:val="da-DK"/>
        </w:rPr>
        <w:t>3-multicenterstudier</w:t>
      </w:r>
      <w:r>
        <w:rPr>
          <w:spacing w:val="-3"/>
          <w:lang w:val="da-DK"/>
        </w:rPr>
        <w:t xml:space="preserve"> </w:t>
      </w:r>
      <w:r>
        <w:rPr>
          <w:lang w:val="da-DK"/>
        </w:rPr>
        <w:t>(studie</w:t>
      </w:r>
      <w:r>
        <w:rPr>
          <w:spacing w:val="-3"/>
          <w:lang w:val="da-DK"/>
        </w:rPr>
        <w:t xml:space="preserve"> </w:t>
      </w:r>
      <w:r>
        <w:rPr>
          <w:lang w:val="da-DK"/>
        </w:rPr>
        <w:t>3011,</w:t>
      </w:r>
      <w:r>
        <w:rPr>
          <w:spacing w:val="-3"/>
          <w:lang w:val="da-DK"/>
        </w:rPr>
        <w:t xml:space="preserve"> </w:t>
      </w:r>
      <w:r>
        <w:rPr>
          <w:lang w:val="da-DK"/>
        </w:rPr>
        <w:t>302</w:t>
      </w:r>
      <w:r>
        <w:rPr>
          <w:spacing w:val="-3"/>
          <w:lang w:val="da-DK"/>
        </w:rPr>
        <w:t xml:space="preserve"> </w:t>
      </w:r>
      <w:r>
        <w:rPr>
          <w:lang w:val="da-DK"/>
        </w:rPr>
        <w:t>og</w:t>
      </w:r>
      <w:r>
        <w:rPr>
          <w:spacing w:val="-3"/>
          <w:lang w:val="da-DK"/>
        </w:rPr>
        <w:t xml:space="preserve"> </w:t>
      </w:r>
      <w:r>
        <w:rPr>
          <w:lang w:val="da-DK"/>
        </w:rPr>
        <w:t>301)</w:t>
      </w:r>
      <w:r>
        <w:rPr>
          <w:spacing w:val="-3"/>
          <w:lang w:val="da-DK"/>
        </w:rPr>
        <w:t xml:space="preserve"> </w:t>
      </w:r>
      <w:r>
        <w:rPr>
          <w:lang w:val="da-DK"/>
        </w:rPr>
        <w:t>med</w:t>
      </w:r>
      <w:r>
        <w:rPr>
          <w:spacing w:val="-3"/>
          <w:lang w:val="da-DK"/>
        </w:rPr>
        <w:t xml:space="preserve"> </w:t>
      </w:r>
      <w:r>
        <w:rPr>
          <w:lang w:val="da-DK"/>
        </w:rPr>
        <w:t>patienter</w:t>
      </w:r>
      <w:r>
        <w:rPr>
          <w:spacing w:val="-3"/>
          <w:lang w:val="da-DK"/>
        </w:rPr>
        <w:t xml:space="preserve"> </w:t>
      </w:r>
      <w:r>
        <w:rPr>
          <w:lang w:val="da-DK"/>
        </w:rPr>
        <w:t>med</w:t>
      </w:r>
      <w:r>
        <w:rPr>
          <w:spacing w:val="-3"/>
          <w:lang w:val="da-DK"/>
        </w:rPr>
        <w:t xml:space="preserve"> </w:t>
      </w:r>
      <w:r>
        <w:rPr>
          <w:lang w:val="da-DK"/>
        </w:rPr>
        <w:t>mHSPC</w:t>
      </w:r>
      <w:r>
        <w:rPr>
          <w:spacing w:val="-3"/>
          <w:lang w:val="da-DK"/>
        </w:rPr>
        <w:t xml:space="preserve"> </w:t>
      </w:r>
      <w:r>
        <w:rPr>
          <w:lang w:val="da-DK"/>
        </w:rPr>
        <w:t>og</w:t>
      </w:r>
      <w:r>
        <w:rPr>
          <w:spacing w:val="-3"/>
          <w:lang w:val="da-DK"/>
        </w:rPr>
        <w:t xml:space="preserve"> </w:t>
      </w:r>
      <w:r>
        <w:rPr>
          <w:lang w:val="da-DK"/>
        </w:rPr>
        <w:t>mCRPC.</w:t>
      </w:r>
    </w:p>
    <w:p>
      <w:pPr>
        <w:pStyle w:val="BodyText"/>
        <w:tabs>
          <w:tab w:val="left" w:pos="8505"/>
        </w:tabs>
        <w:ind w:right="140"/>
        <w:rPr>
          <w:lang w:val="da-DK"/>
        </w:rPr>
      </w:pPr>
      <w:r>
        <w:rPr>
          <w:lang w:val="da-DK"/>
        </w:rPr>
        <w:t>Studie 3011 omfattede patienter, der var nydiagnosticerede (inden for 3 måneder før randomiseringen) med mHSPC, hvor højrisikofaktorer indgik i patienternes</w:t>
      </w:r>
      <w:r>
        <w:rPr>
          <w:spacing w:val="1"/>
          <w:lang w:val="da-DK"/>
        </w:rPr>
        <w:t xml:space="preserve"> </w:t>
      </w:r>
      <w:r>
        <w:rPr>
          <w:lang w:val="da-DK"/>
        </w:rPr>
        <w:t>prognose. En højrisikoprognose var</w:t>
      </w:r>
      <w:r>
        <w:rPr>
          <w:spacing w:val="1"/>
          <w:lang w:val="da-DK"/>
        </w:rPr>
        <w:t xml:space="preserve"> </w:t>
      </w:r>
      <w:r>
        <w:rPr>
          <w:lang w:val="da-DK"/>
        </w:rPr>
        <w:t>defineret som en prognose med mindst 2 af følgende 3 risikofaktorer: (1) Gleason-score på ≥ 8; (2)</w:t>
      </w:r>
      <w:r>
        <w:rPr>
          <w:spacing w:val="1"/>
          <w:lang w:val="da-DK"/>
        </w:rPr>
        <w:t xml:space="preserve"> </w:t>
      </w:r>
      <w:r>
        <w:rPr>
          <w:lang w:val="da-DK"/>
        </w:rPr>
        <w:t>tilstedeværelse af 3 eller flere læsioner på knoglescanning; (3) tilstedeværelse af målbar visceral</w:t>
      </w:r>
      <w:r>
        <w:rPr>
          <w:spacing w:val="1"/>
          <w:lang w:val="da-DK"/>
        </w:rPr>
        <w:t xml:space="preserve"> </w:t>
      </w:r>
      <w:r>
        <w:rPr>
          <w:lang w:val="da-DK"/>
        </w:rPr>
        <w:t>(lymfeknudesygdom var ekskluderet) metastase. I den aktive arm blev abirateronacetat administreret i en</w:t>
      </w:r>
      <w:r>
        <w:rPr>
          <w:spacing w:val="1"/>
          <w:lang w:val="da-DK"/>
        </w:rPr>
        <w:t xml:space="preserve"> </w:t>
      </w:r>
      <w:r>
        <w:rPr>
          <w:lang w:val="da-DK"/>
        </w:rPr>
        <w:t>dosis</w:t>
      </w:r>
      <w:r>
        <w:rPr>
          <w:spacing w:val="-3"/>
          <w:lang w:val="da-DK"/>
        </w:rPr>
        <w:t xml:space="preserve"> </w:t>
      </w:r>
      <w:r>
        <w:rPr>
          <w:lang w:val="da-DK"/>
        </w:rPr>
        <w:t>på</w:t>
      </w:r>
      <w:r>
        <w:rPr>
          <w:spacing w:val="-2"/>
          <w:lang w:val="da-DK"/>
        </w:rPr>
        <w:t xml:space="preserve"> </w:t>
      </w:r>
      <w:r>
        <w:rPr>
          <w:lang w:val="da-DK"/>
        </w:rPr>
        <w:t>1.000</w:t>
      </w:r>
      <w:r>
        <w:rPr>
          <w:spacing w:val="-2"/>
          <w:lang w:val="da-DK"/>
        </w:rPr>
        <w:t xml:space="preserve"> mg </w:t>
      </w:r>
      <w:r>
        <w:rPr>
          <w:lang w:val="da-DK"/>
        </w:rPr>
        <w:t>dagligt</w:t>
      </w:r>
      <w:r>
        <w:rPr>
          <w:spacing w:val="-3"/>
          <w:lang w:val="da-DK"/>
        </w:rPr>
        <w:t xml:space="preserve"> </w:t>
      </w:r>
      <w:r>
        <w:rPr>
          <w:lang w:val="da-DK"/>
        </w:rPr>
        <w:t>i</w:t>
      </w:r>
      <w:r>
        <w:rPr>
          <w:spacing w:val="-2"/>
          <w:lang w:val="da-DK"/>
        </w:rPr>
        <w:t xml:space="preserve"> </w:t>
      </w:r>
      <w:r>
        <w:rPr>
          <w:lang w:val="da-DK"/>
        </w:rPr>
        <w:t>kombination</w:t>
      </w:r>
      <w:r>
        <w:rPr>
          <w:spacing w:val="-2"/>
          <w:lang w:val="da-DK"/>
        </w:rPr>
        <w:t xml:space="preserve"> </w:t>
      </w:r>
      <w:r>
        <w:rPr>
          <w:lang w:val="da-DK"/>
        </w:rPr>
        <w:t>med</w:t>
      </w:r>
      <w:r>
        <w:rPr>
          <w:spacing w:val="-3"/>
          <w:lang w:val="da-DK"/>
        </w:rPr>
        <w:t xml:space="preserve"> </w:t>
      </w:r>
      <w:r>
        <w:rPr>
          <w:lang w:val="da-DK"/>
        </w:rPr>
        <w:t>lavdosis</w:t>
      </w:r>
      <w:r>
        <w:rPr>
          <w:spacing w:val="-2"/>
          <w:lang w:val="da-DK"/>
        </w:rPr>
        <w:t xml:space="preserve"> </w:t>
      </w:r>
      <w:r>
        <w:rPr>
          <w:lang w:val="da-DK"/>
        </w:rPr>
        <w:t>prednison</w:t>
      </w:r>
      <w:r>
        <w:rPr>
          <w:spacing w:val="-3"/>
          <w:lang w:val="da-DK"/>
        </w:rPr>
        <w:t xml:space="preserve"> </w:t>
      </w:r>
      <w:r>
        <w:rPr>
          <w:lang w:val="da-DK"/>
        </w:rPr>
        <w:t>5</w:t>
      </w:r>
      <w:r>
        <w:rPr>
          <w:spacing w:val="-2"/>
          <w:lang w:val="da-DK"/>
        </w:rPr>
        <w:t> mg</w:t>
      </w:r>
      <w:r>
        <w:rPr>
          <w:spacing w:val="-3"/>
          <w:lang w:val="da-DK"/>
        </w:rPr>
        <w:t xml:space="preserve"> </w:t>
      </w:r>
      <w:r>
        <w:rPr>
          <w:lang w:val="da-DK"/>
        </w:rPr>
        <w:t>en</w:t>
      </w:r>
      <w:r>
        <w:rPr>
          <w:spacing w:val="-2"/>
          <w:lang w:val="da-DK"/>
        </w:rPr>
        <w:t xml:space="preserve"> </w:t>
      </w:r>
      <w:r>
        <w:rPr>
          <w:lang w:val="da-DK"/>
        </w:rPr>
        <w:t>gang</w:t>
      </w:r>
      <w:r>
        <w:rPr>
          <w:spacing w:val="-2"/>
          <w:lang w:val="da-DK"/>
        </w:rPr>
        <w:t xml:space="preserve"> </w:t>
      </w:r>
      <w:r>
        <w:rPr>
          <w:lang w:val="da-DK"/>
        </w:rPr>
        <w:t>dagligt</w:t>
      </w:r>
      <w:r>
        <w:rPr>
          <w:spacing w:val="-3"/>
          <w:lang w:val="da-DK"/>
        </w:rPr>
        <w:t xml:space="preserve"> </w:t>
      </w:r>
      <w:r>
        <w:rPr>
          <w:lang w:val="da-DK"/>
        </w:rPr>
        <w:t>udover</w:t>
      </w:r>
      <w:r>
        <w:rPr>
          <w:spacing w:val="-2"/>
          <w:lang w:val="da-DK"/>
        </w:rPr>
        <w:t xml:space="preserve"> </w:t>
      </w:r>
      <w:r>
        <w:rPr>
          <w:lang w:val="da-DK"/>
        </w:rPr>
        <w:t>ADT (LHRH-agonist eller orkiektomi), som var standardbehandlingen. Patienter i kontrolarmen fik ADT og placebo</w:t>
      </w:r>
      <w:r>
        <w:rPr>
          <w:spacing w:val="-2"/>
          <w:lang w:val="da-DK"/>
        </w:rPr>
        <w:t xml:space="preserve"> </w:t>
      </w:r>
      <w:r>
        <w:rPr>
          <w:lang w:val="da-DK"/>
        </w:rPr>
        <w:t>for</w:t>
      </w:r>
      <w:r>
        <w:rPr>
          <w:spacing w:val="-1"/>
          <w:lang w:val="da-DK"/>
        </w:rPr>
        <w:t xml:space="preserve"> </w:t>
      </w:r>
      <w:r>
        <w:rPr>
          <w:lang w:val="da-DK"/>
        </w:rPr>
        <w:t>både</w:t>
      </w:r>
      <w:r>
        <w:rPr>
          <w:spacing w:val="-1"/>
          <w:lang w:val="da-DK"/>
        </w:rPr>
        <w:t xml:space="preserve"> </w:t>
      </w:r>
      <w:r>
        <w:rPr>
          <w:lang w:val="da-DK"/>
        </w:rPr>
        <w:t>abirateronacetat og</w:t>
      </w:r>
      <w:r>
        <w:rPr>
          <w:spacing w:val="-1"/>
          <w:lang w:val="da-DK"/>
        </w:rPr>
        <w:t xml:space="preserve"> </w:t>
      </w:r>
      <w:r>
        <w:rPr>
          <w:lang w:val="da-DK"/>
        </w:rPr>
        <w:t>prednison. Studie 302 omfattede docetaxel-naive patienter, mens studie 301 omfattede patienter, der tidligere havde fået docetaxel. Patienterne var i behandling med en LHRH-analog eller var tidligere</w:t>
      </w:r>
      <w:r>
        <w:rPr>
          <w:spacing w:val="1"/>
          <w:lang w:val="da-DK"/>
        </w:rPr>
        <w:t xml:space="preserve"> </w:t>
      </w:r>
      <w:r>
        <w:rPr>
          <w:spacing w:val="-1"/>
          <w:lang w:val="da-DK"/>
        </w:rPr>
        <w:t xml:space="preserve">orkiektomerede. I den aktive behandlingsarm </w:t>
      </w:r>
      <w:r>
        <w:rPr>
          <w:lang w:val="da-DK"/>
        </w:rPr>
        <w:t>blev abirateronacetat administreret i en dosis på 1.000 mg</w:t>
      </w:r>
      <w:r>
        <w:rPr>
          <w:spacing w:val="1"/>
          <w:lang w:val="da-DK"/>
        </w:rPr>
        <w:t xml:space="preserve"> </w:t>
      </w:r>
      <w:r>
        <w:rPr>
          <w:lang w:val="da-DK"/>
        </w:rPr>
        <w:t>dagligt</w:t>
      </w:r>
      <w:r>
        <w:rPr>
          <w:spacing w:val="-3"/>
          <w:lang w:val="da-DK"/>
        </w:rPr>
        <w:t xml:space="preserve"> </w:t>
      </w:r>
      <w:r>
        <w:rPr>
          <w:lang w:val="da-DK"/>
        </w:rPr>
        <w:t>i</w:t>
      </w:r>
      <w:r>
        <w:rPr>
          <w:spacing w:val="-2"/>
          <w:lang w:val="da-DK"/>
        </w:rPr>
        <w:t xml:space="preserve"> </w:t>
      </w:r>
      <w:r>
        <w:rPr>
          <w:lang w:val="da-DK"/>
        </w:rPr>
        <w:t>kombination</w:t>
      </w:r>
      <w:r>
        <w:rPr>
          <w:spacing w:val="-2"/>
          <w:lang w:val="da-DK"/>
        </w:rPr>
        <w:t xml:space="preserve"> </w:t>
      </w:r>
      <w:r>
        <w:rPr>
          <w:lang w:val="da-DK"/>
        </w:rPr>
        <w:t>med</w:t>
      </w:r>
      <w:r>
        <w:rPr>
          <w:spacing w:val="-2"/>
          <w:lang w:val="da-DK"/>
        </w:rPr>
        <w:t xml:space="preserve"> </w:t>
      </w:r>
      <w:r>
        <w:rPr>
          <w:lang w:val="da-DK"/>
        </w:rPr>
        <w:t>lavdosis</w:t>
      </w:r>
      <w:r>
        <w:rPr>
          <w:spacing w:val="-2"/>
          <w:lang w:val="da-DK"/>
        </w:rPr>
        <w:t xml:space="preserve"> </w:t>
      </w:r>
      <w:r>
        <w:rPr>
          <w:lang w:val="da-DK"/>
        </w:rPr>
        <w:t>prednison</w:t>
      </w:r>
      <w:r>
        <w:rPr>
          <w:spacing w:val="-2"/>
          <w:lang w:val="da-DK"/>
        </w:rPr>
        <w:t xml:space="preserve"> </w:t>
      </w:r>
      <w:r>
        <w:rPr>
          <w:lang w:val="da-DK"/>
        </w:rPr>
        <w:t>eller</w:t>
      </w:r>
      <w:r>
        <w:rPr>
          <w:spacing w:val="-2"/>
          <w:lang w:val="da-DK"/>
        </w:rPr>
        <w:t xml:space="preserve"> </w:t>
      </w:r>
      <w:r>
        <w:rPr>
          <w:lang w:val="da-DK"/>
        </w:rPr>
        <w:t>prednisolon</w:t>
      </w:r>
      <w:r>
        <w:rPr>
          <w:spacing w:val="-2"/>
          <w:lang w:val="da-DK"/>
        </w:rPr>
        <w:t xml:space="preserve"> </w:t>
      </w:r>
      <w:r>
        <w:rPr>
          <w:lang w:val="da-DK"/>
        </w:rPr>
        <w:t>5</w:t>
      </w:r>
      <w:r>
        <w:rPr>
          <w:spacing w:val="-4"/>
          <w:lang w:val="da-DK"/>
        </w:rPr>
        <w:t> mg</w:t>
      </w:r>
      <w:r>
        <w:rPr>
          <w:spacing w:val="-3"/>
          <w:lang w:val="da-DK"/>
        </w:rPr>
        <w:t xml:space="preserve"> </w:t>
      </w:r>
      <w:r>
        <w:rPr>
          <w:lang w:val="da-DK"/>
        </w:rPr>
        <w:t>to</w:t>
      </w:r>
      <w:r>
        <w:rPr>
          <w:spacing w:val="-2"/>
          <w:lang w:val="da-DK"/>
        </w:rPr>
        <w:t xml:space="preserve"> </w:t>
      </w:r>
      <w:r>
        <w:rPr>
          <w:lang w:val="da-DK"/>
        </w:rPr>
        <w:t>gange</w:t>
      </w:r>
      <w:r>
        <w:rPr>
          <w:spacing w:val="-2"/>
          <w:lang w:val="da-DK"/>
        </w:rPr>
        <w:t xml:space="preserve"> </w:t>
      </w:r>
      <w:r>
        <w:rPr>
          <w:lang w:val="da-DK"/>
        </w:rPr>
        <w:t>dagligt. Kontrolpatienterne</w:t>
      </w:r>
      <w:r>
        <w:rPr>
          <w:spacing w:val="-4"/>
          <w:lang w:val="da-DK"/>
        </w:rPr>
        <w:t xml:space="preserve"> </w:t>
      </w:r>
      <w:r>
        <w:rPr>
          <w:lang w:val="da-DK"/>
        </w:rPr>
        <w:t>fik</w:t>
      </w:r>
      <w:r>
        <w:rPr>
          <w:spacing w:val="-4"/>
          <w:lang w:val="da-DK"/>
        </w:rPr>
        <w:t xml:space="preserve"> </w:t>
      </w:r>
      <w:r>
        <w:rPr>
          <w:lang w:val="da-DK"/>
        </w:rPr>
        <w:t>placebo</w:t>
      </w:r>
      <w:r>
        <w:rPr>
          <w:spacing w:val="-3"/>
          <w:lang w:val="da-DK"/>
        </w:rPr>
        <w:t xml:space="preserve"> </w:t>
      </w:r>
      <w:r>
        <w:rPr>
          <w:lang w:val="da-DK"/>
        </w:rPr>
        <w:t>og</w:t>
      </w:r>
      <w:r>
        <w:rPr>
          <w:spacing w:val="-4"/>
          <w:lang w:val="da-DK"/>
        </w:rPr>
        <w:t xml:space="preserve"> </w:t>
      </w:r>
      <w:r>
        <w:rPr>
          <w:lang w:val="da-DK"/>
        </w:rPr>
        <w:t>lavdosis</w:t>
      </w:r>
      <w:r>
        <w:rPr>
          <w:spacing w:val="-3"/>
          <w:lang w:val="da-DK"/>
        </w:rPr>
        <w:t xml:space="preserve"> </w:t>
      </w:r>
      <w:r>
        <w:rPr>
          <w:lang w:val="da-DK"/>
        </w:rPr>
        <w:t>prednison</w:t>
      </w:r>
      <w:r>
        <w:rPr>
          <w:spacing w:val="-4"/>
          <w:lang w:val="da-DK"/>
        </w:rPr>
        <w:t xml:space="preserve"> </w:t>
      </w:r>
      <w:r>
        <w:rPr>
          <w:lang w:val="da-DK"/>
        </w:rPr>
        <w:t>eller</w:t>
      </w:r>
      <w:r>
        <w:rPr>
          <w:spacing w:val="-3"/>
          <w:lang w:val="da-DK"/>
        </w:rPr>
        <w:t xml:space="preserve"> </w:t>
      </w:r>
      <w:r>
        <w:rPr>
          <w:lang w:val="da-DK"/>
        </w:rPr>
        <w:t>prednisolon</w:t>
      </w:r>
      <w:r>
        <w:rPr>
          <w:spacing w:val="-4"/>
          <w:lang w:val="da-DK"/>
        </w:rPr>
        <w:t xml:space="preserve"> </w:t>
      </w:r>
      <w:r>
        <w:rPr>
          <w:lang w:val="da-DK"/>
        </w:rPr>
        <w:t>5</w:t>
      </w:r>
      <w:r>
        <w:rPr>
          <w:spacing w:val="-3"/>
          <w:lang w:val="da-DK"/>
        </w:rPr>
        <w:t xml:space="preserve"> mg </w:t>
      </w:r>
      <w:r>
        <w:rPr>
          <w:lang w:val="da-DK"/>
        </w:rPr>
        <w:t>to</w:t>
      </w:r>
      <w:r>
        <w:rPr>
          <w:spacing w:val="-4"/>
          <w:lang w:val="da-DK"/>
        </w:rPr>
        <w:t xml:space="preserve"> </w:t>
      </w:r>
      <w:r>
        <w:rPr>
          <w:lang w:val="da-DK"/>
        </w:rPr>
        <w:t>gange</w:t>
      </w:r>
      <w:r>
        <w:rPr>
          <w:spacing w:val="-3"/>
          <w:lang w:val="da-DK"/>
        </w:rPr>
        <w:t xml:space="preserve"> </w:t>
      </w:r>
      <w:r>
        <w:rPr>
          <w:lang w:val="da-DK"/>
        </w:rPr>
        <w:t>dagligt.</w:t>
      </w:r>
    </w:p>
    <w:p>
      <w:pPr>
        <w:pStyle w:val="BodyText"/>
        <w:tabs>
          <w:tab w:val="left" w:pos="8505"/>
        </w:tabs>
        <w:ind w:right="140"/>
        <w:rPr>
          <w:lang w:val="da-DK"/>
        </w:rPr>
      </w:pPr>
    </w:p>
    <w:p>
      <w:pPr>
        <w:pStyle w:val="BodyText"/>
        <w:tabs>
          <w:tab w:val="left" w:pos="8505"/>
        </w:tabs>
        <w:ind w:right="140"/>
        <w:rPr>
          <w:lang w:val="da-DK"/>
        </w:rPr>
      </w:pPr>
      <w:r>
        <w:rPr>
          <w:lang w:val="da-DK"/>
        </w:rPr>
        <w:t>Ændringer i PSA-serumkoncentration i sig selv medfører ikke altid kliniske fordele. Derfor</w:t>
      </w:r>
      <w:r>
        <w:rPr>
          <w:spacing w:val="1"/>
          <w:lang w:val="da-DK"/>
        </w:rPr>
        <w:t xml:space="preserve"> </w:t>
      </w:r>
      <w:r>
        <w:rPr>
          <w:lang w:val="da-DK"/>
        </w:rPr>
        <w:t>anbefaledes det i alle studier, at patienterne fortsatte med deres studiebehandling, indtil ophørskriteriet var</w:t>
      </w:r>
      <w:r>
        <w:rPr>
          <w:spacing w:val="-2"/>
          <w:lang w:val="da-DK"/>
        </w:rPr>
        <w:t xml:space="preserve"> </w:t>
      </w:r>
      <w:r>
        <w:rPr>
          <w:lang w:val="da-DK"/>
        </w:rPr>
        <w:t>opfyldt</w:t>
      </w:r>
      <w:r>
        <w:rPr>
          <w:spacing w:val="-1"/>
          <w:lang w:val="da-DK"/>
        </w:rPr>
        <w:t xml:space="preserve"> </w:t>
      </w:r>
      <w:r>
        <w:rPr>
          <w:lang w:val="da-DK"/>
        </w:rPr>
        <w:t>som</w:t>
      </w:r>
      <w:r>
        <w:rPr>
          <w:spacing w:val="-1"/>
          <w:lang w:val="da-DK"/>
        </w:rPr>
        <w:t xml:space="preserve"> </w:t>
      </w:r>
      <w:r>
        <w:rPr>
          <w:lang w:val="da-DK"/>
        </w:rPr>
        <w:t>angivet</w:t>
      </w:r>
      <w:r>
        <w:rPr>
          <w:spacing w:val="-1"/>
          <w:lang w:val="da-DK"/>
        </w:rPr>
        <w:t xml:space="preserve"> </w:t>
      </w:r>
      <w:r>
        <w:rPr>
          <w:lang w:val="da-DK"/>
        </w:rPr>
        <w:t>herunder</w:t>
      </w:r>
      <w:r>
        <w:rPr>
          <w:spacing w:val="-2"/>
          <w:lang w:val="da-DK"/>
        </w:rPr>
        <w:t xml:space="preserve"> </w:t>
      </w:r>
      <w:r>
        <w:rPr>
          <w:lang w:val="da-DK"/>
        </w:rPr>
        <w:t>for</w:t>
      </w:r>
      <w:r>
        <w:rPr>
          <w:spacing w:val="-1"/>
          <w:lang w:val="da-DK"/>
        </w:rPr>
        <w:t xml:space="preserve"> </w:t>
      </w:r>
      <w:r>
        <w:rPr>
          <w:lang w:val="da-DK"/>
        </w:rPr>
        <w:t>hvert</w:t>
      </w:r>
      <w:r>
        <w:rPr>
          <w:spacing w:val="-1"/>
          <w:lang w:val="da-DK"/>
        </w:rPr>
        <w:t xml:space="preserve"> </w:t>
      </w:r>
      <w:r>
        <w:rPr>
          <w:lang w:val="da-DK"/>
        </w:rPr>
        <w:t>studie.</w:t>
      </w:r>
    </w:p>
    <w:p>
      <w:pPr>
        <w:pStyle w:val="BodyText"/>
        <w:tabs>
          <w:tab w:val="left" w:pos="8505"/>
        </w:tabs>
        <w:ind w:right="140"/>
        <w:rPr>
          <w:lang w:val="da-DK"/>
        </w:rPr>
      </w:pPr>
    </w:p>
    <w:p>
      <w:pPr>
        <w:pStyle w:val="BodyText"/>
        <w:tabs>
          <w:tab w:val="left" w:pos="8505"/>
        </w:tabs>
        <w:ind w:right="140"/>
        <w:rPr>
          <w:lang w:val="da-DK"/>
        </w:rPr>
      </w:pPr>
      <w:r>
        <w:rPr>
          <w:lang w:val="da-DK"/>
        </w:rPr>
        <w:t>I ingen af de tre studier var anvendelse af spironolacton tilladt, eftersom spironolacton binder til</w:t>
      </w:r>
      <w:r>
        <w:rPr>
          <w:spacing w:val="-52"/>
          <w:lang w:val="da-DK"/>
        </w:rPr>
        <w:t xml:space="preserve"> </w:t>
      </w:r>
      <w:r>
        <w:rPr>
          <w:lang w:val="da-DK"/>
        </w:rPr>
        <w:t>androgenreceptoren</w:t>
      </w:r>
      <w:r>
        <w:rPr>
          <w:spacing w:val="-2"/>
          <w:lang w:val="da-DK"/>
        </w:rPr>
        <w:t xml:space="preserve"> </w:t>
      </w:r>
      <w:r>
        <w:rPr>
          <w:lang w:val="da-DK"/>
        </w:rPr>
        <w:t>og</w:t>
      </w:r>
      <w:r>
        <w:rPr>
          <w:spacing w:val="-4"/>
          <w:lang w:val="da-DK"/>
        </w:rPr>
        <w:t xml:space="preserve"> </w:t>
      </w:r>
      <w:r>
        <w:rPr>
          <w:lang w:val="da-DK"/>
        </w:rPr>
        <w:t>kan</w:t>
      </w:r>
      <w:r>
        <w:rPr>
          <w:spacing w:val="-1"/>
          <w:lang w:val="da-DK"/>
        </w:rPr>
        <w:t xml:space="preserve"> </w:t>
      </w:r>
      <w:r>
        <w:rPr>
          <w:lang w:val="da-DK"/>
        </w:rPr>
        <w:t>øge</w:t>
      </w:r>
      <w:r>
        <w:rPr>
          <w:spacing w:val="-2"/>
          <w:lang w:val="da-DK"/>
        </w:rPr>
        <w:t xml:space="preserve"> </w:t>
      </w:r>
      <w:r>
        <w:rPr>
          <w:lang w:val="da-DK"/>
        </w:rPr>
        <w:t>PSA-koncentrationen.</w:t>
      </w:r>
    </w:p>
    <w:p>
      <w:pPr>
        <w:pStyle w:val="BodyText"/>
        <w:tabs>
          <w:tab w:val="left" w:pos="8505"/>
        </w:tabs>
        <w:ind w:right="140"/>
        <w:rPr>
          <w:lang w:val="da-DK"/>
        </w:rPr>
      </w:pPr>
    </w:p>
    <w:p>
      <w:pPr>
        <w:widowControl w:val="0"/>
        <w:tabs>
          <w:tab w:val="left" w:pos="8505"/>
        </w:tabs>
        <w:autoSpaceDE w:val="0"/>
        <w:autoSpaceDN w:val="0"/>
        <w:ind w:right="140"/>
        <w:outlineLvl w:val="1"/>
        <w:rPr>
          <w:b/>
          <w:bCs/>
          <w:i/>
          <w:sz w:val="22"/>
          <w:szCs w:val="22"/>
          <w:lang w:val="da-DK" w:eastAsia="en-US"/>
        </w:rPr>
      </w:pPr>
      <w:r>
        <w:rPr>
          <w:b/>
          <w:bCs/>
          <w:i/>
          <w:sz w:val="22"/>
          <w:szCs w:val="22"/>
          <w:lang w:val="da-DK" w:eastAsia="en-US"/>
        </w:rPr>
        <w:t>Studie</w:t>
      </w:r>
      <w:r>
        <w:rPr>
          <w:b/>
          <w:bCs/>
          <w:i/>
          <w:spacing w:val="-3"/>
          <w:sz w:val="22"/>
          <w:szCs w:val="22"/>
          <w:lang w:val="da-DK" w:eastAsia="en-US"/>
        </w:rPr>
        <w:t xml:space="preserve"> </w:t>
      </w:r>
      <w:r>
        <w:rPr>
          <w:b/>
          <w:bCs/>
          <w:i/>
          <w:sz w:val="22"/>
          <w:szCs w:val="22"/>
          <w:lang w:val="da-DK" w:eastAsia="en-US"/>
        </w:rPr>
        <w:t>3011</w:t>
      </w:r>
      <w:r>
        <w:rPr>
          <w:b/>
          <w:bCs/>
          <w:i/>
          <w:spacing w:val="-2"/>
          <w:sz w:val="22"/>
          <w:szCs w:val="22"/>
          <w:lang w:val="da-DK" w:eastAsia="en-US"/>
        </w:rPr>
        <w:t xml:space="preserve"> </w:t>
      </w:r>
      <w:r>
        <w:rPr>
          <w:bCs/>
          <w:i/>
          <w:sz w:val="22"/>
          <w:szCs w:val="22"/>
          <w:lang w:val="da-DK" w:eastAsia="en-US"/>
        </w:rPr>
        <w:t>(</w:t>
      </w:r>
      <w:r>
        <w:rPr>
          <w:b/>
          <w:bCs/>
          <w:i/>
          <w:sz w:val="22"/>
          <w:szCs w:val="22"/>
          <w:lang w:val="da-DK" w:eastAsia="en-US"/>
        </w:rPr>
        <w:t>patienter</w:t>
      </w:r>
      <w:r>
        <w:rPr>
          <w:b/>
          <w:bCs/>
          <w:i/>
          <w:spacing w:val="-3"/>
          <w:sz w:val="22"/>
          <w:szCs w:val="22"/>
          <w:lang w:val="da-DK" w:eastAsia="en-US"/>
        </w:rPr>
        <w:t xml:space="preserve"> </w:t>
      </w:r>
      <w:r>
        <w:rPr>
          <w:b/>
          <w:bCs/>
          <w:i/>
          <w:sz w:val="22"/>
          <w:szCs w:val="22"/>
          <w:lang w:val="da-DK" w:eastAsia="en-US"/>
        </w:rPr>
        <w:t>med</w:t>
      </w:r>
      <w:r>
        <w:rPr>
          <w:b/>
          <w:bCs/>
          <w:i/>
          <w:spacing w:val="-3"/>
          <w:sz w:val="22"/>
          <w:szCs w:val="22"/>
          <w:lang w:val="da-DK" w:eastAsia="en-US"/>
        </w:rPr>
        <w:t xml:space="preserve"> </w:t>
      </w:r>
      <w:r>
        <w:rPr>
          <w:b/>
          <w:bCs/>
          <w:i/>
          <w:sz w:val="22"/>
          <w:szCs w:val="22"/>
          <w:lang w:val="da-DK" w:eastAsia="en-US"/>
        </w:rPr>
        <w:t>nydiagnosticeret</w:t>
      </w:r>
      <w:r>
        <w:rPr>
          <w:b/>
          <w:bCs/>
          <w:i/>
          <w:spacing w:val="-3"/>
          <w:sz w:val="22"/>
          <w:szCs w:val="22"/>
          <w:lang w:val="da-DK" w:eastAsia="en-US"/>
        </w:rPr>
        <w:t xml:space="preserve"> </w:t>
      </w:r>
      <w:r>
        <w:rPr>
          <w:b/>
          <w:bCs/>
          <w:i/>
          <w:sz w:val="22"/>
          <w:szCs w:val="22"/>
          <w:lang w:val="da-DK" w:eastAsia="en-US"/>
        </w:rPr>
        <w:t>mHSPC</w:t>
      </w:r>
      <w:r>
        <w:rPr>
          <w:b/>
          <w:bCs/>
          <w:i/>
          <w:spacing w:val="-3"/>
          <w:sz w:val="22"/>
          <w:szCs w:val="22"/>
          <w:lang w:val="da-DK" w:eastAsia="en-US"/>
        </w:rPr>
        <w:t xml:space="preserve"> </w:t>
      </w:r>
      <w:r>
        <w:rPr>
          <w:b/>
          <w:bCs/>
          <w:i/>
          <w:sz w:val="22"/>
          <w:szCs w:val="22"/>
          <w:lang w:val="da-DK" w:eastAsia="en-US"/>
        </w:rPr>
        <w:t>med</w:t>
      </w:r>
      <w:r>
        <w:rPr>
          <w:b/>
          <w:bCs/>
          <w:i/>
          <w:spacing w:val="-4"/>
          <w:sz w:val="22"/>
          <w:szCs w:val="22"/>
          <w:lang w:val="da-DK" w:eastAsia="en-US"/>
        </w:rPr>
        <w:t xml:space="preserve"> </w:t>
      </w:r>
      <w:r>
        <w:rPr>
          <w:b/>
          <w:bCs/>
          <w:i/>
          <w:sz w:val="22"/>
          <w:szCs w:val="22"/>
          <w:lang w:val="da-DK" w:eastAsia="en-US"/>
        </w:rPr>
        <w:t>høj</w:t>
      </w:r>
      <w:r>
        <w:rPr>
          <w:b/>
          <w:bCs/>
          <w:i/>
          <w:spacing w:val="-3"/>
          <w:sz w:val="22"/>
          <w:szCs w:val="22"/>
          <w:lang w:val="da-DK" w:eastAsia="en-US"/>
        </w:rPr>
        <w:t xml:space="preserve"> </w:t>
      </w:r>
      <w:r>
        <w:rPr>
          <w:b/>
          <w:bCs/>
          <w:i/>
          <w:sz w:val="22"/>
          <w:szCs w:val="22"/>
          <w:lang w:val="da-DK" w:eastAsia="en-US"/>
        </w:rPr>
        <w:t>risiko)</w:t>
      </w:r>
    </w:p>
    <w:p>
      <w:pPr>
        <w:pStyle w:val="BodyText"/>
        <w:tabs>
          <w:tab w:val="left" w:pos="8505"/>
        </w:tabs>
        <w:ind w:right="140"/>
        <w:rPr>
          <w:lang w:val="da-DK"/>
        </w:rPr>
      </w:pPr>
      <w:r>
        <w:rPr>
          <w:lang w:val="da-DK"/>
        </w:rPr>
        <w:t>I studie 3011 (n=1199) var medianalderen for de deltagende patienter 67 år. Efter race var antallet af</w:t>
      </w:r>
      <w:r>
        <w:rPr>
          <w:spacing w:val="1"/>
          <w:lang w:val="da-DK"/>
        </w:rPr>
        <w:t xml:space="preserve"> </w:t>
      </w:r>
      <w:r>
        <w:rPr>
          <w:lang w:val="da-DK"/>
        </w:rPr>
        <w:t>patienter,</w:t>
      </w:r>
      <w:r>
        <w:rPr>
          <w:spacing w:val="-3"/>
          <w:lang w:val="da-DK"/>
        </w:rPr>
        <w:t xml:space="preserve"> </w:t>
      </w:r>
      <w:r>
        <w:rPr>
          <w:lang w:val="da-DK"/>
        </w:rPr>
        <w:t>der</w:t>
      </w:r>
      <w:r>
        <w:rPr>
          <w:spacing w:val="-3"/>
          <w:lang w:val="da-DK"/>
        </w:rPr>
        <w:t xml:space="preserve"> </w:t>
      </w:r>
      <w:r>
        <w:rPr>
          <w:lang w:val="da-DK"/>
        </w:rPr>
        <w:t>blev</w:t>
      </w:r>
      <w:r>
        <w:rPr>
          <w:spacing w:val="-3"/>
          <w:lang w:val="da-DK"/>
        </w:rPr>
        <w:t xml:space="preserve"> </w:t>
      </w:r>
      <w:r>
        <w:rPr>
          <w:lang w:val="da-DK"/>
        </w:rPr>
        <w:t>behandlet</w:t>
      </w:r>
      <w:r>
        <w:rPr>
          <w:spacing w:val="-3"/>
          <w:lang w:val="da-DK"/>
        </w:rPr>
        <w:t xml:space="preserve"> </w:t>
      </w:r>
      <w:r>
        <w:rPr>
          <w:lang w:val="da-DK"/>
        </w:rPr>
        <w:t>med</w:t>
      </w:r>
      <w:r>
        <w:rPr>
          <w:spacing w:val="-3"/>
          <w:lang w:val="da-DK"/>
        </w:rPr>
        <w:t xml:space="preserve"> </w:t>
      </w:r>
      <w:r>
        <w:rPr>
          <w:lang w:val="da-DK"/>
        </w:rPr>
        <w:t>abirateronacetat,</w:t>
      </w:r>
      <w:r>
        <w:rPr>
          <w:spacing w:val="-3"/>
          <w:lang w:val="da-DK"/>
        </w:rPr>
        <w:t xml:space="preserve"> </w:t>
      </w:r>
      <w:r>
        <w:rPr>
          <w:lang w:val="da-DK"/>
        </w:rPr>
        <w:t>832</w:t>
      </w:r>
      <w:r>
        <w:rPr>
          <w:spacing w:val="-3"/>
          <w:lang w:val="da-DK"/>
        </w:rPr>
        <w:t xml:space="preserve"> </w:t>
      </w:r>
      <w:r>
        <w:rPr>
          <w:lang w:val="da-DK"/>
        </w:rPr>
        <w:t>(69,4</w:t>
      </w:r>
      <w:r>
        <w:rPr>
          <w:spacing w:val="-5"/>
          <w:lang w:val="da-DK"/>
        </w:rPr>
        <w:t> %</w:t>
      </w:r>
      <w:r>
        <w:rPr>
          <w:lang w:val="da-DK"/>
        </w:rPr>
        <w:t>)</w:t>
      </w:r>
      <w:r>
        <w:rPr>
          <w:spacing w:val="-1"/>
          <w:lang w:val="da-DK"/>
        </w:rPr>
        <w:t xml:space="preserve"> </w:t>
      </w:r>
      <w:r>
        <w:rPr>
          <w:lang w:val="da-DK"/>
        </w:rPr>
        <w:t>kaukasiere,</w:t>
      </w:r>
      <w:r>
        <w:rPr>
          <w:spacing w:val="-2"/>
          <w:lang w:val="da-DK"/>
        </w:rPr>
        <w:t xml:space="preserve"> </w:t>
      </w:r>
      <w:r>
        <w:rPr>
          <w:lang w:val="da-DK"/>
        </w:rPr>
        <w:t>246</w:t>
      </w:r>
      <w:r>
        <w:rPr>
          <w:spacing w:val="-3"/>
          <w:lang w:val="da-DK"/>
        </w:rPr>
        <w:t xml:space="preserve"> </w:t>
      </w:r>
      <w:r>
        <w:rPr>
          <w:lang w:val="da-DK"/>
        </w:rPr>
        <w:t>(20,5</w:t>
      </w:r>
      <w:r>
        <w:rPr>
          <w:spacing w:val="-5"/>
          <w:lang w:val="da-DK"/>
        </w:rPr>
        <w:t> %</w:t>
      </w:r>
      <w:r>
        <w:rPr>
          <w:lang w:val="da-DK"/>
        </w:rPr>
        <w:t>)</w:t>
      </w:r>
      <w:r>
        <w:rPr>
          <w:spacing w:val="-3"/>
          <w:lang w:val="da-DK"/>
        </w:rPr>
        <w:t xml:space="preserve"> </w:t>
      </w:r>
      <w:r>
        <w:rPr>
          <w:lang w:val="da-DK"/>
        </w:rPr>
        <w:t>asiater,</w:t>
      </w:r>
      <w:r>
        <w:rPr>
          <w:spacing w:val="-3"/>
          <w:lang w:val="da-DK"/>
        </w:rPr>
        <w:t xml:space="preserve"> </w:t>
      </w:r>
      <w:r>
        <w:rPr>
          <w:lang w:val="da-DK"/>
        </w:rPr>
        <w:t>25</w:t>
      </w:r>
      <w:r>
        <w:rPr>
          <w:spacing w:val="-3"/>
          <w:lang w:val="da-DK"/>
        </w:rPr>
        <w:t xml:space="preserve"> </w:t>
      </w:r>
      <w:r>
        <w:rPr>
          <w:lang w:val="da-DK"/>
        </w:rPr>
        <w:t>(2,1</w:t>
      </w:r>
      <w:r>
        <w:rPr>
          <w:spacing w:val="-5"/>
          <w:lang w:val="da-DK"/>
        </w:rPr>
        <w:t> %</w:t>
      </w:r>
      <w:r>
        <w:rPr>
          <w:lang w:val="da-DK"/>
        </w:rPr>
        <w:t>) sorte eller afrikanske amerikanere, 80 (6,7 %) andre, 13 (1,1 %) ukendt/ikke oplyst og 3 (0,3 %)</w:t>
      </w:r>
      <w:r>
        <w:rPr>
          <w:spacing w:val="1"/>
          <w:lang w:val="da-DK"/>
        </w:rPr>
        <w:t xml:space="preserve"> </w:t>
      </w:r>
      <w:r>
        <w:rPr>
          <w:lang w:val="da-DK"/>
        </w:rPr>
        <w:t>amerikanske indianere eller indfødte fra Alaska. ECOG-performancestatus var 0 eller 1 for 97 % af</w:t>
      </w:r>
      <w:r>
        <w:rPr>
          <w:spacing w:val="1"/>
          <w:lang w:val="da-DK"/>
        </w:rPr>
        <w:t xml:space="preserve"> </w:t>
      </w:r>
      <w:r>
        <w:rPr>
          <w:lang w:val="da-DK"/>
        </w:rPr>
        <w:t>patienterne. Patienter med kendt hjernemetastase, ukontrolleret hypertension, signifikant hjertesygdom</w:t>
      </w:r>
      <w:r>
        <w:rPr>
          <w:spacing w:val="-52"/>
          <w:lang w:val="da-DK"/>
        </w:rPr>
        <w:t xml:space="preserve"> </w:t>
      </w:r>
      <w:r>
        <w:rPr>
          <w:lang w:val="da-DK"/>
        </w:rPr>
        <w:t>eller NYHA-klasse II-IV hjerteinsufficiens blev ekskluderet. Patienter, der var blevet behandlet med</w:t>
      </w:r>
      <w:r>
        <w:rPr>
          <w:spacing w:val="1"/>
          <w:lang w:val="da-DK"/>
        </w:rPr>
        <w:t xml:space="preserve"> </w:t>
      </w:r>
      <w:r>
        <w:rPr>
          <w:lang w:val="da-DK"/>
        </w:rPr>
        <w:t>tidligere farmakoterapi, stråleterapi eller operation af metastaserende prostatacancer blev ekskluderet</w:t>
      </w:r>
      <w:r>
        <w:rPr>
          <w:spacing w:val="1"/>
          <w:lang w:val="da-DK"/>
        </w:rPr>
        <w:t xml:space="preserve"> </w:t>
      </w:r>
      <w:r>
        <w:rPr>
          <w:lang w:val="da-DK"/>
        </w:rPr>
        <w:t>med undtagelse af ADT i op til 3 måneder eller 1 forløb med palliativ stråling eller kirurgisk</w:t>
      </w:r>
      <w:r>
        <w:rPr>
          <w:spacing w:val="1"/>
          <w:lang w:val="da-DK"/>
        </w:rPr>
        <w:t xml:space="preserve"> </w:t>
      </w:r>
      <w:r>
        <w:rPr>
          <w:lang w:val="da-DK"/>
        </w:rPr>
        <w:t>behandling af symptomer som følge af metastaserende sygdom. Co-primære effektendepunkter var</w:t>
      </w:r>
      <w:r>
        <w:rPr>
          <w:spacing w:val="1"/>
          <w:lang w:val="da-DK"/>
        </w:rPr>
        <w:t xml:space="preserve"> </w:t>
      </w:r>
      <w:r>
        <w:rPr>
          <w:lang w:val="da-DK"/>
        </w:rPr>
        <w:t>samlet overlevelse (OS) og radiografisk progressionsfri overlevelse (rPFS). Medianen for smerte</w:t>
      </w:r>
      <w:r>
        <w:rPr>
          <w:iCs/>
          <w:lang w:val="da-DK"/>
        </w:rPr>
        <w:t>score</w:t>
      </w:r>
      <w:r>
        <w:rPr>
          <w:i/>
          <w:spacing w:val="1"/>
          <w:lang w:val="da-DK"/>
        </w:rPr>
        <w:t xml:space="preserve"> </w:t>
      </w:r>
      <w:r>
        <w:rPr>
          <w:lang w:val="da-DK"/>
        </w:rPr>
        <w:t xml:space="preserve">ved </w:t>
      </w:r>
      <w:r>
        <w:rPr>
          <w:i/>
          <w:lang w:val="da-DK"/>
        </w:rPr>
        <w:t xml:space="preserve">baseline </w:t>
      </w:r>
      <w:r>
        <w:rPr>
          <w:lang w:val="da-DK"/>
        </w:rPr>
        <w:t xml:space="preserve">i </w:t>
      </w:r>
      <w:r>
        <w:rPr>
          <w:i/>
          <w:iCs/>
          <w:lang w:val="da-DK"/>
        </w:rPr>
        <w:t>Brief Pain Inventory Short Form</w:t>
      </w:r>
      <w:r>
        <w:rPr>
          <w:lang w:val="da-DK"/>
        </w:rPr>
        <w:t xml:space="preserve"> (BPI-SF) var 2,0 i både behandlings- og</w:t>
      </w:r>
      <w:r>
        <w:rPr>
          <w:spacing w:val="1"/>
          <w:lang w:val="da-DK"/>
        </w:rPr>
        <w:t xml:space="preserve"> </w:t>
      </w:r>
      <w:r>
        <w:rPr>
          <w:lang w:val="da-DK"/>
        </w:rPr>
        <w:t>placebo-gruppen. Ud over de co-primære endepunkter blev behandlingens fordele også evalueret vha.</w:t>
      </w:r>
      <w:r>
        <w:rPr>
          <w:spacing w:val="1"/>
          <w:lang w:val="da-DK"/>
        </w:rPr>
        <w:t xml:space="preserve"> </w:t>
      </w:r>
      <w:r>
        <w:rPr>
          <w:lang w:val="da-DK"/>
        </w:rPr>
        <w:t>tid indtil knoglerelateret hændelse (SRE), tid indtil efterfølgende behandling af prostatacancer, tid</w:t>
      </w:r>
      <w:r>
        <w:rPr>
          <w:spacing w:val="1"/>
          <w:lang w:val="da-DK"/>
        </w:rPr>
        <w:t xml:space="preserve"> </w:t>
      </w:r>
      <w:r>
        <w:rPr>
          <w:lang w:val="da-DK"/>
        </w:rPr>
        <w:t>indtil</w:t>
      </w:r>
      <w:r>
        <w:rPr>
          <w:spacing w:val="-3"/>
          <w:lang w:val="da-DK"/>
        </w:rPr>
        <w:t xml:space="preserve"> </w:t>
      </w:r>
      <w:r>
        <w:rPr>
          <w:lang w:val="da-DK"/>
        </w:rPr>
        <w:t>påbegyndelse</w:t>
      </w:r>
      <w:r>
        <w:rPr>
          <w:spacing w:val="-3"/>
          <w:lang w:val="da-DK"/>
        </w:rPr>
        <w:t xml:space="preserve"> </w:t>
      </w:r>
      <w:r>
        <w:rPr>
          <w:lang w:val="da-DK"/>
        </w:rPr>
        <w:t>af</w:t>
      </w:r>
      <w:r>
        <w:rPr>
          <w:spacing w:val="-2"/>
          <w:lang w:val="da-DK"/>
        </w:rPr>
        <w:t xml:space="preserve"> </w:t>
      </w:r>
      <w:r>
        <w:rPr>
          <w:lang w:val="da-DK"/>
        </w:rPr>
        <w:t>kemoterapi,</w:t>
      </w:r>
      <w:r>
        <w:rPr>
          <w:spacing w:val="-3"/>
          <w:lang w:val="da-DK"/>
        </w:rPr>
        <w:t xml:space="preserve"> </w:t>
      </w:r>
      <w:r>
        <w:rPr>
          <w:lang w:val="da-DK"/>
        </w:rPr>
        <w:t>tid</w:t>
      </w:r>
      <w:r>
        <w:rPr>
          <w:spacing w:val="-2"/>
          <w:lang w:val="da-DK"/>
        </w:rPr>
        <w:t xml:space="preserve"> </w:t>
      </w:r>
      <w:r>
        <w:rPr>
          <w:lang w:val="da-DK"/>
        </w:rPr>
        <w:t>indtil</w:t>
      </w:r>
      <w:r>
        <w:rPr>
          <w:spacing w:val="-3"/>
          <w:lang w:val="da-DK"/>
        </w:rPr>
        <w:t xml:space="preserve"> </w:t>
      </w:r>
      <w:r>
        <w:rPr>
          <w:lang w:val="da-DK"/>
        </w:rPr>
        <w:t>smerte</w:t>
      </w:r>
      <w:r>
        <w:rPr>
          <w:spacing w:val="-2"/>
          <w:lang w:val="da-DK"/>
        </w:rPr>
        <w:t xml:space="preserve"> </w:t>
      </w:r>
      <w:r>
        <w:rPr>
          <w:lang w:val="da-DK"/>
        </w:rPr>
        <w:t>progression</w:t>
      </w:r>
      <w:r>
        <w:rPr>
          <w:spacing w:val="-3"/>
          <w:lang w:val="da-DK"/>
        </w:rPr>
        <w:t xml:space="preserve"> </w:t>
      </w:r>
      <w:r>
        <w:rPr>
          <w:lang w:val="da-DK"/>
        </w:rPr>
        <w:t>og</w:t>
      </w:r>
      <w:r>
        <w:rPr>
          <w:spacing w:val="-2"/>
          <w:lang w:val="da-DK"/>
        </w:rPr>
        <w:t xml:space="preserve"> </w:t>
      </w:r>
      <w:r>
        <w:rPr>
          <w:lang w:val="da-DK"/>
        </w:rPr>
        <w:t>tid</w:t>
      </w:r>
      <w:r>
        <w:rPr>
          <w:spacing w:val="-3"/>
          <w:lang w:val="da-DK"/>
        </w:rPr>
        <w:t xml:space="preserve"> </w:t>
      </w:r>
      <w:r>
        <w:rPr>
          <w:lang w:val="da-DK"/>
        </w:rPr>
        <w:t>indtil</w:t>
      </w:r>
      <w:r>
        <w:rPr>
          <w:spacing w:val="-3"/>
          <w:lang w:val="da-DK"/>
        </w:rPr>
        <w:t xml:space="preserve"> </w:t>
      </w:r>
      <w:r>
        <w:rPr>
          <w:lang w:val="da-DK"/>
        </w:rPr>
        <w:t>PSA-progression.</w:t>
      </w:r>
    </w:p>
    <w:p>
      <w:pPr>
        <w:pStyle w:val="BodyText"/>
        <w:tabs>
          <w:tab w:val="left" w:pos="8505"/>
        </w:tabs>
        <w:ind w:right="140"/>
        <w:rPr>
          <w:lang w:val="da-DK"/>
        </w:rPr>
      </w:pPr>
      <w:r>
        <w:rPr>
          <w:lang w:val="da-DK"/>
        </w:rPr>
        <w:t>Behandlingen fortsatte indtil sygdomsprogression, tilbagetrækning af samtykke, forekomst af uacceptabel</w:t>
      </w:r>
      <w:r>
        <w:rPr>
          <w:spacing w:val="-2"/>
          <w:lang w:val="da-DK"/>
        </w:rPr>
        <w:t xml:space="preserve"> </w:t>
      </w:r>
      <w:r>
        <w:rPr>
          <w:lang w:val="da-DK"/>
        </w:rPr>
        <w:t>toksicitet</w:t>
      </w:r>
      <w:r>
        <w:rPr>
          <w:spacing w:val="-1"/>
          <w:lang w:val="da-DK"/>
        </w:rPr>
        <w:t xml:space="preserve"> </w:t>
      </w:r>
      <w:r>
        <w:rPr>
          <w:lang w:val="da-DK"/>
        </w:rPr>
        <w:t>eller</w:t>
      </w:r>
      <w:r>
        <w:rPr>
          <w:spacing w:val="-1"/>
          <w:lang w:val="da-DK"/>
        </w:rPr>
        <w:t xml:space="preserve"> </w:t>
      </w:r>
      <w:r>
        <w:rPr>
          <w:lang w:val="da-DK"/>
        </w:rPr>
        <w:t>dødsfald.</w:t>
      </w:r>
    </w:p>
    <w:p>
      <w:pPr>
        <w:pStyle w:val="BodyText"/>
        <w:tabs>
          <w:tab w:val="left" w:pos="8505"/>
        </w:tabs>
        <w:ind w:right="140"/>
        <w:rPr>
          <w:sz w:val="21"/>
          <w:lang w:val="da-DK"/>
        </w:rPr>
      </w:pPr>
    </w:p>
    <w:p>
      <w:pPr>
        <w:pStyle w:val="BodyText"/>
        <w:tabs>
          <w:tab w:val="left" w:pos="8505"/>
        </w:tabs>
        <w:ind w:right="140"/>
        <w:rPr>
          <w:lang w:val="da-DK"/>
        </w:rPr>
      </w:pPr>
      <w:r>
        <w:rPr>
          <w:lang w:val="da-DK"/>
        </w:rPr>
        <w:t>Radiografisk progressionsfri overlevelse blev defineret som tiden fra randomisering til forekomst af</w:t>
      </w:r>
      <w:r>
        <w:rPr>
          <w:spacing w:val="1"/>
          <w:lang w:val="da-DK"/>
        </w:rPr>
        <w:t xml:space="preserve"> </w:t>
      </w:r>
      <w:r>
        <w:rPr>
          <w:lang w:val="da-DK"/>
        </w:rPr>
        <w:t>radiografisk progression eller død uanset årsag. Radiografisk progression omfattede progression ved</w:t>
      </w:r>
      <w:r>
        <w:rPr>
          <w:spacing w:val="1"/>
          <w:lang w:val="da-DK"/>
        </w:rPr>
        <w:t xml:space="preserve"> </w:t>
      </w:r>
      <w:r>
        <w:rPr>
          <w:lang w:val="da-DK"/>
        </w:rPr>
        <w:t>knoglescanning (i henhold til modificeret PCWG2) eller progression af bløddelslæsioner ved CT- eller MRI-scanning</w:t>
      </w:r>
      <w:r>
        <w:rPr>
          <w:spacing w:val="-2"/>
          <w:lang w:val="da-DK"/>
        </w:rPr>
        <w:t xml:space="preserve"> </w:t>
      </w:r>
      <w:r>
        <w:rPr>
          <w:lang w:val="da-DK"/>
        </w:rPr>
        <w:t>(i</w:t>
      </w:r>
      <w:r>
        <w:rPr>
          <w:spacing w:val="-1"/>
          <w:lang w:val="da-DK"/>
        </w:rPr>
        <w:t xml:space="preserve"> </w:t>
      </w:r>
      <w:r>
        <w:rPr>
          <w:lang w:val="da-DK"/>
        </w:rPr>
        <w:t>henhold</w:t>
      </w:r>
      <w:r>
        <w:rPr>
          <w:spacing w:val="-1"/>
          <w:lang w:val="da-DK"/>
        </w:rPr>
        <w:t xml:space="preserve"> </w:t>
      </w:r>
      <w:r>
        <w:rPr>
          <w:lang w:val="da-DK"/>
        </w:rPr>
        <w:t>til</w:t>
      </w:r>
      <w:r>
        <w:rPr>
          <w:spacing w:val="-1"/>
          <w:lang w:val="da-DK"/>
        </w:rPr>
        <w:t xml:space="preserve"> </w:t>
      </w:r>
      <w:r>
        <w:rPr>
          <w:lang w:val="da-DK"/>
        </w:rPr>
        <w:t>RECIST</w:t>
      </w:r>
      <w:r>
        <w:rPr>
          <w:spacing w:val="2"/>
          <w:lang w:val="da-DK"/>
        </w:rPr>
        <w:t xml:space="preserve"> </w:t>
      </w:r>
      <w:r>
        <w:rPr>
          <w:lang w:val="da-DK"/>
        </w:rPr>
        <w:t>1.1).</w:t>
      </w:r>
    </w:p>
    <w:p>
      <w:pPr>
        <w:pStyle w:val="BodyText"/>
        <w:tabs>
          <w:tab w:val="left" w:pos="8505"/>
        </w:tabs>
        <w:ind w:right="140"/>
        <w:rPr>
          <w:lang w:val="da-DK"/>
        </w:rPr>
      </w:pPr>
    </w:p>
    <w:p>
      <w:pPr>
        <w:pStyle w:val="BodyText"/>
        <w:tabs>
          <w:tab w:val="left" w:pos="8505"/>
        </w:tabs>
        <w:ind w:right="140"/>
        <w:rPr>
          <w:lang w:val="da-DK"/>
        </w:rPr>
      </w:pPr>
      <w:r>
        <w:rPr>
          <w:lang w:val="da-DK"/>
        </w:rPr>
        <w:t>Der blev observeret en signifikant forskel i rPFS mellem de 2 behandlingsgrupper (se tabel 2 og figur 1).</w:t>
      </w:r>
    </w:p>
    <w:p>
      <w:pPr>
        <w:pStyle w:val="BodyText"/>
        <w:tabs>
          <w:tab w:val="left" w:pos="8505"/>
        </w:tabs>
        <w:ind w:right="140"/>
        <w:rPr>
          <w:lang w:val="da-DK"/>
        </w:rPr>
      </w:pPr>
    </w:p>
    <w:p>
      <w:pPr>
        <w:pStyle w:val="BodyText"/>
        <w:tabs>
          <w:tab w:val="left" w:pos="1701"/>
        </w:tabs>
        <w:ind w:right="140"/>
        <w:rPr>
          <w:lang w:val="da-DK"/>
        </w:rPr>
      </w:pPr>
      <w:r>
        <w:rPr>
          <w:b/>
          <w:bCs/>
          <w:lang w:val="da-DK"/>
        </w:rPr>
        <w:t xml:space="preserve">Tabel 2: Radiografisk progressionsfri overlevelse - stratificeret analyse; </w:t>
      </w:r>
      <w:r>
        <w:rPr>
          <w:b/>
          <w:bCs/>
          <w:i/>
          <w:lang w:val="da-DK"/>
        </w:rPr>
        <w:t>intent-to-treat</w:t>
      </w:r>
      <w:r>
        <w:rPr>
          <w:b/>
          <w:bCs/>
          <w:lang w:val="da-DK"/>
        </w:rPr>
        <w:t>-</w:t>
      </w:r>
      <w:r>
        <w:rPr>
          <w:b/>
          <w:bCs/>
          <w:spacing w:val="-52"/>
          <w:lang w:val="da-DK"/>
        </w:rPr>
        <w:t xml:space="preserve"> </w:t>
      </w:r>
      <w:r>
        <w:rPr>
          <w:b/>
          <w:bCs/>
          <w:lang w:val="da-DK"/>
        </w:rPr>
        <w:t>population</w:t>
      </w:r>
      <w:r>
        <w:rPr>
          <w:b/>
          <w:bCs/>
          <w:spacing w:val="-2"/>
          <w:lang w:val="da-DK"/>
        </w:rPr>
        <w:t xml:space="preserve"> </w:t>
      </w:r>
      <w:r>
        <w:rPr>
          <w:b/>
          <w:bCs/>
          <w:lang w:val="da-DK"/>
        </w:rPr>
        <w:t>(studie</w:t>
      </w:r>
      <w:r>
        <w:rPr>
          <w:b/>
          <w:bCs/>
          <w:spacing w:val="-1"/>
          <w:lang w:val="da-DK"/>
        </w:rPr>
        <w:t xml:space="preserve"> </w:t>
      </w:r>
      <w:r>
        <w:rPr>
          <w:b/>
          <w:bCs/>
          <w:lang w:val="da-DK"/>
        </w:rPr>
        <w:t>PCR3011).</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402"/>
        <w:gridCol w:w="2699"/>
        <w:gridCol w:w="2962"/>
      </w:tblGrid>
      <w:tr>
        <w:tc>
          <w:tcPr>
            <w:tcW w:w="3402" w:type="dxa"/>
            <w:shd w:val="clear" w:color="auto" w:fill="auto"/>
          </w:tcPr>
          <w:p>
            <w:pPr>
              <w:widowControl w:val="0"/>
              <w:outlineLvl w:val="0"/>
              <w:rPr>
                <w:noProof/>
                <w:sz w:val="22"/>
                <w:szCs w:val="22"/>
                <w:lang w:val="da-DK"/>
              </w:rPr>
            </w:pPr>
          </w:p>
        </w:tc>
        <w:tc>
          <w:tcPr>
            <w:tcW w:w="2699" w:type="dxa"/>
            <w:shd w:val="clear" w:color="auto" w:fill="auto"/>
          </w:tcPr>
          <w:p>
            <w:pPr>
              <w:widowControl w:val="0"/>
              <w:jc w:val="center"/>
              <w:rPr>
                <w:sz w:val="22"/>
                <w:szCs w:val="22"/>
                <w:lang w:val="da-DK"/>
              </w:rPr>
            </w:pPr>
            <w:r>
              <w:rPr>
                <w:sz w:val="22"/>
                <w:szCs w:val="22"/>
                <w:lang w:val="da-DK"/>
              </w:rPr>
              <w:t>AA-P</w:t>
            </w:r>
          </w:p>
        </w:tc>
        <w:tc>
          <w:tcPr>
            <w:tcW w:w="2962" w:type="dxa"/>
            <w:shd w:val="clear" w:color="auto" w:fill="auto"/>
          </w:tcPr>
          <w:p>
            <w:pPr>
              <w:widowControl w:val="0"/>
              <w:jc w:val="center"/>
              <w:rPr>
                <w:sz w:val="22"/>
                <w:szCs w:val="22"/>
                <w:lang w:val="da-DK"/>
              </w:rPr>
            </w:pPr>
            <w:r>
              <w:rPr>
                <w:sz w:val="22"/>
                <w:szCs w:val="22"/>
                <w:lang w:val="da-DK"/>
              </w:rPr>
              <w:t>placebo</w:t>
            </w:r>
          </w:p>
        </w:tc>
      </w:tr>
      <w:tr>
        <w:tc>
          <w:tcPr>
            <w:tcW w:w="3402" w:type="dxa"/>
            <w:shd w:val="clear" w:color="auto" w:fill="auto"/>
          </w:tcPr>
          <w:p>
            <w:pPr>
              <w:widowControl w:val="0"/>
              <w:kinsoku w:val="0"/>
              <w:overflowPunct w:val="0"/>
              <w:autoSpaceDE w:val="0"/>
              <w:autoSpaceDN w:val="0"/>
              <w:adjustRightInd w:val="0"/>
              <w:rPr>
                <w:sz w:val="22"/>
                <w:szCs w:val="22"/>
                <w:lang w:val="da-DK"/>
              </w:rPr>
            </w:pPr>
            <w:r>
              <w:rPr>
                <w:sz w:val="22"/>
                <w:szCs w:val="22"/>
                <w:lang w:val="da-DK"/>
              </w:rPr>
              <w:lastRenderedPageBreak/>
              <w:t>Randomiserede</w:t>
            </w:r>
            <w:r>
              <w:rPr>
                <w:spacing w:val="-7"/>
                <w:sz w:val="22"/>
                <w:szCs w:val="22"/>
                <w:lang w:val="da-DK"/>
              </w:rPr>
              <w:t xml:space="preserve"> </w:t>
            </w:r>
            <w:r>
              <w:rPr>
                <w:sz w:val="22"/>
                <w:szCs w:val="22"/>
                <w:lang w:val="da-DK"/>
              </w:rPr>
              <w:t>forsøgspersoner</w:t>
            </w:r>
          </w:p>
        </w:tc>
        <w:tc>
          <w:tcPr>
            <w:tcW w:w="2699" w:type="dxa"/>
            <w:shd w:val="clear" w:color="auto" w:fill="auto"/>
          </w:tcPr>
          <w:p>
            <w:pPr>
              <w:widowControl w:val="0"/>
              <w:jc w:val="center"/>
              <w:rPr>
                <w:sz w:val="22"/>
                <w:szCs w:val="22"/>
                <w:lang w:val="da-DK"/>
              </w:rPr>
            </w:pPr>
            <w:r>
              <w:rPr>
                <w:sz w:val="22"/>
                <w:szCs w:val="22"/>
                <w:lang w:val="da-DK"/>
              </w:rPr>
              <w:t>597</w:t>
            </w:r>
          </w:p>
        </w:tc>
        <w:tc>
          <w:tcPr>
            <w:tcW w:w="2962" w:type="dxa"/>
            <w:shd w:val="clear" w:color="auto" w:fill="auto"/>
          </w:tcPr>
          <w:p>
            <w:pPr>
              <w:widowControl w:val="0"/>
              <w:jc w:val="center"/>
              <w:rPr>
                <w:sz w:val="22"/>
                <w:szCs w:val="22"/>
                <w:lang w:val="da-DK"/>
              </w:rPr>
            </w:pPr>
            <w:r>
              <w:rPr>
                <w:sz w:val="22"/>
                <w:szCs w:val="22"/>
                <w:lang w:val="da-DK"/>
              </w:rPr>
              <w:t>602</w:t>
            </w:r>
          </w:p>
        </w:tc>
      </w:tr>
      <w:tr>
        <w:tc>
          <w:tcPr>
            <w:tcW w:w="3402" w:type="dxa"/>
            <w:shd w:val="clear" w:color="auto" w:fill="auto"/>
          </w:tcPr>
          <w:p>
            <w:pPr>
              <w:widowControl w:val="0"/>
              <w:kinsoku w:val="0"/>
              <w:overflowPunct w:val="0"/>
              <w:autoSpaceDE w:val="0"/>
              <w:autoSpaceDN w:val="0"/>
              <w:adjustRightInd w:val="0"/>
              <w:ind w:left="174"/>
              <w:rPr>
                <w:sz w:val="22"/>
                <w:szCs w:val="22"/>
                <w:lang w:val="da-DK"/>
              </w:rPr>
            </w:pPr>
            <w:r>
              <w:rPr>
                <w:sz w:val="22"/>
                <w:szCs w:val="22"/>
                <w:lang w:val="da-DK"/>
              </w:rPr>
              <w:t>Hændelse</w:t>
            </w:r>
          </w:p>
        </w:tc>
        <w:tc>
          <w:tcPr>
            <w:tcW w:w="2699" w:type="dxa"/>
            <w:shd w:val="clear" w:color="auto" w:fill="auto"/>
          </w:tcPr>
          <w:p>
            <w:pPr>
              <w:widowControl w:val="0"/>
              <w:jc w:val="center"/>
              <w:rPr>
                <w:sz w:val="22"/>
                <w:szCs w:val="22"/>
                <w:lang w:val="da-DK"/>
              </w:rPr>
            </w:pPr>
            <w:r>
              <w:rPr>
                <w:sz w:val="22"/>
                <w:szCs w:val="22"/>
                <w:lang w:val="da-DK"/>
              </w:rPr>
              <w:t>239 (40,0 %)</w:t>
            </w:r>
          </w:p>
        </w:tc>
        <w:tc>
          <w:tcPr>
            <w:tcW w:w="2962" w:type="dxa"/>
            <w:shd w:val="clear" w:color="auto" w:fill="auto"/>
          </w:tcPr>
          <w:p>
            <w:pPr>
              <w:widowControl w:val="0"/>
              <w:jc w:val="center"/>
              <w:rPr>
                <w:sz w:val="22"/>
                <w:szCs w:val="22"/>
                <w:lang w:val="da-DK"/>
              </w:rPr>
            </w:pPr>
            <w:r>
              <w:rPr>
                <w:sz w:val="22"/>
                <w:szCs w:val="22"/>
                <w:lang w:val="da-DK"/>
              </w:rPr>
              <w:t>354 (58,8 %)</w:t>
            </w:r>
          </w:p>
        </w:tc>
      </w:tr>
      <w:tr>
        <w:tc>
          <w:tcPr>
            <w:tcW w:w="3402" w:type="dxa"/>
            <w:shd w:val="clear" w:color="auto" w:fill="auto"/>
          </w:tcPr>
          <w:p>
            <w:pPr>
              <w:widowControl w:val="0"/>
              <w:kinsoku w:val="0"/>
              <w:overflowPunct w:val="0"/>
              <w:autoSpaceDE w:val="0"/>
              <w:autoSpaceDN w:val="0"/>
              <w:adjustRightInd w:val="0"/>
              <w:ind w:left="174"/>
              <w:rPr>
                <w:sz w:val="22"/>
                <w:szCs w:val="22"/>
                <w:lang w:val="da-DK"/>
              </w:rPr>
            </w:pPr>
            <w:r>
              <w:rPr>
                <w:sz w:val="22"/>
                <w:szCs w:val="22"/>
                <w:lang w:val="da-DK"/>
              </w:rPr>
              <w:t>Censureret</w:t>
            </w:r>
          </w:p>
        </w:tc>
        <w:tc>
          <w:tcPr>
            <w:tcW w:w="2699" w:type="dxa"/>
            <w:shd w:val="clear" w:color="auto" w:fill="auto"/>
          </w:tcPr>
          <w:p>
            <w:pPr>
              <w:widowControl w:val="0"/>
              <w:jc w:val="center"/>
              <w:rPr>
                <w:sz w:val="22"/>
                <w:szCs w:val="22"/>
                <w:lang w:val="da-DK"/>
              </w:rPr>
            </w:pPr>
            <w:r>
              <w:rPr>
                <w:sz w:val="22"/>
                <w:szCs w:val="22"/>
                <w:lang w:val="da-DK"/>
              </w:rPr>
              <w:t>358 (60,0 %)</w:t>
            </w:r>
          </w:p>
        </w:tc>
        <w:tc>
          <w:tcPr>
            <w:tcW w:w="2962" w:type="dxa"/>
            <w:shd w:val="clear" w:color="auto" w:fill="auto"/>
          </w:tcPr>
          <w:p>
            <w:pPr>
              <w:widowControl w:val="0"/>
              <w:jc w:val="center"/>
              <w:rPr>
                <w:sz w:val="22"/>
                <w:szCs w:val="22"/>
                <w:lang w:val="da-DK"/>
              </w:rPr>
            </w:pPr>
            <w:r>
              <w:rPr>
                <w:sz w:val="22"/>
                <w:szCs w:val="22"/>
                <w:lang w:val="da-DK"/>
              </w:rPr>
              <w:t>248 (41,2 %)</w:t>
            </w:r>
          </w:p>
        </w:tc>
      </w:tr>
      <w:tr>
        <w:tc>
          <w:tcPr>
            <w:tcW w:w="3402" w:type="dxa"/>
            <w:shd w:val="clear" w:color="auto" w:fill="auto"/>
          </w:tcPr>
          <w:p>
            <w:pPr>
              <w:widowControl w:val="0"/>
              <w:outlineLvl w:val="0"/>
              <w:rPr>
                <w:noProof/>
                <w:sz w:val="22"/>
                <w:szCs w:val="22"/>
                <w:lang w:val="da-DK"/>
              </w:rPr>
            </w:pPr>
            <w:r>
              <w:rPr>
                <w:sz w:val="22"/>
                <w:szCs w:val="22"/>
                <w:lang w:val="da-DK"/>
              </w:rPr>
              <w:t>Tid til hændelse (måneder)</w:t>
            </w:r>
          </w:p>
        </w:tc>
        <w:tc>
          <w:tcPr>
            <w:tcW w:w="2699" w:type="dxa"/>
            <w:shd w:val="clear" w:color="auto" w:fill="auto"/>
          </w:tcPr>
          <w:p>
            <w:pPr>
              <w:widowControl w:val="0"/>
              <w:jc w:val="center"/>
              <w:outlineLvl w:val="0"/>
              <w:rPr>
                <w:noProof/>
                <w:sz w:val="22"/>
                <w:szCs w:val="22"/>
                <w:lang w:val="da-DK"/>
              </w:rPr>
            </w:pPr>
          </w:p>
        </w:tc>
        <w:tc>
          <w:tcPr>
            <w:tcW w:w="2962" w:type="dxa"/>
            <w:shd w:val="clear" w:color="auto" w:fill="auto"/>
          </w:tcPr>
          <w:p>
            <w:pPr>
              <w:widowControl w:val="0"/>
              <w:jc w:val="center"/>
              <w:outlineLvl w:val="0"/>
              <w:rPr>
                <w:noProof/>
                <w:sz w:val="22"/>
                <w:szCs w:val="22"/>
                <w:lang w:val="da-DK"/>
              </w:rPr>
            </w:pPr>
          </w:p>
        </w:tc>
      </w:tr>
      <w:tr>
        <w:tc>
          <w:tcPr>
            <w:tcW w:w="3402" w:type="dxa"/>
            <w:shd w:val="clear" w:color="auto" w:fill="auto"/>
          </w:tcPr>
          <w:p>
            <w:pPr>
              <w:widowControl w:val="0"/>
              <w:kinsoku w:val="0"/>
              <w:overflowPunct w:val="0"/>
              <w:autoSpaceDE w:val="0"/>
              <w:autoSpaceDN w:val="0"/>
              <w:adjustRightInd w:val="0"/>
              <w:ind w:left="316" w:hanging="174"/>
              <w:rPr>
                <w:sz w:val="22"/>
                <w:szCs w:val="22"/>
                <w:lang w:val="da-DK"/>
              </w:rPr>
            </w:pPr>
            <w:r>
              <w:rPr>
                <w:sz w:val="22"/>
                <w:szCs w:val="22"/>
                <w:lang w:val="da-DK"/>
              </w:rPr>
              <w:t>Median</w:t>
            </w:r>
            <w:r>
              <w:rPr>
                <w:spacing w:val="-2"/>
                <w:sz w:val="22"/>
                <w:szCs w:val="22"/>
                <w:lang w:val="da-DK"/>
              </w:rPr>
              <w:t xml:space="preserve"> </w:t>
            </w:r>
            <w:r>
              <w:rPr>
                <w:sz w:val="22"/>
                <w:szCs w:val="22"/>
                <w:lang w:val="da-DK"/>
              </w:rPr>
              <w:t>(95</w:t>
            </w:r>
            <w:r>
              <w:rPr>
                <w:spacing w:val="-2"/>
                <w:sz w:val="22"/>
                <w:szCs w:val="22"/>
                <w:lang w:val="da-DK"/>
              </w:rPr>
              <w:t> </w:t>
            </w:r>
            <w:r>
              <w:rPr>
                <w:sz w:val="22"/>
                <w:szCs w:val="22"/>
                <w:lang w:val="da-DK"/>
              </w:rPr>
              <w:t>%</w:t>
            </w:r>
            <w:r>
              <w:rPr>
                <w:spacing w:val="-2"/>
                <w:sz w:val="22"/>
                <w:szCs w:val="22"/>
                <w:lang w:val="da-DK"/>
              </w:rPr>
              <w:t xml:space="preserve"> </w:t>
            </w:r>
            <w:r>
              <w:rPr>
                <w:sz w:val="22"/>
                <w:szCs w:val="22"/>
                <w:lang w:val="da-DK"/>
              </w:rPr>
              <w:t>KI)</w:t>
            </w:r>
          </w:p>
        </w:tc>
        <w:tc>
          <w:tcPr>
            <w:tcW w:w="2699" w:type="dxa"/>
            <w:shd w:val="clear" w:color="auto" w:fill="auto"/>
          </w:tcPr>
          <w:p>
            <w:pPr>
              <w:widowControl w:val="0"/>
              <w:jc w:val="center"/>
              <w:rPr>
                <w:sz w:val="22"/>
                <w:szCs w:val="22"/>
                <w:lang w:val="da-DK"/>
              </w:rPr>
            </w:pPr>
            <w:r>
              <w:rPr>
                <w:sz w:val="22"/>
                <w:szCs w:val="22"/>
                <w:lang w:val="da-DK"/>
              </w:rPr>
              <w:t>33.02 (29,57; NE)</w:t>
            </w:r>
          </w:p>
        </w:tc>
        <w:tc>
          <w:tcPr>
            <w:tcW w:w="2962" w:type="dxa"/>
            <w:shd w:val="clear" w:color="auto" w:fill="auto"/>
          </w:tcPr>
          <w:p>
            <w:pPr>
              <w:widowControl w:val="0"/>
              <w:jc w:val="center"/>
              <w:rPr>
                <w:sz w:val="22"/>
                <w:szCs w:val="22"/>
                <w:lang w:val="da-DK"/>
              </w:rPr>
            </w:pPr>
            <w:r>
              <w:rPr>
                <w:sz w:val="22"/>
                <w:szCs w:val="22"/>
                <w:lang w:val="da-DK"/>
              </w:rPr>
              <w:t>14,78 (14,69; 18,27)</w:t>
            </w:r>
          </w:p>
        </w:tc>
      </w:tr>
      <w:tr>
        <w:tc>
          <w:tcPr>
            <w:tcW w:w="3402" w:type="dxa"/>
            <w:shd w:val="clear" w:color="auto" w:fill="auto"/>
          </w:tcPr>
          <w:p>
            <w:pPr>
              <w:widowControl w:val="0"/>
              <w:kinsoku w:val="0"/>
              <w:overflowPunct w:val="0"/>
              <w:autoSpaceDE w:val="0"/>
              <w:autoSpaceDN w:val="0"/>
              <w:adjustRightInd w:val="0"/>
              <w:ind w:left="316" w:hanging="174"/>
              <w:rPr>
                <w:sz w:val="22"/>
                <w:szCs w:val="22"/>
                <w:lang w:val="da-DK"/>
              </w:rPr>
            </w:pPr>
            <w:r>
              <w:rPr>
                <w:sz w:val="22"/>
                <w:szCs w:val="22"/>
                <w:lang w:val="da-DK"/>
              </w:rPr>
              <w:t>Interval</w:t>
            </w:r>
          </w:p>
        </w:tc>
        <w:tc>
          <w:tcPr>
            <w:tcW w:w="2699" w:type="dxa"/>
            <w:shd w:val="clear" w:color="auto" w:fill="auto"/>
          </w:tcPr>
          <w:p>
            <w:pPr>
              <w:widowControl w:val="0"/>
              <w:jc w:val="center"/>
              <w:rPr>
                <w:sz w:val="22"/>
                <w:szCs w:val="22"/>
                <w:lang w:val="da-DK"/>
              </w:rPr>
            </w:pPr>
            <w:r>
              <w:rPr>
                <w:sz w:val="22"/>
                <w:szCs w:val="22"/>
                <w:lang w:val="da-DK"/>
              </w:rPr>
              <w:t>(0,0+; 41,0+)</w:t>
            </w:r>
          </w:p>
        </w:tc>
        <w:tc>
          <w:tcPr>
            <w:tcW w:w="2962" w:type="dxa"/>
            <w:shd w:val="clear" w:color="auto" w:fill="auto"/>
          </w:tcPr>
          <w:p>
            <w:pPr>
              <w:widowControl w:val="0"/>
              <w:jc w:val="center"/>
              <w:rPr>
                <w:sz w:val="22"/>
                <w:szCs w:val="22"/>
                <w:lang w:val="da-DK"/>
              </w:rPr>
            </w:pPr>
            <w:r>
              <w:rPr>
                <w:sz w:val="22"/>
                <w:szCs w:val="22"/>
                <w:lang w:val="da-DK"/>
              </w:rPr>
              <w:t>(0.0+, 40.6+)</w:t>
            </w:r>
          </w:p>
        </w:tc>
      </w:tr>
      <w:tr>
        <w:tc>
          <w:tcPr>
            <w:tcW w:w="3402" w:type="dxa"/>
            <w:shd w:val="clear" w:color="auto" w:fill="auto"/>
          </w:tcPr>
          <w:p>
            <w:pPr>
              <w:widowControl w:val="0"/>
              <w:kinsoku w:val="0"/>
              <w:overflowPunct w:val="0"/>
              <w:autoSpaceDE w:val="0"/>
              <w:autoSpaceDN w:val="0"/>
              <w:adjustRightInd w:val="0"/>
              <w:ind w:left="316" w:hanging="174"/>
              <w:rPr>
                <w:sz w:val="22"/>
                <w:szCs w:val="22"/>
                <w:lang w:val="da-DK"/>
              </w:rPr>
            </w:pPr>
            <w:r>
              <w:rPr>
                <w:sz w:val="22"/>
                <w:szCs w:val="22"/>
                <w:lang w:val="da-DK"/>
              </w:rPr>
              <w:t>p-værdi</w:t>
            </w:r>
            <w:r>
              <w:rPr>
                <w:sz w:val="22"/>
                <w:szCs w:val="22"/>
                <w:vertAlign w:val="superscript"/>
                <w:lang w:val="da-DK"/>
              </w:rPr>
              <w:t>a</w:t>
            </w:r>
          </w:p>
        </w:tc>
        <w:tc>
          <w:tcPr>
            <w:tcW w:w="2699" w:type="dxa"/>
            <w:shd w:val="clear" w:color="auto" w:fill="auto"/>
          </w:tcPr>
          <w:p>
            <w:pPr>
              <w:widowControl w:val="0"/>
              <w:jc w:val="center"/>
              <w:outlineLvl w:val="0"/>
              <w:rPr>
                <w:noProof/>
                <w:sz w:val="22"/>
                <w:szCs w:val="22"/>
                <w:lang w:val="da-DK"/>
              </w:rPr>
            </w:pPr>
            <w:r>
              <w:rPr>
                <w:noProof/>
                <w:sz w:val="22"/>
                <w:szCs w:val="22"/>
                <w:lang w:val="da-DK"/>
              </w:rPr>
              <w:t>&lt; 0,0001</w:t>
            </w:r>
          </w:p>
        </w:tc>
        <w:tc>
          <w:tcPr>
            <w:tcW w:w="2962" w:type="dxa"/>
            <w:shd w:val="clear" w:color="auto" w:fill="auto"/>
          </w:tcPr>
          <w:p>
            <w:pPr>
              <w:widowControl w:val="0"/>
              <w:jc w:val="center"/>
              <w:outlineLvl w:val="0"/>
              <w:rPr>
                <w:noProof/>
                <w:sz w:val="22"/>
                <w:szCs w:val="22"/>
                <w:lang w:val="da-DK"/>
              </w:rPr>
            </w:pPr>
          </w:p>
        </w:tc>
      </w:tr>
      <w:tr>
        <w:trPr>
          <w:trHeight w:val="237"/>
        </w:trPr>
        <w:tc>
          <w:tcPr>
            <w:tcW w:w="3402" w:type="dxa"/>
            <w:shd w:val="clear" w:color="auto" w:fill="auto"/>
          </w:tcPr>
          <w:p>
            <w:pPr>
              <w:widowControl w:val="0"/>
              <w:kinsoku w:val="0"/>
              <w:overflowPunct w:val="0"/>
              <w:autoSpaceDE w:val="0"/>
              <w:autoSpaceDN w:val="0"/>
              <w:adjustRightInd w:val="0"/>
              <w:rPr>
                <w:sz w:val="22"/>
                <w:szCs w:val="22"/>
                <w:vertAlign w:val="superscript"/>
                <w:lang w:val="da-DK"/>
              </w:rPr>
            </w:pPr>
            <w:r>
              <w:rPr>
                <w:i/>
                <w:iCs/>
                <w:sz w:val="22"/>
                <w:szCs w:val="22"/>
                <w:lang w:val="da-DK"/>
              </w:rPr>
              <w:t xml:space="preserve">Hazard </w:t>
            </w:r>
            <w:r>
              <w:rPr>
                <w:iCs/>
                <w:sz w:val="22"/>
                <w:szCs w:val="22"/>
                <w:lang w:val="da-DK"/>
              </w:rPr>
              <w:t>ratio</w:t>
            </w:r>
            <w:r>
              <w:rPr>
                <w:sz w:val="22"/>
                <w:szCs w:val="22"/>
                <w:lang w:val="da-DK"/>
              </w:rPr>
              <w:t xml:space="preserve"> (95 % KI)</w:t>
            </w:r>
            <w:r>
              <w:rPr>
                <w:sz w:val="22"/>
                <w:szCs w:val="22"/>
                <w:vertAlign w:val="superscript"/>
                <w:lang w:val="da-DK"/>
              </w:rPr>
              <w:t>b</w:t>
            </w:r>
          </w:p>
        </w:tc>
        <w:tc>
          <w:tcPr>
            <w:tcW w:w="2699" w:type="dxa"/>
            <w:shd w:val="clear" w:color="auto" w:fill="auto"/>
          </w:tcPr>
          <w:p>
            <w:pPr>
              <w:widowControl w:val="0"/>
              <w:jc w:val="center"/>
              <w:outlineLvl w:val="0"/>
              <w:rPr>
                <w:noProof/>
                <w:sz w:val="22"/>
                <w:szCs w:val="22"/>
                <w:lang w:val="da-DK"/>
              </w:rPr>
            </w:pPr>
            <w:r>
              <w:rPr>
                <w:noProof/>
                <w:sz w:val="22"/>
                <w:szCs w:val="22"/>
                <w:lang w:val="da-DK"/>
              </w:rPr>
              <w:t>0,466 (0,394; 0,550)</w:t>
            </w:r>
          </w:p>
        </w:tc>
        <w:tc>
          <w:tcPr>
            <w:tcW w:w="2962" w:type="dxa"/>
            <w:shd w:val="clear" w:color="auto" w:fill="auto"/>
          </w:tcPr>
          <w:p>
            <w:pPr>
              <w:widowControl w:val="0"/>
              <w:jc w:val="center"/>
              <w:outlineLvl w:val="0"/>
              <w:rPr>
                <w:noProof/>
                <w:sz w:val="22"/>
                <w:szCs w:val="22"/>
                <w:lang w:val="da-DK"/>
              </w:rPr>
            </w:pPr>
          </w:p>
        </w:tc>
      </w:tr>
    </w:tbl>
    <w:p>
      <w:pPr>
        <w:pStyle w:val="BodyText"/>
        <w:tabs>
          <w:tab w:val="left" w:pos="8505"/>
        </w:tabs>
        <w:ind w:right="140"/>
        <w:rPr>
          <w:b/>
          <w:sz w:val="4"/>
          <w:lang w:val="da-DK"/>
        </w:rPr>
      </w:pPr>
    </w:p>
    <w:p>
      <w:pPr>
        <w:pStyle w:val="BodyText"/>
        <w:tabs>
          <w:tab w:val="left" w:pos="8505"/>
        </w:tabs>
        <w:ind w:right="140"/>
        <w:rPr>
          <w:sz w:val="2"/>
          <w:lang w:val="da-DK"/>
        </w:rPr>
      </w:pPr>
    </w:p>
    <w:p>
      <w:pPr>
        <w:widowControl w:val="0"/>
        <w:tabs>
          <w:tab w:val="left" w:pos="8505"/>
        </w:tabs>
        <w:ind w:right="140"/>
        <w:rPr>
          <w:sz w:val="18"/>
          <w:lang w:val="da-DK"/>
        </w:rPr>
      </w:pPr>
      <w:r>
        <w:rPr>
          <w:sz w:val="18"/>
          <w:lang w:val="da-DK"/>
        </w:rPr>
        <w:t>Note: += Censureret observation, NE= ikke estimerbar. Der er taget højde for den radiografiske progression og dødsfald i definitionen</w:t>
      </w:r>
      <w:r>
        <w:rPr>
          <w:spacing w:val="-1"/>
          <w:sz w:val="18"/>
          <w:lang w:val="da-DK"/>
        </w:rPr>
        <w:t xml:space="preserve"> </w:t>
      </w:r>
      <w:r>
        <w:rPr>
          <w:sz w:val="18"/>
          <w:lang w:val="da-DK"/>
        </w:rPr>
        <w:t>af rPFS-hændelsen.</w:t>
      </w:r>
      <w:r>
        <w:rPr>
          <w:spacing w:val="-1"/>
          <w:sz w:val="18"/>
          <w:lang w:val="da-DK"/>
        </w:rPr>
        <w:t xml:space="preserve"> </w:t>
      </w:r>
      <w:r>
        <w:rPr>
          <w:sz w:val="18"/>
          <w:lang w:val="da-DK"/>
        </w:rPr>
        <w:t>AA-P=forsøgspersoner, der</w:t>
      </w:r>
      <w:r>
        <w:rPr>
          <w:spacing w:val="-1"/>
          <w:sz w:val="18"/>
          <w:lang w:val="da-DK"/>
        </w:rPr>
        <w:t xml:space="preserve"> </w:t>
      </w:r>
      <w:r>
        <w:rPr>
          <w:sz w:val="18"/>
          <w:lang w:val="da-DK"/>
        </w:rPr>
        <w:t>fik abirateronacetat og</w:t>
      </w:r>
      <w:r>
        <w:rPr>
          <w:spacing w:val="-1"/>
          <w:sz w:val="18"/>
          <w:lang w:val="da-DK"/>
        </w:rPr>
        <w:t xml:space="preserve"> </w:t>
      </w:r>
      <w:r>
        <w:rPr>
          <w:sz w:val="18"/>
          <w:lang w:val="da-DK"/>
        </w:rPr>
        <w:t>prednison.</w:t>
      </w:r>
    </w:p>
    <w:p>
      <w:pPr>
        <w:pStyle w:val="ListParagraph"/>
        <w:widowControl w:val="0"/>
        <w:numPr>
          <w:ilvl w:val="0"/>
          <w:numId w:val="10"/>
        </w:numPr>
        <w:tabs>
          <w:tab w:val="left" w:pos="906"/>
          <w:tab w:val="left" w:pos="907"/>
          <w:tab w:val="left" w:pos="8505"/>
        </w:tabs>
        <w:autoSpaceDE w:val="0"/>
        <w:autoSpaceDN w:val="0"/>
        <w:ind w:left="142" w:right="140" w:hanging="142"/>
        <w:contextualSpacing w:val="0"/>
        <w:rPr>
          <w:sz w:val="18"/>
          <w:lang w:val="da-DK"/>
        </w:rPr>
      </w:pPr>
      <w:r>
        <w:rPr>
          <w:sz w:val="18"/>
          <w:lang w:val="da-DK"/>
        </w:rPr>
        <w:t>p-værdien</w:t>
      </w:r>
      <w:r>
        <w:rPr>
          <w:spacing w:val="-2"/>
          <w:sz w:val="18"/>
          <w:lang w:val="da-DK"/>
        </w:rPr>
        <w:t xml:space="preserve"> </w:t>
      </w:r>
      <w:r>
        <w:rPr>
          <w:sz w:val="18"/>
          <w:lang w:val="da-DK"/>
        </w:rPr>
        <w:t>er</w:t>
      </w:r>
      <w:r>
        <w:rPr>
          <w:spacing w:val="-1"/>
          <w:sz w:val="18"/>
          <w:lang w:val="da-DK"/>
        </w:rPr>
        <w:t xml:space="preserve"> </w:t>
      </w:r>
      <w:r>
        <w:rPr>
          <w:sz w:val="18"/>
          <w:lang w:val="da-DK"/>
        </w:rPr>
        <w:t>fra</w:t>
      </w:r>
      <w:r>
        <w:rPr>
          <w:spacing w:val="-2"/>
          <w:sz w:val="18"/>
          <w:lang w:val="da-DK"/>
        </w:rPr>
        <w:t xml:space="preserve"> </w:t>
      </w:r>
      <w:r>
        <w:rPr>
          <w:sz w:val="18"/>
          <w:lang w:val="da-DK"/>
        </w:rPr>
        <w:t>en</w:t>
      </w:r>
      <w:r>
        <w:rPr>
          <w:spacing w:val="-1"/>
          <w:sz w:val="18"/>
          <w:lang w:val="da-DK"/>
        </w:rPr>
        <w:t xml:space="preserve"> </w:t>
      </w:r>
      <w:r>
        <w:rPr>
          <w:sz w:val="18"/>
          <w:lang w:val="da-DK"/>
        </w:rPr>
        <w:t>log-rank-test</w:t>
      </w:r>
      <w:r>
        <w:rPr>
          <w:spacing w:val="-1"/>
          <w:sz w:val="18"/>
          <w:lang w:val="da-DK"/>
        </w:rPr>
        <w:t xml:space="preserve"> </w:t>
      </w:r>
      <w:r>
        <w:rPr>
          <w:sz w:val="18"/>
          <w:lang w:val="da-DK"/>
        </w:rPr>
        <w:t>stratificeret</w:t>
      </w:r>
      <w:r>
        <w:rPr>
          <w:spacing w:val="-3"/>
          <w:sz w:val="18"/>
          <w:lang w:val="da-DK"/>
        </w:rPr>
        <w:t xml:space="preserve"> </w:t>
      </w:r>
      <w:r>
        <w:rPr>
          <w:sz w:val="18"/>
          <w:lang w:val="da-DK"/>
        </w:rPr>
        <w:t>ud</w:t>
      </w:r>
      <w:r>
        <w:rPr>
          <w:spacing w:val="-1"/>
          <w:sz w:val="18"/>
          <w:lang w:val="da-DK"/>
        </w:rPr>
        <w:t xml:space="preserve"> </w:t>
      </w:r>
      <w:r>
        <w:rPr>
          <w:sz w:val="18"/>
          <w:lang w:val="da-DK"/>
        </w:rPr>
        <w:t>fra</w:t>
      </w:r>
      <w:r>
        <w:rPr>
          <w:spacing w:val="-1"/>
          <w:sz w:val="18"/>
          <w:lang w:val="da-DK"/>
        </w:rPr>
        <w:t xml:space="preserve"> </w:t>
      </w:r>
      <w:r>
        <w:rPr>
          <w:sz w:val="18"/>
          <w:lang w:val="da-DK"/>
        </w:rPr>
        <w:t>ECOG</w:t>
      </w:r>
      <w:r>
        <w:rPr>
          <w:spacing w:val="-2"/>
          <w:sz w:val="18"/>
          <w:lang w:val="da-DK"/>
        </w:rPr>
        <w:t xml:space="preserve"> </w:t>
      </w:r>
      <w:r>
        <w:rPr>
          <w:sz w:val="18"/>
          <w:lang w:val="da-DK"/>
        </w:rPr>
        <w:t>PS-score</w:t>
      </w:r>
      <w:r>
        <w:rPr>
          <w:spacing w:val="-2"/>
          <w:sz w:val="18"/>
          <w:lang w:val="da-DK"/>
        </w:rPr>
        <w:t xml:space="preserve"> </w:t>
      </w:r>
      <w:r>
        <w:rPr>
          <w:sz w:val="18"/>
          <w:lang w:val="da-DK"/>
        </w:rPr>
        <w:t>(0/1</w:t>
      </w:r>
      <w:r>
        <w:rPr>
          <w:spacing w:val="-2"/>
          <w:sz w:val="18"/>
          <w:lang w:val="da-DK"/>
        </w:rPr>
        <w:t xml:space="preserve"> </w:t>
      </w:r>
      <w:r>
        <w:rPr>
          <w:sz w:val="18"/>
          <w:lang w:val="da-DK"/>
        </w:rPr>
        <w:t>eller</w:t>
      </w:r>
      <w:r>
        <w:rPr>
          <w:spacing w:val="-2"/>
          <w:sz w:val="18"/>
          <w:lang w:val="da-DK"/>
        </w:rPr>
        <w:t xml:space="preserve"> </w:t>
      </w:r>
      <w:r>
        <w:rPr>
          <w:sz w:val="18"/>
          <w:lang w:val="da-DK"/>
        </w:rPr>
        <w:t>2)</w:t>
      </w:r>
      <w:r>
        <w:rPr>
          <w:spacing w:val="-2"/>
          <w:sz w:val="18"/>
          <w:lang w:val="da-DK"/>
        </w:rPr>
        <w:t xml:space="preserve"> </w:t>
      </w:r>
      <w:r>
        <w:rPr>
          <w:sz w:val="18"/>
          <w:lang w:val="da-DK"/>
        </w:rPr>
        <w:t>og</w:t>
      </w:r>
      <w:r>
        <w:rPr>
          <w:spacing w:val="-3"/>
          <w:sz w:val="18"/>
          <w:lang w:val="da-DK"/>
        </w:rPr>
        <w:t xml:space="preserve"> </w:t>
      </w:r>
      <w:r>
        <w:rPr>
          <w:sz w:val="18"/>
          <w:lang w:val="da-DK"/>
        </w:rPr>
        <w:t>visceral</w:t>
      </w:r>
      <w:r>
        <w:rPr>
          <w:spacing w:val="-1"/>
          <w:sz w:val="18"/>
          <w:lang w:val="da-DK"/>
        </w:rPr>
        <w:t xml:space="preserve"> </w:t>
      </w:r>
      <w:r>
        <w:rPr>
          <w:sz w:val="18"/>
          <w:lang w:val="da-DK"/>
        </w:rPr>
        <w:t>læsion</w:t>
      </w:r>
      <w:r>
        <w:rPr>
          <w:spacing w:val="-1"/>
          <w:sz w:val="18"/>
          <w:lang w:val="da-DK"/>
        </w:rPr>
        <w:t xml:space="preserve"> </w:t>
      </w:r>
      <w:r>
        <w:rPr>
          <w:sz w:val="18"/>
          <w:lang w:val="da-DK"/>
        </w:rPr>
        <w:t>(ja</w:t>
      </w:r>
      <w:r>
        <w:rPr>
          <w:spacing w:val="-2"/>
          <w:sz w:val="18"/>
          <w:lang w:val="da-DK"/>
        </w:rPr>
        <w:t xml:space="preserve"> </w:t>
      </w:r>
      <w:r>
        <w:rPr>
          <w:sz w:val="18"/>
          <w:lang w:val="da-DK"/>
        </w:rPr>
        <w:t>eller</w:t>
      </w:r>
      <w:r>
        <w:rPr>
          <w:spacing w:val="-1"/>
          <w:sz w:val="18"/>
          <w:lang w:val="da-DK"/>
        </w:rPr>
        <w:t xml:space="preserve"> </w:t>
      </w:r>
      <w:r>
        <w:rPr>
          <w:sz w:val="18"/>
          <w:lang w:val="da-DK"/>
        </w:rPr>
        <w:t>nej).</w:t>
      </w:r>
    </w:p>
    <w:p>
      <w:pPr>
        <w:pStyle w:val="ListParagraph"/>
        <w:widowControl w:val="0"/>
        <w:numPr>
          <w:ilvl w:val="0"/>
          <w:numId w:val="10"/>
        </w:numPr>
        <w:ind w:left="142" w:hanging="142"/>
        <w:contextualSpacing w:val="0"/>
        <w:rPr>
          <w:sz w:val="18"/>
          <w:lang w:val="da-DK"/>
        </w:rPr>
      </w:pPr>
      <w:r>
        <w:rPr>
          <w:i/>
          <w:sz w:val="18"/>
          <w:lang w:val="da-DK"/>
        </w:rPr>
        <w:t>Hazard</w:t>
      </w:r>
      <w:r>
        <w:rPr>
          <w:i/>
          <w:spacing w:val="-3"/>
          <w:sz w:val="18"/>
          <w:lang w:val="da-DK"/>
        </w:rPr>
        <w:t xml:space="preserve"> </w:t>
      </w:r>
      <w:r>
        <w:rPr>
          <w:sz w:val="18"/>
          <w:lang w:val="da-DK"/>
        </w:rPr>
        <w:t>ratio</w:t>
      </w:r>
      <w:r>
        <w:rPr>
          <w:i/>
          <w:spacing w:val="-3"/>
          <w:sz w:val="18"/>
          <w:lang w:val="da-DK"/>
        </w:rPr>
        <w:t xml:space="preserve"> </w:t>
      </w:r>
      <w:r>
        <w:rPr>
          <w:sz w:val="18"/>
          <w:lang w:val="da-DK"/>
        </w:rPr>
        <w:t>er</w:t>
      </w:r>
      <w:r>
        <w:rPr>
          <w:spacing w:val="-3"/>
          <w:sz w:val="18"/>
          <w:lang w:val="da-DK"/>
        </w:rPr>
        <w:t xml:space="preserve"> </w:t>
      </w:r>
      <w:r>
        <w:rPr>
          <w:sz w:val="18"/>
          <w:lang w:val="da-DK"/>
        </w:rPr>
        <w:t>fra</w:t>
      </w:r>
      <w:r>
        <w:rPr>
          <w:spacing w:val="-3"/>
          <w:sz w:val="18"/>
          <w:lang w:val="da-DK"/>
        </w:rPr>
        <w:t xml:space="preserve"> </w:t>
      </w:r>
      <w:r>
        <w:rPr>
          <w:sz w:val="18"/>
          <w:lang w:val="da-DK"/>
        </w:rPr>
        <w:t>en</w:t>
      </w:r>
      <w:r>
        <w:rPr>
          <w:spacing w:val="-3"/>
          <w:sz w:val="18"/>
          <w:lang w:val="da-DK"/>
        </w:rPr>
        <w:t xml:space="preserve"> </w:t>
      </w:r>
      <w:r>
        <w:rPr>
          <w:sz w:val="18"/>
          <w:lang w:val="da-DK"/>
        </w:rPr>
        <w:t>stratificeret</w:t>
      </w:r>
      <w:r>
        <w:rPr>
          <w:spacing w:val="-2"/>
          <w:sz w:val="18"/>
          <w:lang w:val="da-DK"/>
        </w:rPr>
        <w:t xml:space="preserve"> </w:t>
      </w:r>
      <w:r>
        <w:rPr>
          <w:i/>
          <w:sz w:val="18"/>
          <w:lang w:val="da-DK"/>
        </w:rPr>
        <w:t>proportional</w:t>
      </w:r>
      <w:r>
        <w:rPr>
          <w:i/>
          <w:spacing w:val="-2"/>
          <w:sz w:val="18"/>
          <w:lang w:val="da-DK"/>
        </w:rPr>
        <w:t xml:space="preserve"> </w:t>
      </w:r>
      <w:r>
        <w:rPr>
          <w:i/>
          <w:sz w:val="18"/>
          <w:lang w:val="da-DK"/>
        </w:rPr>
        <w:t>hazards-</w:t>
      </w:r>
      <w:r>
        <w:rPr>
          <w:sz w:val="18"/>
          <w:lang w:val="da-DK"/>
        </w:rPr>
        <w:t>model.</w:t>
      </w:r>
      <w:r>
        <w:rPr>
          <w:spacing w:val="-2"/>
          <w:sz w:val="18"/>
          <w:lang w:val="da-DK"/>
        </w:rPr>
        <w:t xml:space="preserve"> </w:t>
      </w:r>
      <w:r>
        <w:rPr>
          <w:i/>
          <w:sz w:val="18"/>
          <w:lang w:val="da-DK"/>
        </w:rPr>
        <w:t>Hazard</w:t>
      </w:r>
      <w:r>
        <w:rPr>
          <w:i/>
          <w:spacing w:val="-3"/>
          <w:sz w:val="18"/>
          <w:lang w:val="da-DK"/>
        </w:rPr>
        <w:t xml:space="preserve"> </w:t>
      </w:r>
      <w:r>
        <w:rPr>
          <w:sz w:val="18"/>
          <w:lang w:val="da-DK"/>
        </w:rPr>
        <w:t>ratio</w:t>
      </w:r>
      <w:r>
        <w:rPr>
          <w:i/>
          <w:sz w:val="18"/>
          <w:lang w:val="da-DK"/>
        </w:rPr>
        <w:t xml:space="preserve"> </w:t>
      </w:r>
      <w:r>
        <w:rPr>
          <w:sz w:val="18"/>
          <w:lang w:val="da-DK"/>
        </w:rPr>
        <w:t>&lt;</w:t>
      </w:r>
      <w:r>
        <w:rPr>
          <w:spacing w:val="-5"/>
          <w:sz w:val="18"/>
          <w:lang w:val="da-DK"/>
        </w:rPr>
        <w:t> </w:t>
      </w:r>
      <w:r>
        <w:rPr>
          <w:sz w:val="18"/>
          <w:lang w:val="da-DK"/>
        </w:rPr>
        <w:t>1</w:t>
      </w:r>
      <w:r>
        <w:rPr>
          <w:spacing w:val="-3"/>
          <w:sz w:val="18"/>
          <w:lang w:val="da-DK"/>
        </w:rPr>
        <w:t xml:space="preserve"> </w:t>
      </w:r>
      <w:r>
        <w:rPr>
          <w:sz w:val="18"/>
          <w:lang w:val="da-DK"/>
        </w:rPr>
        <w:t>indikerer</w:t>
      </w:r>
      <w:r>
        <w:rPr>
          <w:spacing w:val="-2"/>
          <w:sz w:val="18"/>
          <w:lang w:val="da-DK"/>
        </w:rPr>
        <w:t xml:space="preserve"> </w:t>
      </w:r>
      <w:r>
        <w:rPr>
          <w:sz w:val="18"/>
          <w:lang w:val="da-DK"/>
        </w:rPr>
        <w:t>en</w:t>
      </w:r>
      <w:r>
        <w:rPr>
          <w:spacing w:val="-2"/>
          <w:sz w:val="18"/>
          <w:lang w:val="da-DK"/>
        </w:rPr>
        <w:t xml:space="preserve"> </w:t>
      </w:r>
      <w:r>
        <w:rPr>
          <w:sz w:val="18"/>
          <w:lang w:val="da-DK"/>
        </w:rPr>
        <w:t>fordel</w:t>
      </w:r>
      <w:r>
        <w:rPr>
          <w:spacing w:val="-3"/>
          <w:sz w:val="18"/>
          <w:lang w:val="da-DK"/>
        </w:rPr>
        <w:t xml:space="preserve"> </w:t>
      </w:r>
      <w:r>
        <w:rPr>
          <w:sz w:val="18"/>
          <w:lang w:val="da-DK"/>
        </w:rPr>
        <w:t>for</w:t>
      </w:r>
      <w:r>
        <w:rPr>
          <w:spacing w:val="-3"/>
          <w:sz w:val="18"/>
          <w:lang w:val="da-DK"/>
        </w:rPr>
        <w:t xml:space="preserve"> </w:t>
      </w:r>
      <w:r>
        <w:rPr>
          <w:sz w:val="18"/>
          <w:lang w:val="da-DK"/>
        </w:rPr>
        <w:t>AA-P</w:t>
      </w:r>
    </w:p>
    <w:p>
      <w:pPr>
        <w:widowControl w:val="0"/>
        <w:rPr>
          <w:sz w:val="22"/>
          <w:szCs w:val="22"/>
          <w:lang w:val="da-DK"/>
        </w:rPr>
      </w:pPr>
    </w:p>
    <w:p>
      <w:pPr>
        <w:widowControl w:val="0"/>
        <w:rPr>
          <w:sz w:val="22"/>
          <w:szCs w:val="22"/>
          <w:lang w:val="da-DK"/>
        </w:rPr>
      </w:pPr>
      <w:r>
        <w:rPr>
          <w:b/>
          <w:bCs/>
          <w:sz w:val="22"/>
          <w:szCs w:val="22"/>
          <w:lang w:val="da-DK"/>
        </w:rPr>
        <w:t xml:space="preserve">Figur 1: Kaplan-Meier-afbildning af radiografisk progressionsfri overlevelse; </w:t>
      </w:r>
      <w:r>
        <w:rPr>
          <w:b/>
          <w:bCs/>
          <w:i/>
          <w:iCs/>
          <w:sz w:val="22"/>
          <w:szCs w:val="22"/>
          <w:lang w:val="da-DK"/>
        </w:rPr>
        <w:t>intent-to-treat-</w:t>
      </w:r>
      <w:r>
        <w:rPr>
          <w:b/>
          <w:bCs/>
          <w:sz w:val="22"/>
          <w:szCs w:val="22"/>
          <w:lang w:val="da-DK"/>
        </w:rPr>
        <w:t>population (studie PCR3011).</w:t>
      </w:r>
    </w:p>
    <w:p>
      <w:pPr>
        <w:widowControl w:val="0"/>
        <w:rPr>
          <w:sz w:val="22"/>
          <w:szCs w:val="22"/>
          <w:lang w:val="da-DK"/>
        </w:rPr>
      </w:pPr>
      <w:r>
        <w:rPr>
          <w:noProof/>
          <w:sz w:val="22"/>
          <w:szCs w:val="22"/>
          <w:lang w:val="sl-SI" w:eastAsia="sl-SI"/>
        </w:rPr>
        <w:drawing>
          <wp:inline distT="0" distB="0" distL="0" distR="0">
            <wp:extent cx="5759450" cy="3879850"/>
            <wp:effectExtent l="0" t="0" r="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879850"/>
                    </a:xfrm>
                    <a:prstGeom prst="rect">
                      <a:avLst/>
                    </a:prstGeom>
                    <a:noFill/>
                    <a:ln>
                      <a:noFill/>
                    </a:ln>
                  </pic:spPr>
                </pic:pic>
              </a:graphicData>
            </a:graphic>
          </wp:inline>
        </w:drawing>
      </w:r>
    </w:p>
    <w:p>
      <w:pPr>
        <w:widowControl w:val="0"/>
        <w:rPr>
          <w:sz w:val="22"/>
          <w:szCs w:val="22"/>
          <w:lang w:val="da-DK"/>
        </w:rPr>
      </w:pPr>
    </w:p>
    <w:p>
      <w:pPr>
        <w:widowControl w:val="0"/>
        <w:rPr>
          <w:sz w:val="22"/>
          <w:szCs w:val="22"/>
          <w:lang w:val="da-DK"/>
        </w:rPr>
      </w:pPr>
      <w:r>
        <w:rPr>
          <w:sz w:val="22"/>
          <w:szCs w:val="22"/>
          <w:lang w:val="da-DK"/>
        </w:rPr>
        <w:t>Der observeredes en statistisk signifikant forbedring i OS til fordel for AA-P plus ADT med en 34 % reduktion i risiko for død sammenlignet med placebo plus ADT (HR = 0,66; 95 % KI: 0,56: 0,78;</w:t>
      </w:r>
    </w:p>
    <w:p>
      <w:pPr>
        <w:widowControl w:val="0"/>
        <w:rPr>
          <w:sz w:val="22"/>
          <w:szCs w:val="22"/>
          <w:lang w:val="nb-NO"/>
        </w:rPr>
      </w:pPr>
      <w:r>
        <w:rPr>
          <w:sz w:val="22"/>
          <w:szCs w:val="22"/>
          <w:lang w:val="nb-NO"/>
        </w:rPr>
        <w:t>p &lt; 0,0001) (se tabel 3 og figur 2).</w:t>
      </w:r>
    </w:p>
    <w:p>
      <w:pPr>
        <w:widowControl w:val="0"/>
        <w:rPr>
          <w:b/>
          <w:sz w:val="22"/>
          <w:szCs w:val="22"/>
          <w:lang w:val="nb-NO"/>
        </w:rPr>
      </w:pPr>
    </w:p>
    <w:p>
      <w:pPr>
        <w:widowControl w:val="0"/>
        <w:rPr>
          <w:b/>
          <w:sz w:val="22"/>
          <w:szCs w:val="22"/>
          <w:lang w:val="da-DK"/>
        </w:rPr>
      </w:pPr>
      <w:r>
        <w:rPr>
          <w:b/>
          <w:sz w:val="22"/>
          <w:szCs w:val="22"/>
          <w:lang w:val="da-DK"/>
        </w:rPr>
        <w:t>Tabel 3: Samlet overlevelse for patienter behandlet med enten abirateronacetat eller placebo i studie PCR3011 (intent-to-treat analysis).</w:t>
      </w:r>
    </w:p>
    <w:tbl>
      <w:tblPr>
        <w:tblStyle w:val="TableGrid"/>
        <w:tblW w:w="0" w:type="auto"/>
        <w:tblLook w:val="04A0" w:firstRow="1" w:lastRow="0" w:firstColumn="1" w:lastColumn="0" w:noHBand="0" w:noVBand="1"/>
      </w:tblPr>
      <w:tblGrid>
        <w:gridCol w:w="3681"/>
        <w:gridCol w:w="2693"/>
        <w:gridCol w:w="2687"/>
      </w:tblGrid>
      <w:tr>
        <w:tc>
          <w:tcPr>
            <w:tcW w:w="3681" w:type="dxa"/>
          </w:tcPr>
          <w:p>
            <w:pPr>
              <w:widowControl w:val="0"/>
              <w:rPr>
                <w:b/>
                <w:sz w:val="22"/>
                <w:szCs w:val="22"/>
              </w:rPr>
            </w:pPr>
            <w:r>
              <w:rPr>
                <w:b/>
                <w:sz w:val="22"/>
                <w:szCs w:val="22"/>
              </w:rPr>
              <w:t>Samlet overlevelse</w:t>
            </w:r>
          </w:p>
        </w:tc>
        <w:tc>
          <w:tcPr>
            <w:tcW w:w="2693" w:type="dxa"/>
          </w:tcPr>
          <w:p>
            <w:pPr>
              <w:widowControl w:val="0"/>
              <w:jc w:val="center"/>
              <w:rPr>
                <w:b/>
                <w:sz w:val="22"/>
                <w:szCs w:val="22"/>
              </w:rPr>
            </w:pPr>
            <w:r>
              <w:rPr>
                <w:b/>
                <w:sz w:val="22"/>
                <w:szCs w:val="22"/>
              </w:rPr>
              <w:t>Abirateronacetat med prednison (n=597)</w:t>
            </w:r>
          </w:p>
        </w:tc>
        <w:tc>
          <w:tcPr>
            <w:tcW w:w="2687" w:type="dxa"/>
          </w:tcPr>
          <w:p>
            <w:pPr>
              <w:widowControl w:val="0"/>
              <w:jc w:val="center"/>
              <w:rPr>
                <w:b/>
                <w:sz w:val="22"/>
                <w:szCs w:val="22"/>
              </w:rPr>
            </w:pPr>
            <w:r>
              <w:rPr>
                <w:b/>
                <w:sz w:val="22"/>
                <w:szCs w:val="22"/>
              </w:rPr>
              <w:t>Placebo (n = 602)</w:t>
            </w:r>
          </w:p>
        </w:tc>
      </w:tr>
      <w:tr>
        <w:tc>
          <w:tcPr>
            <w:tcW w:w="3681" w:type="dxa"/>
          </w:tcPr>
          <w:p>
            <w:pPr>
              <w:widowControl w:val="0"/>
              <w:rPr>
                <w:sz w:val="22"/>
                <w:szCs w:val="22"/>
              </w:rPr>
            </w:pPr>
            <w:r>
              <w:rPr>
                <w:sz w:val="22"/>
                <w:szCs w:val="22"/>
              </w:rPr>
              <w:t>Dødsfald (%)</w:t>
            </w:r>
          </w:p>
        </w:tc>
        <w:tc>
          <w:tcPr>
            <w:tcW w:w="2693" w:type="dxa"/>
          </w:tcPr>
          <w:p>
            <w:pPr>
              <w:widowControl w:val="0"/>
              <w:jc w:val="center"/>
              <w:rPr>
                <w:sz w:val="22"/>
                <w:szCs w:val="22"/>
              </w:rPr>
            </w:pPr>
            <w:r>
              <w:rPr>
                <w:sz w:val="22"/>
                <w:szCs w:val="22"/>
              </w:rPr>
              <w:t>275 (46 %)</w:t>
            </w:r>
          </w:p>
        </w:tc>
        <w:tc>
          <w:tcPr>
            <w:tcW w:w="2687" w:type="dxa"/>
          </w:tcPr>
          <w:p>
            <w:pPr>
              <w:widowControl w:val="0"/>
              <w:jc w:val="center"/>
              <w:rPr>
                <w:sz w:val="22"/>
                <w:szCs w:val="22"/>
              </w:rPr>
            </w:pPr>
            <w:r>
              <w:rPr>
                <w:sz w:val="22"/>
                <w:szCs w:val="22"/>
              </w:rPr>
              <w:t>343 (57 %)</w:t>
            </w:r>
          </w:p>
        </w:tc>
      </w:tr>
      <w:tr>
        <w:tc>
          <w:tcPr>
            <w:tcW w:w="3681" w:type="dxa"/>
          </w:tcPr>
          <w:p>
            <w:pPr>
              <w:widowControl w:val="0"/>
              <w:rPr>
                <w:sz w:val="22"/>
                <w:szCs w:val="22"/>
              </w:rPr>
            </w:pPr>
            <w:r>
              <w:rPr>
                <w:sz w:val="22"/>
                <w:szCs w:val="22"/>
              </w:rPr>
              <w:t>Median overlevelse (måneder)</w:t>
            </w:r>
          </w:p>
        </w:tc>
        <w:tc>
          <w:tcPr>
            <w:tcW w:w="2693" w:type="dxa"/>
          </w:tcPr>
          <w:p>
            <w:pPr>
              <w:widowControl w:val="0"/>
              <w:jc w:val="center"/>
              <w:rPr>
                <w:sz w:val="22"/>
                <w:szCs w:val="22"/>
              </w:rPr>
            </w:pPr>
            <w:r>
              <w:rPr>
                <w:sz w:val="22"/>
                <w:szCs w:val="22"/>
              </w:rPr>
              <w:t>53,3</w:t>
            </w:r>
          </w:p>
        </w:tc>
        <w:tc>
          <w:tcPr>
            <w:tcW w:w="2687" w:type="dxa"/>
          </w:tcPr>
          <w:p>
            <w:pPr>
              <w:widowControl w:val="0"/>
              <w:jc w:val="center"/>
              <w:rPr>
                <w:sz w:val="22"/>
                <w:szCs w:val="22"/>
              </w:rPr>
            </w:pPr>
            <w:r>
              <w:rPr>
                <w:sz w:val="22"/>
                <w:szCs w:val="22"/>
              </w:rPr>
              <w:t>36,5</w:t>
            </w:r>
          </w:p>
        </w:tc>
      </w:tr>
      <w:tr>
        <w:tc>
          <w:tcPr>
            <w:tcW w:w="3681" w:type="dxa"/>
            <w:tcBorders>
              <w:bottom w:val="single" w:sz="4" w:space="0" w:color="auto"/>
            </w:tcBorders>
          </w:tcPr>
          <w:p>
            <w:pPr>
              <w:widowControl w:val="0"/>
              <w:rPr>
                <w:sz w:val="22"/>
                <w:szCs w:val="22"/>
              </w:rPr>
            </w:pPr>
            <w:r>
              <w:rPr>
                <w:sz w:val="22"/>
                <w:szCs w:val="22"/>
              </w:rPr>
              <w:t>(95 % CI)</w:t>
            </w:r>
          </w:p>
        </w:tc>
        <w:tc>
          <w:tcPr>
            <w:tcW w:w="2693" w:type="dxa"/>
            <w:tcBorders>
              <w:bottom w:val="single" w:sz="4" w:space="0" w:color="auto"/>
            </w:tcBorders>
          </w:tcPr>
          <w:p>
            <w:pPr>
              <w:widowControl w:val="0"/>
              <w:jc w:val="center"/>
              <w:rPr>
                <w:sz w:val="22"/>
                <w:szCs w:val="22"/>
              </w:rPr>
            </w:pPr>
            <w:r>
              <w:rPr>
                <w:sz w:val="22"/>
                <w:szCs w:val="22"/>
              </w:rPr>
              <w:t>(48,2, NE)</w:t>
            </w:r>
          </w:p>
        </w:tc>
        <w:tc>
          <w:tcPr>
            <w:tcW w:w="2687" w:type="dxa"/>
            <w:tcBorders>
              <w:bottom w:val="single" w:sz="4" w:space="0" w:color="auto"/>
            </w:tcBorders>
          </w:tcPr>
          <w:p>
            <w:pPr>
              <w:widowControl w:val="0"/>
              <w:jc w:val="center"/>
              <w:rPr>
                <w:sz w:val="22"/>
                <w:szCs w:val="22"/>
              </w:rPr>
            </w:pPr>
            <w:r>
              <w:rPr>
                <w:sz w:val="22"/>
                <w:szCs w:val="22"/>
              </w:rPr>
              <w:t>(33,5, 40,0)</w:t>
            </w:r>
          </w:p>
        </w:tc>
      </w:tr>
      <w:tr>
        <w:tc>
          <w:tcPr>
            <w:tcW w:w="3681" w:type="dxa"/>
            <w:tcBorders>
              <w:top w:val="single" w:sz="4" w:space="0" w:color="auto"/>
              <w:left w:val="single" w:sz="4" w:space="0" w:color="auto"/>
              <w:bottom w:val="single" w:sz="4" w:space="0" w:color="auto"/>
              <w:right w:val="single" w:sz="4" w:space="0" w:color="auto"/>
            </w:tcBorders>
          </w:tcPr>
          <w:p>
            <w:pPr>
              <w:widowControl w:val="0"/>
              <w:rPr>
                <w:sz w:val="22"/>
                <w:szCs w:val="22"/>
              </w:rPr>
            </w:pPr>
            <w:r>
              <w:rPr>
                <w:i/>
                <w:sz w:val="22"/>
                <w:szCs w:val="22"/>
              </w:rPr>
              <w:t xml:space="preserve">Hazard </w:t>
            </w:r>
            <w:r>
              <w:rPr>
                <w:sz w:val="22"/>
                <w:szCs w:val="22"/>
              </w:rPr>
              <w:t>ratio (95 % KI)</w:t>
            </w:r>
            <w:r>
              <w:rPr>
                <w:sz w:val="22"/>
                <w:szCs w:val="22"/>
                <w:vertAlign w:val="superscript"/>
              </w:rPr>
              <w:t>1</w:t>
            </w:r>
          </w:p>
        </w:tc>
        <w:tc>
          <w:tcPr>
            <w:tcW w:w="5380" w:type="dxa"/>
            <w:gridSpan w:val="2"/>
            <w:tcBorders>
              <w:top w:val="single" w:sz="4" w:space="0" w:color="auto"/>
              <w:left w:val="single" w:sz="4" w:space="0" w:color="auto"/>
              <w:bottom w:val="single" w:sz="4" w:space="0" w:color="auto"/>
              <w:right w:val="single" w:sz="4" w:space="0" w:color="auto"/>
            </w:tcBorders>
          </w:tcPr>
          <w:p>
            <w:pPr>
              <w:widowControl w:val="0"/>
              <w:jc w:val="center"/>
              <w:rPr>
                <w:sz w:val="22"/>
                <w:szCs w:val="22"/>
              </w:rPr>
            </w:pPr>
            <w:r>
              <w:rPr>
                <w:sz w:val="22"/>
                <w:szCs w:val="22"/>
              </w:rPr>
              <w:t>0,66 (0,56, 0,78)</w:t>
            </w:r>
          </w:p>
        </w:tc>
      </w:tr>
    </w:tbl>
    <w:p>
      <w:pPr>
        <w:widowControl w:val="0"/>
        <w:tabs>
          <w:tab w:val="left" w:pos="8505"/>
          <w:tab w:val="left" w:pos="9781"/>
        </w:tabs>
        <w:ind w:right="831"/>
        <w:rPr>
          <w:sz w:val="18"/>
          <w:lang w:val="da-DK"/>
        </w:rPr>
      </w:pPr>
      <w:r>
        <w:rPr>
          <w:sz w:val="18"/>
          <w:lang w:val="da-DK"/>
        </w:rPr>
        <w:t>NE=ikke</w:t>
      </w:r>
      <w:r>
        <w:rPr>
          <w:spacing w:val="-2"/>
          <w:sz w:val="18"/>
          <w:lang w:val="da-DK"/>
        </w:rPr>
        <w:t xml:space="preserve"> </w:t>
      </w:r>
      <w:r>
        <w:rPr>
          <w:sz w:val="18"/>
          <w:lang w:val="da-DK"/>
        </w:rPr>
        <w:t>estimerbar</w:t>
      </w:r>
    </w:p>
    <w:p>
      <w:pPr>
        <w:widowControl w:val="0"/>
        <w:tabs>
          <w:tab w:val="left" w:pos="8505"/>
          <w:tab w:val="left" w:pos="9781"/>
        </w:tabs>
        <w:ind w:right="831"/>
        <w:rPr>
          <w:sz w:val="18"/>
          <w:lang w:val="da-DK"/>
        </w:rPr>
      </w:pPr>
      <w:r>
        <w:rPr>
          <w:sz w:val="18"/>
          <w:vertAlign w:val="superscript"/>
          <w:lang w:val="da-DK"/>
        </w:rPr>
        <w:t>1</w:t>
      </w:r>
      <w:r>
        <w:rPr>
          <w:sz w:val="18"/>
          <w:lang w:val="da-DK"/>
        </w:rPr>
        <w:t xml:space="preserve"> </w:t>
      </w:r>
      <w:r>
        <w:rPr>
          <w:i/>
          <w:sz w:val="18"/>
          <w:lang w:val="da-DK"/>
        </w:rPr>
        <w:t xml:space="preserve">Hazard </w:t>
      </w:r>
      <w:r>
        <w:rPr>
          <w:sz w:val="18"/>
          <w:lang w:val="da-DK"/>
        </w:rPr>
        <w:t>ratio</w:t>
      </w:r>
      <w:r>
        <w:rPr>
          <w:i/>
          <w:sz w:val="18"/>
          <w:lang w:val="da-DK"/>
        </w:rPr>
        <w:t xml:space="preserve"> </w:t>
      </w:r>
      <w:r>
        <w:rPr>
          <w:sz w:val="18"/>
          <w:lang w:val="da-DK"/>
        </w:rPr>
        <w:t xml:space="preserve">er fra en stratificeret </w:t>
      </w:r>
      <w:r>
        <w:rPr>
          <w:i/>
          <w:sz w:val="18"/>
          <w:lang w:val="da-DK"/>
        </w:rPr>
        <w:t>proportional hazards</w:t>
      </w:r>
      <w:r>
        <w:rPr>
          <w:sz w:val="18"/>
          <w:lang w:val="da-DK"/>
        </w:rPr>
        <w:t xml:space="preserve">-model. </w:t>
      </w:r>
      <w:r>
        <w:rPr>
          <w:i/>
          <w:sz w:val="18"/>
          <w:lang w:val="da-DK"/>
        </w:rPr>
        <w:t xml:space="preserve">Hazard </w:t>
      </w:r>
      <w:r>
        <w:rPr>
          <w:sz w:val="18"/>
          <w:lang w:val="da-DK"/>
        </w:rPr>
        <w:t>ratio</w:t>
      </w:r>
      <w:r>
        <w:rPr>
          <w:i/>
          <w:sz w:val="18"/>
          <w:lang w:val="da-DK"/>
        </w:rPr>
        <w:t xml:space="preserve"> </w:t>
      </w:r>
      <w:r>
        <w:rPr>
          <w:rFonts w:ascii="Symbol" w:hAnsi="Symbol"/>
          <w:sz w:val="18"/>
          <w:lang w:val="da-DK"/>
        </w:rPr>
        <w:t></w:t>
      </w:r>
      <w:r>
        <w:rPr>
          <w:sz w:val="18"/>
          <w:lang w:val="da-DK"/>
        </w:rPr>
        <w:t> 1 indikerer en fordel for</w:t>
      </w:r>
      <w:r>
        <w:rPr>
          <w:sz w:val="18"/>
          <w:szCs w:val="18"/>
          <w:lang w:val="da-DK"/>
        </w:rPr>
        <w:t xml:space="preserve"> abirateronacetat </w:t>
      </w:r>
      <w:r>
        <w:rPr>
          <w:sz w:val="18"/>
          <w:lang w:val="da-DK"/>
        </w:rPr>
        <w:t>med prednison.</w:t>
      </w:r>
    </w:p>
    <w:p>
      <w:pPr>
        <w:widowControl w:val="0"/>
        <w:rPr>
          <w:sz w:val="22"/>
          <w:szCs w:val="22"/>
          <w:lang w:val="da-DK"/>
        </w:rPr>
      </w:pPr>
    </w:p>
    <w:p>
      <w:pPr>
        <w:widowControl w:val="0"/>
        <w:rPr>
          <w:b/>
          <w:sz w:val="22"/>
          <w:szCs w:val="22"/>
          <w:lang w:val="da-DK"/>
        </w:rPr>
      </w:pPr>
      <w:r>
        <w:rPr>
          <w:noProof/>
          <w:lang w:val="sl-SI" w:eastAsia="sl-SI"/>
        </w:rPr>
        <w:lastRenderedPageBreak/>
        <w:drawing>
          <wp:anchor distT="0" distB="0" distL="0" distR="0" simplePos="0" relativeHeight="251659264" behindDoc="0" locked="0" layoutInCell="1" allowOverlap="1">
            <wp:simplePos x="0" y="0"/>
            <wp:positionH relativeFrom="page">
              <wp:posOffset>901700</wp:posOffset>
            </wp:positionH>
            <wp:positionV relativeFrom="paragraph">
              <wp:posOffset>480060</wp:posOffset>
            </wp:positionV>
            <wp:extent cx="5687695" cy="3435350"/>
            <wp:effectExtent l="0" t="0" r="8255" b="0"/>
            <wp:wrapTopAndBottom/>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5687695" cy="3435350"/>
                    </a:xfrm>
                    <a:prstGeom prst="rect">
                      <a:avLst/>
                    </a:prstGeom>
                  </pic:spPr>
                </pic:pic>
              </a:graphicData>
            </a:graphic>
            <wp14:sizeRelH relativeFrom="margin">
              <wp14:pctWidth>0</wp14:pctWidth>
            </wp14:sizeRelH>
            <wp14:sizeRelV relativeFrom="margin">
              <wp14:pctHeight>0</wp14:pctHeight>
            </wp14:sizeRelV>
          </wp:anchor>
        </w:drawing>
      </w:r>
      <w:r>
        <w:rPr>
          <w:b/>
          <w:sz w:val="22"/>
          <w:szCs w:val="22"/>
          <w:lang w:val="da-DK"/>
        </w:rPr>
        <w:t>Figur 2: Kaplan-Meier-afbildning af samlet overlevelse; intent-to-treat-population i studie PCR3011-analysen.</w:t>
      </w:r>
    </w:p>
    <w:p>
      <w:pPr>
        <w:widowControl w:val="0"/>
        <w:rPr>
          <w:sz w:val="22"/>
          <w:szCs w:val="22"/>
          <w:lang w:val="da-DK"/>
        </w:rPr>
      </w:pPr>
    </w:p>
    <w:p>
      <w:pPr>
        <w:widowControl w:val="0"/>
        <w:rPr>
          <w:sz w:val="22"/>
          <w:szCs w:val="22"/>
          <w:lang w:val="da-DK"/>
        </w:rPr>
      </w:pPr>
      <w:r>
        <w:rPr>
          <w:sz w:val="22"/>
          <w:szCs w:val="22"/>
          <w:lang w:val="da-DK"/>
        </w:rPr>
        <w:t>Analyser af subgrupperne gav en konsistent indikation af en fordel ved behandling med abirateronacetat. Behandlingseffekten af AA-P på rPFS og OS i alle på forhånd specificerede subgrupper var gunstig og svarede til den samlede studiepopulation, bortset fra subgruppen med en ECOG-score på 2, hvor der ikke sås en tendens til en behandlingsfordel; men det lille antal patienter (n=40) begrænser muligheden for en relevant konklusion.</w:t>
      </w:r>
    </w:p>
    <w:p>
      <w:pPr>
        <w:widowControl w:val="0"/>
        <w:rPr>
          <w:sz w:val="22"/>
          <w:szCs w:val="22"/>
          <w:lang w:val="da-DK"/>
        </w:rPr>
      </w:pPr>
    </w:p>
    <w:p>
      <w:pPr>
        <w:widowControl w:val="0"/>
        <w:rPr>
          <w:sz w:val="22"/>
          <w:szCs w:val="22"/>
          <w:lang w:val="da-DK"/>
        </w:rPr>
      </w:pPr>
      <w:r>
        <w:rPr>
          <w:sz w:val="22"/>
          <w:szCs w:val="22"/>
          <w:lang w:val="da-DK"/>
        </w:rPr>
        <w:t>Ud over de observerede forbedringer i samlet overlevelse og rPFS blev der påvist en fordel for abirateronacetat vs. placebo i alle prospektivt definerede sekundære endepunkter.</w:t>
      </w:r>
    </w:p>
    <w:p>
      <w:pPr>
        <w:widowControl w:val="0"/>
        <w:rPr>
          <w:sz w:val="22"/>
          <w:szCs w:val="22"/>
          <w:lang w:val="da-DK"/>
        </w:rPr>
      </w:pPr>
    </w:p>
    <w:p>
      <w:pPr>
        <w:widowControl w:val="0"/>
        <w:rPr>
          <w:i/>
          <w:sz w:val="22"/>
          <w:szCs w:val="22"/>
          <w:lang w:val="da-DK"/>
        </w:rPr>
      </w:pPr>
      <w:r>
        <w:rPr>
          <w:i/>
          <w:sz w:val="22"/>
          <w:szCs w:val="22"/>
          <w:lang w:val="da-DK"/>
        </w:rPr>
        <w:t>Studie 302 (kemoterapinaive patienter)</w:t>
      </w:r>
    </w:p>
    <w:p>
      <w:pPr>
        <w:widowControl w:val="0"/>
        <w:rPr>
          <w:sz w:val="22"/>
          <w:szCs w:val="22"/>
          <w:lang w:val="da-DK"/>
        </w:rPr>
      </w:pPr>
      <w:r>
        <w:rPr>
          <w:sz w:val="22"/>
          <w:szCs w:val="22"/>
          <w:lang w:val="da-DK"/>
        </w:rPr>
        <w:t>Dette studie omfattede patienter, som ikke tidligere havde fået kemoterapi, og som var asymptomatiske eller havde lettere symptomer, og som endnu ikke havde</w:t>
      </w:r>
      <w:r>
        <w:rPr>
          <w:i/>
          <w:sz w:val="22"/>
          <w:szCs w:val="22"/>
          <w:lang w:val="da-DK"/>
        </w:rPr>
        <w:t xml:space="preserve"> et klinisk behov for kemoterapi. En score på 0-1 på</w:t>
      </w:r>
      <w:r>
        <w:rPr>
          <w:sz w:val="22"/>
          <w:szCs w:val="22"/>
          <w:lang w:val="da-DK"/>
        </w:rPr>
        <w:t xml:space="preserve"> Brief Pain Inventory-Short Form (BPI-SF) for værste smerte i løbet af de seneste 24 timer ansås som asymptomatisk, mens en score på 2-3 ansås som lettere symptomatisk.</w:t>
      </w:r>
    </w:p>
    <w:p>
      <w:pPr>
        <w:widowControl w:val="0"/>
        <w:rPr>
          <w:sz w:val="22"/>
          <w:szCs w:val="22"/>
          <w:lang w:val="da-DK"/>
        </w:rPr>
      </w:pPr>
    </w:p>
    <w:p>
      <w:pPr>
        <w:widowControl w:val="0"/>
        <w:rPr>
          <w:sz w:val="22"/>
          <w:szCs w:val="22"/>
          <w:lang w:val="da-DK"/>
        </w:rPr>
      </w:pPr>
      <w:r>
        <w:rPr>
          <w:sz w:val="22"/>
          <w:szCs w:val="22"/>
          <w:lang w:val="da-DK"/>
        </w:rPr>
        <w:t>I studie 302 (n=1088) var medianalderen 71 år for patienter, der blev behandlet med abirateronacetat plus prednison eller prednisolon, og 70 år for patienter, der blev behandlet med placebo plus prednison eller prednisolon. Efter race var antallet af patienter, der blev behandlet med abirateronacetat, 520 (95,4 %) kaukasiere, 15 (2,8 %) sorte, 4 (0,7 %) asiatere og andre 6 (1,1 %). Eastern Cooperative Oncology Group- (ECOG-) performance status var 0 for 76 % patienter og 1 for 24 % patienter i begge arme. 50 % af patienterne havde kun knoglemetastaser, yderligere 31 % patienter havde knogle- og bløddels- eller lymfekirtelmetastaser, og 19 % af patienterne havde kun bløddels- eller lymfekirtelmetastaser.</w:t>
      </w:r>
    </w:p>
    <w:p>
      <w:pPr>
        <w:widowControl w:val="0"/>
        <w:rPr>
          <w:sz w:val="22"/>
          <w:szCs w:val="22"/>
          <w:lang w:val="da-DK"/>
        </w:rPr>
      </w:pPr>
      <w:r>
        <w:rPr>
          <w:sz w:val="22"/>
          <w:szCs w:val="22"/>
          <w:lang w:val="da-DK"/>
        </w:rPr>
        <w:t xml:space="preserve">Patienter med viscerale metastaser blev ekskluderet. Co-primære effektendepunkter var samlet overlevelse og radiografisk progressionsfri overlevelse (rPFS). Ud over de co-primære endepunkter blev behandlingens fordele også evalueret vha. tiden indtil brug af opiat mod cancersmerter, tiden indtil påbegyndelse af cytotoksisk kemoterapi, tiden indtil forværring af ECOG-performancescore med ≥ 1 point og tiden indtil PSA-progression baseret på </w:t>
      </w:r>
      <w:r>
        <w:rPr>
          <w:i/>
          <w:sz w:val="22"/>
          <w:szCs w:val="22"/>
          <w:lang w:val="da-DK"/>
        </w:rPr>
        <w:t>Prostata Cancer Working Group-2</w:t>
      </w:r>
      <w:r>
        <w:rPr>
          <w:sz w:val="22"/>
          <w:szCs w:val="22"/>
          <w:lang w:val="da-DK"/>
        </w:rPr>
        <w:t xml:space="preserve"> (PCWG2-) kriterier. Studiebehandlingen blev seponeret på det tidspunkt, hvor der var utvetydig klinisk progression. Efter investigators valg kunne behandlingen også seponeres på tidspunktet for bekræftet radiografisk progression. </w:t>
      </w:r>
    </w:p>
    <w:p>
      <w:pPr>
        <w:widowControl w:val="0"/>
        <w:rPr>
          <w:sz w:val="22"/>
          <w:szCs w:val="22"/>
          <w:lang w:val="da-DK"/>
        </w:rPr>
      </w:pPr>
    </w:p>
    <w:p>
      <w:pPr>
        <w:widowControl w:val="0"/>
        <w:rPr>
          <w:sz w:val="22"/>
          <w:szCs w:val="22"/>
          <w:lang w:val="da-DK"/>
        </w:rPr>
      </w:pPr>
      <w:r>
        <w:rPr>
          <w:sz w:val="22"/>
          <w:szCs w:val="22"/>
          <w:lang w:val="da-DK"/>
        </w:rPr>
        <w:t xml:space="preserve">Radiografisk progressionsfri overlevelse (rPFS) blev evalueret vha. brug af sekventielle billedstudier som defineret af PCWG2-kriterier (for knoglelæsioner) og modificerede </w:t>
      </w:r>
      <w:r>
        <w:rPr>
          <w:i/>
          <w:sz w:val="22"/>
          <w:szCs w:val="22"/>
          <w:lang w:val="da-DK"/>
        </w:rPr>
        <w:t>Response Evaluation Criteria In Solid Tumors</w:t>
      </w:r>
      <w:r>
        <w:rPr>
          <w:sz w:val="22"/>
          <w:szCs w:val="22"/>
          <w:lang w:val="da-DK"/>
        </w:rPr>
        <w:t xml:space="preserve"> (RECIS-) kriterier (for bløddelslæsioner). Analyser af rPFS benyttede centralt opgjort radiografisk evaluering af progression.</w:t>
      </w:r>
    </w:p>
    <w:p>
      <w:pPr>
        <w:widowControl w:val="0"/>
        <w:rPr>
          <w:sz w:val="22"/>
          <w:szCs w:val="22"/>
          <w:lang w:val="da-DK"/>
        </w:rPr>
      </w:pPr>
    </w:p>
    <w:p>
      <w:pPr>
        <w:widowControl w:val="0"/>
        <w:rPr>
          <w:sz w:val="22"/>
          <w:szCs w:val="22"/>
          <w:lang w:val="da-DK"/>
        </w:rPr>
      </w:pPr>
      <w:r>
        <w:rPr>
          <w:sz w:val="22"/>
          <w:szCs w:val="22"/>
          <w:lang w:val="da-DK"/>
        </w:rPr>
        <w:t>Ved den planlagte rPFS-analyse var der 401 hændelser. 150 (28 %) patienter behandlet med abirateronacetat og 251 (46 %) patienter behandlet med placebo havde radiografisk tegn på progression eller var døde. Der blev observeret en signifikant forskel i rPFS mellem de 2 behandlingsgrupper (se tabel 4 og figur 3).</w:t>
      </w:r>
    </w:p>
    <w:p>
      <w:pPr>
        <w:widowControl w:val="0"/>
        <w:rPr>
          <w:sz w:val="22"/>
          <w:szCs w:val="22"/>
          <w:lang w:val="da-DK"/>
        </w:rPr>
      </w:pPr>
    </w:p>
    <w:p>
      <w:pPr>
        <w:widowControl w:val="0"/>
        <w:rPr>
          <w:b/>
          <w:sz w:val="22"/>
          <w:szCs w:val="22"/>
          <w:lang w:val="da-DK"/>
        </w:rPr>
      </w:pPr>
      <w:r>
        <w:rPr>
          <w:b/>
          <w:sz w:val="22"/>
          <w:szCs w:val="22"/>
          <w:lang w:val="da-DK"/>
        </w:rPr>
        <w:t>Tabel 4:Radiografisk progressionsfri overlevelse hos patienter behandlet med enten abirateronacetat eller placebo i kombination med prednison eller prednisolon plus LHRH-analog eller tidligere orkiektomi.</w:t>
      </w:r>
    </w:p>
    <w:tbl>
      <w:tblPr>
        <w:tblStyle w:val="TableGrid"/>
        <w:tblW w:w="0" w:type="auto"/>
        <w:tblLook w:val="04A0" w:firstRow="1" w:lastRow="0" w:firstColumn="1" w:lastColumn="0" w:noHBand="0" w:noVBand="1"/>
      </w:tblPr>
      <w:tblGrid>
        <w:gridCol w:w="3681"/>
        <w:gridCol w:w="2835"/>
        <w:gridCol w:w="2545"/>
      </w:tblGrid>
      <w:tr>
        <w:tc>
          <w:tcPr>
            <w:tcW w:w="3681" w:type="dxa"/>
          </w:tcPr>
          <w:p>
            <w:pPr>
              <w:widowControl w:val="0"/>
              <w:rPr>
                <w:sz w:val="22"/>
                <w:szCs w:val="22"/>
              </w:rPr>
            </w:pPr>
          </w:p>
        </w:tc>
        <w:tc>
          <w:tcPr>
            <w:tcW w:w="2835" w:type="dxa"/>
          </w:tcPr>
          <w:p>
            <w:pPr>
              <w:widowControl w:val="0"/>
              <w:jc w:val="center"/>
              <w:rPr>
                <w:b/>
                <w:sz w:val="22"/>
                <w:szCs w:val="22"/>
              </w:rPr>
            </w:pPr>
            <w:r>
              <w:rPr>
                <w:b/>
                <w:sz w:val="22"/>
                <w:szCs w:val="22"/>
              </w:rPr>
              <w:t>Abirateronacetat</w:t>
            </w:r>
          </w:p>
          <w:p>
            <w:pPr>
              <w:widowControl w:val="0"/>
              <w:jc w:val="center"/>
              <w:rPr>
                <w:b/>
                <w:sz w:val="22"/>
                <w:szCs w:val="22"/>
              </w:rPr>
            </w:pPr>
            <w:r>
              <w:rPr>
                <w:b/>
                <w:sz w:val="22"/>
                <w:szCs w:val="22"/>
              </w:rPr>
              <w:t>(n=546)</w:t>
            </w:r>
          </w:p>
        </w:tc>
        <w:tc>
          <w:tcPr>
            <w:tcW w:w="2545" w:type="dxa"/>
          </w:tcPr>
          <w:p>
            <w:pPr>
              <w:widowControl w:val="0"/>
              <w:jc w:val="center"/>
              <w:rPr>
                <w:b/>
                <w:sz w:val="22"/>
                <w:szCs w:val="22"/>
              </w:rPr>
            </w:pPr>
            <w:r>
              <w:rPr>
                <w:b/>
                <w:sz w:val="22"/>
                <w:szCs w:val="22"/>
              </w:rPr>
              <w:t>Placebo</w:t>
            </w:r>
          </w:p>
          <w:p>
            <w:pPr>
              <w:widowControl w:val="0"/>
              <w:jc w:val="center"/>
              <w:rPr>
                <w:b/>
                <w:sz w:val="22"/>
                <w:szCs w:val="22"/>
              </w:rPr>
            </w:pPr>
            <w:r>
              <w:rPr>
                <w:b/>
                <w:sz w:val="22"/>
                <w:szCs w:val="22"/>
              </w:rPr>
              <w:t>(n=542)</w:t>
            </w:r>
          </w:p>
        </w:tc>
      </w:tr>
      <w:tr>
        <w:tc>
          <w:tcPr>
            <w:tcW w:w="3681" w:type="dxa"/>
          </w:tcPr>
          <w:p>
            <w:pPr>
              <w:widowControl w:val="0"/>
              <w:rPr>
                <w:b/>
                <w:sz w:val="22"/>
                <w:szCs w:val="22"/>
              </w:rPr>
            </w:pPr>
            <w:r>
              <w:rPr>
                <w:b/>
                <w:sz w:val="22"/>
                <w:szCs w:val="22"/>
              </w:rPr>
              <w:t>Radiografisk progressionsfri overlevelse (rPFS)</w:t>
            </w:r>
          </w:p>
        </w:tc>
        <w:tc>
          <w:tcPr>
            <w:tcW w:w="2835" w:type="dxa"/>
          </w:tcPr>
          <w:p>
            <w:pPr>
              <w:widowControl w:val="0"/>
              <w:jc w:val="center"/>
              <w:rPr>
                <w:sz w:val="22"/>
                <w:szCs w:val="22"/>
              </w:rPr>
            </w:pPr>
          </w:p>
        </w:tc>
        <w:tc>
          <w:tcPr>
            <w:tcW w:w="2545" w:type="dxa"/>
          </w:tcPr>
          <w:p>
            <w:pPr>
              <w:widowControl w:val="0"/>
              <w:jc w:val="center"/>
              <w:rPr>
                <w:sz w:val="22"/>
                <w:szCs w:val="22"/>
              </w:rPr>
            </w:pPr>
          </w:p>
        </w:tc>
      </w:tr>
      <w:tr>
        <w:tc>
          <w:tcPr>
            <w:tcW w:w="3681" w:type="dxa"/>
          </w:tcPr>
          <w:p>
            <w:pPr>
              <w:widowControl w:val="0"/>
              <w:rPr>
                <w:sz w:val="22"/>
                <w:szCs w:val="22"/>
              </w:rPr>
            </w:pPr>
            <w:r>
              <w:rPr>
                <w:sz w:val="22"/>
                <w:szCs w:val="22"/>
              </w:rPr>
              <w:t>Progression eller død</w:t>
            </w:r>
          </w:p>
        </w:tc>
        <w:tc>
          <w:tcPr>
            <w:tcW w:w="2835" w:type="dxa"/>
          </w:tcPr>
          <w:p>
            <w:pPr>
              <w:widowControl w:val="0"/>
              <w:jc w:val="center"/>
              <w:rPr>
                <w:sz w:val="22"/>
                <w:szCs w:val="22"/>
              </w:rPr>
            </w:pPr>
            <w:r>
              <w:rPr>
                <w:sz w:val="22"/>
                <w:szCs w:val="22"/>
              </w:rPr>
              <w:t>150 (28 %)</w:t>
            </w:r>
          </w:p>
        </w:tc>
        <w:tc>
          <w:tcPr>
            <w:tcW w:w="2545" w:type="dxa"/>
          </w:tcPr>
          <w:p>
            <w:pPr>
              <w:widowControl w:val="0"/>
              <w:jc w:val="center"/>
              <w:rPr>
                <w:sz w:val="22"/>
                <w:szCs w:val="22"/>
              </w:rPr>
            </w:pPr>
            <w:r>
              <w:rPr>
                <w:sz w:val="22"/>
                <w:szCs w:val="22"/>
              </w:rPr>
              <w:t>251 (46 %)</w:t>
            </w:r>
          </w:p>
        </w:tc>
      </w:tr>
      <w:tr>
        <w:tc>
          <w:tcPr>
            <w:tcW w:w="3681" w:type="dxa"/>
          </w:tcPr>
          <w:p>
            <w:pPr>
              <w:widowControl w:val="0"/>
              <w:rPr>
                <w:sz w:val="22"/>
                <w:szCs w:val="22"/>
              </w:rPr>
            </w:pPr>
            <w:r>
              <w:rPr>
                <w:sz w:val="22"/>
                <w:szCs w:val="22"/>
              </w:rPr>
              <w:t>Median rPFS i måneder</w:t>
            </w:r>
          </w:p>
        </w:tc>
        <w:tc>
          <w:tcPr>
            <w:tcW w:w="2835" w:type="dxa"/>
          </w:tcPr>
          <w:p>
            <w:pPr>
              <w:widowControl w:val="0"/>
              <w:jc w:val="center"/>
              <w:rPr>
                <w:sz w:val="22"/>
                <w:szCs w:val="22"/>
              </w:rPr>
            </w:pPr>
            <w:r>
              <w:rPr>
                <w:sz w:val="22"/>
                <w:szCs w:val="22"/>
              </w:rPr>
              <w:t>Ikke nået</w:t>
            </w:r>
          </w:p>
        </w:tc>
        <w:tc>
          <w:tcPr>
            <w:tcW w:w="2545" w:type="dxa"/>
          </w:tcPr>
          <w:p>
            <w:pPr>
              <w:widowControl w:val="0"/>
              <w:jc w:val="center"/>
              <w:rPr>
                <w:sz w:val="22"/>
                <w:szCs w:val="22"/>
              </w:rPr>
            </w:pPr>
            <w:r>
              <w:rPr>
                <w:sz w:val="22"/>
                <w:szCs w:val="22"/>
              </w:rPr>
              <w:t>8,3</w:t>
            </w:r>
          </w:p>
        </w:tc>
      </w:tr>
      <w:tr>
        <w:tc>
          <w:tcPr>
            <w:tcW w:w="3681" w:type="dxa"/>
          </w:tcPr>
          <w:p>
            <w:pPr>
              <w:widowControl w:val="0"/>
              <w:rPr>
                <w:sz w:val="22"/>
                <w:szCs w:val="22"/>
              </w:rPr>
            </w:pPr>
            <w:r>
              <w:rPr>
                <w:sz w:val="22"/>
                <w:szCs w:val="22"/>
              </w:rPr>
              <w:t>(95 % KI)</w:t>
            </w:r>
          </w:p>
        </w:tc>
        <w:tc>
          <w:tcPr>
            <w:tcW w:w="2835" w:type="dxa"/>
          </w:tcPr>
          <w:p>
            <w:pPr>
              <w:widowControl w:val="0"/>
              <w:jc w:val="center"/>
              <w:rPr>
                <w:sz w:val="22"/>
                <w:szCs w:val="22"/>
              </w:rPr>
            </w:pPr>
            <w:r>
              <w:rPr>
                <w:sz w:val="22"/>
                <w:szCs w:val="22"/>
              </w:rPr>
              <w:t>(11,66; NE)</w:t>
            </w:r>
          </w:p>
        </w:tc>
        <w:tc>
          <w:tcPr>
            <w:tcW w:w="2545" w:type="dxa"/>
          </w:tcPr>
          <w:p>
            <w:pPr>
              <w:widowControl w:val="0"/>
              <w:jc w:val="center"/>
              <w:rPr>
                <w:sz w:val="22"/>
                <w:szCs w:val="22"/>
              </w:rPr>
            </w:pPr>
            <w:r>
              <w:rPr>
                <w:sz w:val="22"/>
                <w:szCs w:val="22"/>
              </w:rPr>
              <w:t>(8,12; 8,54)</w:t>
            </w:r>
          </w:p>
        </w:tc>
      </w:tr>
      <w:tr>
        <w:tc>
          <w:tcPr>
            <w:tcW w:w="3681" w:type="dxa"/>
          </w:tcPr>
          <w:p>
            <w:pPr>
              <w:widowControl w:val="0"/>
              <w:rPr>
                <w:sz w:val="22"/>
                <w:szCs w:val="22"/>
              </w:rPr>
            </w:pPr>
            <w:r>
              <w:rPr>
                <w:sz w:val="22"/>
                <w:szCs w:val="22"/>
              </w:rPr>
              <w:t>p-værdi*</w:t>
            </w:r>
          </w:p>
        </w:tc>
        <w:tc>
          <w:tcPr>
            <w:tcW w:w="5380" w:type="dxa"/>
            <w:gridSpan w:val="2"/>
          </w:tcPr>
          <w:p>
            <w:pPr>
              <w:widowControl w:val="0"/>
              <w:jc w:val="center"/>
              <w:rPr>
                <w:sz w:val="22"/>
                <w:szCs w:val="22"/>
              </w:rPr>
            </w:pPr>
            <w:r>
              <w:rPr>
                <w:sz w:val="22"/>
                <w:szCs w:val="22"/>
              </w:rPr>
              <w:t>&lt; 0,0001</w:t>
            </w:r>
          </w:p>
        </w:tc>
      </w:tr>
      <w:tr>
        <w:tc>
          <w:tcPr>
            <w:tcW w:w="3681" w:type="dxa"/>
          </w:tcPr>
          <w:p>
            <w:pPr>
              <w:widowControl w:val="0"/>
              <w:rPr>
                <w:sz w:val="22"/>
                <w:szCs w:val="22"/>
              </w:rPr>
            </w:pPr>
            <w:r>
              <w:rPr>
                <w:i/>
                <w:sz w:val="22"/>
                <w:szCs w:val="22"/>
              </w:rPr>
              <w:t xml:space="preserve">Hazard </w:t>
            </w:r>
            <w:r>
              <w:rPr>
                <w:sz w:val="22"/>
                <w:szCs w:val="22"/>
              </w:rPr>
              <w:t>ratio** (95 % KI)</w:t>
            </w:r>
          </w:p>
        </w:tc>
        <w:tc>
          <w:tcPr>
            <w:tcW w:w="5380" w:type="dxa"/>
            <w:gridSpan w:val="2"/>
          </w:tcPr>
          <w:p>
            <w:pPr>
              <w:widowControl w:val="0"/>
              <w:jc w:val="center"/>
              <w:rPr>
                <w:sz w:val="22"/>
                <w:szCs w:val="22"/>
              </w:rPr>
            </w:pPr>
            <w:r>
              <w:rPr>
                <w:sz w:val="22"/>
                <w:szCs w:val="22"/>
              </w:rPr>
              <w:t>0,425(0,347; 0,522)</w:t>
            </w:r>
          </w:p>
        </w:tc>
      </w:tr>
    </w:tbl>
    <w:p>
      <w:pPr>
        <w:widowControl w:val="0"/>
        <w:tabs>
          <w:tab w:val="left" w:pos="8505"/>
          <w:tab w:val="left" w:pos="9781"/>
        </w:tabs>
        <w:ind w:right="831"/>
        <w:rPr>
          <w:sz w:val="18"/>
          <w:lang w:val="da-DK"/>
        </w:rPr>
      </w:pPr>
      <w:r>
        <w:rPr>
          <w:sz w:val="18"/>
          <w:lang w:val="da-DK"/>
        </w:rPr>
        <w:t>NE=</w:t>
      </w:r>
      <w:r>
        <w:rPr>
          <w:spacing w:val="-4"/>
          <w:sz w:val="18"/>
          <w:lang w:val="da-DK"/>
        </w:rPr>
        <w:t xml:space="preserve"> </w:t>
      </w:r>
      <w:r>
        <w:rPr>
          <w:sz w:val="18"/>
          <w:lang w:val="da-DK"/>
        </w:rPr>
        <w:t>ikke</w:t>
      </w:r>
      <w:r>
        <w:rPr>
          <w:spacing w:val="-3"/>
          <w:sz w:val="18"/>
          <w:lang w:val="da-DK"/>
        </w:rPr>
        <w:t xml:space="preserve"> </w:t>
      </w:r>
      <w:r>
        <w:rPr>
          <w:sz w:val="18"/>
          <w:lang w:val="da-DK"/>
        </w:rPr>
        <w:t>estimeret</w:t>
      </w:r>
    </w:p>
    <w:p>
      <w:pPr>
        <w:widowControl w:val="0"/>
        <w:tabs>
          <w:tab w:val="left" w:pos="8505"/>
          <w:tab w:val="left" w:pos="9781"/>
        </w:tabs>
        <w:ind w:right="831"/>
        <w:rPr>
          <w:sz w:val="18"/>
          <w:lang w:val="da-DK"/>
        </w:rPr>
      </w:pPr>
      <w:r>
        <w:rPr>
          <w:sz w:val="18"/>
          <w:lang w:val="da-DK"/>
        </w:rPr>
        <w:t>*</w:t>
      </w:r>
      <w:r>
        <w:rPr>
          <w:spacing w:val="8"/>
          <w:sz w:val="18"/>
          <w:lang w:val="da-DK"/>
        </w:rPr>
        <w:t xml:space="preserve"> </w:t>
      </w:r>
      <w:r>
        <w:rPr>
          <w:sz w:val="18"/>
          <w:lang w:val="da-DK"/>
        </w:rPr>
        <w:t>p-værdi</w:t>
      </w:r>
      <w:r>
        <w:rPr>
          <w:spacing w:val="-2"/>
          <w:sz w:val="18"/>
          <w:lang w:val="da-DK"/>
        </w:rPr>
        <w:t xml:space="preserve"> </w:t>
      </w:r>
      <w:r>
        <w:rPr>
          <w:sz w:val="18"/>
          <w:lang w:val="da-DK"/>
        </w:rPr>
        <w:t>er</w:t>
      </w:r>
      <w:r>
        <w:rPr>
          <w:spacing w:val="-1"/>
          <w:sz w:val="18"/>
          <w:lang w:val="da-DK"/>
        </w:rPr>
        <w:t xml:space="preserve"> </w:t>
      </w:r>
      <w:r>
        <w:rPr>
          <w:sz w:val="18"/>
          <w:lang w:val="da-DK"/>
        </w:rPr>
        <w:t>beregnet</w:t>
      </w:r>
      <w:r>
        <w:rPr>
          <w:spacing w:val="-1"/>
          <w:sz w:val="18"/>
          <w:lang w:val="da-DK"/>
        </w:rPr>
        <w:t xml:space="preserve"> </w:t>
      </w:r>
      <w:r>
        <w:rPr>
          <w:sz w:val="18"/>
          <w:lang w:val="da-DK"/>
        </w:rPr>
        <w:t>fra</w:t>
      </w:r>
      <w:r>
        <w:rPr>
          <w:spacing w:val="-2"/>
          <w:sz w:val="18"/>
          <w:lang w:val="da-DK"/>
        </w:rPr>
        <w:t xml:space="preserve"> </w:t>
      </w:r>
      <w:r>
        <w:rPr>
          <w:sz w:val="18"/>
          <w:lang w:val="da-DK"/>
        </w:rPr>
        <w:t>en</w:t>
      </w:r>
      <w:r>
        <w:rPr>
          <w:spacing w:val="-1"/>
          <w:sz w:val="18"/>
          <w:lang w:val="da-DK"/>
        </w:rPr>
        <w:t xml:space="preserve"> </w:t>
      </w:r>
      <w:r>
        <w:rPr>
          <w:sz w:val="18"/>
          <w:lang w:val="da-DK"/>
        </w:rPr>
        <w:t>log-rank</w:t>
      </w:r>
      <w:r>
        <w:rPr>
          <w:spacing w:val="-2"/>
          <w:sz w:val="18"/>
          <w:lang w:val="da-DK"/>
        </w:rPr>
        <w:t xml:space="preserve"> </w:t>
      </w:r>
      <w:r>
        <w:rPr>
          <w:sz w:val="18"/>
          <w:lang w:val="da-DK"/>
        </w:rPr>
        <w:t>test</w:t>
      </w:r>
      <w:r>
        <w:rPr>
          <w:spacing w:val="-3"/>
          <w:sz w:val="18"/>
          <w:lang w:val="da-DK"/>
        </w:rPr>
        <w:t xml:space="preserve"> </w:t>
      </w:r>
      <w:r>
        <w:rPr>
          <w:sz w:val="18"/>
          <w:lang w:val="da-DK"/>
        </w:rPr>
        <w:t>stratificeret</w:t>
      </w:r>
      <w:r>
        <w:rPr>
          <w:spacing w:val="-2"/>
          <w:sz w:val="18"/>
          <w:lang w:val="da-DK"/>
        </w:rPr>
        <w:t xml:space="preserve"> </w:t>
      </w:r>
      <w:r>
        <w:rPr>
          <w:sz w:val="18"/>
          <w:lang w:val="da-DK"/>
        </w:rPr>
        <w:t>ved</w:t>
      </w:r>
      <w:r>
        <w:rPr>
          <w:spacing w:val="-1"/>
          <w:sz w:val="18"/>
          <w:lang w:val="da-DK"/>
        </w:rPr>
        <w:t xml:space="preserve"> </w:t>
      </w:r>
      <w:r>
        <w:rPr>
          <w:i/>
          <w:sz w:val="18"/>
          <w:lang w:val="da-DK"/>
        </w:rPr>
        <w:t>baseline-</w:t>
      </w:r>
      <w:r>
        <w:rPr>
          <w:sz w:val="18"/>
          <w:lang w:val="da-DK"/>
        </w:rPr>
        <w:t>ECOG-score</w:t>
      </w:r>
      <w:r>
        <w:rPr>
          <w:spacing w:val="-2"/>
          <w:sz w:val="18"/>
          <w:lang w:val="da-DK"/>
        </w:rPr>
        <w:t xml:space="preserve"> </w:t>
      </w:r>
      <w:r>
        <w:rPr>
          <w:sz w:val="18"/>
          <w:lang w:val="da-DK"/>
        </w:rPr>
        <w:t>(0</w:t>
      </w:r>
      <w:r>
        <w:rPr>
          <w:spacing w:val="-1"/>
          <w:sz w:val="18"/>
          <w:lang w:val="da-DK"/>
        </w:rPr>
        <w:t xml:space="preserve"> </w:t>
      </w:r>
      <w:r>
        <w:rPr>
          <w:sz w:val="18"/>
          <w:lang w:val="da-DK"/>
        </w:rPr>
        <w:t>eller</w:t>
      </w:r>
      <w:r>
        <w:rPr>
          <w:spacing w:val="-1"/>
          <w:sz w:val="18"/>
          <w:lang w:val="da-DK"/>
        </w:rPr>
        <w:t xml:space="preserve"> </w:t>
      </w:r>
      <w:r>
        <w:rPr>
          <w:sz w:val="18"/>
          <w:lang w:val="da-DK"/>
        </w:rPr>
        <w:t>1)</w:t>
      </w:r>
    </w:p>
    <w:p>
      <w:pPr>
        <w:widowControl w:val="0"/>
        <w:tabs>
          <w:tab w:val="left" w:pos="8505"/>
          <w:tab w:val="left" w:pos="9781"/>
        </w:tabs>
        <w:ind w:right="831"/>
        <w:rPr>
          <w:sz w:val="18"/>
          <w:szCs w:val="18"/>
          <w:lang w:val="da-DK"/>
        </w:rPr>
      </w:pPr>
      <w:r>
        <w:rPr>
          <w:sz w:val="18"/>
          <w:lang w:val="da-DK"/>
        </w:rPr>
        <w:t>**</w:t>
      </w:r>
      <w:r>
        <w:rPr>
          <w:spacing w:val="11"/>
          <w:sz w:val="18"/>
          <w:lang w:val="da-DK"/>
        </w:rPr>
        <w:t xml:space="preserve"> </w:t>
      </w:r>
      <w:r>
        <w:rPr>
          <w:i/>
          <w:sz w:val="18"/>
          <w:lang w:val="da-DK"/>
        </w:rPr>
        <w:t>Hazard</w:t>
      </w:r>
      <w:r>
        <w:rPr>
          <w:i/>
          <w:spacing w:val="-1"/>
          <w:sz w:val="18"/>
          <w:lang w:val="da-DK"/>
        </w:rPr>
        <w:t xml:space="preserve"> </w:t>
      </w:r>
      <w:r>
        <w:rPr>
          <w:sz w:val="18"/>
          <w:lang w:val="da-DK"/>
        </w:rPr>
        <w:t>ratio</w:t>
      </w:r>
      <w:r>
        <w:rPr>
          <w:spacing w:val="-2"/>
          <w:sz w:val="18"/>
          <w:lang w:val="da-DK"/>
        </w:rPr>
        <w:t xml:space="preserve"> </w:t>
      </w:r>
      <w:r>
        <w:rPr>
          <w:sz w:val="18"/>
          <w:lang w:val="da-DK"/>
        </w:rPr>
        <w:t>&lt;</w:t>
      </w:r>
      <w:r>
        <w:rPr>
          <w:spacing w:val="-3"/>
          <w:sz w:val="18"/>
          <w:lang w:val="da-DK"/>
        </w:rPr>
        <w:t> </w:t>
      </w:r>
      <w:r>
        <w:rPr>
          <w:sz w:val="18"/>
          <w:lang w:val="da-DK"/>
        </w:rPr>
        <w:t>1</w:t>
      </w:r>
      <w:r>
        <w:rPr>
          <w:spacing w:val="-1"/>
          <w:sz w:val="18"/>
          <w:lang w:val="da-DK"/>
        </w:rPr>
        <w:t xml:space="preserve"> </w:t>
      </w:r>
      <w:r>
        <w:rPr>
          <w:sz w:val="18"/>
          <w:lang w:val="da-DK"/>
        </w:rPr>
        <w:t>indikere</w:t>
      </w:r>
      <w:r>
        <w:rPr>
          <w:spacing w:val="-3"/>
          <w:sz w:val="18"/>
          <w:lang w:val="da-DK"/>
        </w:rPr>
        <w:t xml:space="preserve"> </w:t>
      </w:r>
      <w:r>
        <w:rPr>
          <w:sz w:val="18"/>
          <w:lang w:val="da-DK"/>
        </w:rPr>
        <w:t>en</w:t>
      </w:r>
      <w:r>
        <w:rPr>
          <w:spacing w:val="-2"/>
          <w:sz w:val="18"/>
          <w:lang w:val="da-DK"/>
        </w:rPr>
        <w:t xml:space="preserve"> </w:t>
      </w:r>
      <w:r>
        <w:rPr>
          <w:sz w:val="18"/>
          <w:lang w:val="da-DK"/>
        </w:rPr>
        <w:t>fordel</w:t>
      </w:r>
      <w:r>
        <w:rPr>
          <w:spacing w:val="-3"/>
          <w:sz w:val="18"/>
          <w:lang w:val="da-DK"/>
        </w:rPr>
        <w:t xml:space="preserve"> </w:t>
      </w:r>
      <w:r>
        <w:rPr>
          <w:sz w:val="18"/>
          <w:lang w:val="da-DK"/>
        </w:rPr>
        <w:t>for</w:t>
      </w:r>
      <w:r>
        <w:rPr>
          <w:spacing w:val="-2"/>
          <w:sz w:val="18"/>
          <w:lang w:val="da-DK"/>
        </w:rPr>
        <w:t xml:space="preserve"> a</w:t>
      </w:r>
      <w:r>
        <w:rPr>
          <w:sz w:val="18"/>
          <w:szCs w:val="18"/>
          <w:lang w:val="da-DK"/>
        </w:rPr>
        <w:t>birateronacetat</w:t>
      </w:r>
    </w:p>
    <w:p>
      <w:pPr>
        <w:widowControl w:val="0"/>
        <w:rPr>
          <w:sz w:val="22"/>
          <w:szCs w:val="22"/>
          <w:lang w:val="da-DK"/>
        </w:rPr>
      </w:pPr>
    </w:p>
    <w:p>
      <w:pPr>
        <w:widowControl w:val="0"/>
        <w:rPr>
          <w:b/>
          <w:sz w:val="22"/>
          <w:szCs w:val="22"/>
          <w:lang w:val="da-DK"/>
        </w:rPr>
      </w:pPr>
      <w:r>
        <w:rPr>
          <w:b/>
          <w:sz w:val="22"/>
          <w:szCs w:val="22"/>
          <w:lang w:val="da-DK"/>
        </w:rPr>
        <w:t>Figur 3: Kaplan Meier kurver af radiografisk progressionsfri overlevelse hos patienter, der er behandlet med enten abirateronacetat eller placebo i kombination med prednison eller prednisolon plus LHRH-analoger eller tidligere orkiektomi</w:t>
      </w:r>
    </w:p>
    <w:p>
      <w:pPr>
        <w:widowControl w:val="0"/>
        <w:rPr>
          <w:sz w:val="22"/>
          <w:szCs w:val="22"/>
          <w:lang w:val="da-DK"/>
        </w:rPr>
      </w:pPr>
      <w:r>
        <w:rPr>
          <w:b/>
          <w:bCs/>
          <w:noProof/>
          <w:lang w:val="sl-SI" w:eastAsia="sl-SI"/>
        </w:rPr>
        <w:drawing>
          <wp:inline distT="0" distB="0" distL="0" distR="0">
            <wp:extent cx="5342255" cy="3997634"/>
            <wp:effectExtent l="0" t="0" r="0" b="3175"/>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1" cstate="print"/>
                    <a:stretch>
                      <a:fillRect/>
                    </a:stretch>
                  </pic:blipFill>
                  <pic:spPr>
                    <a:xfrm>
                      <a:off x="0" y="0"/>
                      <a:ext cx="5347291" cy="4001402"/>
                    </a:xfrm>
                    <a:prstGeom prst="rect">
                      <a:avLst/>
                    </a:prstGeom>
                  </pic:spPr>
                </pic:pic>
              </a:graphicData>
            </a:graphic>
          </wp:inline>
        </w:drawing>
      </w:r>
    </w:p>
    <w:p>
      <w:pPr>
        <w:widowControl w:val="0"/>
        <w:rPr>
          <w:sz w:val="22"/>
          <w:szCs w:val="22"/>
          <w:lang w:val="da-DK"/>
        </w:rPr>
      </w:pPr>
    </w:p>
    <w:p>
      <w:pPr>
        <w:widowControl w:val="0"/>
        <w:rPr>
          <w:sz w:val="18"/>
          <w:szCs w:val="18"/>
          <w:lang w:val="da-DK"/>
        </w:rPr>
      </w:pPr>
      <w:r>
        <w:rPr>
          <w:sz w:val="18"/>
          <w:szCs w:val="18"/>
          <w:lang w:val="da-DK"/>
        </w:rPr>
        <w:t>AA= abirateronacetat</w:t>
      </w:r>
    </w:p>
    <w:p>
      <w:pPr>
        <w:widowControl w:val="0"/>
        <w:rPr>
          <w:sz w:val="22"/>
          <w:szCs w:val="22"/>
          <w:lang w:val="da-DK"/>
        </w:rPr>
      </w:pPr>
    </w:p>
    <w:p>
      <w:pPr>
        <w:widowControl w:val="0"/>
        <w:rPr>
          <w:sz w:val="22"/>
          <w:szCs w:val="22"/>
          <w:lang w:val="da-DK"/>
        </w:rPr>
      </w:pPr>
      <w:r>
        <w:rPr>
          <w:sz w:val="22"/>
          <w:szCs w:val="22"/>
          <w:lang w:val="da-DK"/>
        </w:rPr>
        <w:t>Data fra forsøgspersoner blev dog fortsat indsamlet til og med datoen for den anden interimanalyse af samlet overlevelse (OS). Investigators radiografiske evaluering af rPFS udført som en opfølgende sensibilitetsanalyse ses i tabel 5 og figur 4.</w:t>
      </w:r>
    </w:p>
    <w:p>
      <w:pPr>
        <w:widowControl w:val="0"/>
        <w:rPr>
          <w:sz w:val="22"/>
          <w:szCs w:val="22"/>
          <w:lang w:val="da-DK"/>
        </w:rPr>
      </w:pPr>
    </w:p>
    <w:p>
      <w:pPr>
        <w:widowControl w:val="0"/>
        <w:rPr>
          <w:sz w:val="22"/>
          <w:szCs w:val="22"/>
          <w:lang w:val="da-DK"/>
        </w:rPr>
      </w:pPr>
      <w:r>
        <w:rPr>
          <w:sz w:val="22"/>
          <w:szCs w:val="22"/>
          <w:lang w:val="da-DK"/>
        </w:rPr>
        <w:t>607 forsøgspersoner havde radiografisk progression eller døde: 271 (50 %) i abirateronacetat-gruppen og 336 (62 %) i placebo-gruppen. Behandling med abirateronacetat reducerede risikoen for radiografisk progression eller død med 47 % sammenlignet med placebo (HR = 0,530; 95 % KI:</w:t>
      </w:r>
    </w:p>
    <w:p>
      <w:pPr>
        <w:widowControl w:val="0"/>
        <w:rPr>
          <w:sz w:val="22"/>
          <w:szCs w:val="22"/>
          <w:lang w:val="da-DK"/>
        </w:rPr>
      </w:pPr>
      <w:r>
        <w:rPr>
          <w:sz w:val="22"/>
          <w:szCs w:val="22"/>
          <w:lang w:val="da-DK"/>
        </w:rPr>
        <w:t>[0,451; 0,623]; p &lt; 0,0001). Median-rPFS var 16,5 måneder i abirateronacetat-gruppen og 8,3 måneder i placebo-gruppen.</w:t>
      </w:r>
    </w:p>
    <w:p>
      <w:pPr>
        <w:widowControl w:val="0"/>
        <w:rPr>
          <w:b/>
          <w:sz w:val="22"/>
          <w:szCs w:val="22"/>
          <w:lang w:val="da-DK"/>
        </w:rPr>
      </w:pPr>
    </w:p>
    <w:p>
      <w:pPr>
        <w:widowControl w:val="0"/>
        <w:rPr>
          <w:b/>
          <w:sz w:val="22"/>
          <w:szCs w:val="22"/>
          <w:lang w:val="da-DK"/>
        </w:rPr>
      </w:pPr>
      <w:r>
        <w:rPr>
          <w:b/>
          <w:sz w:val="22"/>
          <w:szCs w:val="22"/>
          <w:lang w:val="da-DK"/>
        </w:rPr>
        <w:t>Tabel 5: Studie 302: Radiografisk progressionsfri overlevelse hos patienter behandlet med enten abirateronacetat eller placebo i kombination med prednison eller prednisolon plus LHRH-analog eller tidligere orkiektomi (ved den anden interimanalyse af OSinvestigators vurdering)</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389"/>
        <w:gridCol w:w="2819"/>
        <w:gridCol w:w="2855"/>
      </w:tblGrid>
      <w:tr>
        <w:trPr>
          <w:trHeight w:val="723"/>
        </w:trPr>
        <w:tc>
          <w:tcPr>
            <w:tcW w:w="3389"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819" w:type="dxa"/>
            <w:tcBorders>
              <w:left w:val="nil"/>
              <w:bottom w:val="single" w:sz="6" w:space="0" w:color="000000"/>
              <w:right w:val="nil"/>
            </w:tcBorders>
            <w:shd w:val="clear" w:color="auto" w:fill="auto"/>
          </w:tcPr>
          <w:p>
            <w:pPr>
              <w:widowControl w:val="0"/>
              <w:kinsoku w:val="0"/>
              <w:overflowPunct w:val="0"/>
              <w:jc w:val="center"/>
              <w:rPr>
                <w:b/>
                <w:bCs/>
                <w:sz w:val="22"/>
                <w:szCs w:val="22"/>
                <w:lang w:val="da-DK"/>
              </w:rPr>
            </w:pPr>
            <w:r>
              <w:rPr>
                <w:b/>
                <w:bCs/>
                <w:sz w:val="22"/>
                <w:szCs w:val="22"/>
                <w:lang w:val="da-DK"/>
              </w:rPr>
              <w:t>abirateronacetat</w:t>
            </w:r>
          </w:p>
          <w:p>
            <w:pPr>
              <w:widowControl w:val="0"/>
              <w:kinsoku w:val="0"/>
              <w:overflowPunct w:val="0"/>
              <w:jc w:val="center"/>
              <w:rPr>
                <w:b/>
                <w:bCs/>
                <w:sz w:val="22"/>
                <w:szCs w:val="22"/>
                <w:lang w:val="da-DK"/>
              </w:rPr>
            </w:pPr>
            <w:r>
              <w:rPr>
                <w:b/>
                <w:bCs/>
                <w:sz w:val="22"/>
                <w:szCs w:val="22"/>
                <w:lang w:val="da-DK"/>
              </w:rPr>
              <w:t>(n=546)</w:t>
            </w:r>
          </w:p>
        </w:tc>
        <w:tc>
          <w:tcPr>
            <w:tcW w:w="2855" w:type="dxa"/>
            <w:tcBorders>
              <w:left w:val="nil"/>
              <w:bottom w:val="single" w:sz="6" w:space="0" w:color="000000"/>
            </w:tcBorders>
            <w:shd w:val="clear" w:color="auto" w:fill="auto"/>
          </w:tcPr>
          <w:p>
            <w:pPr>
              <w:widowControl w:val="0"/>
              <w:kinsoku w:val="0"/>
              <w:overflowPunct w:val="0"/>
              <w:jc w:val="center"/>
              <w:rPr>
                <w:b/>
                <w:bCs/>
                <w:sz w:val="22"/>
                <w:szCs w:val="22"/>
                <w:lang w:val="da-DK"/>
              </w:rPr>
            </w:pPr>
            <w:r>
              <w:rPr>
                <w:b/>
                <w:bCs/>
                <w:sz w:val="22"/>
                <w:szCs w:val="22"/>
                <w:lang w:val="da-DK"/>
              </w:rPr>
              <w:t>placebo</w:t>
            </w:r>
          </w:p>
          <w:p>
            <w:pPr>
              <w:widowControl w:val="0"/>
              <w:kinsoku w:val="0"/>
              <w:overflowPunct w:val="0"/>
              <w:jc w:val="center"/>
              <w:rPr>
                <w:b/>
                <w:bCs/>
                <w:sz w:val="22"/>
                <w:szCs w:val="22"/>
                <w:lang w:val="da-DK"/>
              </w:rPr>
            </w:pPr>
            <w:r>
              <w:rPr>
                <w:b/>
                <w:bCs/>
                <w:sz w:val="22"/>
                <w:szCs w:val="22"/>
                <w:lang w:val="da-DK"/>
              </w:rPr>
              <w:t>(n=542)</w:t>
            </w:r>
          </w:p>
        </w:tc>
      </w:tr>
      <w:tr>
        <w:tc>
          <w:tcPr>
            <w:tcW w:w="3389" w:type="dxa"/>
            <w:tcBorders>
              <w:bottom w:val="nil"/>
              <w:right w:val="nil"/>
            </w:tcBorders>
            <w:shd w:val="clear" w:color="auto" w:fill="auto"/>
          </w:tcPr>
          <w:p>
            <w:pPr>
              <w:widowControl w:val="0"/>
              <w:autoSpaceDE w:val="0"/>
              <w:autoSpaceDN w:val="0"/>
              <w:adjustRightInd w:val="0"/>
              <w:ind w:left="32"/>
              <w:rPr>
                <w:color w:val="000000"/>
                <w:sz w:val="22"/>
                <w:szCs w:val="22"/>
                <w:highlight w:val="yellow"/>
                <w:u w:val="single"/>
                <w:lang w:val="da-DK" w:eastAsia="sl-SI"/>
              </w:rPr>
            </w:pPr>
            <w:r>
              <w:rPr>
                <w:b/>
                <w:bCs/>
                <w:color w:val="000000"/>
                <w:sz w:val="22"/>
                <w:szCs w:val="22"/>
                <w:lang w:val="da-DK" w:eastAsia="sl-SI"/>
              </w:rPr>
              <w:t>Radiografisk progressionsfri overlevelse (rPFS)</w:t>
            </w:r>
          </w:p>
        </w:tc>
        <w:tc>
          <w:tcPr>
            <w:tcW w:w="2819"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855"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r>
      <w:tr>
        <w:tc>
          <w:tcPr>
            <w:tcW w:w="3389" w:type="dxa"/>
            <w:tcBorders>
              <w:top w:val="nil"/>
              <w:bottom w:val="nil"/>
              <w:right w:val="nil"/>
            </w:tcBorders>
            <w:shd w:val="clear" w:color="auto" w:fill="auto"/>
          </w:tcPr>
          <w:p>
            <w:pPr>
              <w:widowControl w:val="0"/>
              <w:ind w:left="32"/>
              <w:rPr>
                <w:sz w:val="22"/>
                <w:szCs w:val="22"/>
                <w:lang w:val="da-DK"/>
              </w:rPr>
            </w:pPr>
            <w:r>
              <w:rPr>
                <w:sz w:val="22"/>
                <w:szCs w:val="22"/>
                <w:lang w:val="da-DK"/>
              </w:rPr>
              <w:t>Progression eller død</w:t>
            </w:r>
          </w:p>
        </w:tc>
        <w:tc>
          <w:tcPr>
            <w:tcW w:w="2819"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271 (50 %)</w:t>
            </w:r>
          </w:p>
        </w:tc>
        <w:tc>
          <w:tcPr>
            <w:tcW w:w="2855" w:type="dxa"/>
            <w:tcBorders>
              <w:top w:val="nil"/>
              <w:left w:val="nil"/>
              <w:bottom w:val="nil"/>
            </w:tcBorders>
            <w:shd w:val="clear" w:color="auto" w:fill="auto"/>
          </w:tcPr>
          <w:p>
            <w:pPr>
              <w:widowControl w:val="0"/>
              <w:tabs>
                <w:tab w:val="left" w:pos="4423"/>
                <w:tab w:val="left" w:pos="7507"/>
              </w:tabs>
              <w:kinsoku w:val="0"/>
              <w:overflowPunct w:val="0"/>
              <w:ind w:left="998"/>
              <w:rPr>
                <w:sz w:val="22"/>
                <w:szCs w:val="22"/>
                <w:lang w:val="da-DK"/>
              </w:rPr>
            </w:pPr>
            <w:r>
              <w:rPr>
                <w:sz w:val="22"/>
                <w:szCs w:val="22"/>
                <w:lang w:val="da-DK"/>
              </w:rPr>
              <w:t>336 (62 %)</w:t>
            </w:r>
          </w:p>
        </w:tc>
      </w:tr>
      <w:tr>
        <w:tc>
          <w:tcPr>
            <w:tcW w:w="3389" w:type="dxa"/>
            <w:tcBorders>
              <w:top w:val="nil"/>
              <w:bottom w:val="nil"/>
              <w:right w:val="nil"/>
            </w:tcBorders>
            <w:shd w:val="clear" w:color="auto" w:fill="auto"/>
          </w:tcPr>
          <w:p>
            <w:pPr>
              <w:widowControl w:val="0"/>
              <w:ind w:left="32"/>
              <w:rPr>
                <w:sz w:val="22"/>
                <w:szCs w:val="22"/>
                <w:lang w:val="da-DK"/>
              </w:rPr>
            </w:pPr>
            <w:r>
              <w:rPr>
                <w:sz w:val="22"/>
                <w:szCs w:val="22"/>
                <w:lang w:val="da-DK"/>
              </w:rPr>
              <w:t>Median rPFS i måneder</w:t>
            </w:r>
          </w:p>
        </w:tc>
        <w:tc>
          <w:tcPr>
            <w:tcW w:w="2819"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16,5</w:t>
            </w:r>
          </w:p>
        </w:tc>
        <w:tc>
          <w:tcPr>
            <w:tcW w:w="2855" w:type="dxa"/>
            <w:tcBorders>
              <w:top w:val="nil"/>
              <w:left w:val="nil"/>
              <w:bottom w:val="nil"/>
            </w:tcBorders>
            <w:shd w:val="clear" w:color="auto" w:fill="auto"/>
          </w:tcPr>
          <w:p>
            <w:pPr>
              <w:widowControl w:val="0"/>
              <w:jc w:val="center"/>
              <w:rPr>
                <w:sz w:val="22"/>
                <w:szCs w:val="22"/>
                <w:lang w:val="da-DK"/>
              </w:rPr>
            </w:pPr>
            <w:r>
              <w:rPr>
                <w:sz w:val="22"/>
                <w:szCs w:val="22"/>
                <w:lang w:val="da-DK"/>
              </w:rPr>
              <w:t>8,3</w:t>
            </w:r>
          </w:p>
        </w:tc>
      </w:tr>
      <w:tr>
        <w:tc>
          <w:tcPr>
            <w:tcW w:w="3389" w:type="dxa"/>
            <w:tcBorders>
              <w:top w:val="nil"/>
              <w:bottom w:val="nil"/>
              <w:right w:val="nil"/>
            </w:tcBorders>
            <w:shd w:val="clear" w:color="auto" w:fill="auto"/>
          </w:tcPr>
          <w:p>
            <w:pPr>
              <w:widowControl w:val="0"/>
              <w:ind w:left="32"/>
              <w:rPr>
                <w:sz w:val="22"/>
                <w:szCs w:val="22"/>
                <w:lang w:val="da-DK"/>
              </w:rPr>
            </w:pPr>
            <w:r>
              <w:rPr>
                <w:sz w:val="22"/>
                <w:szCs w:val="22"/>
                <w:lang w:val="da-DK"/>
              </w:rPr>
              <w:t>(95 % KI)</w:t>
            </w:r>
          </w:p>
        </w:tc>
        <w:tc>
          <w:tcPr>
            <w:tcW w:w="2819"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(13,80; 16,79)</w:t>
            </w:r>
          </w:p>
        </w:tc>
        <w:tc>
          <w:tcPr>
            <w:tcW w:w="2855" w:type="dxa"/>
            <w:tcBorders>
              <w:top w:val="nil"/>
              <w:left w:val="nil"/>
              <w:bottom w:val="nil"/>
            </w:tcBorders>
            <w:shd w:val="clear" w:color="auto" w:fill="auto"/>
          </w:tcPr>
          <w:p>
            <w:pPr>
              <w:widowControl w:val="0"/>
              <w:jc w:val="center"/>
              <w:rPr>
                <w:sz w:val="22"/>
                <w:szCs w:val="22"/>
                <w:lang w:val="da-DK"/>
              </w:rPr>
            </w:pPr>
            <w:r>
              <w:rPr>
                <w:sz w:val="22"/>
                <w:szCs w:val="22"/>
                <w:lang w:val="da-DK"/>
              </w:rPr>
              <w:t>(8,05; 9,43)</w:t>
            </w:r>
          </w:p>
        </w:tc>
      </w:tr>
      <w:tr>
        <w:tc>
          <w:tcPr>
            <w:tcW w:w="3389" w:type="dxa"/>
            <w:tcBorders>
              <w:top w:val="nil"/>
              <w:bottom w:val="nil"/>
              <w:right w:val="nil"/>
            </w:tcBorders>
            <w:shd w:val="clear" w:color="auto" w:fill="auto"/>
          </w:tcPr>
          <w:p>
            <w:pPr>
              <w:widowControl w:val="0"/>
              <w:ind w:left="32"/>
              <w:rPr>
                <w:sz w:val="22"/>
                <w:szCs w:val="22"/>
                <w:lang w:val="da-DK"/>
              </w:rPr>
            </w:pPr>
            <w:r>
              <w:rPr>
                <w:sz w:val="22"/>
                <w:szCs w:val="22"/>
                <w:lang w:val="da-DK"/>
              </w:rPr>
              <w:t>p-værdi*</w:t>
            </w:r>
          </w:p>
        </w:tc>
        <w:tc>
          <w:tcPr>
            <w:tcW w:w="5674"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da-DK" w:eastAsia="sl-SI"/>
              </w:rPr>
            </w:pPr>
            <w:r>
              <w:rPr>
                <w:color w:val="000000"/>
                <w:sz w:val="22"/>
                <w:szCs w:val="22"/>
                <w:lang w:val="da-DK" w:eastAsia="sl-SI"/>
              </w:rPr>
              <w:t>&lt; 0,0001</w:t>
            </w:r>
          </w:p>
        </w:tc>
      </w:tr>
      <w:tr>
        <w:tc>
          <w:tcPr>
            <w:tcW w:w="3389" w:type="dxa"/>
            <w:tcBorders>
              <w:top w:val="nil"/>
              <w:right w:val="nil"/>
            </w:tcBorders>
            <w:shd w:val="clear" w:color="auto" w:fill="auto"/>
          </w:tcPr>
          <w:p>
            <w:pPr>
              <w:widowControl w:val="0"/>
              <w:ind w:left="32"/>
              <w:rPr>
                <w:sz w:val="22"/>
                <w:szCs w:val="22"/>
                <w:lang w:val="da-DK"/>
              </w:rPr>
            </w:pPr>
            <w:r>
              <w:rPr>
                <w:i/>
                <w:iCs/>
                <w:sz w:val="22"/>
                <w:szCs w:val="22"/>
                <w:lang w:val="da-DK"/>
              </w:rPr>
              <w:t xml:space="preserve">Hazard </w:t>
            </w:r>
            <w:r>
              <w:rPr>
                <w:iCs/>
                <w:sz w:val="22"/>
                <w:szCs w:val="22"/>
                <w:lang w:val="da-DK"/>
              </w:rPr>
              <w:t>ratio</w:t>
            </w:r>
            <w:r>
              <w:rPr>
                <w:sz w:val="22"/>
                <w:szCs w:val="22"/>
                <w:lang w:val="da-DK"/>
              </w:rPr>
              <w:t>** (95 % KI)</w:t>
            </w:r>
          </w:p>
        </w:tc>
        <w:tc>
          <w:tcPr>
            <w:tcW w:w="5674"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da-DK"/>
              </w:rPr>
            </w:pPr>
            <w:r>
              <w:rPr>
                <w:sz w:val="22"/>
                <w:szCs w:val="22"/>
                <w:lang w:val="da-DK"/>
              </w:rPr>
              <w:t>0,530 (0,451; 0,623)</w:t>
            </w:r>
          </w:p>
        </w:tc>
      </w:tr>
    </w:tbl>
    <w:p>
      <w:pPr>
        <w:widowControl w:val="0"/>
        <w:ind w:left="284" w:hanging="284"/>
        <w:rPr>
          <w:sz w:val="18"/>
          <w:szCs w:val="18"/>
          <w:lang w:val="da-DK"/>
        </w:rPr>
      </w:pPr>
      <w:r>
        <w:rPr>
          <w:sz w:val="18"/>
          <w:szCs w:val="18"/>
          <w:lang w:val="da-DK"/>
        </w:rPr>
        <w:t>*</w:t>
      </w:r>
      <w:r>
        <w:rPr>
          <w:sz w:val="18"/>
          <w:szCs w:val="18"/>
          <w:lang w:val="da-DK"/>
        </w:rPr>
        <w:tab/>
        <w:t xml:space="preserve">p-værdi er beregnet fra en log-rank test stratificeret ved </w:t>
      </w:r>
      <w:r>
        <w:rPr>
          <w:i/>
          <w:sz w:val="18"/>
          <w:szCs w:val="18"/>
          <w:lang w:val="da-DK"/>
        </w:rPr>
        <w:t>baseline</w:t>
      </w:r>
      <w:r>
        <w:rPr>
          <w:sz w:val="18"/>
          <w:szCs w:val="18"/>
          <w:lang w:val="da-DK"/>
        </w:rPr>
        <w:t>-ECOG-score (0 eller 1)</w:t>
      </w:r>
    </w:p>
    <w:p>
      <w:pPr>
        <w:widowControl w:val="0"/>
        <w:ind w:left="284" w:hanging="284"/>
        <w:rPr>
          <w:sz w:val="18"/>
          <w:szCs w:val="18"/>
          <w:lang w:val="da-DK"/>
        </w:rPr>
      </w:pPr>
      <w:r>
        <w:rPr>
          <w:sz w:val="18"/>
          <w:szCs w:val="18"/>
          <w:lang w:val="da-DK"/>
        </w:rPr>
        <w:t>**</w:t>
      </w:r>
      <w:r>
        <w:rPr>
          <w:sz w:val="18"/>
          <w:szCs w:val="18"/>
          <w:lang w:val="da-DK"/>
        </w:rPr>
        <w:tab/>
      </w:r>
      <w:r>
        <w:rPr>
          <w:i/>
          <w:sz w:val="18"/>
          <w:szCs w:val="18"/>
          <w:lang w:val="da-DK"/>
        </w:rPr>
        <w:t xml:space="preserve">Hazard </w:t>
      </w:r>
      <w:r>
        <w:rPr>
          <w:sz w:val="18"/>
          <w:szCs w:val="18"/>
          <w:lang w:val="da-DK"/>
        </w:rPr>
        <w:t xml:space="preserve">ratio &lt; 1 indikere en fordel for </w:t>
      </w:r>
      <w:bookmarkStart w:id="5" w:name="_Hlk69369142"/>
      <w:r>
        <w:rPr>
          <w:sz w:val="18"/>
          <w:lang w:val="da-DK"/>
        </w:rPr>
        <w:t>abirateronacetat</w:t>
      </w:r>
      <w:bookmarkEnd w:id="5"/>
    </w:p>
    <w:p>
      <w:pPr>
        <w:widowControl w:val="0"/>
        <w:rPr>
          <w:sz w:val="22"/>
          <w:szCs w:val="22"/>
          <w:lang w:val="da-DK"/>
        </w:rPr>
      </w:pPr>
    </w:p>
    <w:p>
      <w:pPr>
        <w:widowControl w:val="0"/>
        <w:rPr>
          <w:b/>
          <w:sz w:val="22"/>
          <w:szCs w:val="22"/>
          <w:lang w:val="da-DK"/>
        </w:rPr>
      </w:pPr>
      <w:r>
        <w:rPr>
          <w:b/>
          <w:sz w:val="22"/>
          <w:szCs w:val="22"/>
          <w:lang w:val="da-DK"/>
        </w:rPr>
        <w:t>Figur 4: Kaplan Meier-kurver af radiografiske progressionsfri overlevelse hos patienter behandlet med enten abirateronacetat eller placebo i kombination med prednison eller prednisolon plus LHRH-analog eller tidligere orkiektomi (ved den anden interimanalyse af OS-investigators vurdering).</w:t>
      </w:r>
    </w:p>
    <w:p>
      <w:pPr>
        <w:widowControl w:val="0"/>
        <w:rPr>
          <w:sz w:val="22"/>
          <w:szCs w:val="22"/>
          <w:lang w:val="da-DK"/>
        </w:rPr>
      </w:pPr>
      <w:r>
        <w:rPr>
          <w:noProof/>
          <w:sz w:val="22"/>
          <w:szCs w:val="22"/>
          <w:lang w:val="sl-SI" w:eastAsia="sl-SI"/>
        </w:rPr>
        <w:drawing>
          <wp:inline distT="0" distB="0" distL="0" distR="0">
            <wp:extent cx="5237480" cy="3856153"/>
            <wp:effectExtent l="0" t="0" r="127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9920" cy="3857949"/>
                    </a:xfrm>
                    <a:prstGeom prst="rect">
                      <a:avLst/>
                    </a:prstGeom>
                    <a:noFill/>
                  </pic:spPr>
                </pic:pic>
              </a:graphicData>
            </a:graphic>
          </wp:inline>
        </w:drawing>
      </w:r>
    </w:p>
    <w:p>
      <w:pPr>
        <w:widowControl w:val="0"/>
        <w:rPr>
          <w:sz w:val="18"/>
          <w:szCs w:val="18"/>
          <w:lang w:val="da-DK"/>
        </w:rPr>
      </w:pPr>
      <w:r>
        <w:rPr>
          <w:sz w:val="18"/>
          <w:szCs w:val="18"/>
          <w:lang w:val="da-DK"/>
        </w:rPr>
        <w:t>AA= abirateronacetat</w:t>
      </w:r>
    </w:p>
    <w:p>
      <w:pPr>
        <w:widowControl w:val="0"/>
        <w:rPr>
          <w:sz w:val="22"/>
          <w:szCs w:val="22"/>
          <w:lang w:val="da-DK"/>
        </w:rPr>
      </w:pPr>
    </w:p>
    <w:p>
      <w:pPr>
        <w:widowControl w:val="0"/>
        <w:rPr>
          <w:sz w:val="22"/>
          <w:szCs w:val="22"/>
          <w:lang w:val="da-DK"/>
        </w:rPr>
      </w:pPr>
      <w:r>
        <w:rPr>
          <w:sz w:val="22"/>
          <w:szCs w:val="22"/>
          <w:lang w:val="da-DK"/>
        </w:rPr>
        <w:lastRenderedPageBreak/>
        <w:t>Der blev udført en planlagt interimanalyse af OS, efter at der var observeret 333 dødsfald. Studiet var ublindet baseret på størrelsesordenen af observeret klinisk nytte, og patienterne i placebo-gruppen blev tilbudt behandling med abirateronacetat. Samlet overlevelse var længere med abirateronacetat end med placebo med en 25 % reduktion af dødsrisiko (HR = 0,752; 95 % KI: [0,606; 0,934]; p = 0,0097), men data for OS var ikke modne, og interimresultaterne opfyldte ikke den på forhånd specificerede stopgrænse for statistisk signifikans (se tabel 6). Overlevelse blev fortsat fulgt efter denne interimanalyse.</w:t>
      </w:r>
    </w:p>
    <w:p>
      <w:pPr>
        <w:widowControl w:val="0"/>
        <w:rPr>
          <w:sz w:val="22"/>
          <w:szCs w:val="22"/>
          <w:lang w:val="da-DK"/>
        </w:rPr>
      </w:pPr>
    </w:p>
    <w:p>
      <w:pPr>
        <w:widowControl w:val="0"/>
        <w:rPr>
          <w:sz w:val="22"/>
          <w:szCs w:val="22"/>
          <w:lang w:val="da-DK"/>
        </w:rPr>
      </w:pPr>
      <w:r>
        <w:rPr>
          <w:sz w:val="22"/>
          <w:szCs w:val="22"/>
          <w:lang w:val="da-DK"/>
        </w:rPr>
        <w:t>Den planlagte endelige analyse af OS blev gennemført, efter at der var observeret 741 dødsfald (median opfølgningstid var 49 måneder). 65 % (354 af 546) af de patienter, der var blevet behandlet med abirateronacetat, sammenlignet med 71 % (387 af 542) af patienterne i placebo-armen, var døde. Der påvistes en statistisk signifikant OS-fordel i den abirateronacetat-behandlede gruppe med en 19,4 % reduktion i risiko for død (HR = 0,806; 95 % KI: [0,697; 0,931]; p = 0,0033) og en forbedring af median OS på 4,4 måneder (abirateronacetat 34,7 måneder, placebo 30,3 måneder) (se tabel 6 og figur 5). Denne forbedring påvistes, selv om 44 % af patienterne i placebo-armen efterfølgende fik abirateronacetat.</w:t>
      </w:r>
    </w:p>
    <w:p>
      <w:pPr>
        <w:widowControl w:val="0"/>
        <w:rPr>
          <w:sz w:val="22"/>
          <w:szCs w:val="22"/>
          <w:lang w:val="da-DK"/>
        </w:rPr>
      </w:pPr>
    </w:p>
    <w:p>
      <w:pPr>
        <w:widowControl w:val="0"/>
        <w:rPr>
          <w:b/>
          <w:sz w:val="22"/>
          <w:szCs w:val="22"/>
          <w:lang w:val="da-DK"/>
        </w:rPr>
      </w:pPr>
      <w:r>
        <w:rPr>
          <w:b/>
          <w:sz w:val="22"/>
          <w:szCs w:val="22"/>
          <w:lang w:val="da-DK"/>
        </w:rPr>
        <w:t>Tabel 6:Studie 302: Samlet overlevelse hos patienter behandlet med enten abirateronacetat eller placebo i kombination med prednison eller prednisolon plus LHRH-analog eller tidligere orkiektomi.</w:t>
      </w:r>
    </w:p>
    <w:p>
      <w:pPr>
        <w:widowControl w:val="0"/>
        <w:rPr>
          <w:sz w:val="22"/>
          <w:szCs w:val="22"/>
          <w:lang w:val="da-DK"/>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492"/>
        <w:gridCol w:w="2867"/>
        <w:gridCol w:w="2704"/>
      </w:tblGrid>
      <w:tr>
        <w:trPr>
          <w:trHeight w:val="491"/>
        </w:trPr>
        <w:tc>
          <w:tcPr>
            <w:tcW w:w="3492"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867" w:type="dxa"/>
            <w:tcBorders>
              <w:left w:val="nil"/>
              <w:bottom w:val="single" w:sz="6" w:space="0" w:color="000000"/>
              <w:right w:val="nil"/>
            </w:tcBorders>
            <w:shd w:val="clear" w:color="auto" w:fill="auto"/>
          </w:tcPr>
          <w:p>
            <w:pPr>
              <w:widowControl w:val="0"/>
              <w:kinsoku w:val="0"/>
              <w:overflowPunct w:val="0"/>
              <w:jc w:val="center"/>
              <w:rPr>
                <w:b/>
                <w:bCs/>
                <w:sz w:val="22"/>
                <w:szCs w:val="22"/>
                <w:lang w:val="da-DK"/>
              </w:rPr>
            </w:pPr>
            <w:bookmarkStart w:id="6" w:name="_Hlk69369494"/>
            <w:r>
              <w:rPr>
                <w:b/>
                <w:bCs/>
                <w:sz w:val="22"/>
                <w:szCs w:val="22"/>
                <w:lang w:val="da-DK"/>
              </w:rPr>
              <w:t>abirateronacetat</w:t>
            </w:r>
          </w:p>
          <w:bookmarkEnd w:id="6"/>
          <w:p>
            <w:pPr>
              <w:widowControl w:val="0"/>
              <w:kinsoku w:val="0"/>
              <w:overflowPunct w:val="0"/>
              <w:jc w:val="center"/>
              <w:rPr>
                <w:b/>
                <w:bCs/>
                <w:sz w:val="22"/>
                <w:szCs w:val="22"/>
                <w:lang w:val="da-DK"/>
              </w:rPr>
            </w:pPr>
            <w:r>
              <w:rPr>
                <w:b/>
                <w:bCs/>
                <w:sz w:val="22"/>
                <w:szCs w:val="22"/>
                <w:lang w:val="da-DK"/>
              </w:rPr>
              <w:t>(n=546)</w:t>
            </w:r>
          </w:p>
        </w:tc>
        <w:tc>
          <w:tcPr>
            <w:tcW w:w="2704" w:type="dxa"/>
            <w:tcBorders>
              <w:left w:val="nil"/>
              <w:bottom w:val="single" w:sz="6" w:space="0" w:color="000000"/>
            </w:tcBorders>
            <w:shd w:val="clear" w:color="auto" w:fill="auto"/>
          </w:tcPr>
          <w:p>
            <w:pPr>
              <w:widowControl w:val="0"/>
              <w:kinsoku w:val="0"/>
              <w:overflowPunct w:val="0"/>
              <w:jc w:val="center"/>
              <w:rPr>
                <w:b/>
                <w:bCs/>
                <w:sz w:val="22"/>
                <w:szCs w:val="22"/>
                <w:lang w:val="da-DK"/>
              </w:rPr>
            </w:pPr>
            <w:r>
              <w:rPr>
                <w:b/>
                <w:bCs/>
                <w:sz w:val="22"/>
                <w:szCs w:val="22"/>
                <w:lang w:val="da-DK"/>
              </w:rPr>
              <w:t>placebo</w:t>
            </w:r>
          </w:p>
          <w:p>
            <w:pPr>
              <w:widowControl w:val="0"/>
              <w:kinsoku w:val="0"/>
              <w:overflowPunct w:val="0"/>
              <w:jc w:val="center"/>
              <w:rPr>
                <w:b/>
                <w:bCs/>
                <w:sz w:val="22"/>
                <w:szCs w:val="22"/>
                <w:lang w:val="da-DK"/>
              </w:rPr>
            </w:pPr>
            <w:r>
              <w:rPr>
                <w:b/>
                <w:bCs/>
                <w:sz w:val="22"/>
                <w:szCs w:val="22"/>
                <w:lang w:val="da-DK"/>
              </w:rPr>
              <w:t>(n=542)</w:t>
            </w:r>
          </w:p>
        </w:tc>
      </w:tr>
      <w:tr>
        <w:tc>
          <w:tcPr>
            <w:tcW w:w="3492" w:type="dxa"/>
            <w:tcBorders>
              <w:bottom w:val="nil"/>
              <w:right w:val="nil"/>
            </w:tcBorders>
            <w:shd w:val="clear" w:color="auto" w:fill="auto"/>
          </w:tcPr>
          <w:p>
            <w:pPr>
              <w:widowControl w:val="0"/>
              <w:autoSpaceDE w:val="0"/>
              <w:autoSpaceDN w:val="0"/>
              <w:adjustRightInd w:val="0"/>
              <w:jc w:val="center"/>
              <w:rPr>
                <w:b/>
                <w:bCs/>
                <w:color w:val="000000"/>
                <w:sz w:val="22"/>
                <w:szCs w:val="22"/>
                <w:lang w:val="da-DK" w:eastAsia="sl-SI"/>
              </w:rPr>
            </w:pPr>
            <w:r>
              <w:rPr>
                <w:b/>
                <w:bCs/>
                <w:color w:val="000000"/>
                <w:sz w:val="22"/>
                <w:szCs w:val="22"/>
                <w:lang w:val="da-DK" w:eastAsia="sl-SI"/>
              </w:rPr>
              <w:t>Interim overlevelsesanalyse</w:t>
            </w:r>
          </w:p>
        </w:tc>
        <w:tc>
          <w:tcPr>
            <w:tcW w:w="2867"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704"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Dødsfald (%)</w:t>
            </w:r>
          </w:p>
        </w:tc>
        <w:tc>
          <w:tcPr>
            <w:tcW w:w="2867" w:type="dxa"/>
            <w:tcBorders>
              <w:top w:val="nil"/>
              <w:left w:val="nil"/>
              <w:bottom w:val="nil"/>
              <w:right w:val="nil"/>
            </w:tcBorders>
            <w:shd w:val="clear" w:color="auto" w:fill="auto"/>
          </w:tcPr>
          <w:p>
            <w:pPr>
              <w:widowControl w:val="0"/>
              <w:kinsoku w:val="0"/>
              <w:overflowPunct w:val="0"/>
              <w:jc w:val="center"/>
              <w:rPr>
                <w:sz w:val="22"/>
                <w:szCs w:val="22"/>
                <w:lang w:val="da-DK"/>
              </w:rPr>
            </w:pPr>
            <w:r>
              <w:rPr>
                <w:sz w:val="22"/>
                <w:szCs w:val="22"/>
                <w:lang w:val="da-DK"/>
              </w:rPr>
              <w:t>147 (27 %)</w:t>
            </w:r>
          </w:p>
        </w:tc>
        <w:tc>
          <w:tcPr>
            <w:tcW w:w="2704" w:type="dxa"/>
            <w:tcBorders>
              <w:top w:val="nil"/>
              <w:left w:val="nil"/>
              <w:bottom w:val="nil"/>
            </w:tcBorders>
            <w:shd w:val="clear" w:color="auto" w:fill="auto"/>
          </w:tcPr>
          <w:p>
            <w:pPr>
              <w:widowControl w:val="0"/>
              <w:kinsoku w:val="0"/>
              <w:overflowPunct w:val="0"/>
              <w:jc w:val="center"/>
              <w:rPr>
                <w:sz w:val="22"/>
                <w:szCs w:val="22"/>
                <w:lang w:val="da-DK"/>
              </w:rPr>
            </w:pPr>
            <w:r>
              <w:rPr>
                <w:sz w:val="22"/>
                <w:szCs w:val="22"/>
                <w:lang w:val="da-DK"/>
              </w:rPr>
              <w:t>186 (34 %)</w:t>
            </w: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Median overlevelse (i måneder)</w:t>
            </w:r>
          </w:p>
        </w:tc>
        <w:tc>
          <w:tcPr>
            <w:tcW w:w="2867"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Ikke nået</w:t>
            </w:r>
          </w:p>
        </w:tc>
        <w:tc>
          <w:tcPr>
            <w:tcW w:w="2704" w:type="dxa"/>
            <w:tcBorders>
              <w:top w:val="nil"/>
              <w:left w:val="nil"/>
              <w:bottom w:val="nil"/>
            </w:tcBorders>
            <w:shd w:val="clear" w:color="auto" w:fill="auto"/>
          </w:tcPr>
          <w:p>
            <w:pPr>
              <w:widowControl w:val="0"/>
              <w:jc w:val="center"/>
              <w:rPr>
                <w:sz w:val="22"/>
                <w:szCs w:val="22"/>
                <w:lang w:val="da-DK"/>
              </w:rPr>
            </w:pPr>
            <w:r>
              <w:rPr>
                <w:sz w:val="22"/>
                <w:szCs w:val="22"/>
                <w:lang w:val="da-DK"/>
              </w:rPr>
              <w:t>27.2</w:t>
            </w: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(95 % KI)</w:t>
            </w:r>
          </w:p>
        </w:tc>
        <w:tc>
          <w:tcPr>
            <w:tcW w:w="2867"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(NE; NE)</w:t>
            </w:r>
          </w:p>
        </w:tc>
        <w:tc>
          <w:tcPr>
            <w:tcW w:w="2704" w:type="dxa"/>
            <w:tcBorders>
              <w:top w:val="nil"/>
              <w:left w:val="nil"/>
              <w:bottom w:val="nil"/>
            </w:tcBorders>
            <w:shd w:val="clear" w:color="auto" w:fill="auto"/>
          </w:tcPr>
          <w:p>
            <w:pPr>
              <w:widowControl w:val="0"/>
              <w:jc w:val="center"/>
              <w:rPr>
                <w:sz w:val="22"/>
                <w:szCs w:val="22"/>
                <w:lang w:val="da-DK"/>
              </w:rPr>
            </w:pPr>
            <w:r>
              <w:rPr>
                <w:sz w:val="22"/>
                <w:szCs w:val="22"/>
                <w:lang w:val="da-DK"/>
              </w:rPr>
              <w:t>(25,95; NE)</w:t>
            </w: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p-værdi*</w:t>
            </w:r>
          </w:p>
        </w:tc>
        <w:tc>
          <w:tcPr>
            <w:tcW w:w="5571"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da-DK" w:eastAsia="sl-SI"/>
              </w:rPr>
            </w:pPr>
            <w:r>
              <w:rPr>
                <w:color w:val="000000"/>
                <w:sz w:val="22"/>
                <w:szCs w:val="22"/>
                <w:lang w:val="da-DK" w:eastAsia="sl-SI"/>
              </w:rPr>
              <w:t>0,0097</w:t>
            </w:r>
          </w:p>
        </w:tc>
      </w:tr>
      <w:tr>
        <w:tc>
          <w:tcPr>
            <w:tcW w:w="3492" w:type="dxa"/>
            <w:tcBorders>
              <w:top w:val="nil"/>
              <w:right w:val="nil"/>
            </w:tcBorders>
            <w:shd w:val="clear" w:color="auto" w:fill="auto"/>
          </w:tcPr>
          <w:p>
            <w:pPr>
              <w:widowControl w:val="0"/>
              <w:jc w:val="center"/>
              <w:rPr>
                <w:sz w:val="22"/>
                <w:szCs w:val="22"/>
                <w:lang w:val="da-DK"/>
              </w:rPr>
            </w:pPr>
            <w:r>
              <w:rPr>
                <w:i/>
                <w:iCs/>
                <w:sz w:val="22"/>
                <w:szCs w:val="22"/>
                <w:lang w:val="da-DK"/>
              </w:rPr>
              <w:t xml:space="preserve">Hazard </w:t>
            </w:r>
            <w:r>
              <w:rPr>
                <w:iCs/>
                <w:sz w:val="22"/>
                <w:szCs w:val="22"/>
                <w:lang w:val="da-DK"/>
              </w:rPr>
              <w:t>ratio</w:t>
            </w:r>
            <w:r>
              <w:rPr>
                <w:sz w:val="22"/>
                <w:szCs w:val="22"/>
                <w:lang w:val="da-DK"/>
              </w:rPr>
              <w:t>** (95 % KI)</w:t>
            </w:r>
          </w:p>
        </w:tc>
        <w:tc>
          <w:tcPr>
            <w:tcW w:w="5571" w:type="dxa"/>
            <w:gridSpan w:val="2"/>
            <w:tcBorders>
              <w:top w:val="nil"/>
              <w:left w:val="nil"/>
            </w:tcBorders>
            <w:shd w:val="clear" w:color="auto" w:fill="auto"/>
          </w:tcPr>
          <w:p>
            <w:pPr>
              <w:widowControl w:val="0"/>
              <w:kinsoku w:val="0"/>
              <w:overflowPunct w:val="0"/>
              <w:jc w:val="center"/>
              <w:rPr>
                <w:sz w:val="22"/>
                <w:szCs w:val="22"/>
                <w:highlight w:val="yellow"/>
                <w:u w:val="single"/>
                <w:lang w:val="da-DK"/>
              </w:rPr>
            </w:pPr>
            <w:r>
              <w:rPr>
                <w:sz w:val="22"/>
                <w:szCs w:val="22"/>
                <w:lang w:val="da-DK"/>
              </w:rPr>
              <w:t>0,752 (0,606; 0,934)</w:t>
            </w:r>
          </w:p>
        </w:tc>
      </w:tr>
      <w:tr>
        <w:tc>
          <w:tcPr>
            <w:tcW w:w="3492" w:type="dxa"/>
            <w:tcBorders>
              <w:bottom w:val="nil"/>
              <w:right w:val="nil"/>
            </w:tcBorders>
            <w:shd w:val="clear" w:color="auto" w:fill="auto"/>
          </w:tcPr>
          <w:p>
            <w:pPr>
              <w:widowControl w:val="0"/>
              <w:autoSpaceDE w:val="0"/>
              <w:autoSpaceDN w:val="0"/>
              <w:adjustRightInd w:val="0"/>
              <w:jc w:val="center"/>
              <w:rPr>
                <w:b/>
                <w:bCs/>
                <w:color w:val="000000"/>
                <w:sz w:val="22"/>
                <w:szCs w:val="22"/>
                <w:lang w:val="da-DK" w:eastAsia="sl-SI"/>
              </w:rPr>
            </w:pPr>
            <w:r>
              <w:rPr>
                <w:b/>
                <w:bCs/>
                <w:color w:val="000000"/>
                <w:sz w:val="22"/>
                <w:szCs w:val="22"/>
                <w:lang w:val="da-DK" w:eastAsia="sl-SI"/>
              </w:rPr>
              <w:t>Endelig overlevelsesanalyse</w:t>
            </w:r>
          </w:p>
        </w:tc>
        <w:tc>
          <w:tcPr>
            <w:tcW w:w="2867"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704"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Dødsfald (%)</w:t>
            </w:r>
          </w:p>
        </w:tc>
        <w:tc>
          <w:tcPr>
            <w:tcW w:w="2867"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354 (65 %)</w:t>
            </w:r>
          </w:p>
        </w:tc>
        <w:tc>
          <w:tcPr>
            <w:tcW w:w="2704" w:type="dxa"/>
            <w:tcBorders>
              <w:top w:val="nil"/>
              <w:left w:val="nil"/>
              <w:bottom w:val="nil"/>
            </w:tcBorders>
            <w:shd w:val="clear" w:color="auto" w:fill="auto"/>
          </w:tcPr>
          <w:p>
            <w:pPr>
              <w:widowControl w:val="0"/>
              <w:tabs>
                <w:tab w:val="left" w:pos="4545"/>
                <w:tab w:val="left" w:pos="7552"/>
              </w:tabs>
              <w:kinsoku w:val="0"/>
              <w:overflowPunct w:val="0"/>
              <w:ind w:left="229"/>
              <w:jc w:val="center"/>
              <w:rPr>
                <w:sz w:val="22"/>
                <w:szCs w:val="22"/>
                <w:lang w:val="da-DK"/>
              </w:rPr>
            </w:pPr>
            <w:r>
              <w:rPr>
                <w:sz w:val="22"/>
                <w:szCs w:val="22"/>
                <w:lang w:val="da-DK"/>
              </w:rPr>
              <w:t>387 (71 %)</w:t>
            </w: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Median samlet overlevelse (måneder) (95 % CI)</w:t>
            </w:r>
          </w:p>
        </w:tc>
        <w:tc>
          <w:tcPr>
            <w:tcW w:w="2867"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34,7 (32,7; 36,8)</w:t>
            </w:r>
          </w:p>
        </w:tc>
        <w:tc>
          <w:tcPr>
            <w:tcW w:w="2704" w:type="dxa"/>
            <w:tcBorders>
              <w:top w:val="nil"/>
              <w:left w:val="nil"/>
              <w:bottom w:val="nil"/>
            </w:tcBorders>
            <w:shd w:val="clear" w:color="auto" w:fill="auto"/>
          </w:tcPr>
          <w:p>
            <w:pPr>
              <w:widowControl w:val="0"/>
              <w:jc w:val="center"/>
              <w:rPr>
                <w:sz w:val="22"/>
                <w:szCs w:val="22"/>
                <w:lang w:val="da-DK"/>
              </w:rPr>
            </w:pPr>
            <w:r>
              <w:rPr>
                <w:sz w:val="22"/>
                <w:szCs w:val="22"/>
                <w:lang w:val="da-DK"/>
              </w:rPr>
              <w:t>30,3 (28,7; 33,3)</w:t>
            </w:r>
          </w:p>
        </w:tc>
      </w:tr>
      <w:tr>
        <w:tc>
          <w:tcPr>
            <w:tcW w:w="3492" w:type="dxa"/>
            <w:tcBorders>
              <w:top w:val="nil"/>
              <w:bottom w:val="nil"/>
              <w:right w:val="nil"/>
            </w:tcBorders>
            <w:shd w:val="clear" w:color="auto" w:fill="auto"/>
          </w:tcPr>
          <w:p>
            <w:pPr>
              <w:widowControl w:val="0"/>
              <w:jc w:val="center"/>
              <w:rPr>
                <w:sz w:val="22"/>
                <w:szCs w:val="22"/>
                <w:lang w:val="da-DK"/>
              </w:rPr>
            </w:pPr>
            <w:r>
              <w:rPr>
                <w:sz w:val="22"/>
                <w:szCs w:val="22"/>
                <w:lang w:val="da-DK"/>
              </w:rPr>
              <w:t>p-værdi*</w:t>
            </w:r>
          </w:p>
        </w:tc>
        <w:tc>
          <w:tcPr>
            <w:tcW w:w="5571"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da-DK" w:eastAsia="sl-SI"/>
              </w:rPr>
            </w:pPr>
            <w:r>
              <w:rPr>
                <w:color w:val="000000"/>
                <w:sz w:val="22"/>
                <w:szCs w:val="22"/>
                <w:lang w:val="da-DK" w:eastAsia="sl-SI"/>
              </w:rPr>
              <w:t>0,0033</w:t>
            </w:r>
          </w:p>
        </w:tc>
      </w:tr>
      <w:tr>
        <w:tc>
          <w:tcPr>
            <w:tcW w:w="3492" w:type="dxa"/>
            <w:tcBorders>
              <w:top w:val="nil"/>
              <w:right w:val="nil"/>
            </w:tcBorders>
            <w:shd w:val="clear" w:color="auto" w:fill="auto"/>
          </w:tcPr>
          <w:p>
            <w:pPr>
              <w:widowControl w:val="0"/>
              <w:jc w:val="center"/>
              <w:rPr>
                <w:sz w:val="22"/>
                <w:szCs w:val="22"/>
                <w:lang w:val="da-DK"/>
              </w:rPr>
            </w:pPr>
            <w:r>
              <w:rPr>
                <w:i/>
                <w:iCs/>
                <w:sz w:val="22"/>
                <w:szCs w:val="22"/>
                <w:lang w:val="da-DK"/>
              </w:rPr>
              <w:t xml:space="preserve">Hazard </w:t>
            </w:r>
            <w:r>
              <w:rPr>
                <w:iCs/>
                <w:sz w:val="22"/>
                <w:szCs w:val="22"/>
                <w:lang w:val="da-DK"/>
              </w:rPr>
              <w:t>ratio</w:t>
            </w:r>
            <w:r>
              <w:rPr>
                <w:sz w:val="22"/>
                <w:szCs w:val="22"/>
                <w:lang w:val="da-DK"/>
              </w:rPr>
              <w:t>** (95 % CI)</w:t>
            </w:r>
          </w:p>
        </w:tc>
        <w:tc>
          <w:tcPr>
            <w:tcW w:w="5571"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da-DK"/>
              </w:rPr>
            </w:pPr>
            <w:r>
              <w:rPr>
                <w:sz w:val="22"/>
                <w:szCs w:val="22"/>
                <w:lang w:val="da-DK"/>
              </w:rPr>
              <w:t>0,806 (0,697; 0,931)</w:t>
            </w:r>
          </w:p>
        </w:tc>
      </w:tr>
    </w:tbl>
    <w:p>
      <w:pPr>
        <w:widowControl w:val="0"/>
        <w:rPr>
          <w:sz w:val="18"/>
          <w:szCs w:val="18"/>
          <w:lang w:val="da-DK"/>
        </w:rPr>
      </w:pPr>
      <w:r>
        <w:rPr>
          <w:sz w:val="18"/>
          <w:szCs w:val="18"/>
          <w:lang w:val="da-DK"/>
        </w:rPr>
        <w:t>NE= Ikke estimeret</w:t>
      </w:r>
    </w:p>
    <w:p>
      <w:pPr>
        <w:widowControl w:val="0"/>
        <w:ind w:left="284" w:hanging="284"/>
        <w:rPr>
          <w:sz w:val="18"/>
          <w:szCs w:val="18"/>
          <w:lang w:val="da-DK"/>
        </w:rPr>
      </w:pPr>
      <w:r>
        <w:rPr>
          <w:sz w:val="18"/>
          <w:szCs w:val="18"/>
          <w:lang w:val="da-DK"/>
        </w:rPr>
        <w:t>*</w:t>
      </w:r>
      <w:r>
        <w:rPr>
          <w:sz w:val="18"/>
          <w:szCs w:val="18"/>
          <w:lang w:val="da-DK"/>
        </w:rPr>
        <w:tab/>
        <w:t xml:space="preserve">p-værdi er beregnet fra en log-rank test stratificeret ved </w:t>
      </w:r>
      <w:r>
        <w:rPr>
          <w:i/>
          <w:sz w:val="18"/>
          <w:szCs w:val="18"/>
          <w:lang w:val="da-DK"/>
        </w:rPr>
        <w:t>baseline</w:t>
      </w:r>
      <w:r>
        <w:rPr>
          <w:sz w:val="18"/>
          <w:szCs w:val="18"/>
          <w:lang w:val="da-DK"/>
        </w:rPr>
        <w:t>-ECOG-score (0 eller 1)</w:t>
      </w:r>
    </w:p>
    <w:p>
      <w:pPr>
        <w:widowControl w:val="0"/>
        <w:ind w:left="284" w:hanging="284"/>
        <w:rPr>
          <w:sz w:val="18"/>
          <w:szCs w:val="18"/>
          <w:lang w:val="da-DK"/>
        </w:rPr>
      </w:pPr>
      <w:r>
        <w:rPr>
          <w:sz w:val="18"/>
          <w:szCs w:val="18"/>
          <w:lang w:val="da-DK"/>
        </w:rPr>
        <w:t>**</w:t>
      </w:r>
      <w:r>
        <w:rPr>
          <w:sz w:val="18"/>
          <w:szCs w:val="18"/>
          <w:lang w:val="da-DK"/>
        </w:rPr>
        <w:tab/>
      </w:r>
      <w:r>
        <w:rPr>
          <w:i/>
          <w:sz w:val="18"/>
          <w:szCs w:val="18"/>
          <w:lang w:val="da-DK"/>
        </w:rPr>
        <w:t xml:space="preserve">Hazard </w:t>
      </w:r>
      <w:r>
        <w:rPr>
          <w:sz w:val="18"/>
          <w:szCs w:val="18"/>
          <w:lang w:val="da-DK"/>
        </w:rPr>
        <w:t>ratio &lt; 1 indikerer en fordel for abirateronacetat</w:t>
      </w:r>
    </w:p>
    <w:p>
      <w:pPr>
        <w:widowControl w:val="0"/>
        <w:rPr>
          <w:sz w:val="22"/>
          <w:szCs w:val="22"/>
          <w:lang w:val="da-DK"/>
        </w:rPr>
      </w:pPr>
    </w:p>
    <w:p>
      <w:pPr>
        <w:widowControl w:val="0"/>
        <w:rPr>
          <w:b/>
          <w:sz w:val="22"/>
          <w:szCs w:val="22"/>
          <w:lang w:val="da-DK"/>
        </w:rPr>
      </w:pPr>
      <w:r>
        <w:rPr>
          <w:b/>
          <w:sz w:val="22"/>
          <w:szCs w:val="22"/>
          <w:lang w:val="da-DK"/>
        </w:rPr>
        <w:t>Figur 5: Kaplan Meier overlevelseskurver for patienter behandlet med enten abirateronacetat eller placebo i kombination med prednison eller prednisolon plus LHRH-analog eller tidligere orkiektomi, endelig analyse.</w:t>
      </w:r>
    </w:p>
    <w:p>
      <w:pPr>
        <w:widowControl w:val="0"/>
        <w:rPr>
          <w:sz w:val="22"/>
          <w:szCs w:val="22"/>
          <w:lang w:val="da-DK"/>
        </w:rPr>
      </w:pPr>
      <w:r>
        <w:rPr>
          <w:noProof/>
          <w:lang w:val="sl-SI" w:eastAsia="sl-SI"/>
        </w:rPr>
        <w:lastRenderedPageBreak/>
        <w:drawing>
          <wp:inline distT="0" distB="0" distL="0" distR="0">
            <wp:extent cx="5326940" cy="4279922"/>
            <wp:effectExtent l="0" t="0" r="7620" b="635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3" cstate="print"/>
                    <a:stretch>
                      <a:fillRect/>
                    </a:stretch>
                  </pic:blipFill>
                  <pic:spPr>
                    <a:xfrm>
                      <a:off x="0" y="0"/>
                      <a:ext cx="5347004" cy="4296042"/>
                    </a:xfrm>
                    <a:prstGeom prst="rect">
                      <a:avLst/>
                    </a:prstGeom>
                  </pic:spPr>
                </pic:pic>
              </a:graphicData>
            </a:graphic>
          </wp:inline>
        </w:drawing>
      </w:r>
    </w:p>
    <w:p>
      <w:pPr>
        <w:widowControl w:val="0"/>
        <w:rPr>
          <w:sz w:val="18"/>
          <w:szCs w:val="18"/>
          <w:lang w:val="da-DK"/>
        </w:rPr>
      </w:pPr>
      <w:r>
        <w:rPr>
          <w:sz w:val="18"/>
          <w:szCs w:val="18"/>
          <w:lang w:val="da-DK"/>
        </w:rPr>
        <w:t>AA= abirateronacetat</w:t>
      </w:r>
    </w:p>
    <w:p>
      <w:pPr>
        <w:widowControl w:val="0"/>
        <w:rPr>
          <w:sz w:val="22"/>
          <w:szCs w:val="22"/>
          <w:lang w:val="da-DK"/>
        </w:rPr>
      </w:pPr>
    </w:p>
    <w:p>
      <w:pPr>
        <w:widowControl w:val="0"/>
        <w:rPr>
          <w:sz w:val="22"/>
          <w:szCs w:val="22"/>
          <w:lang w:val="da-DK"/>
        </w:rPr>
      </w:pPr>
      <w:r>
        <w:rPr>
          <w:sz w:val="22"/>
          <w:szCs w:val="22"/>
          <w:lang w:val="da-DK"/>
        </w:rPr>
        <w:t>Ud over de observerede forbedringer i samlet overlevelse og rPFS blev der demonstreret gavn af abirateronacetat vs. placebo i alle sekundære endepunkter på følgende måde:</w:t>
      </w:r>
    </w:p>
    <w:p>
      <w:pPr>
        <w:widowControl w:val="0"/>
        <w:rPr>
          <w:sz w:val="22"/>
          <w:szCs w:val="22"/>
          <w:lang w:val="da-DK"/>
        </w:rPr>
      </w:pPr>
    </w:p>
    <w:p>
      <w:pPr>
        <w:widowControl w:val="0"/>
        <w:rPr>
          <w:sz w:val="22"/>
          <w:szCs w:val="22"/>
          <w:lang w:val="da-DK"/>
        </w:rPr>
      </w:pPr>
      <w:r>
        <w:rPr>
          <w:sz w:val="22"/>
          <w:szCs w:val="22"/>
          <w:lang w:val="da-DK"/>
        </w:rPr>
        <w:t>Tid til PSA-progression baseret på PCWG-kriterier: Mediantiden til PSA-progression var 11,1 måneder for patienter, der fik abirateronacetat, og 5,6 måneder for patienter, der fik placebo (HR = 0,488; 95 % KI: [0,420; 0,568], p &lt; 0,0001). Tiden til PSA-progression var omtrent fordoblet med abirateronacetat-behandling (HR = 0,488). Andelen af forsøgspersoner med bekræftet PSA-respons var højere i abirateronacetat-gruppen end i placebo-gruppen (62 % vs. 24 %); p &lt; 0,0001). Blandt forsøgspersoner med registrerbar bløddelssygdom blev der set signifikant flere tilfælde af fuldstændigt eller delvist tumorrespons med abirateronacetat-behandling.</w:t>
      </w:r>
    </w:p>
    <w:p>
      <w:pPr>
        <w:widowControl w:val="0"/>
        <w:rPr>
          <w:sz w:val="22"/>
          <w:szCs w:val="22"/>
          <w:lang w:val="da-DK"/>
        </w:rPr>
      </w:pPr>
    </w:p>
    <w:p>
      <w:pPr>
        <w:widowControl w:val="0"/>
        <w:rPr>
          <w:sz w:val="22"/>
          <w:szCs w:val="22"/>
          <w:lang w:val="da-DK"/>
        </w:rPr>
      </w:pPr>
      <w:r>
        <w:rPr>
          <w:sz w:val="22"/>
          <w:szCs w:val="22"/>
          <w:lang w:val="da-DK"/>
        </w:rPr>
        <w:t>Tiden indtil anvendelse af opiat mod cancersmerter: Mediantiden indtil brug af opiat mod prostatacancersmerter på tidspunktet for den endelige analyse var 33,4 måneder for patienter, der fik abirateronacetat og 23,4 måneder for patienter, der fik placebo (HR = 0,721; 95 % KI [0,614; 0,846], p</w:t>
      </w:r>
      <w:r>
        <w:t> </w:t>
      </w:r>
      <w:r>
        <w:rPr>
          <w:sz w:val="22"/>
          <w:szCs w:val="22"/>
          <w:lang w:val="da-DK"/>
        </w:rPr>
        <w:t>&lt; 0,0001).</w:t>
      </w:r>
    </w:p>
    <w:p>
      <w:pPr>
        <w:widowControl w:val="0"/>
        <w:rPr>
          <w:sz w:val="22"/>
          <w:szCs w:val="22"/>
          <w:lang w:val="da-DK"/>
        </w:rPr>
      </w:pPr>
    </w:p>
    <w:p>
      <w:pPr>
        <w:widowControl w:val="0"/>
        <w:rPr>
          <w:sz w:val="22"/>
          <w:szCs w:val="22"/>
          <w:lang w:val="da-DK"/>
        </w:rPr>
      </w:pPr>
      <w:r>
        <w:rPr>
          <w:sz w:val="22"/>
          <w:szCs w:val="22"/>
          <w:lang w:val="da-DK"/>
        </w:rPr>
        <w:t>Tiden indtil påbegyndelse af cytotoksisk kemoterapi: Mediantiden indtil påbegyndelse af cytotoksisk kemoterapi var 25,2 måneder for patienter, der fik abirateronacetat, og 16,8 måneder for patienter, der fik placebo (HR = 0,580; 95 % KI: [0,487; 0,69], p &lt; 0,0001).</w:t>
      </w:r>
    </w:p>
    <w:p>
      <w:pPr>
        <w:widowControl w:val="0"/>
        <w:rPr>
          <w:sz w:val="22"/>
          <w:szCs w:val="22"/>
          <w:lang w:val="da-DK"/>
        </w:rPr>
      </w:pPr>
    </w:p>
    <w:p>
      <w:pPr>
        <w:widowControl w:val="0"/>
        <w:rPr>
          <w:sz w:val="22"/>
          <w:szCs w:val="22"/>
          <w:lang w:val="da-DK"/>
        </w:rPr>
      </w:pPr>
      <w:r>
        <w:rPr>
          <w:sz w:val="22"/>
          <w:szCs w:val="22"/>
          <w:lang w:val="da-DK"/>
        </w:rPr>
        <w:t xml:space="preserve">Tiden indtil forringelse af ECOG-performancescore med ≥ 1 point: Mediantiden indtil forringelse af ECOG-performancescore med ≥ 1 point var 12,3 måneder for patienter, der fik abirateronacetat, og 10,9 måneder for patienter, der fik placebo (HR = 0,821); 95 % KI: [0,714; 0,943], p = 0,0053). </w:t>
      </w:r>
    </w:p>
    <w:p>
      <w:pPr>
        <w:widowControl w:val="0"/>
        <w:rPr>
          <w:sz w:val="22"/>
          <w:szCs w:val="22"/>
          <w:lang w:val="da-DK"/>
        </w:rPr>
      </w:pPr>
    </w:p>
    <w:p>
      <w:pPr>
        <w:widowControl w:val="0"/>
        <w:rPr>
          <w:sz w:val="22"/>
          <w:szCs w:val="22"/>
          <w:lang w:val="da-DK"/>
        </w:rPr>
      </w:pPr>
      <w:r>
        <w:rPr>
          <w:sz w:val="22"/>
          <w:szCs w:val="22"/>
          <w:lang w:val="da-DK"/>
        </w:rPr>
        <w:t>Følgende studieendepunkter demonstrerede en statistisk signifikant fordel ved abirateronacetat-behandling:</w:t>
      </w:r>
    </w:p>
    <w:p>
      <w:pPr>
        <w:widowControl w:val="0"/>
        <w:rPr>
          <w:sz w:val="22"/>
          <w:szCs w:val="22"/>
          <w:lang w:val="da-DK"/>
        </w:rPr>
      </w:pPr>
    </w:p>
    <w:p>
      <w:pPr>
        <w:widowControl w:val="0"/>
        <w:rPr>
          <w:sz w:val="22"/>
          <w:szCs w:val="22"/>
          <w:lang w:val="da-DK"/>
        </w:rPr>
      </w:pPr>
      <w:r>
        <w:rPr>
          <w:sz w:val="22"/>
          <w:szCs w:val="22"/>
          <w:lang w:val="da-DK"/>
        </w:rPr>
        <w:t xml:space="preserve">Objektivt respons: Objektivt respons var defineret som den andel af forsøgspersoner med registrerbare </w:t>
      </w:r>
      <w:r>
        <w:rPr>
          <w:sz w:val="22"/>
          <w:szCs w:val="22"/>
          <w:lang w:val="da-DK"/>
        </w:rPr>
        <w:lastRenderedPageBreak/>
        <w:t>sygdomme, der opnåede et fuldstændigt eller delvist respons ifølge RECIST-kriterier (</w:t>
      </w:r>
      <w:r>
        <w:rPr>
          <w:i/>
          <w:sz w:val="22"/>
          <w:szCs w:val="22"/>
          <w:lang w:val="da-DK"/>
        </w:rPr>
        <w:t>baseline</w:t>
      </w:r>
      <w:r>
        <w:rPr>
          <w:sz w:val="22"/>
          <w:szCs w:val="22"/>
          <w:lang w:val="da-DK"/>
        </w:rPr>
        <w:t xml:space="preserve">- lymfeknudestørrelse skulle være over ≥ 2 cm for at blive anset for en target-læsion). Andelen af forsøgspersoner med registrerbar sygdom ved </w:t>
      </w:r>
      <w:r>
        <w:rPr>
          <w:i/>
          <w:sz w:val="22"/>
          <w:szCs w:val="22"/>
          <w:lang w:val="da-DK"/>
        </w:rPr>
        <w:t>baseline</w:t>
      </w:r>
      <w:r>
        <w:rPr>
          <w:sz w:val="22"/>
          <w:szCs w:val="22"/>
          <w:lang w:val="da-DK"/>
        </w:rPr>
        <w:t>, som havde et objektivt respons, var 36 % i abirateronacetat-gruppen og 16 % i placebo-gruppen (p &lt; 0,0001).</w:t>
      </w:r>
    </w:p>
    <w:p>
      <w:pPr>
        <w:widowControl w:val="0"/>
        <w:rPr>
          <w:sz w:val="22"/>
          <w:szCs w:val="22"/>
          <w:lang w:val="da-DK"/>
        </w:rPr>
      </w:pPr>
    </w:p>
    <w:p>
      <w:pPr>
        <w:widowControl w:val="0"/>
        <w:rPr>
          <w:sz w:val="22"/>
          <w:szCs w:val="22"/>
          <w:lang w:val="da-DK"/>
        </w:rPr>
      </w:pPr>
      <w:r>
        <w:rPr>
          <w:sz w:val="22"/>
          <w:szCs w:val="22"/>
          <w:lang w:val="da-DK"/>
        </w:rPr>
        <w:t>Smerter: Behandling med abirateronacetat reducerede risikoen for gennemsnitlig smerteintensitetetsprogression med 18 % sammenlignet med placebo (p = 0,0490). Mediantiden til progression var 26,7 måneder i abirateronacetat-gruppen og 18,4 måneder i placebo-gruppen.</w:t>
      </w:r>
    </w:p>
    <w:p>
      <w:pPr>
        <w:widowControl w:val="0"/>
        <w:rPr>
          <w:sz w:val="22"/>
          <w:szCs w:val="22"/>
          <w:lang w:val="da-DK"/>
        </w:rPr>
      </w:pPr>
    </w:p>
    <w:p>
      <w:pPr>
        <w:widowControl w:val="0"/>
        <w:rPr>
          <w:sz w:val="22"/>
          <w:szCs w:val="22"/>
          <w:lang w:val="da-DK"/>
        </w:rPr>
      </w:pPr>
      <w:r>
        <w:rPr>
          <w:sz w:val="22"/>
          <w:szCs w:val="22"/>
          <w:lang w:val="da-DK"/>
        </w:rPr>
        <w:t>Tid til forringelse af FACT-P (samlet score): Behandling med abirateronacetat reducerede risikoen for forringelse af FACT-P (samlet score) med 22 % sammenlignet med placebo (p = 0,0028). Mediantiden til forringelse af FACT-P (samlet score) var 12,7 måneder i abirateronacetat-gruppen og 8,3 måneder i placebo-gruppen.</w:t>
      </w:r>
    </w:p>
    <w:p>
      <w:pPr>
        <w:widowControl w:val="0"/>
        <w:rPr>
          <w:sz w:val="22"/>
          <w:szCs w:val="22"/>
          <w:lang w:val="da-DK"/>
        </w:rPr>
      </w:pPr>
    </w:p>
    <w:p>
      <w:pPr>
        <w:widowControl w:val="0"/>
        <w:rPr>
          <w:i/>
          <w:sz w:val="22"/>
          <w:szCs w:val="22"/>
          <w:lang w:val="da-DK"/>
        </w:rPr>
      </w:pPr>
      <w:r>
        <w:rPr>
          <w:i/>
          <w:sz w:val="22"/>
          <w:szCs w:val="22"/>
          <w:lang w:val="da-DK"/>
        </w:rPr>
        <w:t>Studie 301 (patienter som tidligere var behandlet med kemoterapi)</w:t>
      </w:r>
    </w:p>
    <w:p>
      <w:pPr>
        <w:widowControl w:val="0"/>
        <w:rPr>
          <w:sz w:val="22"/>
          <w:szCs w:val="22"/>
          <w:lang w:val="da-DK"/>
        </w:rPr>
      </w:pPr>
      <w:r>
        <w:rPr>
          <w:sz w:val="22"/>
          <w:szCs w:val="22"/>
          <w:lang w:val="da-DK"/>
        </w:rPr>
        <w:t xml:space="preserve">Studie 301 omfattede patienter, som tidligere havde fået docetaxel. Det blev ikke krævet, at patienter skulle vise sygdomsprogression på docetaxel, da toksicitet fra denne kemoterapi kan have ført til seponering. Patienter blev fastholdt på studiemedicin, indtil der var PSA-progression (bekræftet 25 % stigning over patientens </w:t>
      </w:r>
      <w:r>
        <w:rPr>
          <w:i/>
          <w:sz w:val="22"/>
          <w:szCs w:val="22"/>
          <w:lang w:val="da-DK"/>
        </w:rPr>
        <w:t>baseline</w:t>
      </w:r>
      <w:r>
        <w:rPr>
          <w:sz w:val="22"/>
          <w:szCs w:val="22"/>
          <w:lang w:val="da-DK"/>
        </w:rPr>
        <w:t>/nadir) sammen med protokoldefineret radiografisk progression og symptomatisk eller klinisk progression. Patienter, der tidligere havde fået ketoconazol for prostatacancer, blev ekskluderet fra dette studie. Det primære effektendepunkt var total overlevelse.</w:t>
      </w:r>
    </w:p>
    <w:p>
      <w:pPr>
        <w:widowControl w:val="0"/>
        <w:rPr>
          <w:sz w:val="22"/>
          <w:szCs w:val="22"/>
          <w:lang w:val="da-DK"/>
        </w:rPr>
      </w:pPr>
    </w:p>
    <w:p>
      <w:pPr>
        <w:widowControl w:val="0"/>
        <w:rPr>
          <w:sz w:val="22"/>
          <w:szCs w:val="22"/>
          <w:lang w:val="da-DK"/>
        </w:rPr>
      </w:pPr>
      <w:r>
        <w:rPr>
          <w:sz w:val="22"/>
          <w:szCs w:val="22"/>
          <w:lang w:val="da-DK"/>
        </w:rPr>
        <w:t>Median alder for de deltagende patienter var 69 år (interval 39-95). Opstillet efter race fordelte patienterne, som fik abirateronacetat, sig med 737 (93,2 %) kaukasiere, 28 (3,5 %) sorte, 11 (1,4 %) asiater og 14 (1,8 %) andre racer. 11 % af de deltagende patienter havde en ECOG-performancescore på 2. 70 % havde radiografisk dokumenteret sygdomsprogression med eller uden PSA-progression. 70 % var tidligere behandlet med cytostatika, 30 % havde fået to sådanne behandlinger. Levermetastaser forekom hos 11 % af de patienter, der fik abirateronacetat.</w:t>
      </w:r>
    </w:p>
    <w:p>
      <w:pPr>
        <w:widowControl w:val="0"/>
        <w:rPr>
          <w:sz w:val="22"/>
          <w:szCs w:val="22"/>
          <w:lang w:val="da-DK"/>
        </w:rPr>
      </w:pPr>
    </w:p>
    <w:p>
      <w:pPr>
        <w:widowControl w:val="0"/>
        <w:rPr>
          <w:sz w:val="22"/>
          <w:szCs w:val="22"/>
          <w:lang w:val="da-DK"/>
        </w:rPr>
      </w:pPr>
      <w:r>
        <w:rPr>
          <w:sz w:val="22"/>
          <w:szCs w:val="22"/>
          <w:lang w:val="da-DK"/>
        </w:rPr>
        <w:t>I en planlagt analyse udført efter observation af 552 dødsfald var 42 % (333 ud af 797) af de patienter, der fik abirateronacetat, sammenlignet med 55 % (219 ud af 398) af de patienter, der fik placebo, afgået ved døden. Der sås en statistisk signifikant forbedring i den mediane samlede overlevelse hos patienter, der blev behandlet med abirateronacetat (se tabel 7).</w:t>
      </w:r>
    </w:p>
    <w:p>
      <w:pPr>
        <w:widowControl w:val="0"/>
        <w:rPr>
          <w:sz w:val="22"/>
          <w:szCs w:val="22"/>
          <w:lang w:val="da-DK"/>
        </w:rPr>
      </w:pPr>
    </w:p>
    <w:p>
      <w:pPr>
        <w:widowControl w:val="0"/>
        <w:rPr>
          <w:b/>
          <w:sz w:val="22"/>
          <w:szCs w:val="22"/>
          <w:lang w:val="da-DK"/>
        </w:rPr>
      </w:pPr>
      <w:r>
        <w:rPr>
          <w:b/>
          <w:sz w:val="22"/>
          <w:szCs w:val="22"/>
          <w:lang w:val="da-DK"/>
        </w:rPr>
        <w:t>Tabel 7: Samlet overlevelse hos patienter i behandling med enten abirateronacetat eller placebo i kombination med prednison eller prednisolon plus LHRH-analog- eller tidligere orkiektomi.</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517"/>
        <w:gridCol w:w="2885"/>
        <w:gridCol w:w="2529"/>
      </w:tblGrid>
      <w:tr>
        <w:trPr>
          <w:trHeight w:val="491"/>
        </w:trPr>
        <w:tc>
          <w:tcPr>
            <w:tcW w:w="3517"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885" w:type="dxa"/>
            <w:tcBorders>
              <w:left w:val="nil"/>
              <w:bottom w:val="single" w:sz="6" w:space="0" w:color="000000"/>
              <w:right w:val="nil"/>
            </w:tcBorders>
            <w:shd w:val="clear" w:color="auto" w:fill="auto"/>
          </w:tcPr>
          <w:p>
            <w:pPr>
              <w:widowControl w:val="0"/>
              <w:kinsoku w:val="0"/>
              <w:overflowPunct w:val="0"/>
              <w:jc w:val="center"/>
              <w:rPr>
                <w:b/>
                <w:bCs/>
                <w:sz w:val="22"/>
                <w:szCs w:val="22"/>
                <w:lang w:val="da-DK"/>
              </w:rPr>
            </w:pPr>
            <w:r>
              <w:rPr>
                <w:b/>
                <w:bCs/>
                <w:sz w:val="22"/>
                <w:szCs w:val="22"/>
                <w:lang w:val="da-DK"/>
              </w:rPr>
              <w:t>abirateronacetat</w:t>
            </w:r>
          </w:p>
          <w:p>
            <w:pPr>
              <w:widowControl w:val="0"/>
              <w:kinsoku w:val="0"/>
              <w:overflowPunct w:val="0"/>
              <w:jc w:val="center"/>
              <w:rPr>
                <w:b/>
                <w:bCs/>
                <w:sz w:val="22"/>
                <w:szCs w:val="22"/>
                <w:lang w:val="da-DK"/>
              </w:rPr>
            </w:pPr>
            <w:r>
              <w:rPr>
                <w:b/>
                <w:bCs/>
                <w:sz w:val="22"/>
                <w:szCs w:val="22"/>
                <w:lang w:val="da-DK"/>
              </w:rPr>
              <w:t>(n=797)</w:t>
            </w:r>
          </w:p>
        </w:tc>
        <w:tc>
          <w:tcPr>
            <w:tcW w:w="2529" w:type="dxa"/>
            <w:tcBorders>
              <w:left w:val="nil"/>
              <w:bottom w:val="single" w:sz="6" w:space="0" w:color="000000"/>
            </w:tcBorders>
            <w:shd w:val="clear" w:color="auto" w:fill="auto"/>
          </w:tcPr>
          <w:p>
            <w:pPr>
              <w:widowControl w:val="0"/>
              <w:kinsoku w:val="0"/>
              <w:overflowPunct w:val="0"/>
              <w:jc w:val="center"/>
              <w:rPr>
                <w:b/>
                <w:bCs/>
                <w:sz w:val="22"/>
                <w:szCs w:val="22"/>
                <w:lang w:val="da-DK"/>
              </w:rPr>
            </w:pPr>
            <w:r>
              <w:rPr>
                <w:b/>
                <w:bCs/>
                <w:sz w:val="22"/>
                <w:szCs w:val="22"/>
                <w:lang w:val="da-DK"/>
              </w:rPr>
              <w:t>placebo</w:t>
            </w:r>
          </w:p>
          <w:p>
            <w:pPr>
              <w:widowControl w:val="0"/>
              <w:kinsoku w:val="0"/>
              <w:overflowPunct w:val="0"/>
              <w:jc w:val="center"/>
              <w:rPr>
                <w:b/>
                <w:bCs/>
                <w:sz w:val="22"/>
                <w:szCs w:val="22"/>
                <w:lang w:val="da-DK"/>
              </w:rPr>
            </w:pPr>
            <w:r>
              <w:rPr>
                <w:b/>
                <w:bCs/>
                <w:sz w:val="22"/>
                <w:szCs w:val="22"/>
                <w:lang w:val="da-DK"/>
              </w:rPr>
              <w:t>(n=398)</w:t>
            </w:r>
          </w:p>
        </w:tc>
      </w:tr>
      <w:tr>
        <w:tc>
          <w:tcPr>
            <w:tcW w:w="3517" w:type="dxa"/>
            <w:tcBorders>
              <w:bottom w:val="nil"/>
              <w:right w:val="nil"/>
            </w:tcBorders>
            <w:shd w:val="clear" w:color="auto" w:fill="auto"/>
          </w:tcPr>
          <w:p>
            <w:pPr>
              <w:widowControl w:val="0"/>
              <w:autoSpaceDE w:val="0"/>
              <w:autoSpaceDN w:val="0"/>
              <w:adjustRightInd w:val="0"/>
              <w:jc w:val="center"/>
              <w:rPr>
                <w:b/>
                <w:bCs/>
                <w:color w:val="000000"/>
                <w:sz w:val="22"/>
                <w:szCs w:val="22"/>
                <w:lang w:val="da-DK" w:eastAsia="sl-SI"/>
              </w:rPr>
            </w:pPr>
            <w:r>
              <w:rPr>
                <w:b/>
                <w:bCs/>
                <w:color w:val="000000"/>
                <w:sz w:val="22"/>
                <w:szCs w:val="22"/>
                <w:lang w:val="da-DK" w:eastAsia="sl-SI"/>
              </w:rPr>
              <w:t>Primær overlevelseanalyse</w:t>
            </w:r>
          </w:p>
        </w:tc>
        <w:tc>
          <w:tcPr>
            <w:tcW w:w="2885"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529"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r>
      <w:tr>
        <w:tc>
          <w:tcPr>
            <w:tcW w:w="3517" w:type="dxa"/>
            <w:tcBorders>
              <w:top w:val="nil"/>
              <w:bottom w:val="nil"/>
              <w:right w:val="nil"/>
            </w:tcBorders>
            <w:shd w:val="clear" w:color="auto" w:fill="auto"/>
          </w:tcPr>
          <w:p>
            <w:pPr>
              <w:widowControl w:val="0"/>
              <w:jc w:val="center"/>
              <w:rPr>
                <w:sz w:val="22"/>
                <w:szCs w:val="22"/>
                <w:lang w:val="da-DK"/>
              </w:rPr>
            </w:pPr>
            <w:r>
              <w:rPr>
                <w:sz w:val="22"/>
                <w:szCs w:val="22"/>
                <w:lang w:val="da-DK"/>
              </w:rPr>
              <w:t>Død (%)</w:t>
            </w:r>
          </w:p>
        </w:tc>
        <w:tc>
          <w:tcPr>
            <w:tcW w:w="2885" w:type="dxa"/>
            <w:tcBorders>
              <w:top w:val="nil"/>
              <w:left w:val="nil"/>
              <w:bottom w:val="nil"/>
              <w:right w:val="nil"/>
            </w:tcBorders>
            <w:shd w:val="clear" w:color="auto" w:fill="auto"/>
          </w:tcPr>
          <w:p>
            <w:pPr>
              <w:widowControl w:val="0"/>
              <w:kinsoku w:val="0"/>
              <w:overflowPunct w:val="0"/>
              <w:jc w:val="center"/>
              <w:rPr>
                <w:sz w:val="22"/>
                <w:szCs w:val="22"/>
                <w:lang w:val="da-DK"/>
              </w:rPr>
            </w:pPr>
            <w:r>
              <w:rPr>
                <w:sz w:val="22"/>
                <w:szCs w:val="22"/>
                <w:lang w:val="da-DK"/>
              </w:rPr>
              <w:t>333 (42 %)</w:t>
            </w:r>
          </w:p>
        </w:tc>
        <w:tc>
          <w:tcPr>
            <w:tcW w:w="2529" w:type="dxa"/>
            <w:tcBorders>
              <w:top w:val="nil"/>
              <w:left w:val="nil"/>
              <w:bottom w:val="nil"/>
            </w:tcBorders>
            <w:shd w:val="clear" w:color="auto" w:fill="auto"/>
          </w:tcPr>
          <w:p>
            <w:pPr>
              <w:widowControl w:val="0"/>
              <w:kinsoku w:val="0"/>
              <w:overflowPunct w:val="0"/>
              <w:jc w:val="center"/>
              <w:rPr>
                <w:sz w:val="22"/>
                <w:szCs w:val="22"/>
                <w:lang w:val="da-DK"/>
              </w:rPr>
            </w:pPr>
            <w:r>
              <w:rPr>
                <w:sz w:val="22"/>
                <w:szCs w:val="22"/>
                <w:lang w:val="da-DK"/>
              </w:rPr>
              <w:t>219 (55 %)</w:t>
            </w:r>
          </w:p>
        </w:tc>
      </w:tr>
      <w:tr>
        <w:tc>
          <w:tcPr>
            <w:tcW w:w="3517" w:type="dxa"/>
            <w:tcBorders>
              <w:top w:val="nil"/>
              <w:bottom w:val="nil"/>
              <w:right w:val="nil"/>
            </w:tcBorders>
            <w:shd w:val="clear" w:color="auto" w:fill="auto"/>
          </w:tcPr>
          <w:p>
            <w:pPr>
              <w:widowControl w:val="0"/>
              <w:jc w:val="center"/>
              <w:rPr>
                <w:sz w:val="22"/>
                <w:szCs w:val="22"/>
                <w:lang w:val="da-DK"/>
              </w:rPr>
            </w:pPr>
            <w:r>
              <w:rPr>
                <w:sz w:val="22"/>
                <w:szCs w:val="22"/>
                <w:lang w:val="da-DK"/>
              </w:rPr>
              <w:t>Median overlevelse (måneder)</w:t>
            </w:r>
          </w:p>
          <w:p>
            <w:pPr>
              <w:widowControl w:val="0"/>
              <w:jc w:val="center"/>
              <w:rPr>
                <w:sz w:val="22"/>
                <w:szCs w:val="22"/>
                <w:lang w:val="da-DK"/>
              </w:rPr>
            </w:pPr>
            <w:r>
              <w:rPr>
                <w:sz w:val="22"/>
                <w:szCs w:val="22"/>
                <w:lang w:val="da-DK"/>
              </w:rPr>
              <w:t>(95 % KI)</w:t>
            </w:r>
          </w:p>
        </w:tc>
        <w:tc>
          <w:tcPr>
            <w:tcW w:w="2885"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14,8</w:t>
            </w:r>
          </w:p>
          <w:p>
            <w:pPr>
              <w:widowControl w:val="0"/>
              <w:jc w:val="center"/>
              <w:rPr>
                <w:sz w:val="22"/>
                <w:szCs w:val="22"/>
                <w:lang w:val="da-DK"/>
              </w:rPr>
            </w:pPr>
            <w:r>
              <w:rPr>
                <w:sz w:val="22"/>
                <w:szCs w:val="22"/>
                <w:lang w:val="da-DK"/>
              </w:rPr>
              <w:t>(14,1;</w:t>
            </w:r>
            <w:r>
              <w:rPr>
                <w:spacing w:val="1"/>
                <w:sz w:val="22"/>
                <w:szCs w:val="22"/>
                <w:lang w:val="da-DK"/>
              </w:rPr>
              <w:t xml:space="preserve"> </w:t>
            </w:r>
            <w:r>
              <w:rPr>
                <w:sz w:val="22"/>
                <w:szCs w:val="22"/>
                <w:lang w:val="da-DK"/>
              </w:rPr>
              <w:t>15,4)</w:t>
            </w:r>
          </w:p>
        </w:tc>
        <w:tc>
          <w:tcPr>
            <w:tcW w:w="2529" w:type="dxa"/>
            <w:tcBorders>
              <w:top w:val="nil"/>
              <w:left w:val="nil"/>
              <w:bottom w:val="nil"/>
            </w:tcBorders>
            <w:shd w:val="clear" w:color="auto" w:fill="auto"/>
          </w:tcPr>
          <w:p>
            <w:pPr>
              <w:widowControl w:val="0"/>
              <w:jc w:val="center"/>
              <w:rPr>
                <w:sz w:val="22"/>
                <w:szCs w:val="22"/>
                <w:lang w:val="da-DK"/>
              </w:rPr>
            </w:pPr>
            <w:r>
              <w:rPr>
                <w:sz w:val="22"/>
                <w:szCs w:val="22"/>
                <w:lang w:val="da-DK"/>
              </w:rPr>
              <w:t>10,9</w:t>
            </w:r>
          </w:p>
          <w:p>
            <w:pPr>
              <w:widowControl w:val="0"/>
              <w:jc w:val="center"/>
              <w:rPr>
                <w:sz w:val="22"/>
                <w:szCs w:val="22"/>
                <w:lang w:val="da-DK"/>
              </w:rPr>
            </w:pPr>
            <w:r>
              <w:rPr>
                <w:sz w:val="22"/>
                <w:szCs w:val="22"/>
                <w:lang w:val="da-DK"/>
              </w:rPr>
              <w:t>(10,2; 12,0)</w:t>
            </w:r>
          </w:p>
        </w:tc>
      </w:tr>
      <w:tr>
        <w:tc>
          <w:tcPr>
            <w:tcW w:w="3517" w:type="dxa"/>
            <w:tcBorders>
              <w:top w:val="nil"/>
              <w:bottom w:val="nil"/>
              <w:right w:val="nil"/>
            </w:tcBorders>
            <w:shd w:val="clear" w:color="auto" w:fill="auto"/>
          </w:tcPr>
          <w:p>
            <w:pPr>
              <w:widowControl w:val="0"/>
              <w:jc w:val="center"/>
              <w:rPr>
                <w:sz w:val="22"/>
                <w:szCs w:val="22"/>
                <w:lang w:val="da-DK"/>
              </w:rPr>
            </w:pPr>
            <w:r>
              <w:rPr>
                <w:sz w:val="22"/>
                <w:szCs w:val="22"/>
                <w:lang w:val="da-DK"/>
              </w:rPr>
              <w:t>p-værdi</w:t>
            </w:r>
            <w:r>
              <w:rPr>
                <w:sz w:val="22"/>
                <w:szCs w:val="22"/>
                <w:vertAlign w:val="superscript"/>
                <w:lang w:val="da-DK"/>
              </w:rPr>
              <w:t>a</w:t>
            </w:r>
          </w:p>
        </w:tc>
        <w:tc>
          <w:tcPr>
            <w:tcW w:w="5414" w:type="dxa"/>
            <w:gridSpan w:val="2"/>
            <w:tcBorders>
              <w:top w:val="nil"/>
              <w:left w:val="nil"/>
              <w:bottom w:val="nil"/>
            </w:tcBorders>
            <w:shd w:val="clear" w:color="auto" w:fill="auto"/>
          </w:tcPr>
          <w:p>
            <w:pPr>
              <w:widowControl w:val="0"/>
              <w:tabs>
                <w:tab w:val="left" w:pos="6374"/>
              </w:tabs>
              <w:kinsoku w:val="0"/>
              <w:overflowPunct w:val="0"/>
              <w:ind w:left="681"/>
              <w:jc w:val="center"/>
              <w:rPr>
                <w:sz w:val="22"/>
                <w:szCs w:val="22"/>
                <w:highlight w:val="yellow"/>
                <w:u w:val="single"/>
                <w:lang w:val="da-DK"/>
              </w:rPr>
            </w:pPr>
            <w:r>
              <w:rPr>
                <w:sz w:val="22"/>
                <w:szCs w:val="22"/>
                <w:lang w:val="da-DK"/>
              </w:rPr>
              <w:t>&lt; 0,0001</w:t>
            </w:r>
          </w:p>
        </w:tc>
      </w:tr>
      <w:tr>
        <w:tc>
          <w:tcPr>
            <w:tcW w:w="3517" w:type="dxa"/>
            <w:tcBorders>
              <w:top w:val="nil"/>
              <w:right w:val="nil"/>
            </w:tcBorders>
            <w:shd w:val="clear" w:color="auto" w:fill="auto"/>
          </w:tcPr>
          <w:p>
            <w:pPr>
              <w:widowControl w:val="0"/>
              <w:jc w:val="center"/>
              <w:rPr>
                <w:sz w:val="22"/>
                <w:szCs w:val="22"/>
                <w:lang w:val="da-DK"/>
              </w:rPr>
            </w:pPr>
            <w:r>
              <w:rPr>
                <w:i/>
                <w:iCs/>
                <w:sz w:val="22"/>
                <w:szCs w:val="22"/>
                <w:lang w:val="da-DK"/>
              </w:rPr>
              <w:t xml:space="preserve">Hazard </w:t>
            </w:r>
            <w:r>
              <w:rPr>
                <w:iCs/>
                <w:sz w:val="22"/>
                <w:szCs w:val="22"/>
                <w:lang w:val="da-DK"/>
              </w:rPr>
              <w:t>ratio</w:t>
            </w:r>
            <w:r>
              <w:rPr>
                <w:sz w:val="22"/>
                <w:szCs w:val="22"/>
                <w:lang w:val="da-DK"/>
              </w:rPr>
              <w:t xml:space="preserve"> (95% KI)</w:t>
            </w:r>
            <w:r>
              <w:rPr>
                <w:sz w:val="22"/>
                <w:szCs w:val="22"/>
                <w:vertAlign w:val="superscript"/>
                <w:lang w:val="da-DK"/>
              </w:rPr>
              <w:t>b</w:t>
            </w:r>
          </w:p>
        </w:tc>
        <w:tc>
          <w:tcPr>
            <w:tcW w:w="5414" w:type="dxa"/>
            <w:gridSpan w:val="2"/>
            <w:tcBorders>
              <w:top w:val="nil"/>
              <w:left w:val="nil"/>
            </w:tcBorders>
            <w:shd w:val="clear" w:color="auto" w:fill="auto"/>
          </w:tcPr>
          <w:p>
            <w:pPr>
              <w:widowControl w:val="0"/>
              <w:kinsoku w:val="0"/>
              <w:overflowPunct w:val="0"/>
              <w:jc w:val="center"/>
              <w:rPr>
                <w:sz w:val="22"/>
                <w:szCs w:val="22"/>
                <w:highlight w:val="yellow"/>
                <w:u w:val="single"/>
                <w:lang w:val="da-DK"/>
              </w:rPr>
            </w:pPr>
            <w:r>
              <w:rPr>
                <w:sz w:val="22"/>
                <w:szCs w:val="22"/>
                <w:lang w:val="da-DK"/>
              </w:rPr>
              <w:t>0,646 (0,543; 0,768)</w:t>
            </w:r>
          </w:p>
        </w:tc>
      </w:tr>
      <w:tr>
        <w:tc>
          <w:tcPr>
            <w:tcW w:w="3517" w:type="dxa"/>
            <w:tcBorders>
              <w:bottom w:val="nil"/>
              <w:right w:val="nil"/>
            </w:tcBorders>
            <w:shd w:val="clear" w:color="auto" w:fill="auto"/>
          </w:tcPr>
          <w:p>
            <w:pPr>
              <w:widowControl w:val="0"/>
              <w:autoSpaceDE w:val="0"/>
              <w:autoSpaceDN w:val="0"/>
              <w:adjustRightInd w:val="0"/>
              <w:jc w:val="center"/>
              <w:rPr>
                <w:b/>
                <w:bCs/>
                <w:color w:val="000000"/>
                <w:sz w:val="22"/>
                <w:szCs w:val="22"/>
                <w:lang w:val="da-DK" w:eastAsia="sl-SI"/>
              </w:rPr>
            </w:pPr>
            <w:r>
              <w:rPr>
                <w:b/>
                <w:bCs/>
                <w:color w:val="000000"/>
                <w:sz w:val="22"/>
                <w:szCs w:val="22"/>
                <w:lang w:val="da-DK" w:eastAsia="sl-SI"/>
              </w:rPr>
              <w:t>Opdateret analyse af overlevelse</w:t>
            </w:r>
          </w:p>
        </w:tc>
        <w:tc>
          <w:tcPr>
            <w:tcW w:w="2885"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c>
          <w:tcPr>
            <w:tcW w:w="2529"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da-DK" w:eastAsia="sl-SI"/>
              </w:rPr>
            </w:pPr>
          </w:p>
        </w:tc>
      </w:tr>
      <w:tr>
        <w:tc>
          <w:tcPr>
            <w:tcW w:w="3517" w:type="dxa"/>
            <w:tcBorders>
              <w:top w:val="nil"/>
              <w:bottom w:val="nil"/>
              <w:right w:val="nil"/>
            </w:tcBorders>
            <w:shd w:val="clear" w:color="auto" w:fill="auto"/>
          </w:tcPr>
          <w:p>
            <w:pPr>
              <w:widowControl w:val="0"/>
              <w:jc w:val="center"/>
              <w:rPr>
                <w:sz w:val="22"/>
                <w:szCs w:val="22"/>
                <w:lang w:val="da-DK"/>
              </w:rPr>
            </w:pPr>
            <w:r>
              <w:rPr>
                <w:sz w:val="22"/>
                <w:szCs w:val="22"/>
                <w:lang w:val="da-DK"/>
              </w:rPr>
              <w:t>Død (%)</w:t>
            </w:r>
          </w:p>
        </w:tc>
        <w:tc>
          <w:tcPr>
            <w:tcW w:w="2885"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501 (63 %)</w:t>
            </w:r>
          </w:p>
        </w:tc>
        <w:tc>
          <w:tcPr>
            <w:tcW w:w="2529" w:type="dxa"/>
            <w:tcBorders>
              <w:top w:val="nil"/>
              <w:left w:val="nil"/>
              <w:bottom w:val="nil"/>
            </w:tcBorders>
            <w:shd w:val="clear" w:color="auto" w:fill="auto"/>
          </w:tcPr>
          <w:p>
            <w:pPr>
              <w:widowControl w:val="0"/>
              <w:jc w:val="center"/>
              <w:rPr>
                <w:sz w:val="22"/>
                <w:szCs w:val="22"/>
                <w:lang w:val="da-DK"/>
              </w:rPr>
            </w:pPr>
            <w:r>
              <w:rPr>
                <w:sz w:val="22"/>
                <w:szCs w:val="22"/>
                <w:lang w:val="da-DK"/>
              </w:rPr>
              <w:t>274 (69 %)</w:t>
            </w:r>
          </w:p>
        </w:tc>
      </w:tr>
      <w:tr>
        <w:tc>
          <w:tcPr>
            <w:tcW w:w="3517" w:type="dxa"/>
            <w:tcBorders>
              <w:top w:val="nil"/>
              <w:bottom w:val="nil"/>
              <w:right w:val="nil"/>
            </w:tcBorders>
            <w:shd w:val="clear" w:color="auto" w:fill="auto"/>
          </w:tcPr>
          <w:p>
            <w:pPr>
              <w:widowControl w:val="0"/>
              <w:jc w:val="center"/>
              <w:rPr>
                <w:sz w:val="22"/>
                <w:szCs w:val="22"/>
                <w:lang w:val="da-DK"/>
              </w:rPr>
            </w:pPr>
            <w:r>
              <w:rPr>
                <w:sz w:val="22"/>
                <w:szCs w:val="22"/>
                <w:lang w:val="da-DK"/>
              </w:rPr>
              <w:t>Median overlevelse (måneder)</w:t>
            </w:r>
          </w:p>
          <w:p>
            <w:pPr>
              <w:widowControl w:val="0"/>
              <w:jc w:val="center"/>
              <w:rPr>
                <w:sz w:val="22"/>
                <w:szCs w:val="22"/>
                <w:lang w:val="da-DK"/>
              </w:rPr>
            </w:pPr>
            <w:r>
              <w:rPr>
                <w:sz w:val="22"/>
                <w:szCs w:val="22"/>
                <w:lang w:val="da-DK"/>
              </w:rPr>
              <w:t>(95% KI)</w:t>
            </w:r>
          </w:p>
        </w:tc>
        <w:tc>
          <w:tcPr>
            <w:tcW w:w="2885" w:type="dxa"/>
            <w:tcBorders>
              <w:top w:val="nil"/>
              <w:left w:val="nil"/>
              <w:bottom w:val="nil"/>
              <w:right w:val="nil"/>
            </w:tcBorders>
            <w:shd w:val="clear" w:color="auto" w:fill="auto"/>
          </w:tcPr>
          <w:p>
            <w:pPr>
              <w:widowControl w:val="0"/>
              <w:jc w:val="center"/>
              <w:rPr>
                <w:sz w:val="22"/>
                <w:szCs w:val="22"/>
                <w:lang w:val="da-DK"/>
              </w:rPr>
            </w:pPr>
            <w:r>
              <w:rPr>
                <w:sz w:val="22"/>
                <w:szCs w:val="22"/>
                <w:lang w:val="da-DK"/>
              </w:rPr>
              <w:t>15,8 (14,8; 17,0)</w:t>
            </w:r>
          </w:p>
        </w:tc>
        <w:tc>
          <w:tcPr>
            <w:tcW w:w="2529" w:type="dxa"/>
            <w:tcBorders>
              <w:top w:val="nil"/>
              <w:left w:val="nil"/>
              <w:bottom w:val="nil"/>
            </w:tcBorders>
            <w:shd w:val="clear" w:color="auto" w:fill="auto"/>
          </w:tcPr>
          <w:p>
            <w:pPr>
              <w:widowControl w:val="0"/>
              <w:jc w:val="center"/>
              <w:rPr>
                <w:sz w:val="22"/>
                <w:szCs w:val="22"/>
                <w:lang w:val="da-DK"/>
              </w:rPr>
            </w:pPr>
            <w:r>
              <w:rPr>
                <w:sz w:val="22"/>
                <w:szCs w:val="22"/>
                <w:lang w:val="da-DK"/>
              </w:rPr>
              <w:t>11,2 (10,4; 13,1)</w:t>
            </w:r>
          </w:p>
        </w:tc>
      </w:tr>
      <w:tr>
        <w:tc>
          <w:tcPr>
            <w:tcW w:w="3517" w:type="dxa"/>
            <w:tcBorders>
              <w:top w:val="nil"/>
              <w:right w:val="nil"/>
            </w:tcBorders>
            <w:shd w:val="clear" w:color="auto" w:fill="auto"/>
          </w:tcPr>
          <w:p>
            <w:pPr>
              <w:widowControl w:val="0"/>
              <w:jc w:val="center"/>
              <w:rPr>
                <w:sz w:val="22"/>
                <w:szCs w:val="22"/>
                <w:lang w:val="da-DK"/>
              </w:rPr>
            </w:pPr>
            <w:r>
              <w:rPr>
                <w:i/>
                <w:iCs/>
                <w:sz w:val="22"/>
                <w:szCs w:val="22"/>
                <w:lang w:val="da-DK"/>
              </w:rPr>
              <w:t>Hazard</w:t>
            </w:r>
            <w:r>
              <w:rPr>
                <w:iCs/>
                <w:sz w:val="22"/>
                <w:szCs w:val="22"/>
                <w:lang w:val="da-DK"/>
              </w:rPr>
              <w:t xml:space="preserve"> ratio</w:t>
            </w:r>
            <w:r>
              <w:rPr>
                <w:sz w:val="22"/>
                <w:szCs w:val="22"/>
                <w:lang w:val="da-DK"/>
              </w:rPr>
              <w:t xml:space="preserve"> (95 % KI)</w:t>
            </w:r>
            <w:r>
              <w:rPr>
                <w:sz w:val="22"/>
                <w:szCs w:val="22"/>
                <w:vertAlign w:val="superscript"/>
                <w:lang w:val="da-DK"/>
              </w:rPr>
              <w:t xml:space="preserve"> b</w:t>
            </w:r>
          </w:p>
        </w:tc>
        <w:tc>
          <w:tcPr>
            <w:tcW w:w="5414"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da-DK"/>
              </w:rPr>
            </w:pPr>
            <w:r>
              <w:rPr>
                <w:sz w:val="22"/>
                <w:szCs w:val="22"/>
                <w:lang w:val="da-DK"/>
              </w:rPr>
              <w:t>0,740 (0,638; 0,859)</w:t>
            </w:r>
          </w:p>
        </w:tc>
      </w:tr>
    </w:tbl>
    <w:p>
      <w:pPr>
        <w:pStyle w:val="ListParagraph"/>
        <w:widowControl w:val="0"/>
        <w:numPr>
          <w:ilvl w:val="0"/>
          <w:numId w:val="11"/>
        </w:numPr>
        <w:ind w:left="284" w:hanging="218"/>
        <w:contextualSpacing w:val="0"/>
        <w:rPr>
          <w:sz w:val="18"/>
          <w:szCs w:val="18"/>
          <w:lang w:val="da-DK"/>
        </w:rPr>
      </w:pPr>
      <w:r>
        <w:rPr>
          <w:sz w:val="18"/>
          <w:szCs w:val="18"/>
          <w:lang w:val="da-DK"/>
        </w:rPr>
        <w:t>p-værdien er beregnet vha. log-rank-test stratificeret ud fra ECOG-score for funktionsklasse (0-1 vs. 2), smerte-score (ja vs. nej), antal tidligere kemoterapiforløb (1 vs. 2) og type sygdomsprogression (kun PSA vs. radiografi).</w:t>
      </w:r>
    </w:p>
    <w:p>
      <w:pPr>
        <w:pStyle w:val="ListParagraph"/>
        <w:widowControl w:val="0"/>
        <w:numPr>
          <w:ilvl w:val="0"/>
          <w:numId w:val="11"/>
        </w:numPr>
        <w:ind w:left="284" w:hanging="218"/>
        <w:contextualSpacing w:val="0"/>
        <w:rPr>
          <w:sz w:val="18"/>
          <w:szCs w:val="18"/>
          <w:lang w:val="da-DK"/>
        </w:rPr>
      </w:pPr>
      <w:r>
        <w:rPr>
          <w:i/>
          <w:sz w:val="18"/>
          <w:szCs w:val="18"/>
          <w:lang w:val="da-DK"/>
        </w:rPr>
        <w:t xml:space="preserve">Hazard </w:t>
      </w:r>
      <w:r>
        <w:rPr>
          <w:sz w:val="18"/>
          <w:szCs w:val="18"/>
          <w:lang w:val="da-DK"/>
        </w:rPr>
        <w:t xml:space="preserve">ratio er beregnet ud fra en stratificeret </w:t>
      </w:r>
      <w:r>
        <w:rPr>
          <w:i/>
          <w:sz w:val="18"/>
          <w:szCs w:val="18"/>
          <w:lang w:val="da-DK"/>
        </w:rPr>
        <w:t>proportional hazards model</w:t>
      </w:r>
      <w:r>
        <w:rPr>
          <w:sz w:val="18"/>
          <w:szCs w:val="18"/>
          <w:lang w:val="da-DK"/>
        </w:rPr>
        <w:t xml:space="preserve">. En </w:t>
      </w:r>
      <w:r>
        <w:rPr>
          <w:i/>
          <w:sz w:val="18"/>
          <w:szCs w:val="18"/>
          <w:lang w:val="da-DK"/>
        </w:rPr>
        <w:t xml:space="preserve">hazard </w:t>
      </w:r>
      <w:r>
        <w:rPr>
          <w:sz w:val="18"/>
          <w:szCs w:val="18"/>
          <w:lang w:val="da-DK"/>
        </w:rPr>
        <w:t xml:space="preserve">ratio </w:t>
      </w:r>
      <w:r>
        <w:rPr>
          <w:rFonts w:ascii="Symbol" w:hAnsi="Symbol"/>
          <w:sz w:val="18"/>
          <w:lang w:val="da-DK"/>
        </w:rPr>
        <w:t></w:t>
      </w:r>
      <w:r>
        <w:rPr>
          <w:sz w:val="18"/>
          <w:szCs w:val="18"/>
          <w:lang w:val="da-DK"/>
        </w:rPr>
        <w:t xml:space="preserve"> 1 indikerer en fordel for abirateronacetat</w:t>
      </w:r>
    </w:p>
    <w:p>
      <w:pPr>
        <w:widowControl w:val="0"/>
        <w:rPr>
          <w:sz w:val="22"/>
          <w:szCs w:val="22"/>
          <w:lang w:val="da-DK"/>
        </w:rPr>
      </w:pPr>
    </w:p>
    <w:p>
      <w:pPr>
        <w:widowControl w:val="0"/>
        <w:rPr>
          <w:sz w:val="22"/>
          <w:szCs w:val="22"/>
          <w:lang w:val="da-DK"/>
        </w:rPr>
      </w:pPr>
      <w:r>
        <w:rPr>
          <w:sz w:val="22"/>
          <w:szCs w:val="22"/>
          <w:lang w:val="da-DK"/>
        </w:rPr>
        <w:t>Ved samtlige tidspunkter i evalueringen efter de første få måneders behandling var en højere andel af</w:t>
      </w:r>
      <w:r>
        <w:rPr>
          <w:spacing w:val="1"/>
          <w:sz w:val="22"/>
          <w:szCs w:val="22"/>
          <w:lang w:val="da-DK"/>
        </w:rPr>
        <w:t xml:space="preserve"> </w:t>
      </w:r>
      <w:r>
        <w:rPr>
          <w:sz w:val="22"/>
          <w:szCs w:val="22"/>
          <w:lang w:val="da-DK"/>
        </w:rPr>
        <w:t>de patienter, der fik abirateronacetat, fortsat i live sammenlignet med andelen af patienter, der fik placebo (se</w:t>
      </w:r>
      <w:r>
        <w:rPr>
          <w:spacing w:val="-52"/>
          <w:sz w:val="22"/>
          <w:szCs w:val="22"/>
          <w:lang w:val="da-DK"/>
        </w:rPr>
        <w:t xml:space="preserve"> </w:t>
      </w:r>
      <w:r>
        <w:rPr>
          <w:sz w:val="22"/>
          <w:szCs w:val="22"/>
          <w:lang w:val="da-DK"/>
        </w:rPr>
        <w:t>figur 6).</w:t>
      </w:r>
    </w:p>
    <w:p>
      <w:pPr>
        <w:widowControl w:val="0"/>
        <w:rPr>
          <w:sz w:val="22"/>
          <w:szCs w:val="22"/>
          <w:lang w:val="da-DK"/>
        </w:rPr>
      </w:pPr>
    </w:p>
    <w:p>
      <w:pPr>
        <w:widowControl w:val="0"/>
        <w:rPr>
          <w:b/>
          <w:sz w:val="22"/>
          <w:szCs w:val="22"/>
          <w:lang w:val="da-DK"/>
        </w:rPr>
      </w:pPr>
      <w:r>
        <w:rPr>
          <w:b/>
          <w:sz w:val="22"/>
          <w:szCs w:val="22"/>
          <w:lang w:val="da-DK"/>
        </w:rPr>
        <w:t>Figur 6: Kaplan Meier-overlevelseskurver for patienter, der fik enten abirateronacetat eller placebo i kombination med prednison eller prednisolon plus LHRH-analog eller tidligere orkiektomi</w:t>
      </w:r>
    </w:p>
    <w:p>
      <w:pPr>
        <w:widowControl w:val="0"/>
        <w:rPr>
          <w:sz w:val="22"/>
          <w:szCs w:val="22"/>
          <w:lang w:val="da-DK"/>
        </w:rPr>
      </w:pPr>
    </w:p>
    <w:p>
      <w:pPr>
        <w:widowControl w:val="0"/>
        <w:rPr>
          <w:sz w:val="22"/>
          <w:szCs w:val="22"/>
          <w:lang w:val="da-DK"/>
        </w:rPr>
      </w:pPr>
      <w:r>
        <w:rPr>
          <w:noProof/>
          <w:sz w:val="22"/>
          <w:szCs w:val="22"/>
          <w:lang w:val="sl-SI" w:eastAsia="sl-SI"/>
        </w:rPr>
        <w:drawing>
          <wp:inline distT="0" distB="0" distL="0" distR="0">
            <wp:extent cx="5803900" cy="4133215"/>
            <wp:effectExtent l="0" t="0" r="6350" b="63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3900" cy="4133215"/>
                    </a:xfrm>
                    <a:prstGeom prst="rect">
                      <a:avLst/>
                    </a:prstGeom>
                    <a:noFill/>
                  </pic:spPr>
                </pic:pic>
              </a:graphicData>
            </a:graphic>
          </wp:inline>
        </w:drawing>
      </w:r>
    </w:p>
    <w:p>
      <w:pPr>
        <w:widowControl w:val="0"/>
        <w:rPr>
          <w:sz w:val="18"/>
          <w:szCs w:val="18"/>
          <w:lang w:val="da-DK"/>
        </w:rPr>
      </w:pPr>
      <w:r>
        <w:rPr>
          <w:sz w:val="18"/>
          <w:szCs w:val="18"/>
          <w:lang w:val="da-DK"/>
        </w:rPr>
        <w:t>AA= abirateronacetat</w:t>
      </w:r>
    </w:p>
    <w:p>
      <w:pPr>
        <w:widowControl w:val="0"/>
        <w:rPr>
          <w:sz w:val="22"/>
          <w:szCs w:val="22"/>
          <w:lang w:val="da-DK"/>
        </w:rPr>
      </w:pPr>
    </w:p>
    <w:p>
      <w:pPr>
        <w:widowControl w:val="0"/>
        <w:rPr>
          <w:sz w:val="22"/>
          <w:szCs w:val="22"/>
          <w:lang w:val="da-DK"/>
        </w:rPr>
      </w:pPr>
      <w:r>
        <w:rPr>
          <w:sz w:val="22"/>
          <w:szCs w:val="22"/>
          <w:lang w:val="da-DK"/>
        </w:rPr>
        <w:t>Analyser af overlevelse i subgrupperne viste, at overlevelse konsekvent faldt ud til fordel for behandling med abirateronacetat (se figur 7).</w:t>
      </w:r>
    </w:p>
    <w:p>
      <w:pPr>
        <w:widowControl w:val="0"/>
        <w:rPr>
          <w:sz w:val="22"/>
          <w:szCs w:val="22"/>
          <w:lang w:val="da-DK"/>
        </w:rPr>
      </w:pPr>
    </w:p>
    <w:p>
      <w:pPr>
        <w:widowControl w:val="0"/>
        <w:rPr>
          <w:b/>
          <w:sz w:val="22"/>
          <w:szCs w:val="22"/>
          <w:lang w:val="da-DK"/>
        </w:rPr>
      </w:pPr>
      <w:r>
        <w:rPr>
          <w:b/>
          <w:sz w:val="22"/>
          <w:szCs w:val="22"/>
          <w:lang w:val="da-DK"/>
        </w:rPr>
        <w:t xml:space="preserve">Figur 7: Samlet overlevelse fordelt på subgrupper: </w:t>
      </w:r>
      <w:r>
        <w:rPr>
          <w:b/>
          <w:i/>
          <w:sz w:val="22"/>
          <w:szCs w:val="22"/>
          <w:lang w:val="da-DK"/>
        </w:rPr>
        <w:t xml:space="preserve">hazard </w:t>
      </w:r>
      <w:r>
        <w:rPr>
          <w:b/>
          <w:sz w:val="22"/>
          <w:szCs w:val="22"/>
          <w:lang w:val="da-DK"/>
        </w:rPr>
        <w:t>ratio og 95 % konfidensinterval</w:t>
      </w:r>
    </w:p>
    <w:p>
      <w:pPr>
        <w:widowControl w:val="0"/>
        <w:rPr>
          <w:sz w:val="22"/>
          <w:szCs w:val="22"/>
          <w:lang w:val="da-DK"/>
        </w:rPr>
      </w:pPr>
      <w:r>
        <w:rPr>
          <w:noProof/>
          <w:sz w:val="22"/>
          <w:szCs w:val="22"/>
          <w:lang w:val="sl-SI" w:eastAsia="sl-SI"/>
        </w:rPr>
        <w:drawing>
          <wp:inline distT="0" distB="0" distL="0" distR="0">
            <wp:extent cx="5529580" cy="3218815"/>
            <wp:effectExtent l="0" t="0" r="0" b="63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9580" cy="3218815"/>
                    </a:xfrm>
                    <a:prstGeom prst="rect">
                      <a:avLst/>
                    </a:prstGeom>
                    <a:noFill/>
                  </pic:spPr>
                </pic:pic>
              </a:graphicData>
            </a:graphic>
          </wp:inline>
        </w:drawing>
      </w:r>
    </w:p>
    <w:p>
      <w:pPr>
        <w:widowControl w:val="0"/>
        <w:rPr>
          <w:sz w:val="22"/>
          <w:szCs w:val="22"/>
          <w:lang w:val="da-DK"/>
        </w:rPr>
      </w:pPr>
    </w:p>
    <w:p>
      <w:pPr>
        <w:widowControl w:val="0"/>
        <w:rPr>
          <w:sz w:val="18"/>
          <w:szCs w:val="18"/>
          <w:lang w:val="en-GB"/>
        </w:rPr>
      </w:pPr>
      <w:r>
        <w:rPr>
          <w:sz w:val="18"/>
          <w:szCs w:val="18"/>
          <w:lang w:val="en-GB"/>
        </w:rPr>
        <w:t>AA= abirateronacetat. BPI=</w:t>
      </w:r>
      <w:r>
        <w:rPr>
          <w:i/>
          <w:sz w:val="18"/>
          <w:szCs w:val="18"/>
          <w:lang w:val="en-GB"/>
        </w:rPr>
        <w:t>Brief Pain Inventory</w:t>
      </w:r>
      <w:r>
        <w:rPr>
          <w:sz w:val="18"/>
          <w:szCs w:val="18"/>
          <w:lang w:val="en-GB"/>
        </w:rPr>
        <w:t>. KI=konfidensinterval. ECOG=</w:t>
      </w:r>
      <w:r>
        <w:rPr>
          <w:i/>
          <w:sz w:val="18"/>
          <w:szCs w:val="18"/>
          <w:lang w:val="en-GB"/>
        </w:rPr>
        <w:t>Eastern Cooperative Oncology Group</w:t>
      </w:r>
      <w:r>
        <w:rPr>
          <w:sz w:val="18"/>
          <w:szCs w:val="18"/>
          <w:lang w:val="en-GB"/>
        </w:rPr>
        <w:t xml:space="preserve">- funktionsscore. HR = </w:t>
      </w:r>
      <w:r>
        <w:rPr>
          <w:i/>
          <w:sz w:val="18"/>
          <w:szCs w:val="18"/>
          <w:lang w:val="en-GB"/>
        </w:rPr>
        <w:t xml:space="preserve">hazard </w:t>
      </w:r>
      <w:r>
        <w:rPr>
          <w:sz w:val="18"/>
          <w:szCs w:val="18"/>
          <w:lang w:val="en-GB"/>
        </w:rPr>
        <w:t>ratio; NE=ikke estimerbar.</w:t>
      </w:r>
    </w:p>
    <w:p>
      <w:pPr>
        <w:widowControl w:val="0"/>
        <w:rPr>
          <w:sz w:val="22"/>
          <w:szCs w:val="22"/>
          <w:lang w:val="en-GB"/>
        </w:rPr>
      </w:pPr>
    </w:p>
    <w:p>
      <w:pPr>
        <w:widowControl w:val="0"/>
        <w:rPr>
          <w:sz w:val="22"/>
          <w:szCs w:val="22"/>
          <w:lang w:val="en-GB"/>
        </w:rPr>
      </w:pPr>
      <w:r>
        <w:rPr>
          <w:sz w:val="22"/>
          <w:szCs w:val="22"/>
          <w:lang w:val="en-GB"/>
        </w:rPr>
        <w:t xml:space="preserve">Ud over den observerede forbedring i samlet overlevelse faldt alle sekundære endepunkter i studiet ud til fordel for abirateronacetat og var statistisk signifikante efter justering for </w:t>
      </w:r>
      <w:r>
        <w:rPr>
          <w:i/>
          <w:sz w:val="22"/>
          <w:szCs w:val="22"/>
          <w:lang w:val="en-GB"/>
        </w:rPr>
        <w:t>multiple testing</w:t>
      </w:r>
      <w:r>
        <w:rPr>
          <w:sz w:val="22"/>
          <w:szCs w:val="22"/>
          <w:lang w:val="en-GB"/>
        </w:rPr>
        <w:t xml:space="preserve"> på følgende måde:</w:t>
      </w:r>
    </w:p>
    <w:p>
      <w:pPr>
        <w:widowControl w:val="0"/>
        <w:rPr>
          <w:sz w:val="22"/>
          <w:szCs w:val="22"/>
          <w:lang w:val="en-GB"/>
        </w:rPr>
      </w:pPr>
    </w:p>
    <w:p>
      <w:pPr>
        <w:widowControl w:val="0"/>
        <w:rPr>
          <w:sz w:val="22"/>
          <w:szCs w:val="22"/>
          <w:lang w:val="da-DK"/>
        </w:rPr>
      </w:pPr>
      <w:r>
        <w:rPr>
          <w:sz w:val="22"/>
          <w:szCs w:val="22"/>
          <w:lang w:val="da-DK"/>
        </w:rPr>
        <w:t xml:space="preserve">Patienter, der fik abirateronacetat, opnåede en signifikant højere total PSA-responsrate (defineret som reduktion fra </w:t>
      </w:r>
      <w:r>
        <w:rPr>
          <w:i/>
          <w:sz w:val="22"/>
          <w:szCs w:val="22"/>
          <w:lang w:val="da-DK"/>
        </w:rPr>
        <w:t>baseline</w:t>
      </w:r>
      <w:r>
        <w:rPr>
          <w:sz w:val="22"/>
          <w:szCs w:val="22"/>
          <w:lang w:val="da-DK"/>
        </w:rPr>
        <w:t xml:space="preserve"> ≥ 50 %), sammenlignet med patienter, der fik placebo, 38 % vs. 10 %, p &lt; 0,0001.</w:t>
      </w:r>
    </w:p>
    <w:p>
      <w:pPr>
        <w:widowControl w:val="0"/>
        <w:rPr>
          <w:sz w:val="22"/>
          <w:szCs w:val="22"/>
          <w:lang w:val="da-DK"/>
        </w:rPr>
      </w:pPr>
    </w:p>
    <w:p>
      <w:pPr>
        <w:widowControl w:val="0"/>
        <w:rPr>
          <w:sz w:val="22"/>
          <w:szCs w:val="22"/>
          <w:lang w:val="da-DK"/>
        </w:rPr>
      </w:pPr>
      <w:r>
        <w:rPr>
          <w:sz w:val="22"/>
          <w:szCs w:val="22"/>
          <w:lang w:val="da-DK"/>
        </w:rPr>
        <w:t>Median tid til PSA-progression var 10,2 måneder for patienter, der blev behandlet med abirateronacetat, og 6,6 måneder for patienter, der fik placebo (HR = 0,580; 95 % KI: [0,462; 0,728]; p &lt; 0,0001).</w:t>
      </w:r>
    </w:p>
    <w:p>
      <w:pPr>
        <w:widowControl w:val="0"/>
        <w:rPr>
          <w:sz w:val="22"/>
          <w:szCs w:val="22"/>
          <w:lang w:val="da-DK"/>
        </w:rPr>
      </w:pPr>
    </w:p>
    <w:p>
      <w:pPr>
        <w:widowControl w:val="0"/>
        <w:rPr>
          <w:sz w:val="22"/>
          <w:szCs w:val="22"/>
          <w:lang w:val="da-DK"/>
        </w:rPr>
      </w:pPr>
      <w:r>
        <w:rPr>
          <w:sz w:val="22"/>
          <w:szCs w:val="22"/>
          <w:lang w:val="da-DK"/>
        </w:rPr>
        <w:t>Median radiografisk progressionsfri overlevelse var 5,6 måneder for patienter, der blev behandlet med abirateronacetat, og 3,6 måneder for patienter, der fik placebo (HR = 0,673; 95 % KI: [0,585; 0,776]; p &lt; 0,0001).</w:t>
      </w:r>
    </w:p>
    <w:p>
      <w:pPr>
        <w:widowControl w:val="0"/>
        <w:rPr>
          <w:sz w:val="22"/>
          <w:szCs w:val="22"/>
          <w:lang w:val="da-DK"/>
        </w:rPr>
      </w:pPr>
    </w:p>
    <w:p>
      <w:pPr>
        <w:widowControl w:val="0"/>
        <w:rPr>
          <w:sz w:val="22"/>
          <w:szCs w:val="22"/>
          <w:u w:val="single"/>
          <w:lang w:val="da-DK"/>
        </w:rPr>
      </w:pPr>
      <w:r>
        <w:rPr>
          <w:sz w:val="22"/>
          <w:szCs w:val="22"/>
          <w:u w:val="single"/>
          <w:lang w:val="da-DK"/>
        </w:rPr>
        <w:t>Smerter</w:t>
      </w:r>
    </w:p>
    <w:p>
      <w:pPr>
        <w:widowControl w:val="0"/>
        <w:rPr>
          <w:sz w:val="22"/>
          <w:szCs w:val="22"/>
          <w:lang w:val="da-DK"/>
        </w:rPr>
      </w:pPr>
      <w:r>
        <w:rPr>
          <w:sz w:val="22"/>
          <w:szCs w:val="22"/>
          <w:lang w:val="da-DK"/>
        </w:rPr>
        <w:t xml:space="preserve">Andelen af patienter med smertelindring var statistisk signifikant højere i abirateronacetat-gruppen end i placebo-gruppen (44 % vs. 27 %, p = 0,0002). En responder i forhold til smertelindring defineredes som en patient, som opnåede mindst 30 % reduktion fra </w:t>
      </w:r>
      <w:r>
        <w:rPr>
          <w:i/>
          <w:sz w:val="22"/>
          <w:szCs w:val="22"/>
          <w:lang w:val="da-DK"/>
        </w:rPr>
        <w:t>baseline</w:t>
      </w:r>
      <w:r>
        <w:rPr>
          <w:sz w:val="22"/>
          <w:szCs w:val="22"/>
          <w:lang w:val="da-DK"/>
        </w:rPr>
        <w:t xml:space="preserve"> i BPI-SF-score for værste smerteintensitet i løbet af de seneste 24 timer uden samtidig øgning i scoren for analgetikaforbrug observeret ved to konsekutive evalueringer med fire ugers mellemrum. Kun patienter med smertescore ved </w:t>
      </w:r>
      <w:r>
        <w:rPr>
          <w:i/>
          <w:sz w:val="22"/>
          <w:szCs w:val="22"/>
          <w:lang w:val="da-DK"/>
        </w:rPr>
        <w:t>baselin</w:t>
      </w:r>
      <w:r>
        <w:rPr>
          <w:sz w:val="22"/>
          <w:szCs w:val="22"/>
          <w:lang w:val="da-DK"/>
        </w:rPr>
        <w:t xml:space="preserve">e ≥ 4 og mindst én smertescore efter </w:t>
      </w:r>
      <w:r>
        <w:rPr>
          <w:i/>
          <w:sz w:val="22"/>
          <w:szCs w:val="22"/>
          <w:lang w:val="da-DK"/>
        </w:rPr>
        <w:t>baseline</w:t>
      </w:r>
      <w:r>
        <w:rPr>
          <w:sz w:val="22"/>
          <w:szCs w:val="22"/>
          <w:lang w:val="da-DK"/>
        </w:rPr>
        <w:t xml:space="preserve"> blev analyseret (n=512) for smertelindring.</w:t>
      </w:r>
    </w:p>
    <w:p>
      <w:pPr>
        <w:widowControl w:val="0"/>
        <w:rPr>
          <w:sz w:val="22"/>
          <w:szCs w:val="22"/>
          <w:lang w:val="da-DK"/>
        </w:rPr>
      </w:pPr>
    </w:p>
    <w:p>
      <w:pPr>
        <w:widowControl w:val="0"/>
        <w:rPr>
          <w:sz w:val="22"/>
          <w:szCs w:val="22"/>
          <w:lang w:val="da-DK"/>
        </w:rPr>
      </w:pPr>
      <w:r>
        <w:rPr>
          <w:sz w:val="22"/>
          <w:szCs w:val="22"/>
          <w:lang w:val="da-DK"/>
        </w:rPr>
        <w:t xml:space="preserve">En lavere andel af patienter behandlet med abirateronacetat fik smerteprogression sammenlignet med patienter, der fik placebo, efter henholdsvis 6 (22 % vs. 28 %), 12 (30 % vs. 38 %) og 18 måneder (35 % vs. 46 %). Smerteprogression defineredes som en stigning fra </w:t>
      </w:r>
      <w:r>
        <w:rPr>
          <w:i/>
          <w:sz w:val="22"/>
          <w:szCs w:val="22"/>
          <w:lang w:val="da-DK"/>
        </w:rPr>
        <w:t>baseline</w:t>
      </w:r>
      <w:r>
        <w:rPr>
          <w:sz w:val="22"/>
          <w:szCs w:val="22"/>
          <w:lang w:val="da-DK"/>
        </w:rPr>
        <w:t xml:space="preserve"> på ≥ 30 % i BPI-SF-score for værste smerteintensitet i løbet af de forudgående 24 timer, uden at der blev observeret et fald i brug af analgetika ved to konsekutive besøg, eller en stigning på ≥ 30 % i brug af analgetika observeret ved to konsekutive besøg. Tiden til smerteprogression ved den 25. percentil var 7,4 måneder i abirateronacetat-gruppen </w:t>
      </w:r>
      <w:r>
        <w:rPr>
          <w:i/>
          <w:sz w:val="22"/>
          <w:szCs w:val="22"/>
          <w:lang w:val="da-DK"/>
        </w:rPr>
        <w:t>versus</w:t>
      </w:r>
      <w:r>
        <w:rPr>
          <w:sz w:val="22"/>
          <w:szCs w:val="22"/>
          <w:lang w:val="da-DK"/>
        </w:rPr>
        <w:t xml:space="preserve"> 4,7 måneder i placebo-gruppen.</w:t>
      </w:r>
    </w:p>
    <w:p>
      <w:pPr>
        <w:widowControl w:val="0"/>
        <w:rPr>
          <w:sz w:val="22"/>
          <w:szCs w:val="22"/>
          <w:lang w:val="da-DK"/>
        </w:rPr>
      </w:pPr>
    </w:p>
    <w:p>
      <w:pPr>
        <w:widowControl w:val="0"/>
        <w:rPr>
          <w:sz w:val="22"/>
          <w:szCs w:val="22"/>
          <w:u w:val="single"/>
          <w:lang w:val="da-DK"/>
        </w:rPr>
      </w:pPr>
      <w:r>
        <w:rPr>
          <w:sz w:val="22"/>
          <w:szCs w:val="22"/>
          <w:u w:val="single"/>
          <w:lang w:val="da-DK"/>
        </w:rPr>
        <w:t>Knoglerelaterede hændelser</w:t>
      </w:r>
    </w:p>
    <w:p>
      <w:pPr>
        <w:widowControl w:val="0"/>
        <w:rPr>
          <w:sz w:val="22"/>
          <w:szCs w:val="22"/>
          <w:lang w:val="da-DK"/>
        </w:rPr>
      </w:pPr>
      <w:r>
        <w:rPr>
          <w:sz w:val="22"/>
          <w:szCs w:val="22"/>
          <w:lang w:val="da-DK"/>
        </w:rPr>
        <w:t>En mindre andel af patienter i abirateronacetat-gruppen havde knoglerelaterede hændelser sammenlignet med placebo-gruppen efter 6 måneder (18 % vs. 28 %), 12 måneder (30 % vs. 40 %), og 18 måneder (35 % vs. 40 %). Tiden til første knoglerelaterede hændelse ved 25. percentilen i abirateronacetat-gruppen var dobbelt så lang som i kontrolgruppen efter 9,9 måneder versus 4,9 måneder. En knoglerelateret hændelse defineredes som en patologisk fraktur, kompression af rygsøjlen, palliativ strålebehandling af knogler eller knoglekirurgi.</w:t>
      </w:r>
    </w:p>
    <w:p>
      <w:pPr>
        <w:widowControl w:val="0"/>
        <w:rPr>
          <w:sz w:val="22"/>
          <w:szCs w:val="22"/>
          <w:lang w:val="da-DK"/>
        </w:rPr>
      </w:pPr>
    </w:p>
    <w:p>
      <w:pPr>
        <w:widowControl w:val="0"/>
        <w:rPr>
          <w:sz w:val="22"/>
          <w:szCs w:val="22"/>
          <w:u w:val="single"/>
          <w:lang w:val="da-DK"/>
        </w:rPr>
      </w:pPr>
      <w:r>
        <w:rPr>
          <w:sz w:val="22"/>
          <w:szCs w:val="22"/>
          <w:u w:val="single"/>
          <w:lang w:val="da-DK"/>
        </w:rPr>
        <w:t>Pædiatrisk population</w:t>
      </w:r>
    </w:p>
    <w:p>
      <w:pPr>
        <w:widowControl w:val="0"/>
        <w:rPr>
          <w:sz w:val="22"/>
          <w:szCs w:val="22"/>
          <w:lang w:val="da-DK"/>
        </w:rPr>
      </w:pPr>
      <w:r>
        <w:rPr>
          <w:sz w:val="22"/>
          <w:szCs w:val="22"/>
          <w:lang w:val="da-DK"/>
        </w:rPr>
        <w:t>Det Europæiske Lægemiddelagentur har dispenseret fra kravet om at fremlægge resultaterne af studier med abirateronacetat i alle undergrupper af den pædiatriske population med avanceret prostatacancer. Se pkt. 4.2 for oplysninger om pædiatrisk anvendelse.</w:t>
      </w:r>
    </w:p>
    <w:p>
      <w:pPr>
        <w:widowControl w:val="0"/>
        <w:rPr>
          <w:sz w:val="22"/>
          <w:szCs w:val="22"/>
          <w:lang w:val="da-DK"/>
        </w:rPr>
      </w:pPr>
    </w:p>
    <w:p>
      <w:pPr>
        <w:widowControl w:val="0"/>
        <w:rPr>
          <w:sz w:val="22"/>
          <w:szCs w:val="22"/>
          <w:lang w:val="da-DK"/>
        </w:rPr>
      </w:pPr>
      <w:r>
        <w:rPr>
          <w:b/>
          <w:sz w:val="22"/>
          <w:szCs w:val="22"/>
          <w:lang w:val="da-DK"/>
        </w:rPr>
        <w:t>5.2</w:t>
      </w:r>
      <w:r>
        <w:rPr>
          <w:b/>
          <w:sz w:val="22"/>
          <w:szCs w:val="22"/>
          <w:lang w:val="da-DK"/>
        </w:rPr>
        <w:tab/>
        <w:t>Farmakokinetiske egenskaber</w:t>
      </w:r>
    </w:p>
    <w:p>
      <w:pPr>
        <w:widowControl w:val="0"/>
        <w:rPr>
          <w:sz w:val="22"/>
          <w:szCs w:val="22"/>
          <w:lang w:val="da-DK"/>
        </w:rPr>
      </w:pPr>
    </w:p>
    <w:p>
      <w:pPr>
        <w:pStyle w:val="BodyText"/>
        <w:tabs>
          <w:tab w:val="left" w:pos="9060"/>
        </w:tabs>
        <w:ind w:right="11"/>
        <w:rPr>
          <w:lang w:val="da-DK"/>
        </w:rPr>
      </w:pPr>
      <w:r>
        <w:rPr>
          <w:lang w:val="da-DK"/>
        </w:rPr>
        <w:t xml:space="preserve">Efter administration af abirateronacetat blev farmakokinetikken af abirateron </w:t>
      </w:r>
      <w:del w:id="7" w:author="Vrečar, Irena" w:date="2025-10-20T10:17:00Z">
        <w:r>
          <w:rPr>
            <w:lang w:val="da-DK"/>
          </w:rPr>
          <w:delText>og abirateron</w:delText>
        </w:r>
      </w:del>
      <w:del w:id="8" w:author="Vrečar, Irena" w:date="2025-10-20T10:16:00Z">
        <w:r>
          <w:rPr>
            <w:lang w:val="da-DK"/>
          </w:rPr>
          <w:delText>acetat</w:delText>
        </w:r>
      </w:del>
      <w:del w:id="9" w:author="Vrečar, Irena" w:date="2025-10-20T10:17:00Z">
        <w:r>
          <w:rPr>
            <w:lang w:val="da-DK"/>
          </w:rPr>
          <w:delText xml:space="preserve"> </w:delText>
        </w:r>
      </w:del>
      <w:r>
        <w:rPr>
          <w:lang w:val="da-DK"/>
        </w:rPr>
        <w:t>undersøgt hos raske forsøgspersoner, patienter med metastaserende avanceret prostatacancer og</w:t>
      </w:r>
      <w:r>
        <w:rPr>
          <w:spacing w:val="1"/>
          <w:lang w:val="da-DK"/>
        </w:rPr>
        <w:t xml:space="preserve"> </w:t>
      </w:r>
      <w:r>
        <w:rPr>
          <w:lang w:val="da-DK"/>
        </w:rPr>
        <w:t>forsøgspersoner uden cancer med nedsat lever- eller nyrefunktion. Abirateronacetat konverteres</w:t>
      </w:r>
      <w:r>
        <w:rPr>
          <w:spacing w:val="1"/>
          <w:lang w:val="da-DK"/>
        </w:rPr>
        <w:t xml:space="preserve"> </w:t>
      </w:r>
      <w:r>
        <w:rPr>
          <w:lang w:val="da-DK"/>
        </w:rPr>
        <w:t>hurtigt</w:t>
      </w:r>
      <w:r>
        <w:rPr>
          <w:spacing w:val="-1"/>
          <w:lang w:val="da-DK"/>
        </w:rPr>
        <w:t xml:space="preserve"> </w:t>
      </w:r>
      <w:r>
        <w:rPr>
          <w:i/>
          <w:lang w:val="da-DK"/>
        </w:rPr>
        <w:t>in</w:t>
      </w:r>
      <w:r>
        <w:rPr>
          <w:i/>
          <w:spacing w:val="-2"/>
          <w:lang w:val="da-DK"/>
        </w:rPr>
        <w:t xml:space="preserve"> </w:t>
      </w:r>
      <w:r>
        <w:rPr>
          <w:i/>
          <w:lang w:val="da-DK"/>
        </w:rPr>
        <w:t>vivo</w:t>
      </w:r>
      <w:r>
        <w:rPr>
          <w:i/>
          <w:spacing w:val="-2"/>
          <w:lang w:val="da-DK"/>
        </w:rPr>
        <w:t xml:space="preserve"> </w:t>
      </w:r>
      <w:r>
        <w:rPr>
          <w:lang w:val="da-DK"/>
        </w:rPr>
        <w:t>til</w:t>
      </w:r>
      <w:r>
        <w:rPr>
          <w:spacing w:val="-2"/>
          <w:lang w:val="da-DK"/>
        </w:rPr>
        <w:t xml:space="preserve"> </w:t>
      </w:r>
      <w:r>
        <w:rPr>
          <w:lang w:val="da-DK"/>
        </w:rPr>
        <w:t>abirateron,</w:t>
      </w:r>
      <w:r>
        <w:rPr>
          <w:spacing w:val="-2"/>
          <w:lang w:val="da-DK"/>
        </w:rPr>
        <w:t xml:space="preserve"> </w:t>
      </w:r>
      <w:r>
        <w:rPr>
          <w:lang w:val="da-DK"/>
        </w:rPr>
        <w:t>der</w:t>
      </w:r>
      <w:r>
        <w:rPr>
          <w:spacing w:val="-2"/>
          <w:lang w:val="da-DK"/>
        </w:rPr>
        <w:t xml:space="preserve"> </w:t>
      </w:r>
      <w:r>
        <w:rPr>
          <w:lang w:val="da-DK"/>
        </w:rPr>
        <w:t>hæmmer</w:t>
      </w:r>
      <w:r>
        <w:rPr>
          <w:spacing w:val="-2"/>
          <w:lang w:val="da-DK"/>
        </w:rPr>
        <w:t xml:space="preserve"> </w:t>
      </w:r>
      <w:r>
        <w:rPr>
          <w:lang w:val="da-DK"/>
        </w:rPr>
        <w:t>biosyntesen</w:t>
      </w:r>
      <w:r>
        <w:rPr>
          <w:spacing w:val="-2"/>
          <w:lang w:val="da-DK"/>
        </w:rPr>
        <w:t xml:space="preserve"> </w:t>
      </w:r>
      <w:r>
        <w:rPr>
          <w:lang w:val="da-DK"/>
        </w:rPr>
        <w:t>af</w:t>
      </w:r>
      <w:r>
        <w:rPr>
          <w:spacing w:val="-2"/>
          <w:lang w:val="da-DK"/>
        </w:rPr>
        <w:t xml:space="preserve"> </w:t>
      </w:r>
      <w:r>
        <w:rPr>
          <w:lang w:val="da-DK"/>
        </w:rPr>
        <w:t>androgener</w:t>
      </w:r>
      <w:r>
        <w:rPr>
          <w:spacing w:val="-2"/>
          <w:lang w:val="da-DK"/>
        </w:rPr>
        <w:t xml:space="preserve"> </w:t>
      </w:r>
      <w:r>
        <w:rPr>
          <w:lang w:val="da-DK"/>
        </w:rPr>
        <w:t>(se</w:t>
      </w:r>
      <w:r>
        <w:rPr>
          <w:spacing w:val="-1"/>
          <w:lang w:val="da-DK"/>
        </w:rPr>
        <w:t xml:space="preserve"> </w:t>
      </w:r>
      <w:r>
        <w:rPr>
          <w:lang w:val="da-DK"/>
        </w:rPr>
        <w:t>pkt. 5.1).</w:t>
      </w:r>
    </w:p>
    <w:p>
      <w:pPr>
        <w:pStyle w:val="BodyText"/>
        <w:tabs>
          <w:tab w:val="left" w:pos="9060"/>
        </w:tabs>
        <w:ind w:right="11"/>
        <w:rPr>
          <w:lang w:val="da-DK"/>
        </w:rPr>
      </w:pPr>
    </w:p>
    <w:p>
      <w:pPr>
        <w:pStyle w:val="BodyText"/>
        <w:tabs>
          <w:tab w:val="left" w:pos="9060"/>
        </w:tabs>
        <w:ind w:right="11"/>
        <w:rPr>
          <w:lang w:val="da-DK"/>
        </w:rPr>
      </w:pPr>
      <w:r>
        <w:rPr>
          <w:u w:val="single"/>
          <w:lang w:val="da-DK"/>
        </w:rPr>
        <w:t>Absorption</w:t>
      </w:r>
    </w:p>
    <w:p>
      <w:pPr>
        <w:pStyle w:val="BodyText"/>
        <w:tabs>
          <w:tab w:val="left" w:pos="9060"/>
        </w:tabs>
        <w:ind w:right="11"/>
        <w:rPr>
          <w:lang w:val="da-DK"/>
        </w:rPr>
      </w:pPr>
      <w:r>
        <w:rPr>
          <w:lang w:val="da-DK"/>
        </w:rPr>
        <w:t>Efter oral administration af abirateronacetat i fastende tilstand er tiden til maksimal</w:t>
      </w:r>
      <w:r>
        <w:rPr>
          <w:spacing w:val="-52"/>
          <w:lang w:val="da-DK"/>
        </w:rPr>
        <w:t xml:space="preserve"> </w:t>
      </w:r>
      <w:r>
        <w:rPr>
          <w:lang w:val="da-DK"/>
        </w:rPr>
        <w:t>plasmakoncentration</w:t>
      </w:r>
      <w:r>
        <w:rPr>
          <w:spacing w:val="-2"/>
          <w:lang w:val="da-DK"/>
        </w:rPr>
        <w:t xml:space="preserve"> </w:t>
      </w:r>
      <w:r>
        <w:rPr>
          <w:lang w:val="da-DK"/>
        </w:rPr>
        <w:t>ca.</w:t>
      </w:r>
      <w:r>
        <w:rPr>
          <w:spacing w:val="-1"/>
          <w:lang w:val="da-DK"/>
        </w:rPr>
        <w:t xml:space="preserve"> </w:t>
      </w:r>
      <w:r>
        <w:rPr>
          <w:lang w:val="da-DK"/>
        </w:rPr>
        <w:t>2</w:t>
      </w:r>
      <w:r>
        <w:rPr>
          <w:spacing w:val="-3"/>
          <w:lang w:val="da-DK"/>
        </w:rPr>
        <w:t> </w:t>
      </w:r>
      <w:r>
        <w:rPr>
          <w:lang w:val="da-DK"/>
        </w:rPr>
        <w:t>timer.</w:t>
      </w:r>
    </w:p>
    <w:p>
      <w:pPr>
        <w:pStyle w:val="BodyText"/>
        <w:tabs>
          <w:tab w:val="left" w:pos="9060"/>
        </w:tabs>
        <w:ind w:right="11"/>
        <w:rPr>
          <w:lang w:val="da-DK"/>
        </w:rPr>
      </w:pPr>
    </w:p>
    <w:p>
      <w:pPr>
        <w:pStyle w:val="BodyText"/>
        <w:tabs>
          <w:tab w:val="left" w:pos="9060"/>
        </w:tabs>
        <w:ind w:right="11"/>
        <w:rPr>
          <w:lang w:val="da-DK"/>
        </w:rPr>
      </w:pPr>
      <w:r>
        <w:rPr>
          <w:lang w:val="da-DK"/>
        </w:rPr>
        <w:t>Administration af abirateronacetat i forbindelse med et måltid sammenlignet med administration i</w:t>
      </w:r>
      <w:r>
        <w:rPr>
          <w:spacing w:val="1"/>
          <w:lang w:val="da-DK"/>
        </w:rPr>
        <w:t xml:space="preserve"> </w:t>
      </w:r>
      <w:r>
        <w:rPr>
          <w:position w:val="2"/>
          <w:lang w:val="da-DK"/>
        </w:rPr>
        <w:t>fastende tilstand resulterede i en stigning på op til en faktor 10 [AUC] og op til en faktor 17 [C</w:t>
      </w:r>
      <w:r>
        <w:rPr>
          <w:lang w:val="da-DK"/>
        </w:rPr>
        <w:t>max</w:t>
      </w:r>
      <w:r>
        <w:rPr>
          <w:position w:val="2"/>
          <w:lang w:val="da-DK"/>
        </w:rPr>
        <w:t>] i</w:t>
      </w:r>
      <w:r>
        <w:rPr>
          <w:spacing w:val="1"/>
          <w:position w:val="2"/>
          <w:lang w:val="da-DK"/>
        </w:rPr>
        <w:t xml:space="preserve"> </w:t>
      </w:r>
      <w:r>
        <w:rPr>
          <w:lang w:val="da-DK"/>
        </w:rPr>
        <w:t>gennemsnitlig systemisk eksponering for abirateron, afhængigt af måltidets fedtindhold. I betragtning</w:t>
      </w:r>
      <w:r>
        <w:rPr>
          <w:spacing w:val="-52"/>
          <w:lang w:val="da-DK"/>
        </w:rPr>
        <w:t xml:space="preserve"> </w:t>
      </w:r>
      <w:r>
        <w:rPr>
          <w:lang w:val="da-DK"/>
        </w:rPr>
        <w:t>af den normale variation i måltiders indhold og sammensætning kan indtagelse af abirateronacetat i</w:t>
      </w:r>
      <w:r>
        <w:rPr>
          <w:spacing w:val="1"/>
          <w:lang w:val="da-DK"/>
        </w:rPr>
        <w:t xml:space="preserve"> </w:t>
      </w:r>
      <w:r>
        <w:rPr>
          <w:lang w:val="da-DK"/>
        </w:rPr>
        <w:t>forbindelse med et måltid potentielt resultere i stærkt variabel eksponering. Abiraterone Krka må derfor ikke indtages i forbindelse med et måltid. Abiraterone Krka tabletter skal tages som en enkeltdosis én gang dagligt på tom mave. Abiraterone Krka skal tages mindst to timer efter et måltid, og patienten må ikke spise før mindst én time efter at have taget Abiraterone Krka. Tabletterne skal synkes hele med vand (se pkt. 4.2).</w:t>
      </w:r>
    </w:p>
    <w:p>
      <w:pPr>
        <w:pStyle w:val="BodyText"/>
        <w:tabs>
          <w:tab w:val="left" w:pos="9060"/>
        </w:tabs>
        <w:ind w:right="11"/>
        <w:rPr>
          <w:lang w:val="da-DK"/>
        </w:rPr>
      </w:pPr>
    </w:p>
    <w:p>
      <w:pPr>
        <w:pStyle w:val="BodyText"/>
        <w:tabs>
          <w:tab w:val="left" w:pos="9060"/>
        </w:tabs>
        <w:ind w:right="11"/>
        <w:rPr>
          <w:lang w:val="da-DK"/>
        </w:rPr>
      </w:pPr>
      <w:r>
        <w:rPr>
          <w:u w:val="single"/>
          <w:lang w:val="da-DK"/>
        </w:rPr>
        <w:t>Fordeling</w:t>
      </w:r>
    </w:p>
    <w:p>
      <w:pPr>
        <w:pStyle w:val="BodyText"/>
        <w:tabs>
          <w:tab w:val="left" w:pos="9060"/>
        </w:tabs>
        <w:ind w:right="11"/>
        <w:rPr>
          <w:lang w:val="da-DK"/>
        </w:rPr>
      </w:pPr>
      <w:r>
        <w:rPr>
          <w:lang w:val="da-DK"/>
        </w:rPr>
        <w:t xml:space="preserve">Plasmaproteinbindingen af </w:t>
      </w:r>
      <w:r>
        <w:rPr>
          <w:vertAlign w:val="superscript"/>
          <w:lang w:val="da-DK"/>
        </w:rPr>
        <w:t>14</w:t>
      </w:r>
      <w:r>
        <w:rPr>
          <w:lang w:val="da-DK"/>
        </w:rPr>
        <w:t>C-mærket abirateron i humant plasma er 99,8 %. Fordelingsvolumen er ca. 5.630</w:t>
      </w:r>
      <w:r>
        <w:rPr>
          <w:spacing w:val="-1"/>
          <w:lang w:val="da-DK"/>
        </w:rPr>
        <w:t> </w:t>
      </w:r>
      <w:r>
        <w:rPr>
          <w:lang w:val="da-DK"/>
        </w:rPr>
        <w:t>l,</w:t>
      </w:r>
      <w:r>
        <w:rPr>
          <w:spacing w:val="-2"/>
          <w:lang w:val="da-DK"/>
        </w:rPr>
        <w:t xml:space="preserve"> </w:t>
      </w:r>
      <w:r>
        <w:rPr>
          <w:lang w:val="da-DK"/>
        </w:rPr>
        <w:t>hvilket</w:t>
      </w:r>
      <w:r>
        <w:rPr>
          <w:spacing w:val="-2"/>
          <w:lang w:val="da-DK"/>
        </w:rPr>
        <w:t xml:space="preserve"> </w:t>
      </w:r>
      <w:r>
        <w:rPr>
          <w:lang w:val="da-DK"/>
        </w:rPr>
        <w:t>tyder</w:t>
      </w:r>
      <w:r>
        <w:rPr>
          <w:spacing w:val="-2"/>
          <w:lang w:val="da-DK"/>
        </w:rPr>
        <w:t xml:space="preserve"> </w:t>
      </w:r>
      <w:r>
        <w:rPr>
          <w:lang w:val="da-DK"/>
        </w:rPr>
        <w:t>på,</w:t>
      </w:r>
      <w:r>
        <w:rPr>
          <w:spacing w:val="-2"/>
          <w:lang w:val="da-DK"/>
        </w:rPr>
        <w:t xml:space="preserve"> </w:t>
      </w:r>
      <w:r>
        <w:rPr>
          <w:lang w:val="da-DK"/>
        </w:rPr>
        <w:t>at</w:t>
      </w:r>
      <w:r>
        <w:rPr>
          <w:spacing w:val="-2"/>
          <w:lang w:val="da-DK"/>
        </w:rPr>
        <w:t xml:space="preserve"> </w:t>
      </w:r>
      <w:r>
        <w:rPr>
          <w:lang w:val="da-DK"/>
        </w:rPr>
        <w:t>abirateron</w:t>
      </w:r>
      <w:r>
        <w:rPr>
          <w:spacing w:val="-2"/>
          <w:lang w:val="da-DK"/>
        </w:rPr>
        <w:t xml:space="preserve"> </w:t>
      </w:r>
      <w:r>
        <w:rPr>
          <w:lang w:val="da-DK"/>
        </w:rPr>
        <w:t>fordeles</w:t>
      </w:r>
      <w:r>
        <w:rPr>
          <w:spacing w:val="-2"/>
          <w:lang w:val="da-DK"/>
        </w:rPr>
        <w:t xml:space="preserve"> </w:t>
      </w:r>
      <w:r>
        <w:rPr>
          <w:lang w:val="da-DK"/>
        </w:rPr>
        <w:t>i</w:t>
      </w:r>
      <w:r>
        <w:rPr>
          <w:spacing w:val="-2"/>
          <w:lang w:val="da-DK"/>
        </w:rPr>
        <w:t xml:space="preserve"> </w:t>
      </w:r>
      <w:r>
        <w:rPr>
          <w:lang w:val="da-DK"/>
        </w:rPr>
        <w:t>udstrakt</w:t>
      </w:r>
      <w:r>
        <w:rPr>
          <w:spacing w:val="-2"/>
          <w:lang w:val="da-DK"/>
        </w:rPr>
        <w:t xml:space="preserve"> </w:t>
      </w:r>
      <w:r>
        <w:rPr>
          <w:lang w:val="da-DK"/>
        </w:rPr>
        <w:t>grad</w:t>
      </w:r>
      <w:r>
        <w:rPr>
          <w:spacing w:val="-2"/>
          <w:lang w:val="da-DK"/>
        </w:rPr>
        <w:t xml:space="preserve"> </w:t>
      </w:r>
      <w:r>
        <w:rPr>
          <w:lang w:val="da-DK"/>
        </w:rPr>
        <w:t>til</w:t>
      </w:r>
      <w:r>
        <w:rPr>
          <w:spacing w:val="-2"/>
          <w:lang w:val="da-DK"/>
        </w:rPr>
        <w:t xml:space="preserve"> </w:t>
      </w:r>
      <w:r>
        <w:rPr>
          <w:lang w:val="da-DK"/>
        </w:rPr>
        <w:t>de</w:t>
      </w:r>
      <w:r>
        <w:rPr>
          <w:spacing w:val="-2"/>
          <w:lang w:val="da-DK"/>
        </w:rPr>
        <w:t xml:space="preserve"> </w:t>
      </w:r>
      <w:r>
        <w:rPr>
          <w:lang w:val="da-DK"/>
        </w:rPr>
        <w:t>perifere</w:t>
      </w:r>
      <w:r>
        <w:rPr>
          <w:spacing w:val="-2"/>
          <w:lang w:val="da-DK"/>
        </w:rPr>
        <w:t xml:space="preserve"> </w:t>
      </w:r>
      <w:r>
        <w:rPr>
          <w:lang w:val="da-DK"/>
        </w:rPr>
        <w:t>væv.</w:t>
      </w:r>
    </w:p>
    <w:p>
      <w:pPr>
        <w:pStyle w:val="BodyText"/>
        <w:tabs>
          <w:tab w:val="left" w:pos="9060"/>
        </w:tabs>
        <w:ind w:right="11"/>
        <w:rPr>
          <w:lang w:val="da-DK"/>
        </w:rPr>
      </w:pPr>
    </w:p>
    <w:p>
      <w:pPr>
        <w:pStyle w:val="BodyText"/>
        <w:tabs>
          <w:tab w:val="left" w:pos="9060"/>
        </w:tabs>
        <w:ind w:right="11"/>
        <w:rPr>
          <w:lang w:val="da-DK"/>
        </w:rPr>
      </w:pPr>
      <w:r>
        <w:rPr>
          <w:u w:val="single"/>
          <w:lang w:val="da-DK"/>
        </w:rPr>
        <w:t>Biotransformation</w:t>
      </w:r>
    </w:p>
    <w:p>
      <w:pPr>
        <w:pStyle w:val="BodyText"/>
        <w:tabs>
          <w:tab w:val="left" w:pos="9060"/>
        </w:tabs>
        <w:ind w:right="11"/>
        <w:rPr>
          <w:lang w:val="da-DK"/>
        </w:rPr>
      </w:pPr>
      <w:r>
        <w:rPr>
          <w:lang w:val="da-DK"/>
        </w:rPr>
        <w:t xml:space="preserve">Efter oral administration af </w:t>
      </w:r>
      <w:r>
        <w:rPr>
          <w:vertAlign w:val="superscript"/>
          <w:lang w:val="da-DK"/>
        </w:rPr>
        <w:t>14</w:t>
      </w:r>
      <w:r>
        <w:rPr>
          <w:lang w:val="da-DK"/>
        </w:rPr>
        <w:t>C-mærket abirateronacetat som kapsler hydrolyseres abirateronacetat til</w:t>
      </w:r>
      <w:r>
        <w:rPr>
          <w:spacing w:val="-52"/>
          <w:lang w:val="da-DK"/>
        </w:rPr>
        <w:t xml:space="preserve"> </w:t>
      </w:r>
      <w:r>
        <w:rPr>
          <w:lang w:val="da-DK"/>
        </w:rPr>
        <w:t>abirateron, som dernæst gennemgår metabolisme inklusive omdannelse til sulfat, hydroxylering og</w:t>
      </w:r>
      <w:r>
        <w:rPr>
          <w:spacing w:val="1"/>
          <w:lang w:val="da-DK"/>
        </w:rPr>
        <w:t xml:space="preserve"> </w:t>
      </w:r>
      <w:r>
        <w:rPr>
          <w:lang w:val="da-DK"/>
        </w:rPr>
        <w:t>oxidation primært i leveren. Abiraterons metabolitter tegner sig for hovedparten af radioaktiviteten i</w:t>
      </w:r>
      <w:r>
        <w:rPr>
          <w:spacing w:val="1"/>
          <w:lang w:val="da-DK"/>
        </w:rPr>
        <w:t xml:space="preserve"> </w:t>
      </w:r>
      <w:r>
        <w:rPr>
          <w:lang w:val="da-DK"/>
        </w:rPr>
        <w:t>blodet</w:t>
      </w:r>
      <w:r>
        <w:rPr>
          <w:spacing w:val="-4"/>
          <w:lang w:val="da-DK"/>
        </w:rPr>
        <w:t xml:space="preserve"> </w:t>
      </w:r>
      <w:r>
        <w:rPr>
          <w:lang w:val="da-DK"/>
        </w:rPr>
        <w:t>(ca.</w:t>
      </w:r>
      <w:r>
        <w:rPr>
          <w:spacing w:val="-3"/>
          <w:lang w:val="da-DK"/>
        </w:rPr>
        <w:t xml:space="preserve"> </w:t>
      </w:r>
      <w:r>
        <w:rPr>
          <w:lang w:val="da-DK"/>
        </w:rPr>
        <w:t>92</w:t>
      </w:r>
      <w:r>
        <w:rPr>
          <w:spacing w:val="-3"/>
          <w:lang w:val="da-DK"/>
        </w:rPr>
        <w:t> %</w:t>
      </w:r>
      <w:r>
        <w:rPr>
          <w:lang w:val="da-DK"/>
        </w:rPr>
        <w:t>).</w:t>
      </w:r>
      <w:r>
        <w:rPr>
          <w:spacing w:val="-3"/>
          <w:lang w:val="da-DK"/>
        </w:rPr>
        <w:t xml:space="preserve"> </w:t>
      </w:r>
      <w:r>
        <w:rPr>
          <w:lang w:val="da-DK"/>
        </w:rPr>
        <w:t>Ud</w:t>
      </w:r>
      <w:r>
        <w:rPr>
          <w:spacing w:val="-3"/>
          <w:lang w:val="da-DK"/>
        </w:rPr>
        <w:t xml:space="preserve"> </w:t>
      </w:r>
      <w:r>
        <w:rPr>
          <w:lang w:val="da-DK"/>
        </w:rPr>
        <w:t>af</w:t>
      </w:r>
      <w:r>
        <w:rPr>
          <w:spacing w:val="-4"/>
          <w:lang w:val="da-DK"/>
        </w:rPr>
        <w:t xml:space="preserve"> </w:t>
      </w:r>
      <w:r>
        <w:rPr>
          <w:lang w:val="da-DK"/>
        </w:rPr>
        <w:t>15</w:t>
      </w:r>
      <w:r>
        <w:rPr>
          <w:spacing w:val="-3"/>
          <w:lang w:val="da-DK"/>
        </w:rPr>
        <w:t xml:space="preserve"> </w:t>
      </w:r>
      <w:r>
        <w:rPr>
          <w:lang w:val="da-DK"/>
        </w:rPr>
        <w:t>påviselige</w:t>
      </w:r>
      <w:r>
        <w:rPr>
          <w:spacing w:val="-3"/>
          <w:lang w:val="da-DK"/>
        </w:rPr>
        <w:t xml:space="preserve"> </w:t>
      </w:r>
      <w:r>
        <w:rPr>
          <w:lang w:val="da-DK"/>
        </w:rPr>
        <w:t>metabolitter</w:t>
      </w:r>
      <w:r>
        <w:rPr>
          <w:spacing w:val="-4"/>
          <w:lang w:val="da-DK"/>
        </w:rPr>
        <w:t xml:space="preserve"> </w:t>
      </w:r>
      <w:r>
        <w:rPr>
          <w:lang w:val="da-DK"/>
        </w:rPr>
        <w:t>tegner</w:t>
      </w:r>
      <w:r>
        <w:rPr>
          <w:spacing w:val="-3"/>
          <w:lang w:val="da-DK"/>
        </w:rPr>
        <w:t xml:space="preserve"> </w:t>
      </w:r>
      <w:r>
        <w:rPr>
          <w:lang w:val="da-DK"/>
        </w:rPr>
        <w:t>2</w:t>
      </w:r>
      <w:r>
        <w:rPr>
          <w:spacing w:val="-3"/>
          <w:lang w:val="da-DK"/>
        </w:rPr>
        <w:t> </w:t>
      </w:r>
      <w:r>
        <w:rPr>
          <w:lang w:val="da-DK"/>
        </w:rPr>
        <w:t>hovedmetabolitter,</w:t>
      </w:r>
      <w:r>
        <w:rPr>
          <w:spacing w:val="-4"/>
          <w:lang w:val="da-DK"/>
        </w:rPr>
        <w:t xml:space="preserve"> </w:t>
      </w:r>
      <w:r>
        <w:rPr>
          <w:lang w:val="da-DK"/>
        </w:rPr>
        <w:t>abirateronsulfat</w:t>
      </w:r>
      <w:r>
        <w:rPr>
          <w:spacing w:val="-3"/>
          <w:lang w:val="da-DK"/>
        </w:rPr>
        <w:t xml:space="preserve"> </w:t>
      </w:r>
      <w:r>
        <w:rPr>
          <w:lang w:val="da-DK"/>
        </w:rPr>
        <w:t>og N-oxid-abirateronsulfat,</w:t>
      </w:r>
      <w:r>
        <w:rPr>
          <w:spacing w:val="-4"/>
          <w:lang w:val="da-DK"/>
        </w:rPr>
        <w:t xml:space="preserve"> </w:t>
      </w:r>
      <w:r>
        <w:rPr>
          <w:lang w:val="da-DK"/>
        </w:rPr>
        <w:t>sig</w:t>
      </w:r>
      <w:r>
        <w:rPr>
          <w:spacing w:val="-3"/>
          <w:lang w:val="da-DK"/>
        </w:rPr>
        <w:t xml:space="preserve"> </w:t>
      </w:r>
      <w:r>
        <w:rPr>
          <w:lang w:val="da-DK"/>
        </w:rPr>
        <w:t>hver</w:t>
      </w:r>
      <w:r>
        <w:rPr>
          <w:spacing w:val="-4"/>
          <w:lang w:val="da-DK"/>
        </w:rPr>
        <w:t xml:space="preserve"> </w:t>
      </w:r>
      <w:r>
        <w:rPr>
          <w:lang w:val="da-DK"/>
        </w:rPr>
        <w:t>for</w:t>
      </w:r>
      <w:r>
        <w:rPr>
          <w:spacing w:val="-3"/>
          <w:lang w:val="da-DK"/>
        </w:rPr>
        <w:t xml:space="preserve"> </w:t>
      </w:r>
      <w:r>
        <w:rPr>
          <w:lang w:val="da-DK"/>
        </w:rPr>
        <w:t>ca. 43</w:t>
      </w:r>
      <w:r>
        <w:rPr>
          <w:spacing w:val="-4"/>
          <w:lang w:val="da-DK"/>
        </w:rPr>
        <w:t xml:space="preserve"> % </w:t>
      </w:r>
      <w:r>
        <w:rPr>
          <w:lang w:val="da-DK"/>
        </w:rPr>
        <w:t>af</w:t>
      </w:r>
      <w:r>
        <w:rPr>
          <w:spacing w:val="-3"/>
          <w:lang w:val="da-DK"/>
        </w:rPr>
        <w:t xml:space="preserve"> </w:t>
      </w:r>
      <w:r>
        <w:rPr>
          <w:lang w:val="da-DK"/>
        </w:rPr>
        <w:t>den</w:t>
      </w:r>
      <w:r>
        <w:rPr>
          <w:spacing w:val="-4"/>
          <w:lang w:val="da-DK"/>
        </w:rPr>
        <w:t xml:space="preserve"> </w:t>
      </w:r>
      <w:r>
        <w:rPr>
          <w:lang w:val="da-DK"/>
        </w:rPr>
        <w:t>totale</w:t>
      </w:r>
      <w:r>
        <w:rPr>
          <w:spacing w:val="-3"/>
          <w:lang w:val="da-DK"/>
        </w:rPr>
        <w:t xml:space="preserve"> </w:t>
      </w:r>
      <w:r>
        <w:rPr>
          <w:lang w:val="da-DK"/>
        </w:rPr>
        <w:t>radioaktivitet.</w:t>
      </w:r>
    </w:p>
    <w:p>
      <w:pPr>
        <w:pStyle w:val="BodyText"/>
        <w:tabs>
          <w:tab w:val="left" w:pos="9060"/>
        </w:tabs>
        <w:ind w:right="11"/>
        <w:rPr>
          <w:lang w:val="da-DK"/>
        </w:rPr>
      </w:pPr>
    </w:p>
    <w:p>
      <w:pPr>
        <w:pStyle w:val="BodyText"/>
        <w:tabs>
          <w:tab w:val="left" w:pos="9060"/>
        </w:tabs>
        <w:ind w:right="11"/>
        <w:rPr>
          <w:lang w:val="da-DK"/>
        </w:rPr>
      </w:pPr>
      <w:r>
        <w:rPr>
          <w:u w:val="single"/>
          <w:lang w:val="da-DK"/>
        </w:rPr>
        <w:t>Elimination</w:t>
      </w:r>
    </w:p>
    <w:p>
      <w:pPr>
        <w:pStyle w:val="BodyText"/>
        <w:tabs>
          <w:tab w:val="left" w:pos="9060"/>
        </w:tabs>
        <w:ind w:right="11"/>
        <w:rPr>
          <w:lang w:val="da-DK"/>
        </w:rPr>
      </w:pPr>
      <w:r>
        <w:rPr>
          <w:lang w:val="da-DK"/>
        </w:rPr>
        <w:t>Abiraterons gennemsnitlige halveringstid er ca. 15 timer baseret på data fra raske forsøgspersoner.</w:t>
      </w:r>
      <w:r>
        <w:rPr>
          <w:spacing w:val="1"/>
          <w:lang w:val="da-DK"/>
        </w:rPr>
        <w:t xml:space="preserve"> </w:t>
      </w:r>
      <w:r>
        <w:rPr>
          <w:lang w:val="da-DK"/>
        </w:rPr>
        <w:t xml:space="preserve">Efter oral administration af 1.000 mg </w:t>
      </w:r>
      <w:r>
        <w:rPr>
          <w:vertAlign w:val="superscript"/>
          <w:lang w:val="da-DK"/>
        </w:rPr>
        <w:t>14</w:t>
      </w:r>
      <w:r>
        <w:rPr>
          <w:lang w:val="da-DK"/>
        </w:rPr>
        <w:t>C-mærket abirateronacetat blev ca. 88 % af den radioaktive</w:t>
      </w:r>
      <w:r>
        <w:rPr>
          <w:spacing w:val="1"/>
          <w:lang w:val="da-DK"/>
        </w:rPr>
        <w:t xml:space="preserve"> </w:t>
      </w:r>
      <w:r>
        <w:rPr>
          <w:lang w:val="da-DK"/>
        </w:rPr>
        <w:t>dosis genfundet i fæces og ca. 5 % i urinen. Uomdannet abirateronacetat og abirateron udgør de største forekomster</w:t>
      </w:r>
      <w:r>
        <w:rPr>
          <w:spacing w:val="-2"/>
          <w:lang w:val="da-DK"/>
        </w:rPr>
        <w:t xml:space="preserve"> </w:t>
      </w:r>
      <w:r>
        <w:rPr>
          <w:lang w:val="da-DK"/>
        </w:rPr>
        <w:t>i</w:t>
      </w:r>
      <w:r>
        <w:rPr>
          <w:spacing w:val="-1"/>
          <w:lang w:val="da-DK"/>
        </w:rPr>
        <w:t xml:space="preserve"> </w:t>
      </w:r>
      <w:r>
        <w:rPr>
          <w:lang w:val="da-DK"/>
        </w:rPr>
        <w:t>fæces</w:t>
      </w:r>
      <w:r>
        <w:rPr>
          <w:spacing w:val="-2"/>
          <w:lang w:val="da-DK"/>
        </w:rPr>
        <w:t xml:space="preserve"> </w:t>
      </w:r>
      <w:r>
        <w:rPr>
          <w:lang w:val="da-DK"/>
        </w:rPr>
        <w:t>(henholdsvis</w:t>
      </w:r>
      <w:r>
        <w:rPr>
          <w:spacing w:val="-1"/>
          <w:lang w:val="da-DK"/>
        </w:rPr>
        <w:t xml:space="preserve"> </w:t>
      </w:r>
      <w:r>
        <w:rPr>
          <w:lang w:val="da-DK"/>
        </w:rPr>
        <w:t>ca.</w:t>
      </w:r>
      <w:r>
        <w:rPr>
          <w:spacing w:val="-2"/>
          <w:lang w:val="da-DK"/>
        </w:rPr>
        <w:t xml:space="preserve"> </w:t>
      </w:r>
      <w:r>
        <w:rPr>
          <w:lang w:val="da-DK"/>
        </w:rPr>
        <w:t>55</w:t>
      </w:r>
      <w:r>
        <w:rPr>
          <w:spacing w:val="-4"/>
          <w:lang w:val="da-DK"/>
        </w:rPr>
        <w:t> %</w:t>
      </w:r>
      <w:r>
        <w:rPr>
          <w:spacing w:val="-1"/>
          <w:lang w:val="da-DK"/>
        </w:rPr>
        <w:t xml:space="preserve"> </w:t>
      </w:r>
      <w:r>
        <w:rPr>
          <w:lang w:val="da-DK"/>
        </w:rPr>
        <w:t>og</w:t>
      </w:r>
      <w:r>
        <w:rPr>
          <w:spacing w:val="-2"/>
          <w:lang w:val="da-DK"/>
        </w:rPr>
        <w:t xml:space="preserve"> </w:t>
      </w:r>
      <w:r>
        <w:rPr>
          <w:lang w:val="da-DK"/>
        </w:rPr>
        <w:t>22 %</w:t>
      </w:r>
      <w:r>
        <w:rPr>
          <w:spacing w:val="-2"/>
          <w:lang w:val="da-DK"/>
        </w:rPr>
        <w:t xml:space="preserve"> </w:t>
      </w:r>
      <w:r>
        <w:rPr>
          <w:lang w:val="da-DK"/>
        </w:rPr>
        <w:t>af</w:t>
      </w:r>
      <w:r>
        <w:rPr>
          <w:spacing w:val="-1"/>
          <w:lang w:val="da-DK"/>
        </w:rPr>
        <w:t xml:space="preserve"> </w:t>
      </w:r>
      <w:r>
        <w:rPr>
          <w:lang w:val="da-DK"/>
        </w:rPr>
        <w:t>den</w:t>
      </w:r>
      <w:r>
        <w:rPr>
          <w:spacing w:val="-2"/>
          <w:lang w:val="da-DK"/>
        </w:rPr>
        <w:t xml:space="preserve"> </w:t>
      </w:r>
      <w:r>
        <w:rPr>
          <w:lang w:val="da-DK"/>
        </w:rPr>
        <w:t>indgivne</w:t>
      </w:r>
      <w:r>
        <w:rPr>
          <w:spacing w:val="-1"/>
          <w:lang w:val="da-DK"/>
        </w:rPr>
        <w:t xml:space="preserve"> </w:t>
      </w:r>
      <w:r>
        <w:rPr>
          <w:lang w:val="da-DK"/>
        </w:rPr>
        <w:t>dosis).</w:t>
      </w:r>
    </w:p>
    <w:p>
      <w:pPr>
        <w:pStyle w:val="BodyText"/>
        <w:tabs>
          <w:tab w:val="left" w:pos="9060"/>
        </w:tabs>
        <w:ind w:right="11"/>
        <w:rPr>
          <w:u w:val="single"/>
          <w:lang w:val="da-DK"/>
        </w:rPr>
      </w:pPr>
    </w:p>
    <w:p>
      <w:pPr>
        <w:pStyle w:val="BodyText"/>
        <w:tabs>
          <w:tab w:val="left" w:pos="9060"/>
        </w:tabs>
        <w:ind w:right="11"/>
        <w:rPr>
          <w:lang w:val="da-DK"/>
        </w:rPr>
      </w:pPr>
      <w:r>
        <w:rPr>
          <w:u w:val="single"/>
          <w:lang w:val="da-DK"/>
        </w:rPr>
        <w:t>Nedsat nyrefunktion</w:t>
      </w:r>
    </w:p>
    <w:p>
      <w:pPr>
        <w:pStyle w:val="BodyText"/>
        <w:tabs>
          <w:tab w:val="left" w:pos="9060"/>
        </w:tabs>
        <w:ind w:right="11"/>
        <w:rPr>
          <w:lang w:val="da-DK"/>
        </w:rPr>
      </w:pPr>
      <w:r>
        <w:rPr>
          <w:lang w:val="da-DK"/>
        </w:rPr>
        <w:t>Abirateronacetats farmakokinetik hos patienter med nyresygdom i terminalstadiet, som var i stabil hæmodialysebehandling, blev sammenlignet med matchende kontrolpersoner med normal nyrefunktion. Systemisk eksponering for abirateron øgedes ikke efter en enkelt oral dosis på 1.000 mg hos forsøgspersoner med nyresygdom i terminalstadiet, som var i dialyse. Administration til patienter med nedsat nyrefunktion inklusive alvorligt nedsat nyrefunktion kræver ikke dosisreduktion (se pkt. 4.2). Der savnes dog klinisk erfaring hos patienter med prostatacancer og svært nedsat nyrefunktion. Forsigtighed tilrådes hos disse patienter.</w:t>
      </w:r>
    </w:p>
    <w:p>
      <w:pPr>
        <w:pStyle w:val="BodyText"/>
        <w:tabs>
          <w:tab w:val="left" w:pos="9060"/>
        </w:tabs>
        <w:ind w:right="11"/>
        <w:rPr>
          <w:lang w:val="da-DK"/>
        </w:rPr>
      </w:pPr>
    </w:p>
    <w:p>
      <w:pPr>
        <w:pStyle w:val="BodyText"/>
        <w:tabs>
          <w:tab w:val="left" w:pos="9060"/>
        </w:tabs>
        <w:ind w:right="11"/>
        <w:rPr>
          <w:lang w:val="da-DK"/>
        </w:rPr>
      </w:pPr>
      <w:r>
        <w:rPr>
          <w:u w:val="single"/>
          <w:lang w:val="da-DK"/>
        </w:rPr>
        <w:t>Nedsat</w:t>
      </w:r>
      <w:r>
        <w:rPr>
          <w:spacing w:val="-3"/>
          <w:u w:val="single"/>
          <w:lang w:val="da-DK"/>
        </w:rPr>
        <w:t xml:space="preserve"> </w:t>
      </w:r>
      <w:r>
        <w:rPr>
          <w:u w:val="single"/>
          <w:lang w:val="da-DK"/>
        </w:rPr>
        <w:t>leverfunktion</w:t>
      </w:r>
    </w:p>
    <w:p>
      <w:pPr>
        <w:pStyle w:val="BodyText"/>
        <w:tabs>
          <w:tab w:val="left" w:pos="9060"/>
        </w:tabs>
        <w:ind w:right="11"/>
        <w:rPr>
          <w:lang w:val="da-DK"/>
        </w:rPr>
      </w:pPr>
      <w:r>
        <w:rPr>
          <w:lang w:val="da-DK"/>
        </w:rPr>
        <w:t>Abirateronacetats farmakokinetik blev undersøgt hos forsøgspersoner med eksisterende let eller</w:t>
      </w:r>
      <w:r>
        <w:rPr>
          <w:spacing w:val="1"/>
          <w:lang w:val="da-DK"/>
        </w:rPr>
        <w:t xml:space="preserve"> </w:t>
      </w:r>
      <w:r>
        <w:rPr>
          <w:lang w:val="da-DK"/>
        </w:rPr>
        <w:t>moderat nedsat leverfunktion (henholdsvis Child-Pugh-klasse A og B) og hos raske kontrolpersoner. Systemisk eksponering for abirateron efter en enkelt oral dosis på 1.000 mg øgedes med ca. 11 % og 260</w:t>
      </w:r>
      <w:r>
        <w:rPr>
          <w:spacing w:val="-2"/>
          <w:lang w:val="da-DK"/>
        </w:rPr>
        <w:t> %</w:t>
      </w:r>
      <w:r>
        <w:rPr>
          <w:spacing w:val="-3"/>
          <w:lang w:val="da-DK"/>
        </w:rPr>
        <w:t xml:space="preserve"> </w:t>
      </w:r>
      <w:r>
        <w:rPr>
          <w:lang w:val="da-DK"/>
        </w:rPr>
        <w:t>hos</w:t>
      </w:r>
      <w:r>
        <w:rPr>
          <w:spacing w:val="-3"/>
          <w:lang w:val="da-DK"/>
        </w:rPr>
        <w:t xml:space="preserve"> </w:t>
      </w:r>
      <w:r>
        <w:rPr>
          <w:lang w:val="da-DK"/>
        </w:rPr>
        <w:t>forsøgspersoner</w:t>
      </w:r>
      <w:r>
        <w:rPr>
          <w:spacing w:val="-3"/>
          <w:lang w:val="da-DK"/>
        </w:rPr>
        <w:t xml:space="preserve"> </w:t>
      </w:r>
      <w:r>
        <w:rPr>
          <w:lang w:val="da-DK"/>
        </w:rPr>
        <w:t>med</w:t>
      </w:r>
      <w:r>
        <w:rPr>
          <w:spacing w:val="-3"/>
          <w:lang w:val="da-DK"/>
        </w:rPr>
        <w:t xml:space="preserve"> </w:t>
      </w:r>
      <w:r>
        <w:rPr>
          <w:lang w:val="da-DK"/>
        </w:rPr>
        <w:t>eksisterende</w:t>
      </w:r>
      <w:r>
        <w:rPr>
          <w:spacing w:val="-3"/>
          <w:lang w:val="da-DK"/>
        </w:rPr>
        <w:t xml:space="preserve"> </w:t>
      </w:r>
      <w:r>
        <w:rPr>
          <w:lang w:val="da-DK"/>
        </w:rPr>
        <w:t>henholdsvis</w:t>
      </w:r>
      <w:r>
        <w:rPr>
          <w:spacing w:val="-2"/>
          <w:lang w:val="da-DK"/>
        </w:rPr>
        <w:t xml:space="preserve"> </w:t>
      </w:r>
      <w:r>
        <w:rPr>
          <w:lang w:val="da-DK"/>
        </w:rPr>
        <w:t>let</w:t>
      </w:r>
      <w:r>
        <w:rPr>
          <w:spacing w:val="-2"/>
          <w:lang w:val="da-DK"/>
        </w:rPr>
        <w:t xml:space="preserve"> </w:t>
      </w:r>
      <w:r>
        <w:rPr>
          <w:lang w:val="da-DK"/>
        </w:rPr>
        <w:t>og</w:t>
      </w:r>
      <w:r>
        <w:rPr>
          <w:spacing w:val="-3"/>
          <w:lang w:val="da-DK"/>
        </w:rPr>
        <w:t xml:space="preserve"> </w:t>
      </w:r>
      <w:r>
        <w:rPr>
          <w:lang w:val="da-DK"/>
        </w:rPr>
        <w:t>moderat</w:t>
      </w:r>
      <w:r>
        <w:rPr>
          <w:spacing w:val="-2"/>
          <w:lang w:val="da-DK"/>
        </w:rPr>
        <w:t xml:space="preserve"> </w:t>
      </w:r>
      <w:r>
        <w:rPr>
          <w:lang w:val="da-DK"/>
        </w:rPr>
        <w:t>nedsat</w:t>
      </w:r>
      <w:r>
        <w:rPr>
          <w:spacing w:val="-3"/>
          <w:lang w:val="da-DK"/>
        </w:rPr>
        <w:t xml:space="preserve"> </w:t>
      </w:r>
      <w:r>
        <w:rPr>
          <w:lang w:val="da-DK"/>
        </w:rPr>
        <w:t>leverfunktion.</w:t>
      </w:r>
    </w:p>
    <w:p>
      <w:pPr>
        <w:pStyle w:val="BodyText"/>
        <w:tabs>
          <w:tab w:val="left" w:pos="9060"/>
        </w:tabs>
        <w:ind w:right="11"/>
        <w:rPr>
          <w:lang w:val="da-DK"/>
        </w:rPr>
      </w:pPr>
      <w:r>
        <w:rPr>
          <w:lang w:val="da-DK"/>
        </w:rPr>
        <w:t>Abiraterons gennemsnitlige halveringstid forlænges til ca. 18 timer hos forsøgspersoner med let nedsat</w:t>
      </w:r>
      <w:r>
        <w:rPr>
          <w:spacing w:val="-52"/>
          <w:lang w:val="da-DK"/>
        </w:rPr>
        <w:t xml:space="preserve"> </w:t>
      </w:r>
      <w:r>
        <w:rPr>
          <w:lang w:val="da-DK"/>
        </w:rPr>
        <w:t>leverfunktion</w:t>
      </w:r>
      <w:r>
        <w:rPr>
          <w:spacing w:val="-3"/>
          <w:lang w:val="da-DK"/>
        </w:rPr>
        <w:t xml:space="preserve"> </w:t>
      </w:r>
      <w:r>
        <w:rPr>
          <w:lang w:val="da-DK"/>
        </w:rPr>
        <w:t>og</w:t>
      </w:r>
      <w:r>
        <w:rPr>
          <w:spacing w:val="-3"/>
          <w:lang w:val="da-DK"/>
        </w:rPr>
        <w:t xml:space="preserve"> </w:t>
      </w:r>
      <w:r>
        <w:rPr>
          <w:lang w:val="da-DK"/>
        </w:rPr>
        <w:t>til</w:t>
      </w:r>
      <w:r>
        <w:rPr>
          <w:spacing w:val="-1"/>
          <w:lang w:val="da-DK"/>
        </w:rPr>
        <w:t xml:space="preserve"> </w:t>
      </w:r>
      <w:r>
        <w:rPr>
          <w:lang w:val="da-DK"/>
        </w:rPr>
        <w:t>ca.</w:t>
      </w:r>
      <w:r>
        <w:rPr>
          <w:spacing w:val="-1"/>
          <w:lang w:val="da-DK"/>
        </w:rPr>
        <w:t xml:space="preserve"> </w:t>
      </w:r>
      <w:r>
        <w:rPr>
          <w:lang w:val="da-DK"/>
        </w:rPr>
        <w:t>19</w:t>
      </w:r>
      <w:r>
        <w:rPr>
          <w:spacing w:val="-4"/>
          <w:lang w:val="da-DK"/>
        </w:rPr>
        <w:t> </w:t>
      </w:r>
      <w:r>
        <w:rPr>
          <w:lang w:val="da-DK"/>
        </w:rPr>
        <w:t>timer</w:t>
      </w:r>
      <w:r>
        <w:rPr>
          <w:spacing w:val="-2"/>
          <w:lang w:val="da-DK"/>
        </w:rPr>
        <w:t xml:space="preserve"> </w:t>
      </w:r>
      <w:r>
        <w:rPr>
          <w:lang w:val="da-DK"/>
        </w:rPr>
        <w:t>hos</w:t>
      </w:r>
      <w:r>
        <w:rPr>
          <w:spacing w:val="-2"/>
          <w:lang w:val="da-DK"/>
        </w:rPr>
        <w:t xml:space="preserve"> </w:t>
      </w:r>
      <w:r>
        <w:rPr>
          <w:lang w:val="da-DK"/>
        </w:rPr>
        <w:t>forsøgspersoner</w:t>
      </w:r>
      <w:r>
        <w:rPr>
          <w:spacing w:val="-2"/>
          <w:lang w:val="da-DK"/>
        </w:rPr>
        <w:t xml:space="preserve"> </w:t>
      </w:r>
      <w:r>
        <w:rPr>
          <w:lang w:val="da-DK"/>
        </w:rPr>
        <w:t>med</w:t>
      </w:r>
      <w:r>
        <w:rPr>
          <w:spacing w:val="-2"/>
          <w:lang w:val="da-DK"/>
        </w:rPr>
        <w:t xml:space="preserve"> </w:t>
      </w:r>
      <w:r>
        <w:rPr>
          <w:lang w:val="da-DK"/>
        </w:rPr>
        <w:t>moderat</w:t>
      </w:r>
      <w:r>
        <w:rPr>
          <w:spacing w:val="-2"/>
          <w:lang w:val="da-DK"/>
        </w:rPr>
        <w:t xml:space="preserve"> </w:t>
      </w:r>
      <w:r>
        <w:rPr>
          <w:lang w:val="da-DK"/>
        </w:rPr>
        <w:t>nedsat</w:t>
      </w:r>
      <w:r>
        <w:rPr>
          <w:spacing w:val="-2"/>
          <w:lang w:val="da-DK"/>
        </w:rPr>
        <w:t xml:space="preserve"> </w:t>
      </w:r>
      <w:r>
        <w:rPr>
          <w:lang w:val="da-DK"/>
        </w:rPr>
        <w:t>leverfunktion.</w:t>
      </w:r>
    </w:p>
    <w:p>
      <w:pPr>
        <w:pStyle w:val="BodyText"/>
        <w:tabs>
          <w:tab w:val="left" w:pos="9060"/>
        </w:tabs>
        <w:ind w:right="11"/>
        <w:rPr>
          <w:lang w:val="da-DK"/>
        </w:rPr>
      </w:pPr>
    </w:p>
    <w:p>
      <w:pPr>
        <w:pStyle w:val="BodyText"/>
        <w:tabs>
          <w:tab w:val="left" w:pos="9060"/>
        </w:tabs>
        <w:ind w:right="11"/>
        <w:rPr>
          <w:lang w:val="da-DK"/>
        </w:rPr>
      </w:pPr>
      <w:r>
        <w:rPr>
          <w:lang w:val="da-DK"/>
        </w:rPr>
        <w:t>I et andet forsøg blev abiraterons farmakokinetik undersøgt hos forsøgspersoner med svært nedsat</w:t>
      </w:r>
      <w:r>
        <w:rPr>
          <w:spacing w:val="1"/>
          <w:lang w:val="da-DK"/>
        </w:rPr>
        <w:t xml:space="preserve"> </w:t>
      </w:r>
      <w:r>
        <w:rPr>
          <w:lang w:val="da-DK"/>
        </w:rPr>
        <w:t>leverfunktion (n=8) (Child-Pugh-klasse C) og hos 8 raske kontrolforsøgspersoner med normal</w:t>
      </w:r>
      <w:r>
        <w:rPr>
          <w:spacing w:val="1"/>
          <w:lang w:val="da-DK"/>
        </w:rPr>
        <w:t xml:space="preserve"> </w:t>
      </w:r>
      <w:r>
        <w:rPr>
          <w:lang w:val="da-DK"/>
        </w:rPr>
        <w:t>leverfunktion. AUC for abirateron øgedes med ca. 600 %, og fraktionen af frit lægemiddel øgedes med 80 % hos forsøgspersoner med svært nedsat leverfunktion sammenlignet med forsøgspersoner med</w:t>
      </w:r>
      <w:r>
        <w:rPr>
          <w:spacing w:val="1"/>
          <w:lang w:val="da-DK"/>
        </w:rPr>
        <w:t xml:space="preserve"> </w:t>
      </w:r>
      <w:r>
        <w:rPr>
          <w:lang w:val="da-DK"/>
        </w:rPr>
        <w:t>normal</w:t>
      </w:r>
      <w:r>
        <w:rPr>
          <w:spacing w:val="-2"/>
          <w:lang w:val="da-DK"/>
        </w:rPr>
        <w:t xml:space="preserve"> </w:t>
      </w:r>
      <w:r>
        <w:rPr>
          <w:lang w:val="da-DK"/>
        </w:rPr>
        <w:t>leverfunktion.</w:t>
      </w:r>
    </w:p>
    <w:p>
      <w:pPr>
        <w:pStyle w:val="BodyText"/>
        <w:tabs>
          <w:tab w:val="left" w:pos="9060"/>
        </w:tabs>
        <w:ind w:right="11"/>
        <w:rPr>
          <w:lang w:val="da-DK"/>
        </w:rPr>
      </w:pPr>
    </w:p>
    <w:p>
      <w:pPr>
        <w:pStyle w:val="BodyText"/>
        <w:tabs>
          <w:tab w:val="left" w:pos="9060"/>
        </w:tabs>
        <w:ind w:right="11"/>
        <w:rPr>
          <w:lang w:val="da-DK"/>
        </w:rPr>
      </w:pPr>
      <w:r>
        <w:rPr>
          <w:lang w:val="da-DK"/>
        </w:rPr>
        <w:t>Hos patienter med let nedsat leverfunktion er dosisjustering ikke nødvendig. Anvendelse af</w:t>
      </w:r>
      <w:r>
        <w:rPr>
          <w:spacing w:val="1"/>
          <w:lang w:val="da-DK"/>
        </w:rPr>
        <w:t xml:space="preserve"> </w:t>
      </w:r>
      <w:r>
        <w:rPr>
          <w:lang w:val="da-DK"/>
        </w:rPr>
        <w:lastRenderedPageBreak/>
        <w:t>abirateronacetat hos patienter med moderat nedsat leverfunktion bør vurderes nøje, og fordelen skal</w:t>
      </w:r>
      <w:r>
        <w:rPr>
          <w:spacing w:val="1"/>
          <w:lang w:val="da-DK"/>
        </w:rPr>
        <w:t xml:space="preserve"> </w:t>
      </w:r>
      <w:r>
        <w:rPr>
          <w:lang w:val="da-DK"/>
        </w:rPr>
        <w:t>klart overstige risikoen hos disse patienter (se pkt. 4.2 og 4.4). Abirateronacetat bør ikke anvendes til patienter</w:t>
      </w:r>
      <w:r>
        <w:rPr>
          <w:spacing w:val="-2"/>
          <w:lang w:val="da-DK"/>
        </w:rPr>
        <w:t xml:space="preserve"> </w:t>
      </w:r>
      <w:r>
        <w:rPr>
          <w:lang w:val="da-DK"/>
        </w:rPr>
        <w:t>med</w:t>
      </w:r>
      <w:r>
        <w:rPr>
          <w:spacing w:val="-1"/>
          <w:lang w:val="da-DK"/>
        </w:rPr>
        <w:t xml:space="preserve"> </w:t>
      </w:r>
      <w:r>
        <w:rPr>
          <w:lang w:val="da-DK"/>
        </w:rPr>
        <w:t>svært</w:t>
      </w:r>
      <w:r>
        <w:rPr>
          <w:spacing w:val="-2"/>
          <w:lang w:val="da-DK"/>
        </w:rPr>
        <w:t xml:space="preserve"> </w:t>
      </w:r>
      <w:r>
        <w:rPr>
          <w:lang w:val="da-DK"/>
        </w:rPr>
        <w:t>nedsat</w:t>
      </w:r>
      <w:r>
        <w:rPr>
          <w:spacing w:val="-1"/>
          <w:lang w:val="da-DK"/>
        </w:rPr>
        <w:t xml:space="preserve"> </w:t>
      </w:r>
      <w:r>
        <w:rPr>
          <w:lang w:val="da-DK"/>
        </w:rPr>
        <w:t>leverfunktion</w:t>
      </w:r>
      <w:r>
        <w:rPr>
          <w:spacing w:val="-2"/>
          <w:lang w:val="da-DK"/>
        </w:rPr>
        <w:t xml:space="preserve"> </w:t>
      </w:r>
      <w:r>
        <w:rPr>
          <w:lang w:val="da-DK"/>
        </w:rPr>
        <w:t>(se</w:t>
      </w:r>
      <w:r>
        <w:rPr>
          <w:spacing w:val="-1"/>
          <w:lang w:val="da-DK"/>
        </w:rPr>
        <w:t xml:space="preserve"> </w:t>
      </w:r>
      <w:r>
        <w:rPr>
          <w:lang w:val="da-DK"/>
        </w:rPr>
        <w:t>pkt. 4.2,</w:t>
      </w:r>
      <w:r>
        <w:rPr>
          <w:spacing w:val="-2"/>
          <w:lang w:val="da-DK"/>
        </w:rPr>
        <w:t xml:space="preserve"> </w:t>
      </w:r>
      <w:r>
        <w:rPr>
          <w:lang w:val="da-DK"/>
        </w:rPr>
        <w:t>4.3</w:t>
      </w:r>
      <w:r>
        <w:rPr>
          <w:spacing w:val="-1"/>
          <w:lang w:val="da-DK"/>
        </w:rPr>
        <w:t xml:space="preserve"> </w:t>
      </w:r>
      <w:r>
        <w:rPr>
          <w:lang w:val="da-DK"/>
        </w:rPr>
        <w:t>og</w:t>
      </w:r>
      <w:r>
        <w:rPr>
          <w:spacing w:val="-2"/>
          <w:lang w:val="da-DK"/>
        </w:rPr>
        <w:t xml:space="preserve"> </w:t>
      </w:r>
      <w:r>
        <w:rPr>
          <w:lang w:val="da-DK"/>
        </w:rPr>
        <w:t>4.4).</w:t>
      </w:r>
    </w:p>
    <w:p>
      <w:pPr>
        <w:pStyle w:val="BodyText"/>
        <w:tabs>
          <w:tab w:val="left" w:pos="9060"/>
        </w:tabs>
        <w:ind w:right="11"/>
        <w:rPr>
          <w:lang w:val="da-DK"/>
        </w:rPr>
      </w:pPr>
    </w:p>
    <w:p>
      <w:pPr>
        <w:widowControl w:val="0"/>
        <w:rPr>
          <w:sz w:val="22"/>
          <w:szCs w:val="22"/>
          <w:lang w:val="da-DK"/>
        </w:rPr>
      </w:pPr>
      <w:r>
        <w:rPr>
          <w:sz w:val="22"/>
          <w:szCs w:val="22"/>
          <w:lang w:val="da-DK"/>
        </w:rPr>
        <w:t>Hos patienter, som får hepatotoksicitet under behandlingen, kan der opstå behov for at indstille behandlingen</w:t>
      </w:r>
      <w:r>
        <w:rPr>
          <w:spacing w:val="-2"/>
          <w:sz w:val="22"/>
          <w:szCs w:val="22"/>
          <w:lang w:val="da-DK"/>
        </w:rPr>
        <w:t xml:space="preserve"> </w:t>
      </w:r>
      <w:r>
        <w:rPr>
          <w:sz w:val="22"/>
          <w:szCs w:val="22"/>
          <w:lang w:val="da-DK"/>
        </w:rPr>
        <w:t>og</w:t>
      </w:r>
      <w:r>
        <w:rPr>
          <w:spacing w:val="-1"/>
          <w:sz w:val="22"/>
          <w:szCs w:val="22"/>
          <w:lang w:val="da-DK"/>
        </w:rPr>
        <w:t xml:space="preserve"> </w:t>
      </w:r>
      <w:r>
        <w:rPr>
          <w:sz w:val="22"/>
          <w:szCs w:val="22"/>
          <w:lang w:val="da-DK"/>
        </w:rPr>
        <w:t>justere</w:t>
      </w:r>
      <w:r>
        <w:rPr>
          <w:spacing w:val="-1"/>
          <w:sz w:val="22"/>
          <w:szCs w:val="22"/>
          <w:lang w:val="da-DK"/>
        </w:rPr>
        <w:t xml:space="preserve"> </w:t>
      </w:r>
      <w:r>
        <w:rPr>
          <w:sz w:val="22"/>
          <w:szCs w:val="22"/>
          <w:lang w:val="da-DK"/>
        </w:rPr>
        <w:t>dosis</w:t>
      </w:r>
      <w:r>
        <w:rPr>
          <w:spacing w:val="-1"/>
          <w:sz w:val="22"/>
          <w:szCs w:val="22"/>
          <w:lang w:val="da-DK"/>
        </w:rPr>
        <w:t xml:space="preserve"> </w:t>
      </w:r>
      <w:r>
        <w:rPr>
          <w:sz w:val="22"/>
          <w:szCs w:val="22"/>
          <w:lang w:val="da-DK"/>
        </w:rPr>
        <w:t>(se</w:t>
      </w:r>
      <w:r>
        <w:rPr>
          <w:spacing w:val="-2"/>
          <w:sz w:val="22"/>
          <w:szCs w:val="22"/>
          <w:lang w:val="da-DK"/>
        </w:rPr>
        <w:t xml:space="preserve"> </w:t>
      </w:r>
      <w:r>
        <w:rPr>
          <w:sz w:val="22"/>
          <w:szCs w:val="22"/>
          <w:lang w:val="da-DK"/>
        </w:rPr>
        <w:t>pkt. 4.2</w:t>
      </w:r>
      <w:r>
        <w:rPr>
          <w:spacing w:val="-1"/>
          <w:sz w:val="22"/>
          <w:szCs w:val="22"/>
          <w:lang w:val="da-DK"/>
        </w:rPr>
        <w:t xml:space="preserve"> </w:t>
      </w:r>
      <w:r>
        <w:rPr>
          <w:sz w:val="22"/>
          <w:szCs w:val="22"/>
          <w:lang w:val="da-DK"/>
        </w:rPr>
        <w:t>og</w:t>
      </w:r>
      <w:r>
        <w:rPr>
          <w:spacing w:val="-1"/>
          <w:sz w:val="22"/>
          <w:szCs w:val="22"/>
          <w:lang w:val="da-DK"/>
        </w:rPr>
        <w:t xml:space="preserve"> </w:t>
      </w:r>
      <w:r>
        <w:rPr>
          <w:sz w:val="22"/>
          <w:szCs w:val="22"/>
          <w:lang w:val="da-DK"/>
        </w:rPr>
        <w:t>4.4)</w:t>
      </w:r>
      <w:r>
        <w:rPr>
          <w:i/>
          <w:sz w:val="22"/>
          <w:szCs w:val="22"/>
          <w:lang w:val="da-DK"/>
        </w:rPr>
        <w:t>.</w:t>
      </w:r>
    </w:p>
    <w:p>
      <w:pPr>
        <w:widowControl w:val="0"/>
        <w:rPr>
          <w:sz w:val="22"/>
          <w:szCs w:val="22"/>
          <w:lang w:val="da-DK"/>
        </w:rPr>
      </w:pPr>
    </w:p>
    <w:p>
      <w:pPr>
        <w:widowControl w:val="0"/>
        <w:ind w:left="567" w:hanging="567"/>
        <w:rPr>
          <w:sz w:val="22"/>
          <w:szCs w:val="22"/>
          <w:lang w:val="da-DK"/>
        </w:rPr>
      </w:pPr>
      <w:r>
        <w:rPr>
          <w:b/>
          <w:sz w:val="22"/>
          <w:szCs w:val="22"/>
          <w:lang w:val="da-DK"/>
        </w:rPr>
        <w:t>5.3</w:t>
      </w:r>
      <w:r>
        <w:rPr>
          <w:b/>
          <w:sz w:val="22"/>
          <w:szCs w:val="22"/>
          <w:lang w:val="da-DK"/>
        </w:rPr>
        <w:tab/>
        <w:t>Non-kliniske sikkerhedsdata</w:t>
      </w:r>
    </w:p>
    <w:p>
      <w:pPr>
        <w:widowControl w:val="0"/>
        <w:numPr>
          <w:ilvl w:val="12"/>
          <w:numId w:val="0"/>
        </w:numPr>
        <w:ind w:right="11"/>
        <w:rPr>
          <w:sz w:val="22"/>
          <w:szCs w:val="22"/>
          <w:lang w:val="da-DK"/>
        </w:rPr>
      </w:pPr>
    </w:p>
    <w:p>
      <w:pPr>
        <w:widowControl w:val="0"/>
        <w:tabs>
          <w:tab w:val="left" w:pos="8931"/>
        </w:tabs>
        <w:ind w:right="11"/>
        <w:rPr>
          <w:sz w:val="22"/>
          <w:szCs w:val="22"/>
          <w:lang w:val="da-DK"/>
        </w:rPr>
      </w:pPr>
      <w:r>
        <w:rPr>
          <w:sz w:val="22"/>
          <w:szCs w:val="22"/>
          <w:lang w:val="da-DK"/>
        </w:rPr>
        <w:t>I alle toksicitetsstudier hos dyr var koncentrationen af cirkulerende testosteron signifikant reduceret. Som et resultat heraf blev der observeret reduktion af organvægt og morfologiske og/eller histopatologiske forandringer i forplantningsorganerne samt binyrer, hypofyse og brystkirtler. Alle forandringer viste fuldstændig eller delvis reversibilitet. Forandringerne i forplantningsorganer og androgen-følsomme organer er overensstemmende med abiraterons farmakologiske virkninger. Alle behandlingsrelaterede hormonelle forandringer var reverseret eller i færd med at forsvinde efter en 4-ugers periode uden behandling.</w:t>
      </w:r>
    </w:p>
    <w:p>
      <w:pPr>
        <w:widowControl w:val="0"/>
        <w:tabs>
          <w:tab w:val="left" w:pos="8931"/>
        </w:tabs>
        <w:ind w:right="11"/>
        <w:rPr>
          <w:sz w:val="22"/>
          <w:szCs w:val="22"/>
          <w:lang w:val="da-DK"/>
        </w:rPr>
      </w:pPr>
    </w:p>
    <w:p>
      <w:pPr>
        <w:widowControl w:val="0"/>
        <w:tabs>
          <w:tab w:val="left" w:pos="8931"/>
        </w:tabs>
        <w:ind w:right="11"/>
        <w:rPr>
          <w:sz w:val="22"/>
          <w:szCs w:val="22"/>
          <w:lang w:val="da-DK"/>
        </w:rPr>
      </w:pPr>
      <w:r>
        <w:rPr>
          <w:sz w:val="22"/>
          <w:szCs w:val="22"/>
          <w:lang w:val="da-DK"/>
        </w:rPr>
        <w:t>I fertilitetsstudier med både han- og hunrotter reducerede abirateronacetat fertiliteten. Effekten var fuldstændig reversibel 4 til 16 uger efter seponering af abirateronacetat.</w:t>
      </w:r>
    </w:p>
    <w:p>
      <w:pPr>
        <w:widowControl w:val="0"/>
        <w:tabs>
          <w:tab w:val="left" w:pos="8931"/>
        </w:tabs>
        <w:ind w:right="11"/>
        <w:rPr>
          <w:sz w:val="22"/>
          <w:szCs w:val="22"/>
          <w:lang w:val="da-DK"/>
        </w:rPr>
      </w:pPr>
    </w:p>
    <w:p>
      <w:pPr>
        <w:widowControl w:val="0"/>
        <w:tabs>
          <w:tab w:val="left" w:pos="8931"/>
        </w:tabs>
        <w:ind w:right="11"/>
        <w:rPr>
          <w:sz w:val="22"/>
          <w:szCs w:val="22"/>
          <w:lang w:val="da-DK"/>
        </w:rPr>
      </w:pPr>
      <w:r>
        <w:rPr>
          <w:sz w:val="22"/>
          <w:szCs w:val="22"/>
          <w:lang w:val="da-DK"/>
        </w:rPr>
        <w:t>I et studie af udviklingstoksicitet hos rotter påvirkede abirateronacetat drægtigheden, herunder fostervægt og overlevelse. Der blev observeret virkninger på de ydre genitalier, selv om abirateronacetat ikke var teratogent.</w:t>
      </w:r>
    </w:p>
    <w:p>
      <w:pPr>
        <w:widowControl w:val="0"/>
        <w:tabs>
          <w:tab w:val="left" w:pos="8931"/>
        </w:tabs>
        <w:ind w:right="11"/>
        <w:rPr>
          <w:sz w:val="22"/>
          <w:szCs w:val="22"/>
          <w:lang w:val="da-DK"/>
        </w:rPr>
      </w:pPr>
    </w:p>
    <w:p>
      <w:pPr>
        <w:widowControl w:val="0"/>
        <w:tabs>
          <w:tab w:val="left" w:pos="8931"/>
        </w:tabs>
        <w:ind w:right="11"/>
        <w:rPr>
          <w:sz w:val="22"/>
          <w:szCs w:val="22"/>
          <w:lang w:val="da-DK"/>
        </w:rPr>
      </w:pPr>
      <w:r>
        <w:rPr>
          <w:sz w:val="22"/>
          <w:szCs w:val="22"/>
          <w:lang w:val="da-DK"/>
        </w:rPr>
        <w:t>I disse studier af fertilitet og udviklingstoksicitet hos rotter blev alle virkninger relateret til abiraterons farmakologiske virkning.</w:t>
      </w:r>
    </w:p>
    <w:p>
      <w:pPr>
        <w:widowControl w:val="0"/>
        <w:tabs>
          <w:tab w:val="left" w:pos="8931"/>
        </w:tabs>
        <w:ind w:right="11"/>
        <w:rPr>
          <w:sz w:val="22"/>
          <w:szCs w:val="22"/>
          <w:lang w:val="da-DK"/>
        </w:rPr>
      </w:pPr>
    </w:p>
    <w:p>
      <w:pPr>
        <w:widowControl w:val="0"/>
        <w:tabs>
          <w:tab w:val="left" w:pos="8931"/>
        </w:tabs>
        <w:ind w:right="11"/>
        <w:rPr>
          <w:sz w:val="22"/>
          <w:szCs w:val="22"/>
          <w:lang w:val="da-DK"/>
        </w:rPr>
      </w:pPr>
      <w:r>
        <w:rPr>
          <w:sz w:val="22"/>
          <w:szCs w:val="22"/>
          <w:lang w:val="da-DK"/>
        </w:rPr>
        <w:t>Bortset fra forandringerne i kønsorganer, der opstod i alle toksikologistudier hos dyr, viser de non-kliniske data ingen speciel risiko for mennesker vurderet ud fra konventionelle studier af sikkerhedsfarmakologi, toksicitet efter gentagne doser, genotoksicitet og carcinogent potentiale. Abirateronacetat var ikke karcinogent i et 6-måneders studie i transgene (Tg.rasH2) mus. I et 24-måneders karcinogenicitetsstudie hos rotter øgede abirateronacetat incidensen af interstitial celletumorer i testiklerne. Dette fund anses for at være relateret til abiraterons farmakologiske virkning og specifikt for rotter. Abirateronacetat var ikke karcinogent hos hunrotter.</w:t>
      </w:r>
    </w:p>
    <w:p>
      <w:pPr>
        <w:widowControl w:val="0"/>
        <w:tabs>
          <w:tab w:val="left" w:pos="8931"/>
        </w:tabs>
        <w:ind w:right="11"/>
        <w:rPr>
          <w:sz w:val="22"/>
          <w:szCs w:val="22"/>
          <w:lang w:val="da-DK"/>
        </w:rPr>
      </w:pPr>
    </w:p>
    <w:p>
      <w:pPr>
        <w:widowControl w:val="0"/>
        <w:tabs>
          <w:tab w:val="left" w:pos="8931"/>
        </w:tabs>
        <w:ind w:right="11"/>
        <w:rPr>
          <w:sz w:val="22"/>
          <w:szCs w:val="22"/>
          <w:u w:val="single"/>
          <w:lang w:val="da-DK"/>
        </w:rPr>
      </w:pPr>
      <w:r>
        <w:rPr>
          <w:sz w:val="22"/>
          <w:szCs w:val="22"/>
          <w:u w:val="single"/>
          <w:lang w:val="da-DK"/>
        </w:rPr>
        <w:t>Miljørisikovurdering (ERA)</w:t>
      </w:r>
    </w:p>
    <w:p>
      <w:pPr>
        <w:widowControl w:val="0"/>
        <w:numPr>
          <w:ilvl w:val="12"/>
          <w:numId w:val="0"/>
        </w:numPr>
        <w:tabs>
          <w:tab w:val="left" w:pos="8931"/>
          <w:tab w:val="left" w:pos="9060"/>
        </w:tabs>
        <w:ind w:right="11"/>
        <w:rPr>
          <w:sz w:val="22"/>
          <w:szCs w:val="22"/>
          <w:lang w:val="da-DK"/>
        </w:rPr>
      </w:pPr>
      <w:r>
        <w:rPr>
          <w:sz w:val="22"/>
          <w:szCs w:val="22"/>
          <w:lang w:val="da-DK"/>
        </w:rPr>
        <w:t>Det aktive stof, abirateron, udgør en miljørisiko for vandmiljøet, især for fisk.</w:t>
      </w:r>
    </w:p>
    <w:p>
      <w:pPr>
        <w:widowControl w:val="0"/>
        <w:ind w:right="11"/>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6.</w:t>
      </w:r>
      <w:r>
        <w:rPr>
          <w:b/>
          <w:sz w:val="22"/>
          <w:szCs w:val="22"/>
          <w:lang w:val="da-DK"/>
        </w:rPr>
        <w:tab/>
        <w:t>FARMACEUTISKE OPLYSNINGER</w:t>
      </w:r>
    </w:p>
    <w:p>
      <w:pPr>
        <w:widowControl w:val="0"/>
        <w:rPr>
          <w:sz w:val="22"/>
          <w:szCs w:val="22"/>
          <w:lang w:val="da-DK"/>
        </w:rPr>
      </w:pPr>
    </w:p>
    <w:p>
      <w:pPr>
        <w:widowControl w:val="0"/>
        <w:ind w:left="567" w:hanging="567"/>
        <w:rPr>
          <w:b/>
          <w:sz w:val="22"/>
          <w:szCs w:val="22"/>
          <w:lang w:val="da-DK"/>
        </w:rPr>
      </w:pPr>
      <w:r>
        <w:rPr>
          <w:b/>
          <w:sz w:val="22"/>
          <w:szCs w:val="22"/>
          <w:lang w:val="da-DK"/>
        </w:rPr>
        <w:t>6.1</w:t>
      </w:r>
      <w:r>
        <w:rPr>
          <w:b/>
          <w:sz w:val="22"/>
          <w:szCs w:val="22"/>
          <w:lang w:val="da-DK"/>
        </w:rPr>
        <w:tab/>
        <w:t>Hjælpestoffer</w:t>
      </w:r>
    </w:p>
    <w:p>
      <w:pPr>
        <w:widowControl w:val="0"/>
        <w:ind w:left="567" w:hanging="567"/>
        <w:rPr>
          <w:b/>
          <w:sz w:val="22"/>
          <w:szCs w:val="22"/>
          <w:lang w:val="da-DK"/>
        </w:rPr>
      </w:pPr>
    </w:p>
    <w:p>
      <w:pPr>
        <w:widowControl w:val="0"/>
        <w:ind w:left="567" w:hanging="567"/>
        <w:rPr>
          <w:sz w:val="22"/>
          <w:szCs w:val="22"/>
          <w:u w:val="single"/>
          <w:lang w:val="da-DK"/>
        </w:rPr>
      </w:pPr>
      <w:r>
        <w:rPr>
          <w:sz w:val="22"/>
          <w:szCs w:val="22"/>
          <w:u w:val="single"/>
          <w:lang w:val="da-DK"/>
        </w:rPr>
        <w:t>Tabletkerne:</w:t>
      </w:r>
    </w:p>
    <w:p>
      <w:pPr>
        <w:widowControl w:val="0"/>
        <w:ind w:left="567" w:hanging="567"/>
        <w:rPr>
          <w:sz w:val="22"/>
          <w:szCs w:val="22"/>
          <w:lang w:val="da-DK"/>
        </w:rPr>
      </w:pPr>
      <w:r>
        <w:rPr>
          <w:sz w:val="22"/>
          <w:szCs w:val="22"/>
          <w:lang w:val="da-DK"/>
        </w:rPr>
        <w:t>Lactosemonohydrat</w:t>
      </w:r>
    </w:p>
    <w:p>
      <w:pPr>
        <w:widowControl w:val="0"/>
        <w:ind w:left="567" w:hanging="567"/>
        <w:rPr>
          <w:sz w:val="22"/>
          <w:szCs w:val="22"/>
          <w:lang w:val="da-DK"/>
        </w:rPr>
      </w:pPr>
      <w:r>
        <w:rPr>
          <w:sz w:val="22"/>
          <w:szCs w:val="22"/>
          <w:lang w:val="da-DK"/>
        </w:rPr>
        <w:t>Hypromellose (E464)</w:t>
      </w:r>
    </w:p>
    <w:p>
      <w:pPr>
        <w:widowControl w:val="0"/>
        <w:ind w:left="567" w:hanging="567"/>
        <w:rPr>
          <w:sz w:val="22"/>
          <w:szCs w:val="22"/>
          <w:lang w:val="da-DK"/>
        </w:rPr>
      </w:pPr>
      <w:r>
        <w:rPr>
          <w:sz w:val="22"/>
          <w:szCs w:val="22"/>
          <w:lang w:val="da-DK"/>
        </w:rPr>
        <w:t>Natriumlaurilsulfat</w:t>
      </w:r>
    </w:p>
    <w:p>
      <w:pPr>
        <w:widowControl w:val="0"/>
        <w:ind w:left="567" w:hanging="567"/>
        <w:rPr>
          <w:sz w:val="22"/>
          <w:szCs w:val="22"/>
          <w:lang w:val="da-DK"/>
        </w:rPr>
      </w:pPr>
      <w:r>
        <w:rPr>
          <w:sz w:val="22"/>
          <w:szCs w:val="22"/>
          <w:lang w:val="da-DK"/>
        </w:rPr>
        <w:t>Croscarmellosenatrium (E468)</w:t>
      </w:r>
    </w:p>
    <w:p>
      <w:pPr>
        <w:widowControl w:val="0"/>
        <w:ind w:left="567" w:hanging="567"/>
        <w:rPr>
          <w:sz w:val="22"/>
          <w:szCs w:val="22"/>
          <w:lang w:val="da-DK"/>
        </w:rPr>
      </w:pPr>
      <w:r>
        <w:rPr>
          <w:sz w:val="22"/>
          <w:szCs w:val="22"/>
          <w:lang w:val="da-DK"/>
        </w:rPr>
        <w:t>Silicificeret mikrokrystallinsk cellulose</w:t>
      </w:r>
    </w:p>
    <w:p>
      <w:pPr>
        <w:widowControl w:val="0"/>
        <w:ind w:left="567" w:hanging="567"/>
        <w:rPr>
          <w:sz w:val="22"/>
          <w:szCs w:val="22"/>
          <w:lang w:val="da-DK"/>
        </w:rPr>
      </w:pPr>
      <w:r>
        <w:rPr>
          <w:sz w:val="22"/>
          <w:szCs w:val="22"/>
          <w:lang w:val="da-DK"/>
        </w:rPr>
        <w:t>Kolloid vandfri silica</w:t>
      </w:r>
    </w:p>
    <w:p>
      <w:pPr>
        <w:widowControl w:val="0"/>
        <w:ind w:left="567" w:hanging="567"/>
        <w:rPr>
          <w:sz w:val="22"/>
          <w:szCs w:val="22"/>
          <w:lang w:val="da-DK"/>
        </w:rPr>
      </w:pPr>
      <w:r>
        <w:rPr>
          <w:sz w:val="22"/>
          <w:szCs w:val="22"/>
          <w:lang w:val="da-DK"/>
        </w:rPr>
        <w:t>Magnesiumstearat (E470b)</w:t>
      </w:r>
    </w:p>
    <w:p>
      <w:pPr>
        <w:widowControl w:val="0"/>
        <w:ind w:left="567" w:hanging="567"/>
        <w:rPr>
          <w:sz w:val="22"/>
          <w:szCs w:val="22"/>
          <w:lang w:val="da-DK"/>
        </w:rPr>
      </w:pPr>
    </w:p>
    <w:p>
      <w:pPr>
        <w:widowControl w:val="0"/>
        <w:ind w:left="567" w:hanging="567"/>
        <w:rPr>
          <w:sz w:val="22"/>
          <w:szCs w:val="22"/>
          <w:u w:val="single"/>
          <w:lang w:val="da-DK"/>
        </w:rPr>
      </w:pPr>
      <w:r>
        <w:rPr>
          <w:sz w:val="22"/>
          <w:szCs w:val="22"/>
          <w:u w:val="single"/>
          <w:lang w:val="da-DK"/>
        </w:rPr>
        <w:t>Filmovertræk:</w:t>
      </w:r>
    </w:p>
    <w:p>
      <w:pPr>
        <w:widowControl w:val="0"/>
        <w:ind w:left="567" w:hanging="567"/>
        <w:rPr>
          <w:sz w:val="22"/>
          <w:szCs w:val="22"/>
          <w:lang w:val="da-DK"/>
        </w:rPr>
      </w:pPr>
      <w:r>
        <w:rPr>
          <w:sz w:val="22"/>
          <w:szCs w:val="22"/>
          <w:lang w:val="da-DK"/>
        </w:rPr>
        <w:t>Macrogol</w:t>
      </w:r>
    </w:p>
    <w:p>
      <w:pPr>
        <w:widowControl w:val="0"/>
        <w:ind w:left="567" w:hanging="567"/>
        <w:rPr>
          <w:sz w:val="22"/>
          <w:szCs w:val="22"/>
          <w:lang w:val="da-DK"/>
        </w:rPr>
      </w:pPr>
      <w:r>
        <w:rPr>
          <w:sz w:val="22"/>
          <w:szCs w:val="22"/>
          <w:lang w:val="da-DK"/>
        </w:rPr>
        <w:t>Polyvinylalkohol</w:t>
      </w:r>
    </w:p>
    <w:p>
      <w:pPr>
        <w:widowControl w:val="0"/>
        <w:ind w:left="567" w:hanging="567"/>
        <w:rPr>
          <w:sz w:val="22"/>
          <w:szCs w:val="22"/>
          <w:lang w:val="da-DK"/>
        </w:rPr>
      </w:pPr>
      <w:r>
        <w:rPr>
          <w:sz w:val="22"/>
          <w:szCs w:val="22"/>
          <w:lang w:val="da-DK"/>
        </w:rPr>
        <w:t>Talcum (E553b)</w:t>
      </w:r>
    </w:p>
    <w:p>
      <w:pPr>
        <w:widowControl w:val="0"/>
        <w:ind w:left="567" w:hanging="567"/>
        <w:rPr>
          <w:sz w:val="22"/>
          <w:szCs w:val="22"/>
          <w:lang w:val="da-DK"/>
        </w:rPr>
      </w:pPr>
      <w:r>
        <w:rPr>
          <w:sz w:val="22"/>
          <w:szCs w:val="22"/>
          <w:lang w:val="da-DK"/>
        </w:rPr>
        <w:lastRenderedPageBreak/>
        <w:t>Titandioxid (E171)</w:t>
      </w:r>
    </w:p>
    <w:p>
      <w:pPr>
        <w:widowControl w:val="0"/>
        <w:ind w:left="567" w:hanging="567"/>
        <w:rPr>
          <w:sz w:val="22"/>
          <w:szCs w:val="22"/>
          <w:lang w:val="da-DK"/>
        </w:rPr>
      </w:pPr>
      <w:r>
        <w:rPr>
          <w:sz w:val="22"/>
          <w:szCs w:val="22"/>
          <w:lang w:val="da-DK"/>
        </w:rPr>
        <w:t>Rød jernoxid (E172)</w:t>
      </w:r>
    </w:p>
    <w:p>
      <w:pPr>
        <w:widowControl w:val="0"/>
        <w:ind w:left="567" w:hanging="567"/>
        <w:rPr>
          <w:sz w:val="22"/>
          <w:szCs w:val="22"/>
          <w:lang w:val="da-DK"/>
        </w:rPr>
      </w:pPr>
      <w:r>
        <w:rPr>
          <w:sz w:val="22"/>
          <w:szCs w:val="22"/>
          <w:lang w:val="da-DK"/>
        </w:rPr>
        <w:t>Sort jeroxid (E172)</w:t>
      </w:r>
    </w:p>
    <w:p>
      <w:pPr>
        <w:widowControl w:val="0"/>
        <w:rPr>
          <w:sz w:val="22"/>
          <w:szCs w:val="22"/>
          <w:lang w:val="da-DK"/>
        </w:rPr>
      </w:pPr>
    </w:p>
    <w:p>
      <w:pPr>
        <w:widowControl w:val="0"/>
        <w:ind w:left="570" w:hanging="570"/>
        <w:rPr>
          <w:sz w:val="22"/>
          <w:szCs w:val="22"/>
          <w:lang w:val="da-DK"/>
        </w:rPr>
      </w:pPr>
      <w:r>
        <w:rPr>
          <w:b/>
          <w:sz w:val="22"/>
          <w:szCs w:val="22"/>
          <w:lang w:val="da-DK"/>
        </w:rPr>
        <w:t>6.2</w:t>
      </w:r>
      <w:r>
        <w:rPr>
          <w:b/>
          <w:sz w:val="22"/>
          <w:szCs w:val="22"/>
          <w:lang w:val="da-DK"/>
        </w:rPr>
        <w:tab/>
        <w:t>Uforligeligheder</w:t>
      </w:r>
    </w:p>
    <w:p>
      <w:pPr>
        <w:widowControl w:val="0"/>
        <w:rPr>
          <w:sz w:val="22"/>
          <w:szCs w:val="22"/>
          <w:lang w:val="da-DK"/>
        </w:rPr>
      </w:pPr>
    </w:p>
    <w:p>
      <w:pPr>
        <w:widowControl w:val="0"/>
        <w:rPr>
          <w:sz w:val="22"/>
          <w:szCs w:val="22"/>
          <w:lang w:val="da-DK"/>
        </w:rPr>
      </w:pPr>
      <w:r>
        <w:rPr>
          <w:sz w:val="22"/>
          <w:szCs w:val="22"/>
          <w:lang w:val="da-DK"/>
        </w:rPr>
        <w:t>Ikke relevant.</w:t>
      </w:r>
    </w:p>
    <w:p>
      <w:pPr>
        <w:widowControl w:val="0"/>
        <w:rPr>
          <w:sz w:val="22"/>
          <w:szCs w:val="22"/>
          <w:lang w:val="da-DK"/>
        </w:rPr>
      </w:pPr>
    </w:p>
    <w:p>
      <w:pPr>
        <w:widowControl w:val="0"/>
        <w:ind w:left="570" w:hanging="570"/>
        <w:rPr>
          <w:sz w:val="22"/>
          <w:szCs w:val="22"/>
          <w:lang w:val="da-DK"/>
        </w:rPr>
      </w:pPr>
      <w:r>
        <w:rPr>
          <w:b/>
          <w:sz w:val="22"/>
          <w:szCs w:val="22"/>
          <w:lang w:val="da-DK"/>
        </w:rPr>
        <w:t>6.3</w:t>
      </w:r>
      <w:r>
        <w:rPr>
          <w:b/>
          <w:sz w:val="22"/>
          <w:szCs w:val="22"/>
          <w:lang w:val="da-DK"/>
        </w:rPr>
        <w:tab/>
        <w:t>Opbevaringstid</w:t>
      </w:r>
    </w:p>
    <w:p>
      <w:pPr>
        <w:widowControl w:val="0"/>
        <w:rPr>
          <w:sz w:val="22"/>
          <w:szCs w:val="22"/>
          <w:lang w:val="da-DK"/>
        </w:rPr>
      </w:pPr>
    </w:p>
    <w:p>
      <w:pPr>
        <w:widowControl w:val="0"/>
        <w:rPr>
          <w:sz w:val="22"/>
          <w:szCs w:val="22"/>
          <w:lang w:val="da-DK"/>
        </w:rPr>
      </w:pPr>
      <w:r>
        <w:rPr>
          <w:sz w:val="22"/>
          <w:szCs w:val="22"/>
          <w:lang w:val="da-DK"/>
        </w:rPr>
        <w:t>3 år</w:t>
      </w:r>
    </w:p>
    <w:p>
      <w:pPr>
        <w:widowControl w:val="0"/>
        <w:rPr>
          <w:sz w:val="22"/>
          <w:szCs w:val="22"/>
          <w:lang w:val="da-DK"/>
        </w:rPr>
      </w:pPr>
    </w:p>
    <w:p>
      <w:pPr>
        <w:widowControl w:val="0"/>
        <w:ind w:left="570" w:hanging="570"/>
        <w:rPr>
          <w:sz w:val="22"/>
          <w:szCs w:val="22"/>
          <w:lang w:val="da-DK"/>
        </w:rPr>
      </w:pPr>
      <w:r>
        <w:rPr>
          <w:b/>
          <w:sz w:val="22"/>
          <w:szCs w:val="22"/>
          <w:lang w:val="da-DK"/>
        </w:rPr>
        <w:t>6.4</w:t>
      </w:r>
      <w:r>
        <w:rPr>
          <w:b/>
          <w:sz w:val="22"/>
          <w:szCs w:val="22"/>
          <w:lang w:val="da-DK"/>
        </w:rPr>
        <w:tab/>
        <w:t>Særlige opbevaringsforhold</w:t>
      </w:r>
    </w:p>
    <w:p>
      <w:pPr>
        <w:widowControl w:val="0"/>
        <w:rPr>
          <w:sz w:val="22"/>
          <w:szCs w:val="22"/>
          <w:lang w:val="da-DK"/>
        </w:rPr>
      </w:pPr>
    </w:p>
    <w:p>
      <w:pPr>
        <w:widowControl w:val="0"/>
        <w:rPr>
          <w:sz w:val="22"/>
          <w:szCs w:val="22"/>
          <w:lang w:val="da-DK"/>
        </w:rPr>
      </w:pPr>
      <w:r>
        <w:rPr>
          <w:sz w:val="22"/>
          <w:szCs w:val="22"/>
          <w:lang w:val="da-DK"/>
        </w:rPr>
        <w:t>Dette lægemiddel kræver ingen særlige forholdsregler vedrørende opbevaringen.</w:t>
      </w:r>
    </w:p>
    <w:p>
      <w:pPr>
        <w:widowControl w:val="0"/>
        <w:rPr>
          <w:sz w:val="22"/>
          <w:szCs w:val="22"/>
          <w:lang w:val="da-DK"/>
        </w:rPr>
      </w:pPr>
    </w:p>
    <w:p>
      <w:pPr>
        <w:widowControl w:val="0"/>
        <w:numPr>
          <w:ilvl w:val="1"/>
          <w:numId w:val="1"/>
        </w:numPr>
        <w:rPr>
          <w:b/>
          <w:sz w:val="22"/>
          <w:szCs w:val="22"/>
          <w:lang w:val="da-DK"/>
        </w:rPr>
      </w:pPr>
      <w:r>
        <w:rPr>
          <w:b/>
          <w:sz w:val="22"/>
          <w:szCs w:val="22"/>
          <w:lang w:val="da-DK"/>
        </w:rPr>
        <w:t>Emballagetype og pakningsstørrelser</w:t>
      </w:r>
    </w:p>
    <w:p>
      <w:pPr>
        <w:widowControl w:val="0"/>
        <w:rPr>
          <w:sz w:val="22"/>
          <w:szCs w:val="22"/>
          <w:lang w:val="da-DK"/>
        </w:rPr>
      </w:pPr>
    </w:p>
    <w:p>
      <w:pPr>
        <w:widowControl w:val="0"/>
        <w:rPr>
          <w:sz w:val="22"/>
          <w:szCs w:val="22"/>
          <w:lang w:val="nb-NO"/>
        </w:rPr>
      </w:pPr>
      <w:r>
        <w:rPr>
          <w:sz w:val="22"/>
          <w:szCs w:val="22"/>
          <w:lang w:val="nb-NO"/>
        </w:rPr>
        <w:t>Blisterkort (PVC/PE/PVDC//papir/Alu): 56, 60 filmovertrukne tabletter i en karton.</w:t>
      </w:r>
    </w:p>
    <w:p>
      <w:pPr>
        <w:widowControl w:val="0"/>
        <w:rPr>
          <w:sz w:val="22"/>
          <w:szCs w:val="22"/>
          <w:lang w:val="nb-NO"/>
        </w:rPr>
      </w:pPr>
      <w:r>
        <w:rPr>
          <w:sz w:val="22"/>
          <w:szCs w:val="22"/>
          <w:lang w:val="nb-NO"/>
        </w:rPr>
        <w:t>Blisterkort (PVC/PE/PVDC//papir/Alu), kalenderpakning: 56 filmovertrukne tabletter i en karton.</w:t>
      </w:r>
    </w:p>
    <w:p>
      <w:pPr>
        <w:widowControl w:val="0"/>
        <w:rPr>
          <w:sz w:val="22"/>
          <w:szCs w:val="22"/>
          <w:lang w:val="nb-NO"/>
        </w:rPr>
      </w:pPr>
    </w:p>
    <w:p>
      <w:pPr>
        <w:widowControl w:val="0"/>
        <w:rPr>
          <w:sz w:val="22"/>
          <w:szCs w:val="22"/>
          <w:lang w:val="nb-NO"/>
        </w:rPr>
      </w:pPr>
      <w:r>
        <w:rPr>
          <w:sz w:val="22"/>
          <w:szCs w:val="22"/>
          <w:lang w:val="nb-NO"/>
        </w:rPr>
        <w:t>Ikke alle pakningsstørrelser er nødvendigvis markedsført.</w:t>
      </w:r>
    </w:p>
    <w:p>
      <w:pPr>
        <w:widowControl w:val="0"/>
        <w:rPr>
          <w:sz w:val="22"/>
          <w:szCs w:val="22"/>
          <w:lang w:val="nb-NO"/>
        </w:rPr>
      </w:pPr>
    </w:p>
    <w:p>
      <w:pPr>
        <w:widowControl w:val="0"/>
        <w:ind w:left="567" w:hanging="567"/>
        <w:rPr>
          <w:sz w:val="22"/>
          <w:szCs w:val="22"/>
          <w:lang w:val="nb-NO"/>
        </w:rPr>
      </w:pPr>
      <w:r>
        <w:rPr>
          <w:b/>
          <w:sz w:val="22"/>
          <w:szCs w:val="22"/>
          <w:lang w:val="nb-NO"/>
        </w:rPr>
        <w:t>6.6</w:t>
      </w:r>
      <w:r>
        <w:rPr>
          <w:b/>
          <w:sz w:val="22"/>
          <w:szCs w:val="22"/>
          <w:lang w:val="nb-NO"/>
        </w:rPr>
        <w:tab/>
        <w:t>Regler for bortskaffelse og anden håndtering</w:t>
      </w:r>
    </w:p>
    <w:p>
      <w:pPr>
        <w:widowControl w:val="0"/>
        <w:rPr>
          <w:sz w:val="22"/>
          <w:szCs w:val="22"/>
          <w:lang w:val="nb-NO"/>
        </w:rPr>
      </w:pPr>
    </w:p>
    <w:p>
      <w:pPr>
        <w:widowControl w:val="0"/>
        <w:rPr>
          <w:sz w:val="22"/>
          <w:szCs w:val="22"/>
          <w:lang w:val="nb-NO"/>
        </w:rPr>
      </w:pPr>
      <w:r>
        <w:rPr>
          <w:sz w:val="22"/>
          <w:szCs w:val="22"/>
          <w:lang w:val="nb-NO"/>
        </w:rPr>
        <w:t>Baseret på dets virkningsmekanisme kan dette lægemiddel skade et foster under udvikling; derfor bør kvinder, der er gravide eller kan være gravide, ikke håndtere det uden beskyttelse, f.eks. handsker</w:t>
      </w:r>
    </w:p>
    <w:p>
      <w:pPr>
        <w:widowControl w:val="0"/>
        <w:rPr>
          <w:sz w:val="22"/>
          <w:szCs w:val="22"/>
          <w:lang w:val="nb-NO"/>
        </w:rPr>
      </w:pPr>
    </w:p>
    <w:p>
      <w:pPr>
        <w:widowControl w:val="0"/>
        <w:rPr>
          <w:sz w:val="22"/>
          <w:szCs w:val="22"/>
          <w:lang w:val="da-DK"/>
        </w:rPr>
      </w:pPr>
      <w:r>
        <w:rPr>
          <w:sz w:val="22"/>
          <w:szCs w:val="22"/>
          <w:lang w:val="da-DK"/>
        </w:rPr>
        <w:t>Ikke anvendt lægemiddel samt affald heraf skal bortskaffes i henhold til lokale retningslinjer.</w:t>
      </w:r>
    </w:p>
    <w:p>
      <w:pPr>
        <w:widowControl w:val="0"/>
        <w:rPr>
          <w:sz w:val="22"/>
          <w:szCs w:val="22"/>
          <w:lang w:val="da-DK"/>
        </w:rPr>
      </w:pPr>
      <w:r>
        <w:rPr>
          <w:sz w:val="22"/>
          <w:szCs w:val="22"/>
          <w:lang w:val="da-DK"/>
        </w:rPr>
        <w:t>Dette lægemiddel kan udgøre en risiko for vandmiljøet (se pkt. 5.3).</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7.</w:t>
      </w:r>
      <w:r>
        <w:rPr>
          <w:b/>
          <w:sz w:val="22"/>
          <w:szCs w:val="22"/>
          <w:lang w:val="da-DK"/>
        </w:rPr>
        <w:tab/>
        <w:t>INDEHAVER AF MARKEDSFØRINGSTILLADELSEN</w:t>
      </w:r>
    </w:p>
    <w:p>
      <w:pPr>
        <w:widowControl w:val="0"/>
        <w:rPr>
          <w:sz w:val="22"/>
          <w:szCs w:val="22"/>
          <w:lang w:val="da-DK"/>
        </w:rPr>
      </w:pPr>
    </w:p>
    <w:p>
      <w:pPr>
        <w:widowControl w:val="0"/>
        <w:rPr>
          <w:sz w:val="22"/>
          <w:szCs w:val="22"/>
          <w:lang w:val="da-DK"/>
        </w:rPr>
      </w:pPr>
      <w:r>
        <w:rPr>
          <w:sz w:val="22"/>
          <w:szCs w:val="22"/>
          <w:lang w:val="da-DK"/>
        </w:rPr>
        <w:t>KRKA, d.d., Novo mesto, Šmarješka cesta 6, 8501 Novo mesto, Slovenien</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8.</w:t>
      </w:r>
      <w:r>
        <w:rPr>
          <w:b/>
          <w:sz w:val="22"/>
          <w:szCs w:val="22"/>
          <w:lang w:val="da-DK"/>
        </w:rPr>
        <w:tab/>
        <w:t>MARKEDSFØRINGSTILLADELSESNUMMER (-NUMRE)</w:t>
      </w:r>
    </w:p>
    <w:p>
      <w:pPr>
        <w:widowControl w:val="0"/>
        <w:rPr>
          <w:sz w:val="22"/>
          <w:szCs w:val="22"/>
          <w:lang w:val="da-DK"/>
        </w:rPr>
      </w:pPr>
    </w:p>
    <w:p>
      <w:pPr>
        <w:widowControl w:val="0"/>
        <w:rPr>
          <w:sz w:val="22"/>
          <w:szCs w:val="22"/>
          <w:lang w:val="da-DK"/>
        </w:rPr>
      </w:pPr>
      <w:r>
        <w:rPr>
          <w:sz w:val="22"/>
          <w:szCs w:val="22"/>
          <w:lang w:val="da-DK"/>
        </w:rPr>
        <w:t>56 filmovertrukne tabletter: EU/1/21/1553/001</w:t>
      </w:r>
    </w:p>
    <w:p>
      <w:pPr>
        <w:widowControl w:val="0"/>
        <w:rPr>
          <w:sz w:val="22"/>
          <w:szCs w:val="22"/>
          <w:lang w:val="da-DK"/>
        </w:rPr>
      </w:pPr>
      <w:r>
        <w:rPr>
          <w:sz w:val="22"/>
          <w:szCs w:val="22"/>
          <w:lang w:val="da-DK"/>
        </w:rPr>
        <w:t>60 filmovertrukne tabletter: EU/1/21/1553/002</w:t>
      </w:r>
    </w:p>
    <w:p>
      <w:pPr>
        <w:widowControl w:val="0"/>
        <w:rPr>
          <w:sz w:val="22"/>
          <w:szCs w:val="22"/>
          <w:lang w:val="da-DK"/>
        </w:rPr>
      </w:pPr>
      <w:r>
        <w:rPr>
          <w:sz w:val="22"/>
          <w:szCs w:val="22"/>
          <w:lang w:val="da-DK"/>
        </w:rPr>
        <w:t>56 filmovertrukne tabletter (kalenderpakning): EU/1/21/1553/003</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9.</w:t>
      </w:r>
      <w:r>
        <w:rPr>
          <w:b/>
          <w:sz w:val="22"/>
          <w:szCs w:val="22"/>
          <w:lang w:val="da-DK"/>
        </w:rPr>
        <w:tab/>
        <w:t>DATO FOR FØRSTE MARKEDSFØRINGSTILLADELSE/FORNYELSE AF TILLADELSEN</w:t>
      </w:r>
    </w:p>
    <w:p>
      <w:pPr>
        <w:widowControl w:val="0"/>
        <w:rPr>
          <w:sz w:val="22"/>
          <w:szCs w:val="22"/>
          <w:lang w:val="da-DK"/>
        </w:rPr>
      </w:pPr>
    </w:p>
    <w:p>
      <w:pPr>
        <w:widowControl w:val="0"/>
        <w:rPr>
          <w:ins w:id="10" w:author="Skalberg, Fanny" w:date="2025-10-20T13:42:00Z"/>
          <w:sz w:val="22"/>
          <w:szCs w:val="22"/>
          <w:lang w:val="da-DK"/>
        </w:rPr>
      </w:pPr>
      <w:r>
        <w:rPr>
          <w:sz w:val="22"/>
          <w:szCs w:val="22"/>
          <w:lang w:val="da-DK"/>
        </w:rPr>
        <w:t>Dato for første markedsføringstilladelse: 24 juni 2021</w:t>
      </w:r>
    </w:p>
    <w:p>
      <w:pPr>
        <w:widowControl w:val="0"/>
        <w:rPr>
          <w:sz w:val="22"/>
          <w:szCs w:val="22"/>
          <w:lang w:val="da-DK"/>
        </w:rPr>
      </w:pPr>
      <w:ins w:id="11" w:author="Skalberg, Fanny" w:date="2025-10-20T13:42:00Z">
        <w:r>
          <w:rPr>
            <w:sz w:val="22"/>
            <w:szCs w:val="22"/>
            <w:lang w:val="da-DK"/>
          </w:rPr>
          <w:t>Dato for seneste fornyelse:</w:t>
        </w:r>
      </w:ins>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10.</w:t>
      </w:r>
      <w:r>
        <w:rPr>
          <w:b/>
          <w:sz w:val="22"/>
          <w:szCs w:val="22"/>
          <w:lang w:val="da-DK"/>
        </w:rPr>
        <w:tab/>
        <w:t>DATO FOR ÆNDRING AF TEKSTEN</w:t>
      </w:r>
    </w:p>
    <w:p>
      <w:pPr>
        <w:widowControl w:val="0"/>
        <w:rPr>
          <w:sz w:val="22"/>
          <w:szCs w:val="22"/>
          <w:lang w:val="da-DK"/>
        </w:rPr>
      </w:pPr>
    </w:p>
    <w:p>
      <w:pPr>
        <w:widowControl w:val="0"/>
        <w:rPr>
          <w:sz w:val="22"/>
          <w:szCs w:val="22"/>
          <w:lang w:val="da-DK"/>
        </w:rPr>
      </w:pPr>
      <w:r>
        <w:rPr>
          <w:sz w:val="22"/>
          <w:szCs w:val="22"/>
          <w:lang w:val="da-DK"/>
        </w:rPr>
        <w:t xml:space="preserve">Yderligere </w:t>
      </w:r>
      <w:r>
        <w:rPr>
          <w:noProof/>
          <w:sz w:val="22"/>
          <w:szCs w:val="22"/>
          <w:lang w:val="da-DK"/>
        </w:rPr>
        <w:t>oplysninger</w:t>
      </w:r>
      <w:r>
        <w:rPr>
          <w:sz w:val="22"/>
          <w:szCs w:val="22"/>
          <w:lang w:val="da-DK"/>
        </w:rPr>
        <w:t xml:space="preserve"> om </w:t>
      </w:r>
      <w:r>
        <w:rPr>
          <w:noProof/>
          <w:sz w:val="22"/>
          <w:szCs w:val="22"/>
          <w:lang w:val="da-DK"/>
        </w:rPr>
        <w:t>dette lægemiddel</w:t>
      </w:r>
      <w:r>
        <w:rPr>
          <w:sz w:val="22"/>
          <w:szCs w:val="22"/>
          <w:lang w:val="da-DK"/>
        </w:rPr>
        <w:t xml:space="preserve"> findes på Det Europæiske Lægemiddelagenturs hjemmeside</w:t>
      </w:r>
      <w:r>
        <w:rPr>
          <w:sz w:val="22"/>
          <w:lang w:val="da-DK"/>
        </w:rPr>
        <w:t xml:space="preserve"> </w:t>
      </w:r>
      <w:ins w:id="12" w:author="Skalberg, Fanny" w:date="2025-10-20T14:26:00Z">
        <w:r>
          <w:rPr>
            <w:sz w:val="22"/>
            <w:lang w:val="da-DK"/>
          </w:rPr>
          <w:fldChar w:fldCharType="begin"/>
        </w:r>
        <w:r>
          <w:rPr>
            <w:sz w:val="22"/>
            <w:lang w:val="da-DK"/>
          </w:rPr>
          <w:instrText>HYPERLINK "https://www.ema.europa.eu"</w:instrText>
        </w:r>
        <w:r>
          <w:rPr>
            <w:sz w:val="22"/>
            <w:lang w:val="da-DK"/>
          </w:rPr>
          <w:fldChar w:fldCharType="separate"/>
        </w:r>
        <w:r>
          <w:rPr>
            <w:rStyle w:val="Hyperlink"/>
            <w:sz w:val="22"/>
            <w:lang w:val="da-DK"/>
          </w:rPr>
          <w:t>https://www.ema.europa.eu</w:t>
        </w:r>
        <w:r>
          <w:rPr>
            <w:sz w:val="22"/>
            <w:lang w:val="da-DK"/>
          </w:rPr>
          <w:fldChar w:fldCharType="end"/>
        </w:r>
        <w:r>
          <w:rPr>
            <w:sz w:val="22"/>
            <w:lang w:val="da-DK"/>
          </w:rPr>
          <w:t xml:space="preserve">. </w:t>
        </w:r>
      </w:ins>
      <w:del w:id="13" w:author="Skalberg, Fanny" w:date="2025-10-20T14:26:00Z">
        <w:r>
          <w:fldChar w:fldCharType="begin"/>
        </w:r>
        <w:r>
          <w:delInstrText>HYPERLINK "http://www.ema.europa.eu"</w:delInstrText>
        </w:r>
        <w:r>
          <w:fldChar w:fldCharType="separate"/>
        </w:r>
        <w:r>
          <w:rPr>
            <w:rStyle w:val="Hyperlink"/>
            <w:sz w:val="22"/>
            <w:szCs w:val="22"/>
            <w:lang w:val="da-DK"/>
          </w:rPr>
          <w:delText>http://www.ema.europa.eu</w:delText>
        </w:r>
        <w:r>
          <w:rPr>
            <w:rStyle w:val="Hyperlink"/>
            <w:sz w:val="22"/>
            <w:szCs w:val="22"/>
            <w:lang w:val="da-DK"/>
          </w:rPr>
          <w:fldChar w:fldCharType="end"/>
        </w:r>
        <w:r>
          <w:rPr>
            <w:rStyle w:val="Hyperlink"/>
            <w:sz w:val="22"/>
            <w:szCs w:val="22"/>
            <w:lang w:val="da-DK"/>
          </w:rPr>
          <w:delText>.</w:delText>
        </w:r>
      </w:del>
    </w:p>
    <w:p>
      <w:pPr>
        <w:widowControl w:val="0"/>
        <w:rPr>
          <w:sz w:val="22"/>
          <w:szCs w:val="22"/>
          <w:lang w:val="da-DK"/>
        </w:rPr>
      </w:pPr>
      <w:r>
        <w:rPr>
          <w:sz w:val="22"/>
          <w:szCs w:val="22"/>
          <w:lang w:val="da-DK"/>
        </w:rPr>
        <w:br w:type="page"/>
      </w: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ind w:right="14"/>
        <w:rPr>
          <w:sz w:val="22"/>
          <w:szCs w:val="22"/>
          <w:lang w:val="da-DK"/>
        </w:rPr>
      </w:pPr>
    </w:p>
    <w:p>
      <w:pPr>
        <w:widowControl w:val="0"/>
        <w:tabs>
          <w:tab w:val="left" w:pos="-720"/>
        </w:tabs>
        <w:jc w:val="center"/>
        <w:rPr>
          <w:sz w:val="22"/>
          <w:szCs w:val="22"/>
          <w:lang w:val="da-DK"/>
        </w:rPr>
      </w:pPr>
      <w:r>
        <w:rPr>
          <w:b/>
          <w:sz w:val="22"/>
          <w:szCs w:val="22"/>
          <w:lang w:val="da-DK"/>
        </w:rPr>
        <w:t>BILAG II</w:t>
      </w:r>
    </w:p>
    <w:p>
      <w:pPr>
        <w:widowControl w:val="0"/>
        <w:rPr>
          <w:sz w:val="22"/>
          <w:szCs w:val="22"/>
          <w:lang w:val="da-DK"/>
        </w:rPr>
      </w:pPr>
    </w:p>
    <w:p>
      <w:pPr>
        <w:widowControl w:val="0"/>
        <w:tabs>
          <w:tab w:val="left" w:pos="-720"/>
          <w:tab w:val="left" w:pos="1701"/>
        </w:tabs>
        <w:ind w:left="1701" w:right="1410" w:hanging="567"/>
        <w:rPr>
          <w:b/>
          <w:sz w:val="22"/>
          <w:szCs w:val="22"/>
          <w:lang w:val="da-DK"/>
        </w:rPr>
      </w:pPr>
      <w:r>
        <w:rPr>
          <w:b/>
          <w:sz w:val="22"/>
          <w:szCs w:val="22"/>
          <w:lang w:val="da-DK"/>
        </w:rPr>
        <w:t>A.</w:t>
      </w:r>
      <w:r>
        <w:rPr>
          <w:b/>
          <w:sz w:val="22"/>
          <w:szCs w:val="22"/>
          <w:lang w:val="da-DK"/>
        </w:rPr>
        <w:tab/>
        <w:t>FREMSTILLER(E) ANSVARLIG(E) FOR BATCHFRIGIVELSE</w:t>
      </w:r>
    </w:p>
    <w:p>
      <w:pPr>
        <w:widowControl w:val="0"/>
        <w:tabs>
          <w:tab w:val="left" w:pos="-720"/>
        </w:tabs>
        <w:ind w:right="1410"/>
        <w:rPr>
          <w:b/>
          <w:sz w:val="22"/>
          <w:szCs w:val="22"/>
          <w:lang w:val="da-DK"/>
        </w:rPr>
      </w:pPr>
    </w:p>
    <w:p>
      <w:pPr>
        <w:widowControl w:val="0"/>
        <w:tabs>
          <w:tab w:val="left" w:pos="-720"/>
          <w:tab w:val="left" w:pos="1701"/>
        </w:tabs>
        <w:ind w:left="1701" w:right="1418" w:hanging="567"/>
        <w:rPr>
          <w:b/>
          <w:sz w:val="22"/>
          <w:szCs w:val="22"/>
          <w:lang w:val="da-DK"/>
        </w:rPr>
      </w:pPr>
      <w:r>
        <w:rPr>
          <w:b/>
          <w:sz w:val="22"/>
          <w:szCs w:val="22"/>
          <w:lang w:val="da-DK"/>
        </w:rPr>
        <w:t>B.</w:t>
      </w:r>
      <w:r>
        <w:rPr>
          <w:b/>
          <w:sz w:val="22"/>
          <w:szCs w:val="22"/>
          <w:lang w:val="da-DK"/>
        </w:rPr>
        <w:tab/>
        <w:t>BETINGELSER ELLER BEGRÆNSNINGER VEDRØRENDE UDLEVERING OG ANVENDELSE</w:t>
      </w:r>
    </w:p>
    <w:p>
      <w:pPr>
        <w:widowControl w:val="0"/>
        <w:tabs>
          <w:tab w:val="left" w:pos="-720"/>
        </w:tabs>
        <w:ind w:right="1410"/>
        <w:rPr>
          <w:b/>
          <w:sz w:val="22"/>
          <w:szCs w:val="22"/>
          <w:lang w:val="da-DK"/>
        </w:rPr>
      </w:pPr>
    </w:p>
    <w:p>
      <w:pPr>
        <w:widowControl w:val="0"/>
        <w:tabs>
          <w:tab w:val="left" w:pos="-720"/>
          <w:tab w:val="left" w:pos="1701"/>
        </w:tabs>
        <w:ind w:left="1701" w:right="1418" w:hanging="567"/>
        <w:rPr>
          <w:b/>
          <w:sz w:val="22"/>
          <w:szCs w:val="22"/>
          <w:lang w:val="da-DK"/>
        </w:rPr>
      </w:pPr>
      <w:r>
        <w:rPr>
          <w:b/>
          <w:sz w:val="22"/>
          <w:szCs w:val="22"/>
          <w:lang w:val="da-DK"/>
        </w:rPr>
        <w:t>C.</w:t>
      </w:r>
      <w:r>
        <w:rPr>
          <w:b/>
          <w:sz w:val="22"/>
          <w:szCs w:val="22"/>
          <w:lang w:val="da-DK"/>
        </w:rPr>
        <w:tab/>
        <w:t>ANDRE FORHOLD OG BETINGELSER FOR MARKEDSFØRINGSTILLADELSEN</w:t>
      </w:r>
    </w:p>
    <w:p>
      <w:pPr>
        <w:widowControl w:val="0"/>
        <w:tabs>
          <w:tab w:val="left" w:pos="-720"/>
          <w:tab w:val="left" w:pos="1701"/>
        </w:tabs>
        <w:ind w:left="1701" w:right="1418" w:hanging="567"/>
        <w:rPr>
          <w:b/>
          <w:sz w:val="22"/>
          <w:szCs w:val="22"/>
          <w:lang w:val="da-DK"/>
        </w:rPr>
      </w:pPr>
    </w:p>
    <w:p>
      <w:pPr>
        <w:widowControl w:val="0"/>
        <w:tabs>
          <w:tab w:val="left" w:pos="-720"/>
          <w:tab w:val="left" w:pos="1701"/>
        </w:tabs>
        <w:ind w:left="1701" w:right="1418" w:hanging="567"/>
        <w:rPr>
          <w:b/>
          <w:sz w:val="22"/>
          <w:szCs w:val="22"/>
          <w:lang w:val="da-DK"/>
        </w:rPr>
      </w:pPr>
      <w:r>
        <w:rPr>
          <w:b/>
          <w:sz w:val="22"/>
          <w:szCs w:val="22"/>
          <w:lang w:val="da-DK"/>
        </w:rPr>
        <w:t>D.</w:t>
      </w:r>
      <w:r>
        <w:rPr>
          <w:b/>
          <w:sz w:val="22"/>
          <w:szCs w:val="22"/>
          <w:lang w:val="da-DK"/>
        </w:rPr>
        <w:tab/>
        <w:t>BETINGELSER ELLER BEGRÆNSNINGER MED HENSYN TIL SIKKER OG EFFEKTIV ANVENDELSE AF LÆGEMIDLET</w:t>
      </w:r>
    </w:p>
    <w:p>
      <w:pPr>
        <w:widowControl w:val="0"/>
        <w:tabs>
          <w:tab w:val="left" w:pos="-720"/>
          <w:tab w:val="left" w:pos="1701"/>
        </w:tabs>
        <w:ind w:left="1701" w:right="1418" w:hanging="567"/>
        <w:rPr>
          <w:b/>
          <w:sz w:val="22"/>
          <w:szCs w:val="22"/>
          <w:lang w:val="da-DK"/>
        </w:rPr>
      </w:pPr>
    </w:p>
    <w:p>
      <w:pPr>
        <w:pStyle w:val="TitleB"/>
        <w:ind w:left="0" w:firstLine="0"/>
        <w:rPr>
          <w:lang w:val="da-DK"/>
        </w:rPr>
      </w:pPr>
      <w:r>
        <w:rPr>
          <w:lang w:val="da-DK"/>
        </w:rPr>
        <w:br w:type="page"/>
      </w:r>
      <w:r>
        <w:rPr>
          <w:lang w:val="da-DK"/>
        </w:rPr>
        <w:lastRenderedPageBreak/>
        <w:t>A.</w:t>
      </w:r>
      <w:r>
        <w:rPr>
          <w:lang w:val="da-DK"/>
        </w:rPr>
        <w:tab/>
        <w:t>FREMSTILLER(E) ANSVARLIG(E) FOR BATCHFRIGIVELSE</w:t>
      </w:r>
    </w:p>
    <w:p>
      <w:pPr>
        <w:widowControl w:val="0"/>
        <w:rPr>
          <w:sz w:val="22"/>
          <w:szCs w:val="22"/>
          <w:lang w:val="da-DK"/>
        </w:rPr>
      </w:pPr>
    </w:p>
    <w:p>
      <w:pPr>
        <w:widowControl w:val="0"/>
        <w:rPr>
          <w:sz w:val="22"/>
          <w:szCs w:val="22"/>
          <w:u w:val="single"/>
          <w:lang w:val="da-DK"/>
        </w:rPr>
      </w:pPr>
      <w:r>
        <w:rPr>
          <w:sz w:val="22"/>
          <w:szCs w:val="22"/>
          <w:u w:val="single"/>
          <w:lang w:val="da-DK"/>
        </w:rPr>
        <w:t>Navn og adresse på de fremstillere, der er ansvarlige for batchfrigivelse</w:t>
      </w:r>
    </w:p>
    <w:p>
      <w:pPr>
        <w:widowControl w:val="0"/>
        <w:rPr>
          <w:sz w:val="22"/>
          <w:szCs w:val="22"/>
          <w:u w:val="single"/>
          <w:lang w:val="da-DK"/>
        </w:rPr>
      </w:pPr>
    </w:p>
    <w:p>
      <w:pPr>
        <w:widowControl w:val="0"/>
        <w:rPr>
          <w:sz w:val="22"/>
          <w:szCs w:val="22"/>
          <w:lang w:val="da-DK"/>
        </w:rPr>
      </w:pPr>
      <w:r>
        <w:rPr>
          <w:sz w:val="22"/>
          <w:szCs w:val="22"/>
          <w:lang w:val="da-DK"/>
        </w:rPr>
        <w:t>KRKA, d.d., Novo mesto</w:t>
      </w:r>
    </w:p>
    <w:p>
      <w:pPr>
        <w:widowControl w:val="0"/>
        <w:rPr>
          <w:sz w:val="22"/>
          <w:szCs w:val="22"/>
          <w:lang w:val="sv-SE"/>
        </w:rPr>
      </w:pPr>
      <w:r>
        <w:rPr>
          <w:sz w:val="22"/>
          <w:szCs w:val="22"/>
          <w:lang w:val="sv-SE"/>
        </w:rPr>
        <w:t>Šmarješka cesta 6</w:t>
      </w:r>
    </w:p>
    <w:p>
      <w:pPr>
        <w:widowControl w:val="0"/>
        <w:rPr>
          <w:sz w:val="22"/>
          <w:szCs w:val="22"/>
          <w:lang w:val="sv-SE"/>
        </w:rPr>
      </w:pPr>
      <w:r>
        <w:rPr>
          <w:sz w:val="22"/>
          <w:szCs w:val="22"/>
          <w:lang w:val="sv-SE"/>
        </w:rPr>
        <w:t>8501 Novo mesto</w:t>
      </w:r>
    </w:p>
    <w:p>
      <w:pPr>
        <w:widowControl w:val="0"/>
        <w:rPr>
          <w:sz w:val="22"/>
          <w:szCs w:val="22"/>
          <w:lang w:val="sv-SE"/>
        </w:rPr>
      </w:pPr>
      <w:r>
        <w:rPr>
          <w:sz w:val="22"/>
          <w:szCs w:val="22"/>
          <w:lang w:val="sv-SE"/>
        </w:rPr>
        <w:t>Slovenien</w:t>
      </w:r>
    </w:p>
    <w:p>
      <w:pPr>
        <w:widowControl w:val="0"/>
        <w:rPr>
          <w:sz w:val="22"/>
          <w:szCs w:val="22"/>
          <w:lang w:val="sv-SE"/>
        </w:rPr>
      </w:pPr>
    </w:p>
    <w:p>
      <w:pPr>
        <w:widowControl w:val="0"/>
        <w:rPr>
          <w:sz w:val="22"/>
          <w:szCs w:val="22"/>
          <w:lang w:val="sv-SE"/>
        </w:rPr>
      </w:pPr>
      <w:r>
        <w:rPr>
          <w:sz w:val="22"/>
          <w:szCs w:val="22"/>
          <w:lang w:val="sv-SE"/>
        </w:rPr>
        <w:t>TAD Pharma GmbH</w:t>
      </w:r>
    </w:p>
    <w:p>
      <w:pPr>
        <w:widowControl w:val="0"/>
        <w:rPr>
          <w:sz w:val="22"/>
          <w:szCs w:val="22"/>
          <w:lang w:val="sv-SE"/>
        </w:rPr>
      </w:pPr>
      <w:r>
        <w:rPr>
          <w:sz w:val="22"/>
          <w:szCs w:val="22"/>
          <w:lang w:val="sv-SE"/>
        </w:rPr>
        <w:t>Heinz-Lohmann-Straße 5</w:t>
      </w:r>
    </w:p>
    <w:p>
      <w:pPr>
        <w:widowControl w:val="0"/>
        <w:rPr>
          <w:sz w:val="22"/>
          <w:szCs w:val="22"/>
          <w:lang w:val="sv-SE"/>
        </w:rPr>
      </w:pPr>
      <w:r>
        <w:rPr>
          <w:sz w:val="22"/>
          <w:szCs w:val="22"/>
          <w:lang w:val="sv-SE"/>
        </w:rPr>
        <w:t>27472 Cuxhaven</w:t>
      </w:r>
    </w:p>
    <w:p>
      <w:pPr>
        <w:widowControl w:val="0"/>
        <w:rPr>
          <w:sz w:val="22"/>
          <w:szCs w:val="22"/>
          <w:lang w:val="sv-SE"/>
        </w:rPr>
      </w:pPr>
      <w:r>
        <w:rPr>
          <w:sz w:val="22"/>
          <w:szCs w:val="22"/>
          <w:lang w:val="sv-SE"/>
        </w:rPr>
        <w:t>Tyskland</w:t>
      </w:r>
    </w:p>
    <w:p>
      <w:pPr>
        <w:widowControl w:val="0"/>
        <w:rPr>
          <w:sz w:val="22"/>
          <w:szCs w:val="22"/>
          <w:lang w:val="sv-SE"/>
        </w:rPr>
      </w:pPr>
    </w:p>
    <w:p>
      <w:pPr>
        <w:widowControl w:val="0"/>
        <w:rPr>
          <w:sz w:val="22"/>
          <w:szCs w:val="22"/>
          <w:lang w:val="sv-SE"/>
        </w:rPr>
      </w:pPr>
      <w:r>
        <w:rPr>
          <w:sz w:val="22"/>
          <w:szCs w:val="22"/>
          <w:lang w:val="sv-SE"/>
        </w:rPr>
        <w:t>KRKA-FARMA d.o.o.</w:t>
      </w:r>
    </w:p>
    <w:p>
      <w:pPr>
        <w:widowControl w:val="0"/>
        <w:rPr>
          <w:sz w:val="22"/>
          <w:szCs w:val="22"/>
          <w:lang w:val="da-DK"/>
        </w:rPr>
      </w:pPr>
      <w:r>
        <w:rPr>
          <w:sz w:val="22"/>
          <w:szCs w:val="22"/>
          <w:lang w:val="da-DK"/>
        </w:rPr>
        <w:t>V. Holjevca 20/E</w:t>
      </w:r>
    </w:p>
    <w:p>
      <w:pPr>
        <w:widowControl w:val="0"/>
        <w:rPr>
          <w:sz w:val="22"/>
          <w:szCs w:val="22"/>
          <w:lang w:val="da-DK"/>
        </w:rPr>
      </w:pPr>
      <w:r>
        <w:rPr>
          <w:sz w:val="22"/>
          <w:szCs w:val="22"/>
          <w:lang w:val="da-DK"/>
        </w:rPr>
        <w:t>10450 Jastrebarsko</w:t>
      </w:r>
    </w:p>
    <w:p>
      <w:pPr>
        <w:widowControl w:val="0"/>
        <w:rPr>
          <w:sz w:val="22"/>
          <w:szCs w:val="22"/>
          <w:lang w:val="da-DK"/>
        </w:rPr>
      </w:pPr>
      <w:r>
        <w:rPr>
          <w:sz w:val="22"/>
          <w:szCs w:val="22"/>
          <w:lang w:val="da-DK"/>
        </w:rPr>
        <w:t>Kroatien</w:t>
      </w:r>
    </w:p>
    <w:p>
      <w:pPr>
        <w:widowControl w:val="0"/>
        <w:rPr>
          <w:sz w:val="22"/>
          <w:szCs w:val="22"/>
          <w:lang w:val="da-DK"/>
        </w:rPr>
      </w:pPr>
    </w:p>
    <w:p>
      <w:pPr>
        <w:widowControl w:val="0"/>
        <w:rPr>
          <w:color w:val="000000"/>
          <w:sz w:val="22"/>
          <w:szCs w:val="22"/>
          <w:lang w:val="da-DK"/>
        </w:rPr>
      </w:pPr>
      <w:r>
        <w:rPr>
          <w:sz w:val="22"/>
          <w:szCs w:val="22"/>
          <w:lang w:val="da-DK"/>
        </w:rPr>
        <w:t>På lægemidlets trykte indlægsseddel skal der anføres navn og adresse på den fremstiller, som er ansvarlig for frigivelsen af den pågældende batch.</w:t>
      </w:r>
    </w:p>
    <w:p>
      <w:pPr>
        <w:widowControl w:val="0"/>
        <w:rPr>
          <w:sz w:val="22"/>
          <w:szCs w:val="22"/>
          <w:lang w:val="da-DK"/>
        </w:rPr>
      </w:pPr>
    </w:p>
    <w:p>
      <w:pPr>
        <w:widowControl w:val="0"/>
        <w:ind w:left="567" w:hanging="567"/>
        <w:rPr>
          <w:b/>
          <w:sz w:val="22"/>
          <w:szCs w:val="22"/>
          <w:lang w:val="da-DK"/>
        </w:rPr>
      </w:pPr>
    </w:p>
    <w:p>
      <w:pPr>
        <w:pStyle w:val="TitleB"/>
        <w:rPr>
          <w:lang w:val="da-DK"/>
        </w:rPr>
      </w:pPr>
      <w:r>
        <w:rPr>
          <w:lang w:val="da-DK"/>
        </w:rPr>
        <w:t>B.</w:t>
      </w:r>
      <w:r>
        <w:rPr>
          <w:lang w:val="da-DK"/>
        </w:rPr>
        <w:tab/>
        <w:t>BETINGELSER ELLER BEGRÆNSNINGER VEDRØRENDE UDLEVERING OG ANVENDELSE</w:t>
      </w:r>
    </w:p>
    <w:p>
      <w:pPr>
        <w:widowControl w:val="0"/>
        <w:numPr>
          <w:ilvl w:val="12"/>
          <w:numId w:val="0"/>
        </w:numPr>
        <w:rPr>
          <w:sz w:val="22"/>
          <w:szCs w:val="22"/>
          <w:lang w:val="da-DK"/>
        </w:rPr>
      </w:pPr>
    </w:p>
    <w:p>
      <w:pPr>
        <w:widowControl w:val="0"/>
        <w:numPr>
          <w:ilvl w:val="12"/>
          <w:numId w:val="0"/>
        </w:numPr>
        <w:rPr>
          <w:sz w:val="22"/>
          <w:szCs w:val="22"/>
          <w:lang w:val="da-DK"/>
        </w:rPr>
      </w:pPr>
      <w:r>
        <w:rPr>
          <w:sz w:val="22"/>
          <w:szCs w:val="22"/>
          <w:lang w:val="da-DK"/>
        </w:rPr>
        <w:t>Lægemidlet er receptpligtigt.</w:t>
      </w:r>
    </w:p>
    <w:p>
      <w:pPr>
        <w:widowControl w:val="0"/>
        <w:tabs>
          <w:tab w:val="left" w:pos="567"/>
        </w:tabs>
        <w:rPr>
          <w:sz w:val="22"/>
          <w:szCs w:val="22"/>
          <w:lang w:val="da-DK"/>
        </w:rPr>
      </w:pPr>
    </w:p>
    <w:p>
      <w:pPr>
        <w:widowControl w:val="0"/>
        <w:rPr>
          <w:sz w:val="22"/>
          <w:szCs w:val="22"/>
          <w:lang w:val="da-DK"/>
        </w:rPr>
      </w:pPr>
    </w:p>
    <w:p>
      <w:pPr>
        <w:pStyle w:val="TitleB"/>
        <w:ind w:left="0" w:firstLine="0"/>
        <w:rPr>
          <w:lang w:val="da-DK"/>
        </w:rPr>
      </w:pPr>
      <w:r>
        <w:rPr>
          <w:lang w:val="da-DK"/>
        </w:rPr>
        <w:t>C.</w:t>
      </w:r>
      <w:r>
        <w:rPr>
          <w:lang w:val="da-DK"/>
        </w:rPr>
        <w:tab/>
        <w:t>ANDRE FORHOLD OG BETINGELSER FOR MARKEDSFØRINGSTILLADELSEN</w:t>
      </w:r>
    </w:p>
    <w:p>
      <w:pPr>
        <w:widowControl w:val="0"/>
        <w:ind w:left="709"/>
        <w:rPr>
          <w:sz w:val="22"/>
          <w:szCs w:val="22"/>
          <w:lang w:val="da-DK"/>
        </w:rPr>
      </w:pPr>
    </w:p>
    <w:p>
      <w:pPr>
        <w:widowControl w:val="0"/>
        <w:numPr>
          <w:ilvl w:val="0"/>
          <w:numId w:val="5"/>
        </w:numPr>
        <w:tabs>
          <w:tab w:val="clear" w:pos="720"/>
          <w:tab w:val="num" w:pos="567"/>
        </w:tabs>
        <w:ind w:left="567" w:right="-1" w:hanging="567"/>
        <w:rPr>
          <w:b/>
          <w:sz w:val="22"/>
          <w:szCs w:val="22"/>
          <w:lang w:val="da-DK"/>
        </w:rPr>
      </w:pPr>
      <w:r>
        <w:rPr>
          <w:b/>
          <w:sz w:val="22"/>
          <w:szCs w:val="22"/>
          <w:lang w:val="da-DK"/>
        </w:rPr>
        <w:t>Periodiske, opdaterede sikkerhedsindberetninger (PSUR’er)</w:t>
      </w:r>
    </w:p>
    <w:p>
      <w:pPr>
        <w:widowControl w:val="0"/>
        <w:rPr>
          <w:sz w:val="22"/>
          <w:szCs w:val="22"/>
          <w:lang w:val="da-DK"/>
        </w:rPr>
      </w:pPr>
    </w:p>
    <w:p>
      <w:pPr>
        <w:widowControl w:val="0"/>
        <w:tabs>
          <w:tab w:val="left" w:pos="0"/>
        </w:tabs>
        <w:ind w:right="-7"/>
        <w:rPr>
          <w:i/>
          <w:sz w:val="22"/>
          <w:szCs w:val="22"/>
          <w:lang w:val="da-DK"/>
        </w:rPr>
      </w:pPr>
      <w:r>
        <w:rPr>
          <w:sz w:val="22"/>
          <w:szCs w:val="22"/>
          <w:lang w:val="da-DK"/>
        </w:rPr>
        <w:t>Kravene for fremsendelse af PSUR´er for dette lægemiddel fremgår af listen over EU-referencedatoer (EURD list</w:t>
      </w:r>
      <w:r>
        <w:rPr>
          <w:noProof/>
          <w:sz w:val="22"/>
          <w:szCs w:val="22"/>
          <w:lang w:val="da-DK"/>
        </w:rPr>
        <w:t>),</w:t>
      </w:r>
      <w:r>
        <w:rPr>
          <w:sz w:val="22"/>
          <w:szCs w:val="22"/>
          <w:lang w:val="da-DK"/>
        </w:rPr>
        <w:t xml:space="preserve"> som fastsat i artikel 107c, stk. 7, i direktiv 2001/83/EF, og alle efterfølgende opdateringer offentliggjort på </w:t>
      </w:r>
      <w:r>
        <w:rPr>
          <w:lang w:val="da-DK"/>
        </w:rPr>
        <w:t xml:space="preserve"> </w:t>
      </w:r>
      <w:r>
        <w:rPr>
          <w:sz w:val="22"/>
          <w:szCs w:val="22"/>
          <w:lang w:val="da-DK"/>
        </w:rPr>
        <w:t>Det Europæiske Lægemiddelagenturs hjemmeside http://www.ema.europa.eu.</w:t>
      </w:r>
    </w:p>
    <w:p>
      <w:pPr>
        <w:widowControl w:val="0"/>
        <w:ind w:right="-1"/>
        <w:rPr>
          <w:i/>
          <w:sz w:val="22"/>
          <w:szCs w:val="22"/>
          <w:u w:val="single"/>
          <w:lang w:val="da-DK"/>
        </w:rPr>
      </w:pPr>
    </w:p>
    <w:p>
      <w:pPr>
        <w:widowControl w:val="0"/>
        <w:ind w:right="-1"/>
        <w:rPr>
          <w:i/>
          <w:sz w:val="22"/>
          <w:szCs w:val="22"/>
          <w:u w:val="single"/>
          <w:lang w:val="da-DK"/>
        </w:rPr>
      </w:pPr>
    </w:p>
    <w:p>
      <w:pPr>
        <w:pStyle w:val="TitleB"/>
        <w:rPr>
          <w:lang w:val="da-DK"/>
        </w:rPr>
      </w:pPr>
      <w:r>
        <w:rPr>
          <w:lang w:val="da-DK"/>
        </w:rPr>
        <w:t>D.</w:t>
      </w:r>
      <w:r>
        <w:rPr>
          <w:lang w:val="da-DK"/>
        </w:rPr>
        <w:tab/>
        <w:t>BETINGELSER ELLER BEGRÆNSNINGER MED HENSYN TIL SIKKER OG EFFEKTIV ANVENDELSE AF LÆGEMIDLET</w:t>
      </w:r>
    </w:p>
    <w:p>
      <w:pPr>
        <w:widowControl w:val="0"/>
        <w:rPr>
          <w:sz w:val="22"/>
          <w:szCs w:val="22"/>
          <w:lang w:val="da-DK"/>
        </w:rPr>
      </w:pPr>
    </w:p>
    <w:p>
      <w:pPr>
        <w:widowControl w:val="0"/>
        <w:numPr>
          <w:ilvl w:val="0"/>
          <w:numId w:val="6"/>
        </w:numPr>
        <w:tabs>
          <w:tab w:val="left" w:pos="567"/>
        </w:tabs>
        <w:ind w:left="567" w:hanging="567"/>
        <w:rPr>
          <w:b/>
          <w:sz w:val="22"/>
          <w:szCs w:val="22"/>
          <w:lang w:val="da-DK"/>
        </w:rPr>
      </w:pPr>
      <w:r>
        <w:rPr>
          <w:b/>
          <w:noProof/>
          <w:sz w:val="22"/>
          <w:szCs w:val="22"/>
          <w:lang w:val="da-DK"/>
        </w:rPr>
        <w:t>Risikostyringsplan (RMP)</w:t>
      </w:r>
      <w:r>
        <w:rPr>
          <w:b/>
          <w:sz w:val="22"/>
          <w:szCs w:val="22"/>
          <w:lang w:val="da-DK"/>
        </w:rPr>
        <w:t xml:space="preserve"> </w:t>
      </w:r>
    </w:p>
    <w:p>
      <w:pPr>
        <w:widowControl w:val="0"/>
        <w:rPr>
          <w:sz w:val="22"/>
          <w:szCs w:val="22"/>
          <w:lang w:val="da-DK"/>
        </w:rPr>
      </w:pPr>
      <w:r>
        <w:rPr>
          <w:sz w:val="22"/>
          <w:szCs w:val="22"/>
          <w:lang w:val="da-DK"/>
        </w:rPr>
        <w:t xml:space="preserve">Indehaveren af markedsføringstilladelsen skal udføre de påkrævede </w:t>
      </w:r>
      <w:r>
        <w:rPr>
          <w:noProof/>
          <w:sz w:val="22"/>
          <w:szCs w:val="22"/>
          <w:lang w:val="da-DK"/>
        </w:rPr>
        <w:t>aktiviteter</w:t>
      </w:r>
      <w:r>
        <w:rPr>
          <w:sz w:val="22"/>
          <w:szCs w:val="22"/>
          <w:lang w:val="da-DK"/>
        </w:rPr>
        <w:t xml:space="preserve"> og foranstaltninger</w:t>
      </w:r>
      <w:r>
        <w:rPr>
          <w:noProof/>
          <w:sz w:val="22"/>
          <w:szCs w:val="22"/>
          <w:lang w:val="da-DK"/>
        </w:rPr>
        <w:t xml:space="preserve"> vedrørende lægemiddelovervågning</w:t>
      </w:r>
      <w:r>
        <w:rPr>
          <w:sz w:val="22"/>
          <w:szCs w:val="22"/>
          <w:lang w:val="da-DK"/>
        </w:rPr>
        <w:t>, som er beskrevet i den godkendte RMP, der fremgår af modul 1.8.2 i markedsføringstilladelsen, og enhver efterfølgende godkendt opdatering af RMP.</w:t>
      </w:r>
    </w:p>
    <w:p>
      <w:pPr>
        <w:widowControl w:val="0"/>
        <w:rPr>
          <w:sz w:val="22"/>
          <w:szCs w:val="22"/>
          <w:lang w:val="da-DK"/>
        </w:rPr>
      </w:pPr>
    </w:p>
    <w:p>
      <w:pPr>
        <w:widowControl w:val="0"/>
        <w:rPr>
          <w:sz w:val="22"/>
          <w:szCs w:val="22"/>
          <w:lang w:val="da-DK"/>
        </w:rPr>
      </w:pPr>
      <w:r>
        <w:rPr>
          <w:sz w:val="22"/>
          <w:szCs w:val="22"/>
          <w:lang w:val="da-DK"/>
        </w:rPr>
        <w:t>En opdateret RMP skal fremsendes:</w:t>
      </w:r>
    </w:p>
    <w:p>
      <w:pPr>
        <w:widowControl w:val="0"/>
        <w:numPr>
          <w:ilvl w:val="0"/>
          <w:numId w:val="3"/>
        </w:numPr>
        <w:ind w:left="567" w:hanging="567"/>
        <w:rPr>
          <w:sz w:val="22"/>
          <w:szCs w:val="22"/>
          <w:lang w:val="da-DK"/>
        </w:rPr>
      </w:pPr>
      <w:r>
        <w:rPr>
          <w:sz w:val="22"/>
          <w:szCs w:val="22"/>
          <w:lang w:val="da-DK"/>
        </w:rPr>
        <w:t>på anmodning fra Det Europæiske Lægemiddelagentur</w:t>
      </w:r>
    </w:p>
    <w:p>
      <w:pPr>
        <w:widowControl w:val="0"/>
        <w:numPr>
          <w:ilvl w:val="0"/>
          <w:numId w:val="3"/>
        </w:numPr>
        <w:ind w:left="567" w:hanging="567"/>
        <w:rPr>
          <w:sz w:val="22"/>
          <w:szCs w:val="22"/>
          <w:lang w:val="da-DK"/>
        </w:rPr>
      </w:pPr>
      <w:r>
        <w:rPr>
          <w:sz w:val="22"/>
          <w:szCs w:val="22"/>
          <w:lang w:val="da-DK"/>
        </w:rPr>
        <w:t>når risikostyringssystemet ændres, særlig som følge af</w:t>
      </w:r>
      <w:r>
        <w:rPr>
          <w:noProof/>
          <w:sz w:val="22"/>
          <w:szCs w:val="22"/>
          <w:lang w:val="da-DK"/>
        </w:rPr>
        <w:t>,</w:t>
      </w:r>
      <w:r>
        <w:rPr>
          <w:sz w:val="22"/>
          <w:szCs w:val="22"/>
          <w:lang w:val="da-DK"/>
        </w:rPr>
        <w:t xml:space="preserve"> at der er modtaget nye oplysninger, der kan medføre en væsentlig ændring i benefit/risk-forholdet, eller som følge af</w:t>
      </w:r>
      <w:r>
        <w:rPr>
          <w:noProof/>
          <w:sz w:val="22"/>
          <w:szCs w:val="22"/>
          <w:lang w:val="da-DK"/>
        </w:rPr>
        <w:t>,</w:t>
      </w:r>
      <w:r>
        <w:rPr>
          <w:sz w:val="22"/>
          <w:szCs w:val="22"/>
          <w:lang w:val="da-DK"/>
        </w:rPr>
        <w:t xml:space="preserve"> at en vigtig milepæl (lægemiddelovervågning eller risikominimering</w:t>
      </w:r>
      <w:r>
        <w:rPr>
          <w:noProof/>
          <w:sz w:val="22"/>
          <w:szCs w:val="22"/>
          <w:lang w:val="da-DK"/>
        </w:rPr>
        <w:t>) er nået.</w:t>
      </w:r>
    </w:p>
    <w:p>
      <w:pPr>
        <w:widowControl w:val="0"/>
        <w:ind w:left="567"/>
        <w:rPr>
          <w:noProof/>
          <w:sz w:val="22"/>
          <w:szCs w:val="22"/>
          <w:lang w:val="da-DK"/>
        </w:rPr>
      </w:pPr>
    </w:p>
    <w:p>
      <w:pPr>
        <w:widowControl w:val="0"/>
        <w:rPr>
          <w:sz w:val="22"/>
          <w:szCs w:val="22"/>
          <w:lang w:val="da-DK"/>
        </w:rPr>
      </w:pPr>
      <w:r>
        <w:rPr>
          <w:sz w:val="22"/>
          <w:szCs w:val="22"/>
          <w:lang w:val="da-DK"/>
        </w:rPr>
        <w:br w:type="page"/>
      </w: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jc w:val="center"/>
        <w:rPr>
          <w:b/>
          <w:sz w:val="22"/>
          <w:szCs w:val="22"/>
          <w:lang w:val="da-DK"/>
        </w:rPr>
      </w:pPr>
      <w:r>
        <w:rPr>
          <w:b/>
          <w:noProof/>
          <w:sz w:val="22"/>
          <w:szCs w:val="22"/>
          <w:lang w:val="da-DK"/>
        </w:rPr>
        <w:t>BILAG III</w:t>
      </w:r>
    </w:p>
    <w:p>
      <w:pPr>
        <w:widowControl w:val="0"/>
        <w:jc w:val="center"/>
        <w:rPr>
          <w:b/>
          <w:sz w:val="22"/>
          <w:szCs w:val="22"/>
          <w:lang w:val="da-DK"/>
        </w:rPr>
      </w:pPr>
    </w:p>
    <w:p>
      <w:pPr>
        <w:widowControl w:val="0"/>
        <w:jc w:val="center"/>
        <w:rPr>
          <w:b/>
          <w:sz w:val="22"/>
          <w:szCs w:val="22"/>
          <w:lang w:val="da-DK"/>
        </w:rPr>
      </w:pPr>
      <w:r>
        <w:rPr>
          <w:b/>
          <w:noProof/>
          <w:sz w:val="22"/>
          <w:szCs w:val="22"/>
          <w:lang w:val="da-DK"/>
        </w:rPr>
        <w:t>ETIKETTERING OG INDLÆGSSEDDEL</w:t>
      </w:r>
    </w:p>
    <w:p>
      <w:pPr>
        <w:widowControl w:val="0"/>
        <w:rPr>
          <w:sz w:val="22"/>
          <w:szCs w:val="22"/>
          <w:lang w:val="da-DK"/>
        </w:rPr>
      </w:pPr>
      <w:r>
        <w:rPr>
          <w:sz w:val="22"/>
          <w:szCs w:val="22"/>
          <w:lang w:val="da-DK"/>
        </w:rPr>
        <w:br w:type="page"/>
      </w: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widowControl w:val="0"/>
        <w:rPr>
          <w:sz w:val="22"/>
          <w:szCs w:val="22"/>
          <w:lang w:val="da-DK"/>
        </w:rPr>
      </w:pPr>
    </w:p>
    <w:p>
      <w:pPr>
        <w:pStyle w:val="TitleA"/>
        <w:rPr>
          <w:b w:val="0"/>
          <w:lang w:val="da-DK"/>
        </w:rPr>
      </w:pPr>
      <w:r>
        <w:rPr>
          <w:lang w:val="da-DK"/>
        </w:rPr>
        <w:t>A. ETIKETTERING</w:t>
      </w:r>
    </w:p>
    <w:p>
      <w:pPr>
        <w:widowControl w:val="0"/>
        <w:jc w:val="center"/>
        <w:rPr>
          <w:sz w:val="22"/>
          <w:szCs w:val="22"/>
          <w:lang w:val="da-DK"/>
        </w:rPr>
      </w:pPr>
      <w:r>
        <w:rPr>
          <w:sz w:val="22"/>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839"/>
        </w:trPr>
        <w:tc>
          <w:tcPr>
            <w:tcW w:w="9281" w:type="dxa"/>
          </w:tcPr>
          <w:p>
            <w:pPr>
              <w:widowControl w:val="0"/>
              <w:rPr>
                <w:b/>
                <w:sz w:val="22"/>
                <w:szCs w:val="22"/>
                <w:lang w:val="da-DK"/>
              </w:rPr>
            </w:pPr>
            <w:r>
              <w:rPr>
                <w:b/>
                <w:sz w:val="22"/>
                <w:szCs w:val="22"/>
                <w:lang w:val="da-DK"/>
              </w:rPr>
              <w:lastRenderedPageBreak/>
              <w:t>MÆRKNING, DER SKAL ANFØRES PÅ DEN INDRE EMBALLAGE</w:t>
            </w:r>
          </w:p>
          <w:p>
            <w:pPr>
              <w:widowControl w:val="0"/>
              <w:rPr>
                <w:b/>
                <w:sz w:val="22"/>
                <w:szCs w:val="22"/>
                <w:lang w:val="da-DK"/>
              </w:rPr>
            </w:pPr>
          </w:p>
          <w:p>
            <w:pPr>
              <w:widowControl w:val="0"/>
              <w:rPr>
                <w:snapToGrid w:val="0"/>
                <w:sz w:val="22"/>
                <w:szCs w:val="22"/>
                <w:lang w:val="da-DK"/>
              </w:rPr>
            </w:pPr>
            <w:r>
              <w:rPr>
                <w:b/>
                <w:sz w:val="22"/>
                <w:szCs w:val="22"/>
                <w:lang w:val="da-DK"/>
              </w:rPr>
              <w:t>KARTON</w:t>
            </w:r>
          </w:p>
        </w:tc>
      </w:tr>
    </w:tbl>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w:t>
            </w:r>
            <w:r>
              <w:rPr>
                <w:b/>
                <w:sz w:val="22"/>
                <w:szCs w:val="22"/>
                <w:lang w:val="da-DK"/>
              </w:rPr>
              <w:tab/>
            </w:r>
            <w:r>
              <w:rPr>
                <w:b/>
                <w:noProof/>
                <w:sz w:val="22"/>
                <w:szCs w:val="22"/>
                <w:lang w:val="da-DK"/>
              </w:rPr>
              <w:t>LÆGEMIDLETS NAVN</w:t>
            </w:r>
          </w:p>
        </w:tc>
      </w:tr>
    </w:tbl>
    <w:p>
      <w:pPr>
        <w:widowControl w:val="0"/>
        <w:rPr>
          <w:sz w:val="22"/>
          <w:szCs w:val="22"/>
          <w:lang w:val="da-DK"/>
        </w:rPr>
      </w:pPr>
    </w:p>
    <w:p>
      <w:pPr>
        <w:widowControl w:val="0"/>
        <w:rPr>
          <w:sz w:val="22"/>
          <w:szCs w:val="22"/>
          <w:lang w:val="da-DK"/>
        </w:rPr>
      </w:pPr>
      <w:r>
        <w:rPr>
          <w:sz w:val="22"/>
          <w:szCs w:val="22"/>
          <w:lang w:val="da-DK"/>
        </w:rPr>
        <w:t>Abiraterone Krka 500</w:t>
      </w:r>
      <w:r>
        <w:rPr>
          <w:noProof/>
          <w:szCs w:val="22"/>
        </w:rPr>
        <w:t> </w:t>
      </w:r>
      <w:r>
        <w:rPr>
          <w:sz w:val="22"/>
          <w:szCs w:val="22"/>
          <w:lang w:val="da-DK"/>
        </w:rPr>
        <w:t>mg filmovertrukne tabletter</w:t>
      </w:r>
    </w:p>
    <w:p>
      <w:pPr>
        <w:widowControl w:val="0"/>
        <w:rPr>
          <w:sz w:val="22"/>
          <w:szCs w:val="22"/>
          <w:lang w:val="da-DK"/>
        </w:rPr>
      </w:pPr>
    </w:p>
    <w:p>
      <w:pPr>
        <w:widowControl w:val="0"/>
        <w:rPr>
          <w:sz w:val="22"/>
          <w:szCs w:val="22"/>
          <w:lang w:val="da-DK"/>
        </w:rPr>
      </w:pPr>
      <w:r>
        <w:rPr>
          <w:sz w:val="22"/>
          <w:szCs w:val="22"/>
          <w:lang w:val="da-DK"/>
        </w:rPr>
        <w:t>abirateronacetat</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2.</w:t>
            </w:r>
            <w:r>
              <w:rPr>
                <w:b/>
                <w:sz w:val="22"/>
                <w:szCs w:val="22"/>
                <w:lang w:val="da-DK"/>
              </w:rPr>
              <w:tab/>
              <w:t>ANGIVELSE AF AKTIVT STOF/AKTIVE STOFFER</w:t>
            </w:r>
          </w:p>
        </w:tc>
      </w:tr>
    </w:tbl>
    <w:p>
      <w:pPr>
        <w:widowControl w:val="0"/>
        <w:rPr>
          <w:sz w:val="22"/>
          <w:szCs w:val="22"/>
          <w:lang w:val="da-DK"/>
        </w:rPr>
      </w:pPr>
    </w:p>
    <w:p>
      <w:pPr>
        <w:widowControl w:val="0"/>
        <w:rPr>
          <w:sz w:val="22"/>
          <w:szCs w:val="22"/>
          <w:lang w:val="da-DK"/>
        </w:rPr>
      </w:pPr>
      <w:r>
        <w:rPr>
          <w:sz w:val="22"/>
          <w:szCs w:val="22"/>
          <w:lang w:val="da-DK"/>
        </w:rPr>
        <w:t>Hver filmovertrukken tablet indeholder 500</w:t>
      </w:r>
      <w:r>
        <w:rPr>
          <w:noProof/>
          <w:szCs w:val="22"/>
        </w:rPr>
        <w:t> </w:t>
      </w:r>
      <w:r>
        <w:rPr>
          <w:sz w:val="22"/>
          <w:szCs w:val="22"/>
          <w:lang w:val="da-DK"/>
        </w:rPr>
        <w:t>mg abirateronacetat</w:t>
      </w:r>
      <w:ins w:id="14" w:author="Skalberg, Fanny" w:date="2025-10-20T13:43:00Z">
        <w:r>
          <w:rPr>
            <w:sz w:val="22"/>
            <w:szCs w:val="22"/>
            <w:lang w:val="da-DK"/>
          </w:rPr>
          <w:t xml:space="preserve"> svarende til 446 mg abirateron</w:t>
        </w:r>
      </w:ins>
      <w:r>
        <w:rPr>
          <w:sz w:val="22"/>
          <w:szCs w:val="22"/>
          <w:lang w:val="da-DK"/>
        </w:rPr>
        <w:t>.</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3.</w:t>
            </w:r>
            <w:r>
              <w:rPr>
                <w:b/>
                <w:sz w:val="22"/>
                <w:szCs w:val="22"/>
                <w:lang w:val="da-DK"/>
              </w:rPr>
              <w:tab/>
            </w:r>
            <w:r>
              <w:rPr>
                <w:b/>
                <w:noProof/>
                <w:sz w:val="22"/>
                <w:szCs w:val="22"/>
                <w:lang w:val="da-DK"/>
              </w:rPr>
              <w:t>LISTE OVER HJÆLPESTOFFER</w:t>
            </w:r>
          </w:p>
        </w:tc>
      </w:tr>
    </w:tbl>
    <w:p>
      <w:pPr>
        <w:widowControl w:val="0"/>
        <w:rPr>
          <w:sz w:val="22"/>
          <w:szCs w:val="22"/>
          <w:lang w:val="da-DK"/>
        </w:rPr>
      </w:pPr>
    </w:p>
    <w:p>
      <w:pPr>
        <w:widowControl w:val="0"/>
        <w:rPr>
          <w:sz w:val="22"/>
          <w:szCs w:val="22"/>
          <w:lang w:val="da-DK"/>
        </w:rPr>
      </w:pPr>
      <w:r>
        <w:rPr>
          <w:sz w:val="22"/>
          <w:szCs w:val="22"/>
          <w:lang w:val="da-DK"/>
        </w:rPr>
        <w:t>Indeholder lactose.</w:t>
      </w:r>
    </w:p>
    <w:p>
      <w:pPr>
        <w:widowControl w:val="0"/>
        <w:rPr>
          <w:sz w:val="22"/>
          <w:szCs w:val="22"/>
          <w:lang w:val="da-DK"/>
        </w:rPr>
      </w:pPr>
      <w:r>
        <w:rPr>
          <w:sz w:val="22"/>
          <w:szCs w:val="22"/>
          <w:lang w:val="da-DK"/>
        </w:rPr>
        <w:t>Læs indlægssedlen for yderligere information.</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4.</w:t>
            </w:r>
            <w:r>
              <w:rPr>
                <w:b/>
                <w:sz w:val="22"/>
                <w:szCs w:val="22"/>
                <w:lang w:val="da-DK"/>
              </w:rPr>
              <w:tab/>
            </w:r>
            <w:r>
              <w:rPr>
                <w:b/>
                <w:noProof/>
                <w:sz w:val="22"/>
                <w:szCs w:val="22"/>
                <w:lang w:val="da-DK"/>
              </w:rPr>
              <w:t>LÆGEMIDDELFORM OG INDHOLD (PAKNINGSSTØRRELSE)</w:t>
            </w:r>
          </w:p>
        </w:tc>
      </w:tr>
    </w:tbl>
    <w:p>
      <w:pPr>
        <w:widowControl w:val="0"/>
        <w:rPr>
          <w:sz w:val="22"/>
          <w:szCs w:val="22"/>
          <w:lang w:val="da-DK"/>
        </w:rPr>
      </w:pPr>
    </w:p>
    <w:p>
      <w:pPr>
        <w:widowControl w:val="0"/>
        <w:rPr>
          <w:sz w:val="22"/>
          <w:szCs w:val="22"/>
          <w:lang w:val="da-DK"/>
        </w:rPr>
      </w:pPr>
      <w:r>
        <w:rPr>
          <w:sz w:val="22"/>
          <w:szCs w:val="22"/>
          <w:highlight w:val="lightGray"/>
          <w:lang w:val="da-DK"/>
        </w:rPr>
        <w:t>filmovertrukken tablet</w:t>
      </w:r>
    </w:p>
    <w:p>
      <w:pPr>
        <w:widowControl w:val="0"/>
        <w:rPr>
          <w:sz w:val="22"/>
          <w:szCs w:val="22"/>
          <w:lang w:val="da-DK"/>
        </w:rPr>
      </w:pPr>
    </w:p>
    <w:p>
      <w:pPr>
        <w:widowControl w:val="0"/>
        <w:rPr>
          <w:sz w:val="22"/>
          <w:szCs w:val="22"/>
          <w:lang w:val="da-DK"/>
        </w:rPr>
      </w:pPr>
      <w:r>
        <w:rPr>
          <w:sz w:val="22"/>
          <w:szCs w:val="22"/>
          <w:lang w:val="da-DK"/>
        </w:rPr>
        <w:t xml:space="preserve">56 </w:t>
      </w:r>
      <w:r>
        <w:rPr>
          <w:sz w:val="22"/>
          <w:szCs w:val="22"/>
          <w:highlight w:val="lightGray"/>
          <w:lang w:val="da-DK"/>
        </w:rPr>
        <w:t>filmovertrukne</w:t>
      </w:r>
      <w:r>
        <w:rPr>
          <w:sz w:val="22"/>
          <w:szCs w:val="22"/>
          <w:lang w:val="da-DK"/>
        </w:rPr>
        <w:t xml:space="preserve"> tabletter</w:t>
      </w:r>
    </w:p>
    <w:p>
      <w:pPr>
        <w:widowControl w:val="0"/>
        <w:rPr>
          <w:sz w:val="22"/>
          <w:szCs w:val="22"/>
          <w:lang w:val="da-DK"/>
        </w:rPr>
      </w:pPr>
      <w:r>
        <w:rPr>
          <w:sz w:val="22"/>
          <w:szCs w:val="22"/>
          <w:highlight w:val="lightGray"/>
          <w:lang w:val="da-DK"/>
        </w:rPr>
        <w:t>60 filmovertrukne tabletter</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5.</w:t>
            </w:r>
            <w:r>
              <w:rPr>
                <w:b/>
                <w:sz w:val="22"/>
                <w:szCs w:val="22"/>
                <w:lang w:val="da-DK"/>
              </w:rPr>
              <w:tab/>
            </w:r>
            <w:r>
              <w:rPr>
                <w:b/>
                <w:noProof/>
                <w:sz w:val="22"/>
                <w:szCs w:val="22"/>
                <w:lang w:val="da-DK"/>
              </w:rPr>
              <w:t>ANVENDELSESMÅDE OG ADMINISTRATIONSVEJ(E)</w:t>
            </w:r>
          </w:p>
        </w:tc>
      </w:tr>
    </w:tbl>
    <w:p>
      <w:pPr>
        <w:widowControl w:val="0"/>
        <w:rPr>
          <w:sz w:val="22"/>
          <w:szCs w:val="22"/>
          <w:lang w:val="da-DK"/>
        </w:rPr>
      </w:pPr>
    </w:p>
    <w:p>
      <w:pPr>
        <w:widowControl w:val="0"/>
        <w:rPr>
          <w:noProof/>
          <w:sz w:val="22"/>
          <w:szCs w:val="22"/>
          <w:lang w:val="da-DK"/>
        </w:rPr>
      </w:pPr>
      <w:r>
        <w:rPr>
          <w:noProof/>
          <w:sz w:val="22"/>
          <w:szCs w:val="22"/>
          <w:lang w:val="da-DK"/>
        </w:rPr>
        <w:t>Tag Abiraterone Krka mindst 2 timer efter at du har spist, og undlad at spise før mindst 1 time efter at have taget Abiraterone Krka.</w:t>
      </w:r>
      <w:r>
        <w:rPr>
          <w:noProof/>
          <w:sz w:val="22"/>
          <w:szCs w:val="22"/>
          <w:lang w:val="da-DK"/>
        </w:rPr>
        <w:cr/>
        <w:t>Læs indlægssedlen inden brug.</w:t>
      </w:r>
    </w:p>
    <w:p>
      <w:pPr>
        <w:widowControl w:val="0"/>
        <w:rPr>
          <w:noProof/>
          <w:sz w:val="22"/>
          <w:szCs w:val="22"/>
          <w:lang w:val="da-DK"/>
        </w:rPr>
      </w:pPr>
      <w:r>
        <w:rPr>
          <w:noProof/>
          <w:sz w:val="22"/>
          <w:szCs w:val="22"/>
          <w:lang w:val="da-DK"/>
        </w:rPr>
        <w:t>Oral anvendelse.</w:t>
      </w:r>
    </w:p>
    <w:p>
      <w:pPr>
        <w:widowControl w:val="0"/>
        <w:rPr>
          <w:noProof/>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6.</w:t>
            </w:r>
            <w:r>
              <w:rPr>
                <w:b/>
                <w:sz w:val="22"/>
                <w:szCs w:val="22"/>
                <w:lang w:val="da-DK"/>
              </w:rPr>
              <w:tab/>
              <w:t>SÆRLIG ADVARSEL OM, AT LÆGEMIDLET SKAL OPBEVARES UTILGÆNGELIGT FOR BØRN</w:t>
            </w:r>
          </w:p>
        </w:tc>
      </w:tr>
    </w:tbl>
    <w:p>
      <w:pPr>
        <w:widowControl w:val="0"/>
        <w:rPr>
          <w:sz w:val="22"/>
          <w:szCs w:val="22"/>
          <w:lang w:val="da-DK"/>
        </w:rPr>
      </w:pPr>
    </w:p>
    <w:p>
      <w:pPr>
        <w:widowControl w:val="0"/>
        <w:rPr>
          <w:sz w:val="22"/>
          <w:szCs w:val="22"/>
          <w:lang w:val="da-DK"/>
        </w:rPr>
      </w:pPr>
      <w:r>
        <w:rPr>
          <w:noProof/>
          <w:sz w:val="22"/>
          <w:szCs w:val="22"/>
          <w:lang w:val="da-DK"/>
        </w:rPr>
        <w:t>Opbevares utilgængeligt for børn.</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7.</w:t>
            </w:r>
            <w:r>
              <w:rPr>
                <w:b/>
                <w:sz w:val="22"/>
                <w:szCs w:val="22"/>
                <w:lang w:val="da-DK"/>
              </w:rPr>
              <w:tab/>
            </w:r>
            <w:r>
              <w:rPr>
                <w:b/>
                <w:noProof/>
                <w:sz w:val="22"/>
                <w:szCs w:val="22"/>
                <w:lang w:val="da-DK"/>
              </w:rPr>
              <w:t>EVENTUELLE ANDRE SÆRLIGE ADVARSLER</w:t>
            </w:r>
          </w:p>
        </w:tc>
      </w:tr>
    </w:tbl>
    <w:p>
      <w:pPr>
        <w:widowControl w:val="0"/>
        <w:rPr>
          <w:sz w:val="22"/>
          <w:szCs w:val="22"/>
          <w:lang w:val="da-DK"/>
        </w:rPr>
      </w:pPr>
    </w:p>
    <w:p>
      <w:pPr>
        <w:widowControl w:val="0"/>
        <w:rPr>
          <w:sz w:val="22"/>
          <w:szCs w:val="22"/>
          <w:lang w:val="da-DK"/>
        </w:rPr>
      </w:pPr>
      <w:r>
        <w:rPr>
          <w:noProof/>
          <w:sz w:val="22"/>
          <w:szCs w:val="22"/>
          <w:lang w:val="da-DK"/>
        </w:rPr>
        <w:t>Kvinder som er eller kan være gravid bør ikke håndtere Abiraterone Krka uden handsker.</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8.</w:t>
            </w:r>
            <w:r>
              <w:rPr>
                <w:b/>
                <w:sz w:val="22"/>
                <w:szCs w:val="22"/>
                <w:lang w:val="da-DK"/>
              </w:rPr>
              <w:tab/>
            </w:r>
            <w:r>
              <w:rPr>
                <w:b/>
                <w:noProof/>
                <w:sz w:val="22"/>
                <w:szCs w:val="22"/>
                <w:lang w:val="da-DK"/>
              </w:rPr>
              <w:t>UDLØBSDATO</w:t>
            </w:r>
          </w:p>
        </w:tc>
      </w:tr>
    </w:tbl>
    <w:p>
      <w:pPr>
        <w:widowControl w:val="0"/>
        <w:rPr>
          <w:sz w:val="22"/>
          <w:szCs w:val="22"/>
          <w:lang w:val="da-DK"/>
        </w:rPr>
      </w:pPr>
    </w:p>
    <w:p>
      <w:pPr>
        <w:widowControl w:val="0"/>
        <w:rPr>
          <w:sz w:val="22"/>
          <w:szCs w:val="22"/>
          <w:lang w:val="da-DK"/>
        </w:rPr>
      </w:pPr>
      <w:r>
        <w:rPr>
          <w:sz w:val="22"/>
          <w:szCs w:val="22"/>
          <w:lang w:val="da-DK"/>
        </w:rPr>
        <w:t>EXP</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lastRenderedPageBreak/>
              <w:t>9.</w:t>
            </w:r>
            <w:r>
              <w:rPr>
                <w:b/>
                <w:sz w:val="22"/>
                <w:szCs w:val="22"/>
                <w:lang w:val="da-DK"/>
              </w:rPr>
              <w:tab/>
            </w:r>
            <w:r>
              <w:rPr>
                <w:b/>
                <w:noProof/>
                <w:sz w:val="22"/>
                <w:szCs w:val="22"/>
                <w:lang w:val="da-DK"/>
              </w:rPr>
              <w:t>SÆRLIGE OPBEVARINGSBETINGELSER</w:t>
            </w:r>
          </w:p>
        </w:tc>
      </w:tr>
    </w:tbl>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10.</w:t>
            </w:r>
            <w:r>
              <w:rPr>
                <w:b/>
                <w:sz w:val="22"/>
                <w:szCs w:val="22"/>
                <w:lang w:val="da-DK"/>
              </w:rPr>
              <w:tab/>
              <w:t>EVENTUELLE SÆRLIGE FORHOLDSREGLER VED BORTSKAFFELSE AF IKKE ANVENDT LÆGEMIDDEL SAMT AFFALD HERAF</w:t>
            </w:r>
          </w:p>
        </w:tc>
      </w:tr>
    </w:tbl>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11.</w:t>
            </w:r>
            <w:r>
              <w:rPr>
                <w:b/>
                <w:sz w:val="22"/>
                <w:szCs w:val="22"/>
                <w:lang w:val="da-DK"/>
              </w:rPr>
              <w:tab/>
              <w:t>NAVN OG ADRESSE PÅ INDEHAVEREN AF MARKEDSFØRINGSTILLADELSEN</w:t>
            </w:r>
          </w:p>
        </w:tc>
      </w:tr>
    </w:tbl>
    <w:p>
      <w:pPr>
        <w:widowControl w:val="0"/>
        <w:rPr>
          <w:sz w:val="22"/>
          <w:szCs w:val="22"/>
          <w:lang w:val="da-DK"/>
        </w:rPr>
      </w:pPr>
    </w:p>
    <w:p>
      <w:pPr>
        <w:widowControl w:val="0"/>
        <w:rPr>
          <w:sz w:val="22"/>
          <w:szCs w:val="22"/>
          <w:lang w:val="da-DK"/>
        </w:rPr>
      </w:pPr>
      <w:r>
        <w:rPr>
          <w:sz w:val="22"/>
          <w:szCs w:val="22"/>
          <w:lang w:val="da-DK"/>
        </w:rPr>
        <w:t>KRKA, d.d., Novo mesto, Šmarješka cesta 6, 8501 Novo mesto, Slovenien</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12.</w:t>
            </w:r>
            <w:r>
              <w:rPr>
                <w:b/>
                <w:sz w:val="22"/>
                <w:szCs w:val="22"/>
                <w:lang w:val="da-DK"/>
              </w:rPr>
              <w:tab/>
            </w:r>
            <w:r>
              <w:rPr>
                <w:b/>
                <w:noProof/>
                <w:sz w:val="22"/>
                <w:szCs w:val="22"/>
                <w:lang w:val="da-DK"/>
              </w:rPr>
              <w:t>MARKEDSFØRINGSTILLADELSESNUMMER (-NUMRE)</w:t>
            </w:r>
          </w:p>
        </w:tc>
      </w:tr>
    </w:tbl>
    <w:p>
      <w:pPr>
        <w:widowControl w:val="0"/>
        <w:rPr>
          <w:sz w:val="22"/>
          <w:szCs w:val="22"/>
          <w:lang w:val="da-DK"/>
        </w:rPr>
      </w:pPr>
    </w:p>
    <w:p>
      <w:pPr>
        <w:widowControl w:val="0"/>
        <w:rPr>
          <w:sz w:val="22"/>
          <w:szCs w:val="22"/>
          <w:highlight w:val="lightGray"/>
          <w:lang w:val="da-DK"/>
        </w:rPr>
      </w:pPr>
      <w:r>
        <w:rPr>
          <w:sz w:val="22"/>
          <w:szCs w:val="22"/>
          <w:lang w:val="da-DK"/>
        </w:rPr>
        <w:t xml:space="preserve">EU/1/21/1553/001 </w:t>
      </w:r>
      <w:r>
        <w:rPr>
          <w:sz w:val="22"/>
          <w:szCs w:val="22"/>
          <w:highlight w:val="lightGray"/>
          <w:lang w:val="da-DK"/>
        </w:rPr>
        <w:t>56 filmovertrukne tabletter</w:t>
      </w:r>
    </w:p>
    <w:p>
      <w:pPr>
        <w:widowControl w:val="0"/>
        <w:rPr>
          <w:sz w:val="22"/>
          <w:szCs w:val="22"/>
          <w:highlight w:val="lightGray"/>
          <w:lang w:val="da-DK"/>
        </w:rPr>
      </w:pPr>
      <w:r>
        <w:rPr>
          <w:sz w:val="22"/>
          <w:szCs w:val="22"/>
          <w:highlight w:val="lightGray"/>
          <w:lang w:val="da-DK"/>
        </w:rPr>
        <w:t>EU/1/21/1553/002 60 filmovertrukne tabletter</w:t>
      </w:r>
    </w:p>
    <w:p>
      <w:pPr>
        <w:widowControl w:val="0"/>
        <w:rPr>
          <w:sz w:val="22"/>
          <w:szCs w:val="22"/>
          <w:lang w:val="da-DK"/>
        </w:rPr>
      </w:pPr>
      <w:r>
        <w:rPr>
          <w:sz w:val="22"/>
          <w:szCs w:val="22"/>
          <w:highlight w:val="lightGray"/>
          <w:lang w:val="da-DK"/>
        </w:rPr>
        <w:t>EU/1/21/1553/003 56 filmovertrukne tabletter (kalenderpakning)</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13.</w:t>
            </w:r>
            <w:r>
              <w:rPr>
                <w:b/>
                <w:sz w:val="22"/>
                <w:szCs w:val="22"/>
                <w:lang w:val="da-DK"/>
              </w:rPr>
              <w:tab/>
              <w:t xml:space="preserve">BATCHNUMMER </w:t>
            </w:r>
          </w:p>
        </w:tc>
      </w:tr>
    </w:tbl>
    <w:p>
      <w:pPr>
        <w:widowControl w:val="0"/>
        <w:rPr>
          <w:sz w:val="22"/>
          <w:szCs w:val="22"/>
          <w:lang w:val="da-DK"/>
        </w:rPr>
      </w:pPr>
    </w:p>
    <w:p>
      <w:pPr>
        <w:widowControl w:val="0"/>
        <w:rPr>
          <w:sz w:val="22"/>
          <w:szCs w:val="22"/>
          <w:lang w:val="da-DK"/>
        </w:rPr>
      </w:pPr>
      <w:r>
        <w:rPr>
          <w:sz w:val="22"/>
          <w:szCs w:val="22"/>
          <w:lang w:val="da-DK"/>
        </w:rPr>
        <w:t>Lot</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14.</w:t>
            </w:r>
            <w:r>
              <w:rPr>
                <w:b/>
                <w:sz w:val="22"/>
                <w:szCs w:val="22"/>
                <w:lang w:val="da-DK"/>
              </w:rPr>
              <w:tab/>
            </w:r>
            <w:r>
              <w:rPr>
                <w:b/>
                <w:noProof/>
                <w:sz w:val="22"/>
                <w:szCs w:val="22"/>
                <w:lang w:val="da-DK"/>
              </w:rPr>
              <w:t>GENEREL KLASSIFIKATION FOR UDLEVERING</w:t>
            </w:r>
            <w:r>
              <w:rPr>
                <w:b/>
                <w:sz w:val="22"/>
                <w:szCs w:val="22"/>
                <w:lang w:val="da-DK"/>
              </w:rPr>
              <w:t xml:space="preserve"> </w:t>
            </w:r>
          </w:p>
        </w:tc>
      </w:tr>
    </w:tbl>
    <w:p>
      <w:pPr>
        <w:widowControl w:val="0"/>
        <w:ind w:left="720" w:hanging="720"/>
        <w:rPr>
          <w:sz w:val="22"/>
          <w:szCs w:val="22"/>
          <w:lang w:val="da-DK"/>
        </w:rPr>
      </w:pPr>
    </w:p>
    <w:p>
      <w:pPr>
        <w:widowControl w:val="0"/>
        <w:ind w:left="720" w:hanging="72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15.</w:t>
            </w:r>
            <w:r>
              <w:rPr>
                <w:b/>
                <w:sz w:val="22"/>
                <w:szCs w:val="22"/>
                <w:lang w:val="da-DK"/>
              </w:rPr>
              <w:tab/>
            </w:r>
            <w:r>
              <w:rPr>
                <w:b/>
                <w:noProof/>
                <w:sz w:val="22"/>
                <w:szCs w:val="22"/>
                <w:lang w:val="da-DK"/>
              </w:rPr>
              <w:t>INSTRUKTIONER VEDRØRENDE ANVENDELSEN</w:t>
            </w:r>
          </w:p>
        </w:tc>
      </w:tr>
    </w:tbl>
    <w:p>
      <w:pPr>
        <w:widowControl w:val="0"/>
        <w:rPr>
          <w:sz w:val="22"/>
          <w:szCs w:val="22"/>
          <w:lang w:val="da-DK"/>
        </w:rPr>
      </w:pPr>
    </w:p>
    <w:p>
      <w:pPr>
        <w:widowControl w:val="0"/>
        <w:jc w:val="both"/>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16.</w:t>
            </w:r>
            <w:r>
              <w:rPr>
                <w:b/>
                <w:sz w:val="22"/>
                <w:szCs w:val="22"/>
                <w:lang w:val="da-DK"/>
              </w:rPr>
              <w:tab/>
            </w:r>
            <w:r>
              <w:rPr>
                <w:b/>
                <w:noProof/>
                <w:sz w:val="22"/>
                <w:szCs w:val="22"/>
                <w:lang w:val="da-DK"/>
              </w:rPr>
              <w:t>INFORMATION I BRAILLESKRIFT</w:t>
            </w:r>
          </w:p>
        </w:tc>
      </w:tr>
    </w:tbl>
    <w:p>
      <w:pPr>
        <w:widowControl w:val="0"/>
        <w:ind w:left="567" w:hanging="567"/>
        <w:jc w:val="both"/>
        <w:rPr>
          <w:sz w:val="22"/>
          <w:szCs w:val="22"/>
          <w:lang w:val="da-DK"/>
        </w:rPr>
      </w:pPr>
    </w:p>
    <w:p>
      <w:pPr>
        <w:widowControl w:val="0"/>
        <w:ind w:left="567" w:hanging="567"/>
        <w:rPr>
          <w:noProof/>
          <w:sz w:val="22"/>
          <w:szCs w:val="22"/>
          <w:lang w:val="da-DK"/>
        </w:rPr>
      </w:pPr>
      <w:r>
        <w:rPr>
          <w:sz w:val="22"/>
          <w:szCs w:val="22"/>
          <w:lang w:val="da-DK"/>
        </w:rPr>
        <w:t>Abiraterone Krka 500 mg</w:t>
      </w:r>
    </w:p>
    <w:p>
      <w:pPr>
        <w:widowControl w:val="0"/>
        <w:ind w:left="567" w:hanging="567"/>
        <w:rPr>
          <w:noProof/>
          <w:sz w:val="22"/>
          <w:szCs w:val="22"/>
          <w:lang w:val="da-DK"/>
        </w:rPr>
      </w:pPr>
    </w:p>
    <w:p>
      <w:pPr>
        <w:widowControl w:val="0"/>
        <w:ind w:left="567" w:hanging="567"/>
        <w:rPr>
          <w:noProof/>
          <w:sz w:val="22"/>
          <w:szCs w:val="22"/>
          <w:lang w:val="da-DK"/>
        </w:rPr>
      </w:pPr>
    </w:p>
    <w:p>
      <w:pPr>
        <w:widowControl w:val="0"/>
        <w:pBdr>
          <w:top w:val="single" w:sz="4" w:space="1" w:color="auto"/>
          <w:left w:val="single" w:sz="4" w:space="4" w:color="auto"/>
          <w:bottom w:val="single" w:sz="4" w:space="1" w:color="auto"/>
          <w:right w:val="single" w:sz="4" w:space="4" w:color="auto"/>
        </w:pBdr>
        <w:tabs>
          <w:tab w:val="left" w:pos="851"/>
        </w:tabs>
        <w:ind w:left="709" w:hanging="567"/>
        <w:outlineLvl w:val="0"/>
        <w:rPr>
          <w:i/>
          <w:noProof/>
          <w:sz w:val="22"/>
          <w:szCs w:val="22"/>
        </w:rPr>
      </w:pPr>
      <w:r>
        <w:rPr>
          <w:b/>
          <w:noProof/>
          <w:sz w:val="22"/>
          <w:szCs w:val="22"/>
        </w:rPr>
        <w:t>17</w:t>
      </w:r>
      <w:r>
        <w:rPr>
          <w:b/>
          <w:noProof/>
          <w:sz w:val="22"/>
          <w:szCs w:val="22"/>
        </w:rPr>
        <w:tab/>
        <w:t>ENTYDIG IDENTIFIKATOR – 2D-STREGKODE</w:t>
      </w:r>
    </w:p>
    <w:p>
      <w:pPr>
        <w:widowControl w:val="0"/>
        <w:tabs>
          <w:tab w:val="left" w:pos="720"/>
        </w:tabs>
        <w:rPr>
          <w:noProof/>
          <w:sz w:val="22"/>
          <w:szCs w:val="22"/>
        </w:rPr>
      </w:pPr>
    </w:p>
    <w:p>
      <w:pPr>
        <w:widowControl w:val="0"/>
        <w:rPr>
          <w:noProof/>
          <w:sz w:val="22"/>
          <w:szCs w:val="22"/>
          <w:shd w:val="clear" w:color="auto" w:fill="CCCCCC"/>
          <w:lang w:val="da-DK"/>
        </w:rPr>
      </w:pPr>
      <w:r>
        <w:rPr>
          <w:noProof/>
          <w:sz w:val="22"/>
          <w:szCs w:val="22"/>
          <w:highlight w:val="lightGray"/>
          <w:lang w:val="da-DK"/>
        </w:rPr>
        <w:t>Der er anført en 2D-stregkode, som indeholder en entydig identifikator.</w:t>
      </w:r>
    </w:p>
    <w:p>
      <w:pPr>
        <w:widowControl w:val="0"/>
        <w:rPr>
          <w:noProof/>
          <w:sz w:val="22"/>
          <w:szCs w:val="22"/>
          <w:shd w:val="clear" w:color="auto" w:fill="CCCCCC"/>
          <w:lang w:val="da-DK"/>
        </w:rPr>
      </w:pPr>
    </w:p>
    <w:p>
      <w:pPr>
        <w:widowControl w:val="0"/>
        <w:tabs>
          <w:tab w:val="left" w:pos="720"/>
        </w:tabs>
        <w:rPr>
          <w:noProof/>
          <w:sz w:val="22"/>
          <w:szCs w:val="22"/>
          <w:lang w:val="da-DK"/>
        </w:rPr>
      </w:pPr>
    </w:p>
    <w:p>
      <w:pPr>
        <w:widowControl w:val="0"/>
        <w:pBdr>
          <w:top w:val="single" w:sz="4" w:space="1" w:color="auto"/>
          <w:left w:val="single" w:sz="4" w:space="4" w:color="auto"/>
          <w:bottom w:val="single" w:sz="4" w:space="1" w:color="auto"/>
          <w:right w:val="single" w:sz="4" w:space="4" w:color="auto"/>
        </w:pBdr>
        <w:tabs>
          <w:tab w:val="left" w:pos="709"/>
        </w:tabs>
        <w:ind w:left="142"/>
        <w:outlineLvl w:val="0"/>
        <w:rPr>
          <w:i/>
          <w:noProof/>
          <w:sz w:val="22"/>
          <w:szCs w:val="22"/>
          <w:lang w:val="da-DK"/>
        </w:rPr>
      </w:pPr>
      <w:r>
        <w:rPr>
          <w:b/>
          <w:noProof/>
          <w:sz w:val="22"/>
          <w:szCs w:val="22"/>
          <w:lang w:val="da-DK"/>
        </w:rPr>
        <w:t>18.</w:t>
      </w:r>
      <w:r>
        <w:rPr>
          <w:b/>
          <w:noProof/>
          <w:sz w:val="22"/>
          <w:szCs w:val="22"/>
          <w:lang w:val="da-DK"/>
        </w:rPr>
        <w:tab/>
        <w:t>ENTYDIG IDENTIFIKATOR - MENNESKELIGT LÆSBARE DATA</w:t>
      </w:r>
    </w:p>
    <w:p>
      <w:pPr>
        <w:widowControl w:val="0"/>
        <w:tabs>
          <w:tab w:val="left" w:pos="720"/>
        </w:tabs>
        <w:rPr>
          <w:noProof/>
          <w:sz w:val="22"/>
          <w:szCs w:val="22"/>
          <w:lang w:val="da-DK"/>
        </w:rPr>
      </w:pPr>
    </w:p>
    <w:p>
      <w:pPr>
        <w:widowControl w:val="0"/>
        <w:rPr>
          <w:sz w:val="22"/>
          <w:szCs w:val="22"/>
          <w:lang w:val="da-DK"/>
        </w:rPr>
      </w:pPr>
      <w:r>
        <w:rPr>
          <w:sz w:val="22"/>
          <w:szCs w:val="22"/>
          <w:lang w:val="da-DK"/>
        </w:rPr>
        <w:t>PC</w:t>
      </w:r>
    </w:p>
    <w:p>
      <w:pPr>
        <w:widowControl w:val="0"/>
        <w:rPr>
          <w:sz w:val="22"/>
          <w:szCs w:val="22"/>
          <w:lang w:val="da-DK"/>
        </w:rPr>
      </w:pPr>
      <w:r>
        <w:rPr>
          <w:sz w:val="22"/>
          <w:szCs w:val="22"/>
          <w:lang w:val="da-DK"/>
        </w:rPr>
        <w:t>SN</w:t>
      </w:r>
    </w:p>
    <w:p>
      <w:pPr>
        <w:widowControl w:val="0"/>
        <w:rPr>
          <w:sz w:val="22"/>
          <w:szCs w:val="22"/>
          <w:lang w:val="da-DK"/>
        </w:rPr>
      </w:pPr>
      <w:r>
        <w:rPr>
          <w:sz w:val="22"/>
          <w:szCs w:val="22"/>
          <w:lang w:val="da-DK"/>
        </w:rPr>
        <w:t>NN</w:t>
      </w:r>
    </w:p>
    <w:p>
      <w:pPr>
        <w:widowControl w:val="0"/>
        <w:ind w:left="567" w:hanging="567"/>
        <w:rPr>
          <w:b/>
          <w:sz w:val="22"/>
          <w:szCs w:val="22"/>
          <w:lang w:val="da-DK"/>
        </w:rPr>
      </w:pPr>
      <w:r>
        <w:rPr>
          <w:b/>
          <w:sz w:val="22"/>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rPr>
                <w:b/>
                <w:snapToGrid w:val="0"/>
                <w:sz w:val="22"/>
                <w:szCs w:val="22"/>
                <w:lang w:val="da-DK"/>
              </w:rPr>
            </w:pPr>
            <w:r>
              <w:rPr>
                <w:b/>
                <w:sz w:val="22"/>
                <w:szCs w:val="22"/>
                <w:lang w:val="da-DK"/>
              </w:rPr>
              <w:lastRenderedPageBreak/>
              <w:t>MINDSTEKRAV TIL MÆRKNING PÅ BLISTER ELLER STRIP</w:t>
            </w:r>
          </w:p>
          <w:p>
            <w:pPr>
              <w:widowControl w:val="0"/>
              <w:rPr>
                <w:b/>
                <w:snapToGrid w:val="0"/>
                <w:sz w:val="22"/>
                <w:szCs w:val="22"/>
                <w:lang w:val="da-DK"/>
              </w:rPr>
            </w:pPr>
          </w:p>
          <w:p>
            <w:pPr>
              <w:widowControl w:val="0"/>
              <w:rPr>
                <w:b/>
                <w:snapToGrid w:val="0"/>
                <w:sz w:val="22"/>
                <w:szCs w:val="22"/>
                <w:lang w:val="da-DK"/>
              </w:rPr>
            </w:pPr>
            <w:r>
              <w:rPr>
                <w:b/>
                <w:noProof/>
                <w:sz w:val="22"/>
                <w:szCs w:val="22"/>
                <w:lang w:val="da-DK"/>
              </w:rPr>
              <w:t>BLISTER</w:t>
            </w:r>
          </w:p>
        </w:tc>
      </w:tr>
    </w:tbl>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1.</w:t>
            </w:r>
            <w:r>
              <w:rPr>
                <w:b/>
                <w:sz w:val="22"/>
                <w:szCs w:val="22"/>
                <w:lang w:val="da-DK"/>
              </w:rPr>
              <w:tab/>
            </w:r>
            <w:r>
              <w:rPr>
                <w:b/>
                <w:noProof/>
                <w:sz w:val="22"/>
                <w:szCs w:val="22"/>
                <w:lang w:val="da-DK"/>
              </w:rPr>
              <w:t>LÆGEMIDLETS NAVN</w:t>
            </w:r>
          </w:p>
        </w:tc>
      </w:tr>
    </w:tbl>
    <w:p>
      <w:pPr>
        <w:widowControl w:val="0"/>
        <w:rPr>
          <w:sz w:val="22"/>
          <w:szCs w:val="22"/>
          <w:lang w:val="da-DK"/>
        </w:rPr>
      </w:pPr>
    </w:p>
    <w:p>
      <w:pPr>
        <w:widowControl w:val="0"/>
        <w:rPr>
          <w:sz w:val="22"/>
          <w:szCs w:val="22"/>
          <w:lang w:val="da-DK"/>
        </w:rPr>
      </w:pPr>
      <w:r>
        <w:rPr>
          <w:sz w:val="22"/>
          <w:szCs w:val="22"/>
          <w:lang w:val="da-DK"/>
        </w:rPr>
        <w:t xml:space="preserve">Abiraterone Krka 500 mg </w:t>
      </w:r>
      <w:r>
        <w:rPr>
          <w:sz w:val="22"/>
          <w:szCs w:val="22"/>
          <w:highlight w:val="lightGray"/>
          <w:lang w:val="da-DK"/>
        </w:rPr>
        <w:t>filmovertrukne</w:t>
      </w:r>
      <w:r>
        <w:rPr>
          <w:sz w:val="22"/>
          <w:szCs w:val="22"/>
          <w:lang w:val="da-DK"/>
        </w:rPr>
        <w:t xml:space="preserve"> tabletter</w:t>
      </w:r>
    </w:p>
    <w:p>
      <w:pPr>
        <w:widowControl w:val="0"/>
        <w:rPr>
          <w:sz w:val="22"/>
          <w:szCs w:val="22"/>
          <w:lang w:val="da-DK"/>
        </w:rPr>
      </w:pPr>
    </w:p>
    <w:p>
      <w:pPr>
        <w:widowControl w:val="0"/>
        <w:rPr>
          <w:sz w:val="22"/>
          <w:szCs w:val="22"/>
          <w:lang w:val="da-DK"/>
        </w:rPr>
      </w:pPr>
      <w:r>
        <w:rPr>
          <w:sz w:val="22"/>
          <w:szCs w:val="22"/>
          <w:lang w:val="da-DK"/>
        </w:rPr>
        <w:t>abirateronacetat</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2.</w:t>
            </w:r>
            <w:r>
              <w:rPr>
                <w:b/>
                <w:sz w:val="22"/>
                <w:szCs w:val="22"/>
                <w:lang w:val="da-DK"/>
              </w:rPr>
              <w:tab/>
              <w:t>NAVN PÅ INDEHAVEREN AF MARKEDSFØRINGSTILLADELSEN</w:t>
            </w:r>
          </w:p>
        </w:tc>
      </w:tr>
    </w:tbl>
    <w:p>
      <w:pPr>
        <w:widowControl w:val="0"/>
        <w:rPr>
          <w:sz w:val="22"/>
          <w:szCs w:val="22"/>
          <w:lang w:val="da-DK"/>
        </w:rPr>
      </w:pPr>
    </w:p>
    <w:p>
      <w:pPr>
        <w:widowControl w:val="0"/>
        <w:rPr>
          <w:noProof/>
          <w:sz w:val="22"/>
          <w:szCs w:val="22"/>
          <w:lang w:val="da-DK"/>
        </w:rPr>
      </w:pPr>
      <w:r>
        <w:rPr>
          <w:noProof/>
          <w:sz w:val="22"/>
          <w:szCs w:val="22"/>
          <w:lang w:val="da-DK"/>
        </w:rPr>
        <w:t>KRKA</w:t>
      </w:r>
    </w:p>
    <w:p>
      <w:pPr>
        <w:widowControl w:val="0"/>
        <w:rPr>
          <w:sz w:val="22"/>
          <w:szCs w:val="22"/>
          <w:lang w:val="da-DK"/>
        </w:rPr>
      </w:pPr>
    </w:p>
    <w:p>
      <w:pPr>
        <w:widowControl w:val="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3.</w:t>
            </w:r>
            <w:r>
              <w:rPr>
                <w:b/>
                <w:sz w:val="22"/>
                <w:szCs w:val="22"/>
                <w:lang w:val="da-DK"/>
              </w:rPr>
              <w:tab/>
            </w:r>
            <w:r>
              <w:rPr>
                <w:b/>
                <w:noProof/>
                <w:sz w:val="22"/>
                <w:szCs w:val="22"/>
                <w:lang w:val="da-DK"/>
              </w:rPr>
              <w:t>UDLØBSDATO</w:t>
            </w:r>
          </w:p>
        </w:tc>
      </w:tr>
    </w:tbl>
    <w:p>
      <w:pPr>
        <w:widowControl w:val="0"/>
        <w:jc w:val="both"/>
        <w:rPr>
          <w:sz w:val="22"/>
          <w:szCs w:val="22"/>
          <w:lang w:val="da-DK"/>
        </w:rPr>
      </w:pPr>
    </w:p>
    <w:p>
      <w:pPr>
        <w:widowControl w:val="0"/>
        <w:jc w:val="both"/>
        <w:rPr>
          <w:sz w:val="22"/>
          <w:szCs w:val="22"/>
          <w:lang w:val="da-DK"/>
        </w:rPr>
      </w:pPr>
      <w:r>
        <w:rPr>
          <w:sz w:val="22"/>
          <w:szCs w:val="22"/>
          <w:lang w:val="da-DK"/>
        </w:rPr>
        <w:t>EXP</w:t>
      </w:r>
    </w:p>
    <w:p>
      <w:pPr>
        <w:widowControl w:val="0"/>
        <w:jc w:val="both"/>
        <w:rPr>
          <w:sz w:val="22"/>
          <w:szCs w:val="22"/>
          <w:lang w:val="da-DK"/>
        </w:rPr>
      </w:pPr>
    </w:p>
    <w:p>
      <w:pPr>
        <w:widowControl w:val="0"/>
        <w:jc w:val="both"/>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4.</w:t>
            </w:r>
            <w:r>
              <w:rPr>
                <w:b/>
                <w:sz w:val="22"/>
                <w:szCs w:val="22"/>
                <w:lang w:val="da-DK"/>
              </w:rPr>
              <w:tab/>
            </w:r>
            <w:r>
              <w:rPr>
                <w:b/>
                <w:noProof/>
                <w:sz w:val="22"/>
                <w:szCs w:val="22"/>
                <w:lang w:val="da-DK"/>
              </w:rPr>
              <w:t>BATCHNUMMER</w:t>
            </w:r>
          </w:p>
        </w:tc>
      </w:tr>
    </w:tbl>
    <w:p>
      <w:pPr>
        <w:widowControl w:val="0"/>
        <w:jc w:val="both"/>
        <w:rPr>
          <w:sz w:val="22"/>
          <w:szCs w:val="22"/>
          <w:lang w:val="da-DK"/>
        </w:rPr>
      </w:pPr>
    </w:p>
    <w:p>
      <w:pPr>
        <w:widowControl w:val="0"/>
        <w:jc w:val="both"/>
        <w:rPr>
          <w:sz w:val="22"/>
          <w:szCs w:val="22"/>
          <w:lang w:val="da-DK"/>
        </w:rPr>
      </w:pPr>
      <w:r>
        <w:rPr>
          <w:sz w:val="22"/>
          <w:szCs w:val="22"/>
          <w:lang w:val="da-DK"/>
        </w:rPr>
        <w:t>Lot</w:t>
      </w:r>
    </w:p>
    <w:p>
      <w:pPr>
        <w:widowControl w:val="0"/>
        <w:jc w:val="both"/>
        <w:rPr>
          <w:sz w:val="22"/>
          <w:szCs w:val="22"/>
          <w:lang w:val="da-DK"/>
        </w:rPr>
      </w:pPr>
    </w:p>
    <w:p>
      <w:pPr>
        <w:widowControl w:val="0"/>
        <w:jc w:val="both"/>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widowControl w:val="0"/>
              <w:ind w:left="567" w:hanging="567"/>
              <w:rPr>
                <w:b/>
                <w:snapToGrid w:val="0"/>
                <w:sz w:val="22"/>
                <w:szCs w:val="22"/>
                <w:lang w:val="da-DK"/>
              </w:rPr>
            </w:pPr>
            <w:r>
              <w:rPr>
                <w:b/>
                <w:sz w:val="22"/>
                <w:szCs w:val="22"/>
                <w:lang w:val="da-DK"/>
              </w:rPr>
              <w:t>5.</w:t>
            </w:r>
            <w:r>
              <w:rPr>
                <w:b/>
                <w:sz w:val="22"/>
                <w:szCs w:val="22"/>
                <w:lang w:val="da-DK"/>
              </w:rPr>
              <w:tab/>
            </w:r>
            <w:r>
              <w:rPr>
                <w:b/>
                <w:noProof/>
                <w:sz w:val="22"/>
                <w:szCs w:val="22"/>
                <w:lang w:val="da-DK"/>
              </w:rPr>
              <w:t>ANDET</w:t>
            </w:r>
          </w:p>
        </w:tc>
      </w:tr>
    </w:tbl>
    <w:p>
      <w:pPr>
        <w:widowControl w:val="0"/>
        <w:rPr>
          <w:sz w:val="22"/>
          <w:szCs w:val="22"/>
          <w:lang w:val="da-DK"/>
        </w:rPr>
      </w:pPr>
    </w:p>
    <w:p>
      <w:pPr>
        <w:widowControl w:val="0"/>
        <w:tabs>
          <w:tab w:val="left" w:pos="8505"/>
        </w:tabs>
        <w:ind w:right="140"/>
        <w:rPr>
          <w:i/>
          <w:iCs/>
          <w:sz w:val="22"/>
          <w:szCs w:val="22"/>
          <w:highlight w:val="lightGray"/>
          <w:lang w:val="da-DK"/>
        </w:rPr>
      </w:pPr>
      <w:r>
        <w:rPr>
          <w:i/>
          <w:iCs/>
          <w:sz w:val="22"/>
          <w:szCs w:val="22"/>
          <w:highlight w:val="lightGray"/>
          <w:lang w:val="da-DK"/>
        </w:rPr>
        <w:t>Kalenderpakning</w:t>
      </w:r>
    </w:p>
    <w:p>
      <w:pPr>
        <w:widowControl w:val="0"/>
        <w:tabs>
          <w:tab w:val="left" w:pos="8505"/>
        </w:tabs>
        <w:ind w:right="140"/>
        <w:rPr>
          <w:sz w:val="22"/>
          <w:szCs w:val="22"/>
          <w:highlight w:val="lightGray"/>
          <w:lang w:val="da-DK"/>
        </w:rPr>
      </w:pPr>
      <w:r>
        <w:rPr>
          <w:sz w:val="22"/>
          <w:szCs w:val="22"/>
          <w:highlight w:val="lightGray"/>
          <w:lang w:val="da-DK"/>
        </w:rPr>
        <w:t>Man.</w:t>
      </w:r>
    </w:p>
    <w:p>
      <w:pPr>
        <w:widowControl w:val="0"/>
        <w:tabs>
          <w:tab w:val="left" w:pos="8505"/>
        </w:tabs>
        <w:ind w:right="140"/>
        <w:rPr>
          <w:sz w:val="22"/>
          <w:szCs w:val="22"/>
          <w:highlight w:val="lightGray"/>
          <w:lang w:val="da-DK"/>
        </w:rPr>
      </w:pPr>
      <w:r>
        <w:rPr>
          <w:sz w:val="22"/>
          <w:szCs w:val="22"/>
          <w:highlight w:val="lightGray"/>
          <w:lang w:val="da-DK"/>
        </w:rPr>
        <w:t>Tirs.</w:t>
      </w:r>
    </w:p>
    <w:p>
      <w:pPr>
        <w:widowControl w:val="0"/>
        <w:tabs>
          <w:tab w:val="left" w:pos="8505"/>
        </w:tabs>
        <w:ind w:right="140"/>
        <w:rPr>
          <w:sz w:val="22"/>
          <w:szCs w:val="22"/>
          <w:highlight w:val="lightGray"/>
          <w:lang w:val="da-DK"/>
        </w:rPr>
      </w:pPr>
      <w:r>
        <w:rPr>
          <w:sz w:val="22"/>
          <w:szCs w:val="22"/>
          <w:highlight w:val="lightGray"/>
          <w:lang w:val="da-DK"/>
        </w:rPr>
        <w:t>Ons.</w:t>
      </w:r>
    </w:p>
    <w:p>
      <w:pPr>
        <w:widowControl w:val="0"/>
        <w:tabs>
          <w:tab w:val="left" w:pos="8505"/>
        </w:tabs>
        <w:ind w:right="140"/>
        <w:rPr>
          <w:sz w:val="22"/>
          <w:szCs w:val="22"/>
          <w:highlight w:val="lightGray"/>
          <w:lang w:val="da-DK"/>
        </w:rPr>
      </w:pPr>
      <w:r>
        <w:rPr>
          <w:sz w:val="22"/>
          <w:szCs w:val="22"/>
          <w:highlight w:val="lightGray"/>
          <w:lang w:val="da-DK"/>
        </w:rPr>
        <w:t>Tors.</w:t>
      </w:r>
    </w:p>
    <w:p>
      <w:pPr>
        <w:widowControl w:val="0"/>
        <w:tabs>
          <w:tab w:val="left" w:pos="8505"/>
        </w:tabs>
        <w:ind w:right="140"/>
        <w:rPr>
          <w:sz w:val="22"/>
          <w:szCs w:val="22"/>
          <w:highlight w:val="lightGray"/>
          <w:lang w:val="da-DK"/>
        </w:rPr>
      </w:pPr>
      <w:r>
        <w:rPr>
          <w:sz w:val="22"/>
          <w:szCs w:val="22"/>
          <w:highlight w:val="lightGray"/>
          <w:lang w:val="da-DK"/>
        </w:rPr>
        <w:t>Fre.</w:t>
      </w:r>
    </w:p>
    <w:p>
      <w:pPr>
        <w:widowControl w:val="0"/>
        <w:tabs>
          <w:tab w:val="left" w:pos="8505"/>
        </w:tabs>
        <w:ind w:right="140"/>
        <w:rPr>
          <w:sz w:val="22"/>
          <w:szCs w:val="22"/>
          <w:highlight w:val="lightGray"/>
          <w:lang w:val="da-DK"/>
        </w:rPr>
      </w:pPr>
      <w:r>
        <w:rPr>
          <w:sz w:val="22"/>
          <w:szCs w:val="22"/>
          <w:highlight w:val="lightGray"/>
          <w:lang w:val="da-DK"/>
        </w:rPr>
        <w:t>Lør.</w:t>
      </w:r>
    </w:p>
    <w:p>
      <w:pPr>
        <w:widowControl w:val="0"/>
        <w:tabs>
          <w:tab w:val="left" w:pos="8505"/>
        </w:tabs>
        <w:ind w:right="140"/>
        <w:rPr>
          <w:sz w:val="22"/>
          <w:szCs w:val="22"/>
          <w:lang w:val="da-DK"/>
        </w:rPr>
      </w:pPr>
      <w:r>
        <w:rPr>
          <w:sz w:val="22"/>
          <w:szCs w:val="22"/>
          <w:highlight w:val="lightGray"/>
          <w:lang w:val="da-DK"/>
        </w:rPr>
        <w:t>Søn.</w:t>
      </w:r>
    </w:p>
    <w:p>
      <w:pPr>
        <w:widowControl w:val="0"/>
        <w:rPr>
          <w:sz w:val="22"/>
          <w:szCs w:val="22"/>
          <w:lang w:val="da-DK"/>
        </w:rPr>
      </w:pPr>
    </w:p>
    <w:p>
      <w:pPr>
        <w:widowControl w:val="0"/>
        <w:rPr>
          <w:sz w:val="22"/>
          <w:szCs w:val="22"/>
          <w:lang w:val="da-DK"/>
        </w:rPr>
      </w:pPr>
      <w:r>
        <w:rPr>
          <w:sz w:val="22"/>
          <w:szCs w:val="22"/>
          <w:lang w:val="da-DK"/>
        </w:rPr>
        <w:br w:type="page"/>
      </w: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widowControl w:val="0"/>
        <w:jc w:val="both"/>
        <w:rPr>
          <w:sz w:val="22"/>
          <w:szCs w:val="22"/>
          <w:lang w:val="da-DK"/>
        </w:rPr>
      </w:pPr>
    </w:p>
    <w:p>
      <w:pPr>
        <w:pStyle w:val="TitleA"/>
        <w:rPr>
          <w:lang w:val="da-DK"/>
        </w:rPr>
      </w:pPr>
      <w:r>
        <w:t>B. INDLÆGSSEDDEL</w:t>
      </w:r>
    </w:p>
    <w:p>
      <w:pPr>
        <w:widowControl w:val="0"/>
        <w:jc w:val="center"/>
        <w:rPr>
          <w:b/>
          <w:sz w:val="22"/>
          <w:szCs w:val="22"/>
          <w:lang w:val="da-DK"/>
        </w:rPr>
      </w:pPr>
      <w:r>
        <w:rPr>
          <w:b/>
          <w:sz w:val="22"/>
          <w:szCs w:val="22"/>
          <w:lang w:val="da-DK"/>
        </w:rPr>
        <w:br w:type="page"/>
      </w:r>
      <w:r>
        <w:rPr>
          <w:b/>
          <w:sz w:val="22"/>
          <w:szCs w:val="22"/>
          <w:lang w:val="da-DK"/>
        </w:rPr>
        <w:lastRenderedPageBreak/>
        <w:t>Indlægsseddel: Information til patienten</w:t>
      </w:r>
    </w:p>
    <w:p>
      <w:pPr>
        <w:widowControl w:val="0"/>
        <w:jc w:val="center"/>
        <w:rPr>
          <w:b/>
          <w:sz w:val="22"/>
          <w:szCs w:val="22"/>
          <w:lang w:val="da-DK"/>
        </w:rPr>
      </w:pPr>
    </w:p>
    <w:p>
      <w:pPr>
        <w:widowControl w:val="0"/>
        <w:ind w:left="567" w:hanging="567"/>
        <w:jc w:val="center"/>
        <w:rPr>
          <w:b/>
          <w:sz w:val="22"/>
          <w:szCs w:val="22"/>
          <w:lang w:val="da-DK"/>
        </w:rPr>
      </w:pPr>
      <w:r>
        <w:rPr>
          <w:b/>
          <w:sz w:val="22"/>
          <w:szCs w:val="22"/>
        </w:rPr>
        <w:t>Abiraterone Krka 500 mg filmovertrukne tabletter</w:t>
      </w:r>
    </w:p>
    <w:p>
      <w:pPr>
        <w:widowControl w:val="0"/>
        <w:ind w:left="567" w:hanging="567"/>
        <w:jc w:val="center"/>
        <w:rPr>
          <w:sz w:val="22"/>
          <w:szCs w:val="22"/>
          <w:lang w:val="da-DK"/>
        </w:rPr>
      </w:pPr>
      <w:r>
        <w:rPr>
          <w:sz w:val="22"/>
          <w:szCs w:val="22"/>
        </w:rPr>
        <w:t>abirateronacetat</w:t>
      </w:r>
    </w:p>
    <w:p>
      <w:pPr>
        <w:widowControl w:val="0"/>
        <w:ind w:right="-2"/>
        <w:rPr>
          <w:noProof/>
          <w:sz w:val="22"/>
          <w:szCs w:val="22"/>
          <w:lang w:val="da-DK"/>
        </w:rPr>
      </w:pPr>
    </w:p>
    <w:p>
      <w:pPr>
        <w:widowControl w:val="0"/>
        <w:ind w:right="-2"/>
        <w:rPr>
          <w:b/>
          <w:sz w:val="22"/>
          <w:szCs w:val="22"/>
          <w:lang w:val="da-DK"/>
        </w:rPr>
      </w:pPr>
      <w:r>
        <w:rPr>
          <w:b/>
          <w:sz w:val="22"/>
          <w:szCs w:val="22"/>
          <w:lang w:val="da-DK"/>
        </w:rPr>
        <w:t>Læs denne indlægsseddel grundigt, inden du begynder at tage dette lægemiddel, da den indeholder vigtige oplysninger.</w:t>
      </w:r>
    </w:p>
    <w:p>
      <w:pPr>
        <w:widowControl w:val="0"/>
        <w:numPr>
          <w:ilvl w:val="0"/>
          <w:numId w:val="2"/>
        </w:numPr>
        <w:tabs>
          <w:tab w:val="clear" w:pos="720"/>
        </w:tabs>
        <w:ind w:left="567" w:hanging="567"/>
        <w:rPr>
          <w:sz w:val="22"/>
          <w:szCs w:val="22"/>
          <w:lang w:val="da-DK"/>
        </w:rPr>
      </w:pPr>
      <w:r>
        <w:rPr>
          <w:sz w:val="22"/>
          <w:szCs w:val="22"/>
          <w:lang w:val="da-DK"/>
        </w:rPr>
        <w:t>Gem indlægssedlen. Du kan få brug for at læse den igen.</w:t>
      </w:r>
    </w:p>
    <w:p>
      <w:pPr>
        <w:widowControl w:val="0"/>
        <w:numPr>
          <w:ilvl w:val="0"/>
          <w:numId w:val="2"/>
        </w:numPr>
        <w:tabs>
          <w:tab w:val="clear" w:pos="720"/>
        </w:tabs>
        <w:ind w:left="567" w:hanging="567"/>
        <w:rPr>
          <w:sz w:val="22"/>
          <w:szCs w:val="22"/>
          <w:lang w:val="da-DK"/>
        </w:rPr>
      </w:pPr>
      <w:r>
        <w:rPr>
          <w:sz w:val="22"/>
          <w:szCs w:val="22"/>
          <w:lang w:val="da-DK"/>
        </w:rPr>
        <w:t>Spørg lægen eller apotekspersonalet, hvis der er mere, du vil vide.</w:t>
      </w:r>
    </w:p>
    <w:p>
      <w:pPr>
        <w:widowControl w:val="0"/>
        <w:numPr>
          <w:ilvl w:val="0"/>
          <w:numId w:val="2"/>
        </w:numPr>
        <w:tabs>
          <w:tab w:val="clear" w:pos="720"/>
        </w:tabs>
        <w:ind w:left="567" w:hanging="567"/>
        <w:rPr>
          <w:sz w:val="22"/>
          <w:szCs w:val="22"/>
          <w:lang w:val="da-DK"/>
        </w:rPr>
      </w:pPr>
      <w:r>
        <w:rPr>
          <w:sz w:val="22"/>
          <w:szCs w:val="22"/>
          <w:lang w:val="da-DK"/>
        </w:rPr>
        <w:t xml:space="preserve">Lægen har ordineret dette lægemiddel til dig personligt. Lad derfor være med at give </w:t>
      </w:r>
      <w:ins w:id="15" w:author="Skalberg, Fanny" w:date="2025-10-20T14:13:00Z">
        <w:r>
          <w:rPr>
            <w:sz w:val="22"/>
            <w:szCs w:val="22"/>
            <w:lang w:val="da-DK"/>
          </w:rPr>
          <w:t xml:space="preserve">lægemidlet </w:t>
        </w:r>
      </w:ins>
      <w:del w:id="16" w:author="Skalberg, Fanny" w:date="2025-10-20T14:13:00Z">
        <w:r>
          <w:rPr>
            <w:sz w:val="22"/>
            <w:szCs w:val="22"/>
            <w:lang w:val="da-DK"/>
          </w:rPr>
          <w:delText xml:space="preserve">medicinen </w:delText>
        </w:r>
      </w:del>
      <w:r>
        <w:rPr>
          <w:sz w:val="22"/>
          <w:szCs w:val="22"/>
          <w:lang w:val="da-DK"/>
        </w:rPr>
        <w:t>til andre. Det kan være skadeligt for andre, selvom de har de samme symptomer, som du har.</w:t>
      </w:r>
    </w:p>
    <w:p>
      <w:pPr>
        <w:widowControl w:val="0"/>
        <w:numPr>
          <w:ilvl w:val="0"/>
          <w:numId w:val="2"/>
        </w:numPr>
        <w:tabs>
          <w:tab w:val="clear" w:pos="720"/>
        </w:tabs>
        <w:ind w:left="567" w:hanging="567"/>
        <w:rPr>
          <w:sz w:val="22"/>
          <w:szCs w:val="22"/>
          <w:lang w:val="da-DK"/>
        </w:rPr>
      </w:pPr>
      <w:r>
        <w:rPr>
          <w:noProof/>
          <w:sz w:val="22"/>
          <w:szCs w:val="22"/>
          <w:lang w:val="da-DK"/>
        </w:rPr>
        <w:t>Kontakt lægen eller apotekspersonalet, hvis du får bivirkninger, herunder bivirkninger, som ikke er nævnt i denne indlægsseddel. Se punkt 4.</w:t>
      </w:r>
    </w:p>
    <w:p>
      <w:pPr>
        <w:widowControl w:val="0"/>
        <w:rPr>
          <w:sz w:val="22"/>
          <w:szCs w:val="22"/>
          <w:lang w:val="da-DK"/>
        </w:rPr>
      </w:pPr>
    </w:p>
    <w:p>
      <w:pPr>
        <w:widowControl w:val="0"/>
        <w:tabs>
          <w:tab w:val="left" w:pos="567"/>
        </w:tabs>
        <w:rPr>
          <w:sz w:val="22"/>
          <w:szCs w:val="22"/>
          <w:lang w:val="da-DK"/>
        </w:rPr>
      </w:pPr>
      <w:r>
        <w:rPr>
          <w:sz w:val="22"/>
          <w:szCs w:val="22"/>
          <w:lang w:val="da-DK"/>
        </w:rPr>
        <w:t xml:space="preserve">Se den nyeste indlægsseddel på </w:t>
      </w:r>
      <w:hyperlink r:id="rId16" w:history="1">
        <w:r>
          <w:rPr>
            <w:rStyle w:val="Hyperlink"/>
            <w:sz w:val="22"/>
            <w:szCs w:val="22"/>
            <w:lang w:val="da-DK"/>
          </w:rPr>
          <w:t>www.indlaegsseddel.dk</w:t>
        </w:r>
      </w:hyperlink>
      <w:r>
        <w:rPr>
          <w:rStyle w:val="Hyperlink"/>
          <w:sz w:val="22"/>
          <w:szCs w:val="22"/>
          <w:lang w:val="da-DK"/>
        </w:rPr>
        <w:t>.</w:t>
      </w:r>
    </w:p>
    <w:p>
      <w:pPr>
        <w:widowControl w:val="0"/>
        <w:ind w:left="567"/>
        <w:rPr>
          <w:sz w:val="22"/>
          <w:szCs w:val="22"/>
          <w:lang w:val="da-DK"/>
        </w:rPr>
      </w:pPr>
    </w:p>
    <w:p>
      <w:pPr>
        <w:widowControl w:val="0"/>
        <w:ind w:right="-2"/>
        <w:rPr>
          <w:sz w:val="22"/>
          <w:szCs w:val="22"/>
          <w:lang w:val="da-DK"/>
        </w:rPr>
      </w:pPr>
      <w:r>
        <w:rPr>
          <w:b/>
          <w:sz w:val="22"/>
          <w:szCs w:val="22"/>
          <w:lang w:val="da-DK"/>
        </w:rPr>
        <w:t>Oversigt over indlægssedlen</w:t>
      </w:r>
    </w:p>
    <w:p>
      <w:pPr>
        <w:widowControl w:val="0"/>
        <w:ind w:left="567" w:right="-29" w:hanging="567"/>
        <w:rPr>
          <w:sz w:val="22"/>
          <w:szCs w:val="22"/>
          <w:lang w:val="da-DK"/>
        </w:rPr>
      </w:pPr>
      <w:r>
        <w:rPr>
          <w:sz w:val="22"/>
          <w:szCs w:val="22"/>
          <w:lang w:val="da-DK"/>
        </w:rPr>
        <w:t>1.</w:t>
      </w:r>
      <w:r>
        <w:rPr>
          <w:sz w:val="22"/>
          <w:szCs w:val="22"/>
          <w:lang w:val="da-DK"/>
        </w:rPr>
        <w:tab/>
        <w:t xml:space="preserve">Virkning og anvendelse </w:t>
      </w:r>
    </w:p>
    <w:p>
      <w:pPr>
        <w:widowControl w:val="0"/>
        <w:ind w:left="567" w:right="-29" w:hanging="567"/>
        <w:rPr>
          <w:sz w:val="22"/>
          <w:szCs w:val="22"/>
          <w:lang w:val="da-DK"/>
        </w:rPr>
      </w:pPr>
      <w:r>
        <w:rPr>
          <w:sz w:val="22"/>
          <w:szCs w:val="22"/>
          <w:lang w:val="da-DK"/>
        </w:rPr>
        <w:t>2.</w:t>
      </w:r>
      <w:r>
        <w:rPr>
          <w:sz w:val="22"/>
          <w:szCs w:val="22"/>
          <w:lang w:val="da-DK"/>
        </w:rPr>
        <w:tab/>
        <w:t>Det skal du vide, før du begynder at bruge Abiraterone Krka</w:t>
      </w:r>
    </w:p>
    <w:p>
      <w:pPr>
        <w:widowControl w:val="0"/>
        <w:ind w:left="567" w:right="-29" w:hanging="567"/>
        <w:rPr>
          <w:sz w:val="22"/>
          <w:szCs w:val="22"/>
          <w:lang w:val="da-DK"/>
        </w:rPr>
      </w:pPr>
      <w:r>
        <w:rPr>
          <w:sz w:val="22"/>
          <w:szCs w:val="22"/>
          <w:lang w:val="da-DK"/>
        </w:rPr>
        <w:t>3.</w:t>
      </w:r>
      <w:r>
        <w:rPr>
          <w:sz w:val="22"/>
          <w:szCs w:val="22"/>
          <w:lang w:val="da-DK"/>
        </w:rPr>
        <w:tab/>
        <w:t>Sådan skal du bruge Abiraterone Krka</w:t>
      </w:r>
    </w:p>
    <w:p>
      <w:pPr>
        <w:widowControl w:val="0"/>
        <w:ind w:left="567" w:right="-29" w:hanging="567"/>
        <w:rPr>
          <w:sz w:val="22"/>
          <w:szCs w:val="22"/>
          <w:lang w:val="da-DK"/>
        </w:rPr>
      </w:pPr>
      <w:r>
        <w:rPr>
          <w:sz w:val="22"/>
          <w:szCs w:val="22"/>
          <w:lang w:val="da-DK"/>
        </w:rPr>
        <w:t>4.</w:t>
      </w:r>
      <w:r>
        <w:rPr>
          <w:sz w:val="22"/>
          <w:szCs w:val="22"/>
          <w:lang w:val="da-DK"/>
        </w:rPr>
        <w:tab/>
        <w:t>Bivirkninger</w:t>
      </w:r>
    </w:p>
    <w:p>
      <w:pPr>
        <w:widowControl w:val="0"/>
        <w:ind w:left="567" w:right="-29" w:hanging="567"/>
        <w:rPr>
          <w:sz w:val="22"/>
          <w:szCs w:val="22"/>
          <w:lang w:val="da-DK"/>
        </w:rPr>
      </w:pPr>
      <w:r>
        <w:rPr>
          <w:sz w:val="22"/>
          <w:szCs w:val="22"/>
          <w:lang w:val="da-DK"/>
        </w:rPr>
        <w:t>5.</w:t>
      </w:r>
      <w:r>
        <w:rPr>
          <w:sz w:val="22"/>
          <w:szCs w:val="22"/>
          <w:lang w:val="da-DK"/>
        </w:rPr>
        <w:tab/>
        <w:t>Opbevaring</w:t>
      </w:r>
    </w:p>
    <w:p>
      <w:pPr>
        <w:widowControl w:val="0"/>
        <w:ind w:left="567" w:right="-29" w:hanging="567"/>
        <w:rPr>
          <w:sz w:val="22"/>
          <w:szCs w:val="22"/>
          <w:lang w:val="da-DK"/>
        </w:rPr>
      </w:pPr>
      <w:r>
        <w:rPr>
          <w:sz w:val="22"/>
          <w:szCs w:val="22"/>
          <w:lang w:val="da-DK"/>
        </w:rPr>
        <w:t>6.</w:t>
      </w:r>
      <w:r>
        <w:rPr>
          <w:sz w:val="22"/>
          <w:szCs w:val="22"/>
          <w:lang w:val="da-DK"/>
        </w:rPr>
        <w:tab/>
        <w:t>Pakningsstørrelser og yderligere oplysninger</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1.</w:t>
      </w:r>
      <w:r>
        <w:rPr>
          <w:b/>
          <w:sz w:val="22"/>
          <w:szCs w:val="22"/>
          <w:lang w:val="da-DK"/>
        </w:rPr>
        <w:tab/>
        <w:t>Virkning og anvendelse</w:t>
      </w:r>
    </w:p>
    <w:p>
      <w:pPr>
        <w:widowControl w:val="0"/>
        <w:rPr>
          <w:sz w:val="22"/>
          <w:szCs w:val="22"/>
          <w:lang w:val="da-DK"/>
        </w:rPr>
      </w:pPr>
    </w:p>
    <w:p>
      <w:pPr>
        <w:widowControl w:val="0"/>
        <w:rPr>
          <w:sz w:val="22"/>
          <w:szCs w:val="22"/>
          <w:lang w:val="da-DK"/>
        </w:rPr>
      </w:pPr>
      <w:r>
        <w:rPr>
          <w:sz w:val="22"/>
          <w:szCs w:val="22"/>
          <w:lang w:val="da-DK"/>
        </w:rPr>
        <w:t>Abiraterone Krka indeholder lægemidlet abirateronacetat. Det anvendes til at behandle voksne mænd med prostatacancer, som har spredt sig til andre dele af kroppen. Abiraterone Krka hindrer kroppen i at fremstille testosteron og kan derved nedsætte væksten af prostatacancer.</w:t>
      </w:r>
    </w:p>
    <w:p>
      <w:pPr>
        <w:widowControl w:val="0"/>
        <w:rPr>
          <w:sz w:val="22"/>
          <w:szCs w:val="22"/>
          <w:lang w:val="da-DK"/>
        </w:rPr>
      </w:pPr>
    </w:p>
    <w:p>
      <w:pPr>
        <w:widowControl w:val="0"/>
        <w:rPr>
          <w:sz w:val="22"/>
          <w:szCs w:val="22"/>
          <w:lang w:val="da-DK"/>
        </w:rPr>
      </w:pPr>
      <w:r>
        <w:rPr>
          <w:sz w:val="22"/>
          <w:szCs w:val="22"/>
          <w:lang w:val="da-DK"/>
        </w:rPr>
        <w:t>Når Abiraterone Krka anvendes i sygdommens tidlige fase, hvor den stadig reagerer på hormonbehandling, anvendes det sammen med en behandling, der nedsætter dannelsen af testosteron (androgen deprivationsbehandling).</w:t>
      </w:r>
    </w:p>
    <w:p>
      <w:pPr>
        <w:widowControl w:val="0"/>
        <w:rPr>
          <w:sz w:val="22"/>
          <w:szCs w:val="22"/>
          <w:lang w:val="da-DK"/>
        </w:rPr>
      </w:pPr>
    </w:p>
    <w:p>
      <w:pPr>
        <w:widowControl w:val="0"/>
        <w:rPr>
          <w:sz w:val="22"/>
          <w:szCs w:val="22"/>
          <w:lang w:val="da-DK"/>
        </w:rPr>
      </w:pPr>
      <w:r>
        <w:rPr>
          <w:sz w:val="22"/>
          <w:szCs w:val="22"/>
          <w:lang w:val="da-DK"/>
        </w:rPr>
        <w:t>Mens du er i behandling med dette lægemiddel, vil din læge også ordinere enten prednison eller prednisolon til dig. Derved nedsættes risikoen for, at du får højt blodtryk, for meget væske i kroppen (væskeretention) eller nedsat indhold af mineralet kalium i blodet.</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2.</w:t>
      </w:r>
      <w:r>
        <w:rPr>
          <w:b/>
          <w:sz w:val="22"/>
          <w:szCs w:val="22"/>
          <w:lang w:val="da-DK"/>
        </w:rPr>
        <w:tab/>
        <w:t>Det skal du vide, før du begynder at bruge</w:t>
      </w:r>
      <w:r>
        <w:rPr>
          <w:b/>
          <w:bCs/>
          <w:sz w:val="22"/>
          <w:szCs w:val="22"/>
          <w:lang w:val="da-DK"/>
        </w:rPr>
        <w:t xml:space="preserve"> Abiraterone Krka</w:t>
      </w:r>
    </w:p>
    <w:p>
      <w:pPr>
        <w:widowControl w:val="0"/>
        <w:ind w:left="567" w:hanging="567"/>
        <w:rPr>
          <w:b/>
          <w:sz w:val="22"/>
          <w:szCs w:val="22"/>
          <w:lang w:val="da-DK"/>
        </w:rPr>
      </w:pPr>
    </w:p>
    <w:p>
      <w:pPr>
        <w:widowControl w:val="0"/>
        <w:ind w:left="567" w:hanging="567"/>
        <w:rPr>
          <w:sz w:val="22"/>
          <w:szCs w:val="22"/>
          <w:lang w:val="da-DK"/>
        </w:rPr>
      </w:pPr>
      <w:r>
        <w:rPr>
          <w:b/>
          <w:sz w:val="22"/>
          <w:szCs w:val="22"/>
          <w:lang w:val="da-DK"/>
        </w:rPr>
        <w:t>Brug ikke Abiraterone Krka</w:t>
      </w:r>
    </w:p>
    <w:p>
      <w:pPr>
        <w:widowControl w:val="0"/>
        <w:ind w:left="567" w:hanging="567"/>
        <w:rPr>
          <w:sz w:val="22"/>
          <w:szCs w:val="22"/>
          <w:lang w:val="da-DK"/>
        </w:rPr>
      </w:pPr>
      <w:r>
        <w:rPr>
          <w:sz w:val="22"/>
          <w:szCs w:val="22"/>
          <w:lang w:val="da-DK"/>
        </w:rPr>
        <w:t>-</w:t>
      </w:r>
      <w:r>
        <w:rPr>
          <w:sz w:val="22"/>
          <w:szCs w:val="22"/>
          <w:lang w:val="da-DK"/>
        </w:rPr>
        <w:tab/>
        <w:t>hvis du er allergisk over for abirateronacetat eller et af de øvrige indholdsstoffer i Abiraterone Krka (angivet i punkt 6).</w:t>
      </w:r>
    </w:p>
    <w:p>
      <w:pPr>
        <w:widowControl w:val="0"/>
        <w:ind w:left="567" w:hanging="567"/>
        <w:rPr>
          <w:sz w:val="22"/>
          <w:szCs w:val="22"/>
          <w:lang w:val="da-DK"/>
        </w:rPr>
      </w:pPr>
      <w:r>
        <w:rPr>
          <w:sz w:val="22"/>
          <w:szCs w:val="22"/>
          <w:lang w:val="da-DK"/>
        </w:rPr>
        <w:t>-</w:t>
      </w:r>
      <w:r>
        <w:rPr>
          <w:sz w:val="22"/>
          <w:szCs w:val="22"/>
          <w:lang w:val="da-DK"/>
        </w:rPr>
        <w:tab/>
        <w:t>hvis du er en kvinde, og især hvis du er gravid. Abiraterone Krka er udelukkende beregnet til brug hos mandlige patienter.</w:t>
      </w:r>
    </w:p>
    <w:p>
      <w:pPr>
        <w:widowControl w:val="0"/>
        <w:ind w:left="567" w:hanging="567"/>
        <w:rPr>
          <w:sz w:val="22"/>
          <w:szCs w:val="22"/>
          <w:lang w:val="da-DK"/>
        </w:rPr>
      </w:pPr>
      <w:r>
        <w:rPr>
          <w:sz w:val="22"/>
          <w:szCs w:val="22"/>
          <w:lang w:val="da-DK"/>
        </w:rPr>
        <w:t>-</w:t>
      </w:r>
      <w:r>
        <w:rPr>
          <w:sz w:val="22"/>
          <w:szCs w:val="22"/>
          <w:lang w:val="da-DK"/>
        </w:rPr>
        <w:tab/>
        <w:t>hvis du har svære leverskader.</w:t>
      </w:r>
    </w:p>
    <w:p>
      <w:pPr>
        <w:widowControl w:val="0"/>
        <w:ind w:left="567" w:hanging="567"/>
        <w:rPr>
          <w:sz w:val="22"/>
          <w:szCs w:val="22"/>
          <w:lang w:val="da-DK"/>
        </w:rPr>
      </w:pPr>
      <w:r>
        <w:rPr>
          <w:sz w:val="22"/>
          <w:szCs w:val="22"/>
          <w:lang w:val="da-DK"/>
        </w:rPr>
        <w:t>-</w:t>
      </w:r>
      <w:r>
        <w:rPr>
          <w:sz w:val="22"/>
          <w:szCs w:val="22"/>
          <w:lang w:val="da-DK"/>
        </w:rPr>
        <w:tab/>
        <w:t>i kombination med Ra-223 (som anvendes til behandling af prostatacancer).</w:t>
      </w:r>
    </w:p>
    <w:p>
      <w:pPr>
        <w:widowControl w:val="0"/>
        <w:ind w:left="567" w:hanging="567"/>
        <w:rPr>
          <w:sz w:val="22"/>
          <w:szCs w:val="22"/>
          <w:lang w:val="da-DK"/>
        </w:rPr>
      </w:pPr>
    </w:p>
    <w:p>
      <w:pPr>
        <w:widowControl w:val="0"/>
        <w:rPr>
          <w:sz w:val="22"/>
          <w:szCs w:val="22"/>
          <w:lang w:val="da-DK"/>
        </w:rPr>
      </w:pPr>
      <w:r>
        <w:rPr>
          <w:sz w:val="22"/>
          <w:szCs w:val="22"/>
          <w:lang w:val="da-DK"/>
        </w:rPr>
        <w:t>Brug ikke dette lægemiddel, hvis noget af dette gælder for dig. Hvis du er i tvivl, så spørg din læge eller apotekspersonalet, inden du tager dette lægemiddel.</w:t>
      </w:r>
    </w:p>
    <w:p>
      <w:pPr>
        <w:widowControl w:val="0"/>
        <w:rPr>
          <w:b/>
          <w:sz w:val="22"/>
          <w:szCs w:val="22"/>
          <w:lang w:val="da-DK"/>
        </w:rPr>
      </w:pPr>
    </w:p>
    <w:p>
      <w:pPr>
        <w:widowControl w:val="0"/>
        <w:rPr>
          <w:sz w:val="22"/>
          <w:szCs w:val="22"/>
          <w:lang w:val="da-DK"/>
        </w:rPr>
      </w:pPr>
      <w:r>
        <w:rPr>
          <w:b/>
          <w:sz w:val="22"/>
          <w:szCs w:val="22"/>
          <w:lang w:val="da-DK"/>
        </w:rPr>
        <w:t>Advarsler og forsigtighedsregler</w:t>
      </w:r>
    </w:p>
    <w:p>
      <w:pPr>
        <w:pStyle w:val="BodyText"/>
        <w:tabs>
          <w:tab w:val="left" w:pos="8505"/>
        </w:tabs>
        <w:rPr>
          <w:lang w:val="da-DK"/>
        </w:rPr>
      </w:pPr>
      <w:r>
        <w:rPr>
          <w:lang w:val="da-DK"/>
        </w:rPr>
        <w:t>Kontakt</w:t>
      </w:r>
      <w:r>
        <w:rPr>
          <w:spacing w:val="-4"/>
          <w:lang w:val="da-DK"/>
        </w:rPr>
        <w:t xml:space="preserve"> </w:t>
      </w:r>
      <w:r>
        <w:rPr>
          <w:lang w:val="da-DK"/>
        </w:rPr>
        <w:t>lægen</w:t>
      </w:r>
      <w:r>
        <w:rPr>
          <w:spacing w:val="-4"/>
          <w:lang w:val="da-DK"/>
        </w:rPr>
        <w:t xml:space="preserve"> </w:t>
      </w:r>
      <w:r>
        <w:rPr>
          <w:lang w:val="da-DK"/>
        </w:rPr>
        <w:t>eller</w:t>
      </w:r>
      <w:r>
        <w:rPr>
          <w:spacing w:val="-3"/>
          <w:lang w:val="da-DK"/>
        </w:rPr>
        <w:t xml:space="preserve"> </w:t>
      </w:r>
      <w:r>
        <w:rPr>
          <w:lang w:val="da-DK"/>
        </w:rPr>
        <w:t>apotekspersonalet,</w:t>
      </w:r>
      <w:r>
        <w:rPr>
          <w:spacing w:val="-4"/>
          <w:lang w:val="da-DK"/>
        </w:rPr>
        <w:t xml:space="preserve"> </w:t>
      </w:r>
      <w:r>
        <w:rPr>
          <w:lang w:val="da-DK"/>
        </w:rPr>
        <w:t>før</w:t>
      </w:r>
      <w:r>
        <w:rPr>
          <w:spacing w:val="-3"/>
          <w:lang w:val="da-DK"/>
        </w:rPr>
        <w:t xml:space="preserve"> </w:t>
      </w:r>
      <w:r>
        <w:rPr>
          <w:lang w:val="da-DK"/>
        </w:rPr>
        <w:t>du</w:t>
      </w:r>
      <w:r>
        <w:rPr>
          <w:spacing w:val="-4"/>
          <w:lang w:val="da-DK"/>
        </w:rPr>
        <w:t xml:space="preserve"> </w:t>
      </w:r>
      <w:r>
        <w:rPr>
          <w:lang w:val="da-DK"/>
        </w:rPr>
        <w:t>bruger</w:t>
      </w:r>
      <w:r>
        <w:rPr>
          <w:spacing w:val="-7"/>
          <w:lang w:val="da-DK"/>
        </w:rPr>
        <w:t xml:space="preserve"> </w:t>
      </w:r>
      <w:r>
        <w:rPr>
          <w:lang w:val="da-DK"/>
        </w:rPr>
        <w:t>Abiraterone Krka:</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3"/>
          <w:sz w:val="22"/>
          <w:szCs w:val="22"/>
          <w:lang w:val="da-DK"/>
        </w:rPr>
        <w:t xml:space="preserve"> </w:t>
      </w:r>
      <w:r>
        <w:rPr>
          <w:sz w:val="22"/>
          <w:szCs w:val="22"/>
          <w:lang w:val="da-DK"/>
        </w:rPr>
        <w:t>har</w:t>
      </w:r>
      <w:r>
        <w:rPr>
          <w:spacing w:val="-3"/>
          <w:sz w:val="22"/>
          <w:szCs w:val="22"/>
          <w:lang w:val="da-DK"/>
        </w:rPr>
        <w:t xml:space="preserve"> </w:t>
      </w:r>
      <w:r>
        <w:rPr>
          <w:sz w:val="22"/>
          <w:szCs w:val="22"/>
          <w:lang w:val="da-DK"/>
        </w:rPr>
        <w:t>leverproblemer</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lastRenderedPageBreak/>
        <w:t>hvis du har fået at vide, at du har højt blodtryk eller hjertesvigt eller lavt indhold af kalium i</w:t>
      </w:r>
      <w:r>
        <w:rPr>
          <w:spacing w:val="-52"/>
          <w:sz w:val="22"/>
          <w:szCs w:val="22"/>
          <w:lang w:val="da-DK"/>
        </w:rPr>
        <w:t xml:space="preserve"> </w:t>
      </w:r>
      <w:r>
        <w:rPr>
          <w:sz w:val="22"/>
          <w:szCs w:val="22"/>
          <w:lang w:val="da-DK"/>
        </w:rPr>
        <w:t>blodet</w:t>
      </w:r>
      <w:r>
        <w:rPr>
          <w:spacing w:val="-3"/>
          <w:sz w:val="22"/>
          <w:szCs w:val="22"/>
          <w:lang w:val="da-DK"/>
        </w:rPr>
        <w:t xml:space="preserve"> </w:t>
      </w:r>
      <w:r>
        <w:rPr>
          <w:sz w:val="22"/>
          <w:szCs w:val="22"/>
          <w:lang w:val="da-DK"/>
        </w:rPr>
        <w:t>(lavt</w:t>
      </w:r>
      <w:r>
        <w:rPr>
          <w:spacing w:val="-3"/>
          <w:sz w:val="22"/>
          <w:szCs w:val="22"/>
          <w:lang w:val="da-DK"/>
        </w:rPr>
        <w:t xml:space="preserve"> </w:t>
      </w:r>
      <w:r>
        <w:rPr>
          <w:sz w:val="22"/>
          <w:szCs w:val="22"/>
          <w:lang w:val="da-DK"/>
        </w:rPr>
        <w:t>indhold</w:t>
      </w:r>
      <w:r>
        <w:rPr>
          <w:spacing w:val="-3"/>
          <w:sz w:val="22"/>
          <w:szCs w:val="22"/>
          <w:lang w:val="da-DK"/>
        </w:rPr>
        <w:t xml:space="preserve"> </w:t>
      </w:r>
      <w:r>
        <w:rPr>
          <w:sz w:val="22"/>
          <w:szCs w:val="22"/>
          <w:lang w:val="da-DK"/>
        </w:rPr>
        <w:t>af</w:t>
      </w:r>
      <w:r>
        <w:rPr>
          <w:spacing w:val="-3"/>
          <w:sz w:val="22"/>
          <w:szCs w:val="22"/>
          <w:lang w:val="da-DK"/>
        </w:rPr>
        <w:t xml:space="preserve"> </w:t>
      </w:r>
      <w:r>
        <w:rPr>
          <w:sz w:val="22"/>
          <w:szCs w:val="22"/>
          <w:lang w:val="da-DK"/>
        </w:rPr>
        <w:t>kalium</w:t>
      </w:r>
      <w:r>
        <w:rPr>
          <w:spacing w:val="-3"/>
          <w:sz w:val="22"/>
          <w:szCs w:val="22"/>
          <w:lang w:val="da-DK"/>
        </w:rPr>
        <w:t xml:space="preserve"> </w:t>
      </w:r>
      <w:r>
        <w:rPr>
          <w:sz w:val="22"/>
          <w:szCs w:val="22"/>
          <w:lang w:val="da-DK"/>
        </w:rPr>
        <w:t>i</w:t>
      </w:r>
      <w:r>
        <w:rPr>
          <w:spacing w:val="-3"/>
          <w:sz w:val="22"/>
          <w:szCs w:val="22"/>
          <w:lang w:val="da-DK"/>
        </w:rPr>
        <w:t xml:space="preserve"> </w:t>
      </w:r>
      <w:r>
        <w:rPr>
          <w:sz w:val="22"/>
          <w:szCs w:val="22"/>
          <w:lang w:val="da-DK"/>
        </w:rPr>
        <w:t>blodet</w:t>
      </w:r>
      <w:r>
        <w:rPr>
          <w:spacing w:val="-3"/>
          <w:sz w:val="22"/>
          <w:szCs w:val="22"/>
          <w:lang w:val="da-DK"/>
        </w:rPr>
        <w:t xml:space="preserve"> </w:t>
      </w:r>
      <w:r>
        <w:rPr>
          <w:sz w:val="22"/>
          <w:szCs w:val="22"/>
          <w:lang w:val="da-DK"/>
        </w:rPr>
        <w:t>kan</w:t>
      </w:r>
      <w:r>
        <w:rPr>
          <w:spacing w:val="-3"/>
          <w:sz w:val="22"/>
          <w:szCs w:val="22"/>
          <w:lang w:val="da-DK"/>
        </w:rPr>
        <w:t xml:space="preserve"> </w:t>
      </w:r>
      <w:r>
        <w:rPr>
          <w:sz w:val="22"/>
          <w:szCs w:val="22"/>
          <w:lang w:val="da-DK"/>
        </w:rPr>
        <w:t>øge</w:t>
      </w:r>
      <w:r>
        <w:rPr>
          <w:spacing w:val="-3"/>
          <w:sz w:val="22"/>
          <w:szCs w:val="22"/>
          <w:lang w:val="da-DK"/>
        </w:rPr>
        <w:t xml:space="preserve"> </w:t>
      </w:r>
      <w:r>
        <w:rPr>
          <w:sz w:val="22"/>
          <w:szCs w:val="22"/>
          <w:lang w:val="da-DK"/>
        </w:rPr>
        <w:t>risikoen</w:t>
      </w:r>
      <w:r>
        <w:rPr>
          <w:spacing w:val="-2"/>
          <w:sz w:val="22"/>
          <w:szCs w:val="22"/>
          <w:lang w:val="da-DK"/>
        </w:rPr>
        <w:t xml:space="preserve"> </w:t>
      </w:r>
      <w:r>
        <w:rPr>
          <w:sz w:val="22"/>
          <w:szCs w:val="22"/>
          <w:lang w:val="da-DK"/>
        </w:rPr>
        <w:t>for</w:t>
      </w:r>
      <w:r>
        <w:rPr>
          <w:spacing w:val="-3"/>
          <w:sz w:val="22"/>
          <w:szCs w:val="22"/>
          <w:lang w:val="da-DK"/>
        </w:rPr>
        <w:t xml:space="preserve"> </w:t>
      </w:r>
      <w:r>
        <w:rPr>
          <w:sz w:val="22"/>
          <w:szCs w:val="22"/>
          <w:lang w:val="da-DK"/>
        </w:rPr>
        <w:t>problemer</w:t>
      </w:r>
      <w:r>
        <w:rPr>
          <w:spacing w:val="-3"/>
          <w:sz w:val="22"/>
          <w:szCs w:val="22"/>
          <w:lang w:val="da-DK"/>
        </w:rPr>
        <w:t xml:space="preserve"> </w:t>
      </w:r>
      <w:r>
        <w:rPr>
          <w:sz w:val="22"/>
          <w:szCs w:val="22"/>
          <w:lang w:val="da-DK"/>
        </w:rPr>
        <w:t>med</w:t>
      </w:r>
      <w:r>
        <w:rPr>
          <w:spacing w:val="-3"/>
          <w:sz w:val="22"/>
          <w:szCs w:val="22"/>
          <w:lang w:val="da-DK"/>
        </w:rPr>
        <w:t xml:space="preserve"> </w:t>
      </w:r>
      <w:r>
        <w:rPr>
          <w:sz w:val="22"/>
          <w:szCs w:val="22"/>
          <w:lang w:val="da-DK"/>
        </w:rPr>
        <w:t>hjerterytmen)</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3"/>
          <w:sz w:val="22"/>
          <w:szCs w:val="22"/>
          <w:lang w:val="da-DK"/>
        </w:rPr>
        <w:t xml:space="preserve"> </w:t>
      </w:r>
      <w:r>
        <w:rPr>
          <w:sz w:val="22"/>
          <w:szCs w:val="22"/>
          <w:lang w:val="da-DK"/>
        </w:rPr>
        <w:t>har</w:t>
      </w:r>
      <w:r>
        <w:rPr>
          <w:spacing w:val="-3"/>
          <w:sz w:val="22"/>
          <w:szCs w:val="22"/>
          <w:lang w:val="da-DK"/>
        </w:rPr>
        <w:t xml:space="preserve"> </w:t>
      </w:r>
      <w:r>
        <w:rPr>
          <w:sz w:val="22"/>
          <w:szCs w:val="22"/>
          <w:lang w:val="da-DK"/>
        </w:rPr>
        <w:t>haft</w:t>
      </w:r>
      <w:r>
        <w:rPr>
          <w:spacing w:val="-3"/>
          <w:sz w:val="22"/>
          <w:szCs w:val="22"/>
          <w:lang w:val="da-DK"/>
        </w:rPr>
        <w:t xml:space="preserve"> </w:t>
      </w:r>
      <w:r>
        <w:rPr>
          <w:sz w:val="22"/>
          <w:szCs w:val="22"/>
          <w:lang w:val="da-DK"/>
        </w:rPr>
        <w:t>andre</w:t>
      </w:r>
      <w:r>
        <w:rPr>
          <w:spacing w:val="-3"/>
          <w:sz w:val="22"/>
          <w:szCs w:val="22"/>
          <w:lang w:val="da-DK"/>
        </w:rPr>
        <w:t xml:space="preserve"> </w:t>
      </w:r>
      <w:r>
        <w:rPr>
          <w:sz w:val="22"/>
          <w:szCs w:val="22"/>
          <w:lang w:val="da-DK"/>
        </w:rPr>
        <w:t>problemer</w:t>
      </w:r>
      <w:r>
        <w:rPr>
          <w:spacing w:val="-3"/>
          <w:sz w:val="22"/>
          <w:szCs w:val="22"/>
          <w:lang w:val="da-DK"/>
        </w:rPr>
        <w:t xml:space="preserve"> </w:t>
      </w:r>
      <w:r>
        <w:rPr>
          <w:sz w:val="22"/>
          <w:szCs w:val="22"/>
          <w:lang w:val="da-DK"/>
        </w:rPr>
        <w:t>med</w:t>
      </w:r>
      <w:r>
        <w:rPr>
          <w:spacing w:val="-2"/>
          <w:sz w:val="22"/>
          <w:szCs w:val="22"/>
          <w:lang w:val="da-DK"/>
        </w:rPr>
        <w:t xml:space="preserve"> </w:t>
      </w:r>
      <w:r>
        <w:rPr>
          <w:sz w:val="22"/>
          <w:szCs w:val="22"/>
          <w:lang w:val="da-DK"/>
        </w:rPr>
        <w:t>hjerte</w:t>
      </w:r>
      <w:r>
        <w:rPr>
          <w:spacing w:val="-2"/>
          <w:sz w:val="22"/>
          <w:szCs w:val="22"/>
          <w:lang w:val="da-DK"/>
        </w:rPr>
        <w:t xml:space="preserve"> </w:t>
      </w:r>
      <w:r>
        <w:rPr>
          <w:sz w:val="22"/>
          <w:szCs w:val="22"/>
          <w:lang w:val="da-DK"/>
        </w:rPr>
        <w:t>eller</w:t>
      </w:r>
      <w:r>
        <w:rPr>
          <w:spacing w:val="-3"/>
          <w:sz w:val="22"/>
          <w:szCs w:val="22"/>
          <w:lang w:val="da-DK"/>
        </w:rPr>
        <w:t xml:space="preserve"> </w:t>
      </w:r>
      <w:r>
        <w:rPr>
          <w:sz w:val="22"/>
          <w:szCs w:val="22"/>
          <w:lang w:val="da-DK"/>
        </w:rPr>
        <w:t>blodkar</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3"/>
          <w:sz w:val="22"/>
          <w:szCs w:val="22"/>
          <w:lang w:val="da-DK"/>
        </w:rPr>
        <w:t xml:space="preserve"> </w:t>
      </w:r>
      <w:r>
        <w:rPr>
          <w:sz w:val="22"/>
          <w:szCs w:val="22"/>
          <w:lang w:val="da-DK"/>
        </w:rPr>
        <w:t>har</w:t>
      </w:r>
      <w:r>
        <w:rPr>
          <w:spacing w:val="-2"/>
          <w:sz w:val="22"/>
          <w:szCs w:val="22"/>
          <w:lang w:val="da-DK"/>
        </w:rPr>
        <w:t xml:space="preserve"> </w:t>
      </w:r>
      <w:r>
        <w:rPr>
          <w:sz w:val="22"/>
          <w:szCs w:val="22"/>
          <w:lang w:val="da-DK"/>
        </w:rPr>
        <w:t>en</w:t>
      </w:r>
      <w:r>
        <w:rPr>
          <w:spacing w:val="-3"/>
          <w:sz w:val="22"/>
          <w:szCs w:val="22"/>
          <w:lang w:val="da-DK"/>
        </w:rPr>
        <w:t xml:space="preserve"> </w:t>
      </w:r>
      <w:r>
        <w:rPr>
          <w:sz w:val="22"/>
          <w:szCs w:val="22"/>
          <w:lang w:val="da-DK"/>
        </w:rPr>
        <w:t>uregelmæssig</w:t>
      </w:r>
      <w:r>
        <w:rPr>
          <w:spacing w:val="-5"/>
          <w:sz w:val="22"/>
          <w:szCs w:val="22"/>
          <w:lang w:val="da-DK"/>
        </w:rPr>
        <w:t xml:space="preserve"> </w:t>
      </w:r>
      <w:r>
        <w:rPr>
          <w:sz w:val="22"/>
          <w:szCs w:val="22"/>
          <w:lang w:val="da-DK"/>
        </w:rPr>
        <w:t>eller</w:t>
      </w:r>
      <w:r>
        <w:rPr>
          <w:spacing w:val="-1"/>
          <w:sz w:val="22"/>
          <w:szCs w:val="22"/>
          <w:lang w:val="da-DK"/>
        </w:rPr>
        <w:t xml:space="preserve"> </w:t>
      </w:r>
      <w:r>
        <w:rPr>
          <w:sz w:val="22"/>
          <w:szCs w:val="22"/>
          <w:lang w:val="da-DK"/>
        </w:rPr>
        <w:t>hurtig</w:t>
      </w:r>
      <w:r>
        <w:rPr>
          <w:spacing w:val="-2"/>
          <w:sz w:val="22"/>
          <w:szCs w:val="22"/>
          <w:lang w:val="da-DK"/>
        </w:rPr>
        <w:t xml:space="preserve"> </w:t>
      </w:r>
      <w:r>
        <w:rPr>
          <w:sz w:val="22"/>
          <w:szCs w:val="22"/>
          <w:lang w:val="da-DK"/>
        </w:rPr>
        <w:t>puls</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2"/>
          <w:sz w:val="22"/>
          <w:szCs w:val="22"/>
          <w:lang w:val="da-DK"/>
        </w:rPr>
        <w:t xml:space="preserve"> </w:t>
      </w:r>
      <w:r>
        <w:rPr>
          <w:sz w:val="22"/>
          <w:szCs w:val="22"/>
          <w:lang w:val="da-DK"/>
        </w:rPr>
        <w:t>er</w:t>
      </w:r>
      <w:r>
        <w:rPr>
          <w:spacing w:val="-2"/>
          <w:sz w:val="22"/>
          <w:szCs w:val="22"/>
          <w:lang w:val="da-DK"/>
        </w:rPr>
        <w:t xml:space="preserve"> </w:t>
      </w:r>
      <w:r>
        <w:rPr>
          <w:sz w:val="22"/>
          <w:szCs w:val="22"/>
          <w:lang w:val="da-DK"/>
        </w:rPr>
        <w:t>kortåndet</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2"/>
          <w:sz w:val="22"/>
          <w:szCs w:val="22"/>
          <w:lang w:val="da-DK"/>
        </w:rPr>
        <w:t xml:space="preserve"> </w:t>
      </w:r>
      <w:r>
        <w:rPr>
          <w:sz w:val="22"/>
          <w:szCs w:val="22"/>
          <w:lang w:val="da-DK"/>
        </w:rPr>
        <w:t>har</w:t>
      </w:r>
      <w:r>
        <w:rPr>
          <w:spacing w:val="-2"/>
          <w:sz w:val="22"/>
          <w:szCs w:val="22"/>
          <w:lang w:val="da-DK"/>
        </w:rPr>
        <w:t xml:space="preserve"> </w:t>
      </w:r>
      <w:r>
        <w:rPr>
          <w:sz w:val="22"/>
          <w:szCs w:val="22"/>
          <w:lang w:val="da-DK"/>
        </w:rPr>
        <w:t>taget</w:t>
      </w:r>
      <w:r>
        <w:rPr>
          <w:spacing w:val="-2"/>
          <w:sz w:val="22"/>
          <w:szCs w:val="22"/>
          <w:lang w:val="da-DK"/>
        </w:rPr>
        <w:t xml:space="preserve"> </w:t>
      </w:r>
      <w:r>
        <w:rPr>
          <w:sz w:val="22"/>
          <w:szCs w:val="22"/>
          <w:lang w:val="da-DK"/>
        </w:rPr>
        <w:t>hurtigt</w:t>
      </w:r>
      <w:r>
        <w:rPr>
          <w:spacing w:val="-2"/>
          <w:sz w:val="22"/>
          <w:szCs w:val="22"/>
          <w:lang w:val="da-DK"/>
        </w:rPr>
        <w:t xml:space="preserve"> </w:t>
      </w:r>
      <w:r>
        <w:rPr>
          <w:sz w:val="22"/>
          <w:szCs w:val="22"/>
          <w:lang w:val="da-DK"/>
        </w:rPr>
        <w:t>på</w:t>
      </w:r>
      <w:r>
        <w:rPr>
          <w:spacing w:val="-2"/>
          <w:sz w:val="22"/>
          <w:szCs w:val="22"/>
          <w:lang w:val="da-DK"/>
        </w:rPr>
        <w:t xml:space="preserve"> </w:t>
      </w:r>
      <w:r>
        <w:rPr>
          <w:sz w:val="22"/>
          <w:szCs w:val="22"/>
          <w:lang w:val="da-DK"/>
        </w:rPr>
        <w:t>i</w:t>
      </w:r>
      <w:r>
        <w:rPr>
          <w:spacing w:val="-2"/>
          <w:sz w:val="22"/>
          <w:szCs w:val="22"/>
          <w:lang w:val="da-DK"/>
        </w:rPr>
        <w:t xml:space="preserve"> </w:t>
      </w:r>
      <w:r>
        <w:rPr>
          <w:sz w:val="22"/>
          <w:szCs w:val="22"/>
          <w:lang w:val="da-DK"/>
        </w:rPr>
        <w:t>vægt</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2"/>
          <w:sz w:val="22"/>
          <w:szCs w:val="22"/>
          <w:lang w:val="da-DK"/>
        </w:rPr>
        <w:t xml:space="preserve"> </w:t>
      </w:r>
      <w:r>
        <w:rPr>
          <w:sz w:val="22"/>
          <w:szCs w:val="22"/>
          <w:lang w:val="da-DK"/>
        </w:rPr>
        <w:t>har</w:t>
      </w:r>
      <w:r>
        <w:rPr>
          <w:spacing w:val="-3"/>
          <w:sz w:val="22"/>
          <w:szCs w:val="22"/>
          <w:lang w:val="da-DK"/>
        </w:rPr>
        <w:t xml:space="preserve"> </w:t>
      </w:r>
      <w:r>
        <w:rPr>
          <w:sz w:val="22"/>
          <w:szCs w:val="22"/>
          <w:lang w:val="da-DK"/>
        </w:rPr>
        <w:t>hævede</w:t>
      </w:r>
      <w:r>
        <w:rPr>
          <w:spacing w:val="-2"/>
          <w:sz w:val="22"/>
          <w:szCs w:val="22"/>
          <w:lang w:val="da-DK"/>
        </w:rPr>
        <w:t xml:space="preserve"> </w:t>
      </w:r>
      <w:r>
        <w:rPr>
          <w:sz w:val="22"/>
          <w:szCs w:val="22"/>
          <w:lang w:val="da-DK"/>
        </w:rPr>
        <w:t>fødder,</w:t>
      </w:r>
      <w:r>
        <w:rPr>
          <w:spacing w:val="-3"/>
          <w:sz w:val="22"/>
          <w:szCs w:val="22"/>
          <w:lang w:val="da-DK"/>
        </w:rPr>
        <w:t xml:space="preserve"> </w:t>
      </w:r>
      <w:r>
        <w:rPr>
          <w:sz w:val="22"/>
          <w:szCs w:val="22"/>
          <w:lang w:val="da-DK"/>
        </w:rPr>
        <w:t>ankler</w:t>
      </w:r>
      <w:r>
        <w:rPr>
          <w:spacing w:val="-2"/>
          <w:sz w:val="22"/>
          <w:szCs w:val="22"/>
          <w:lang w:val="da-DK"/>
        </w:rPr>
        <w:t xml:space="preserve"> </w:t>
      </w:r>
      <w:r>
        <w:rPr>
          <w:sz w:val="22"/>
          <w:szCs w:val="22"/>
          <w:lang w:val="da-DK"/>
        </w:rPr>
        <w:t>eller</w:t>
      </w:r>
      <w:r>
        <w:rPr>
          <w:spacing w:val="-3"/>
          <w:sz w:val="22"/>
          <w:szCs w:val="22"/>
          <w:lang w:val="da-DK"/>
        </w:rPr>
        <w:t xml:space="preserve"> </w:t>
      </w:r>
      <w:r>
        <w:rPr>
          <w:sz w:val="22"/>
          <w:szCs w:val="22"/>
          <w:lang w:val="da-DK"/>
        </w:rPr>
        <w:t>ben</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4"/>
          <w:sz w:val="22"/>
          <w:szCs w:val="22"/>
          <w:lang w:val="da-DK"/>
        </w:rPr>
        <w:t xml:space="preserve"> </w:t>
      </w:r>
      <w:r>
        <w:rPr>
          <w:sz w:val="22"/>
          <w:szCs w:val="22"/>
          <w:lang w:val="da-DK"/>
        </w:rPr>
        <w:t>du</w:t>
      </w:r>
      <w:r>
        <w:rPr>
          <w:spacing w:val="-3"/>
          <w:sz w:val="22"/>
          <w:szCs w:val="22"/>
          <w:lang w:val="da-DK"/>
        </w:rPr>
        <w:t xml:space="preserve"> </w:t>
      </w:r>
      <w:r>
        <w:rPr>
          <w:sz w:val="22"/>
          <w:szCs w:val="22"/>
          <w:lang w:val="da-DK"/>
        </w:rPr>
        <w:t>tidligere</w:t>
      </w:r>
      <w:r>
        <w:rPr>
          <w:spacing w:val="-4"/>
          <w:sz w:val="22"/>
          <w:szCs w:val="22"/>
          <w:lang w:val="da-DK"/>
        </w:rPr>
        <w:t xml:space="preserve"> </w:t>
      </w:r>
      <w:r>
        <w:rPr>
          <w:sz w:val="22"/>
          <w:szCs w:val="22"/>
          <w:lang w:val="da-DK"/>
        </w:rPr>
        <w:t>har</w:t>
      </w:r>
      <w:r>
        <w:rPr>
          <w:spacing w:val="-3"/>
          <w:sz w:val="22"/>
          <w:szCs w:val="22"/>
          <w:lang w:val="da-DK"/>
        </w:rPr>
        <w:t xml:space="preserve"> </w:t>
      </w:r>
      <w:r>
        <w:rPr>
          <w:sz w:val="22"/>
          <w:szCs w:val="22"/>
          <w:lang w:val="da-DK"/>
        </w:rPr>
        <w:t>taget</w:t>
      </w:r>
      <w:r>
        <w:rPr>
          <w:spacing w:val="-4"/>
          <w:sz w:val="22"/>
          <w:szCs w:val="22"/>
          <w:lang w:val="da-DK"/>
        </w:rPr>
        <w:t xml:space="preserve"> </w:t>
      </w:r>
      <w:r>
        <w:rPr>
          <w:sz w:val="22"/>
          <w:szCs w:val="22"/>
          <w:lang w:val="da-DK"/>
        </w:rPr>
        <w:t>ketoconazol</w:t>
      </w:r>
      <w:r>
        <w:rPr>
          <w:spacing w:val="-3"/>
          <w:sz w:val="22"/>
          <w:szCs w:val="22"/>
          <w:lang w:val="da-DK"/>
        </w:rPr>
        <w:t xml:space="preserve"> </w:t>
      </w:r>
      <w:r>
        <w:rPr>
          <w:sz w:val="22"/>
          <w:szCs w:val="22"/>
          <w:lang w:val="da-DK"/>
        </w:rPr>
        <w:t>mod</w:t>
      </w:r>
      <w:r>
        <w:rPr>
          <w:spacing w:val="-4"/>
          <w:sz w:val="22"/>
          <w:szCs w:val="22"/>
          <w:lang w:val="da-DK"/>
        </w:rPr>
        <w:t xml:space="preserve"> </w:t>
      </w:r>
      <w:r>
        <w:rPr>
          <w:sz w:val="22"/>
          <w:szCs w:val="22"/>
          <w:lang w:val="da-DK"/>
        </w:rPr>
        <w:t>prostatacancer</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om</w:t>
      </w:r>
      <w:r>
        <w:rPr>
          <w:spacing w:val="-4"/>
          <w:sz w:val="22"/>
          <w:szCs w:val="22"/>
          <w:lang w:val="da-DK"/>
        </w:rPr>
        <w:t xml:space="preserve"> </w:t>
      </w:r>
      <w:r>
        <w:rPr>
          <w:sz w:val="22"/>
          <w:szCs w:val="22"/>
          <w:lang w:val="da-DK"/>
        </w:rPr>
        <w:t>behovet for at bruge</w:t>
      </w:r>
      <w:r>
        <w:rPr>
          <w:spacing w:val="-3"/>
          <w:sz w:val="22"/>
          <w:szCs w:val="22"/>
          <w:lang w:val="da-DK"/>
        </w:rPr>
        <w:t xml:space="preserve"> </w:t>
      </w:r>
      <w:r>
        <w:rPr>
          <w:sz w:val="22"/>
          <w:szCs w:val="22"/>
          <w:lang w:val="da-DK"/>
        </w:rPr>
        <w:t>dette</w:t>
      </w:r>
      <w:r>
        <w:rPr>
          <w:spacing w:val="-3"/>
          <w:sz w:val="22"/>
          <w:szCs w:val="22"/>
          <w:lang w:val="da-DK"/>
        </w:rPr>
        <w:t xml:space="preserve"> </w:t>
      </w:r>
      <w:r>
        <w:rPr>
          <w:sz w:val="22"/>
          <w:szCs w:val="22"/>
          <w:lang w:val="da-DK"/>
        </w:rPr>
        <w:t>lægemiddel</w:t>
      </w:r>
      <w:r>
        <w:rPr>
          <w:spacing w:val="-3"/>
          <w:sz w:val="22"/>
          <w:szCs w:val="22"/>
          <w:lang w:val="da-DK"/>
        </w:rPr>
        <w:t xml:space="preserve"> </w:t>
      </w:r>
      <w:r>
        <w:rPr>
          <w:sz w:val="22"/>
          <w:szCs w:val="22"/>
          <w:lang w:val="da-DK"/>
        </w:rPr>
        <w:t>sammen</w:t>
      </w:r>
      <w:r>
        <w:rPr>
          <w:spacing w:val="-4"/>
          <w:sz w:val="22"/>
          <w:szCs w:val="22"/>
          <w:lang w:val="da-DK"/>
        </w:rPr>
        <w:t xml:space="preserve"> </w:t>
      </w:r>
      <w:r>
        <w:rPr>
          <w:sz w:val="22"/>
          <w:szCs w:val="22"/>
          <w:lang w:val="da-DK"/>
        </w:rPr>
        <w:t>med</w:t>
      </w:r>
      <w:r>
        <w:rPr>
          <w:spacing w:val="-3"/>
          <w:sz w:val="22"/>
          <w:szCs w:val="22"/>
          <w:lang w:val="da-DK"/>
        </w:rPr>
        <w:t xml:space="preserve"> </w:t>
      </w:r>
      <w:r>
        <w:rPr>
          <w:sz w:val="22"/>
          <w:szCs w:val="22"/>
          <w:lang w:val="da-DK"/>
        </w:rPr>
        <w:t>prednison</w:t>
      </w:r>
      <w:r>
        <w:rPr>
          <w:spacing w:val="-4"/>
          <w:sz w:val="22"/>
          <w:szCs w:val="22"/>
          <w:lang w:val="da-DK"/>
        </w:rPr>
        <w:t xml:space="preserve"> </w:t>
      </w:r>
      <w:r>
        <w:rPr>
          <w:sz w:val="22"/>
          <w:szCs w:val="22"/>
          <w:lang w:val="da-DK"/>
        </w:rPr>
        <w:t>eller</w:t>
      </w:r>
      <w:r>
        <w:rPr>
          <w:spacing w:val="-3"/>
          <w:sz w:val="22"/>
          <w:szCs w:val="22"/>
          <w:lang w:val="da-DK"/>
        </w:rPr>
        <w:t xml:space="preserve"> </w:t>
      </w:r>
      <w:r>
        <w:rPr>
          <w:sz w:val="22"/>
          <w:szCs w:val="22"/>
          <w:lang w:val="da-DK"/>
        </w:rPr>
        <w:t>prednisolon</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om</w:t>
      </w:r>
      <w:r>
        <w:rPr>
          <w:spacing w:val="-4"/>
          <w:sz w:val="22"/>
          <w:szCs w:val="22"/>
          <w:lang w:val="da-DK"/>
        </w:rPr>
        <w:t xml:space="preserve"> </w:t>
      </w:r>
      <w:r>
        <w:rPr>
          <w:sz w:val="22"/>
          <w:szCs w:val="22"/>
          <w:lang w:val="da-DK"/>
        </w:rPr>
        <w:t>hvordan</w:t>
      </w:r>
      <w:r>
        <w:rPr>
          <w:spacing w:val="-3"/>
          <w:sz w:val="22"/>
          <w:szCs w:val="22"/>
          <w:lang w:val="da-DK"/>
        </w:rPr>
        <w:t xml:space="preserve"> </w:t>
      </w:r>
      <w:r>
        <w:rPr>
          <w:sz w:val="22"/>
          <w:szCs w:val="22"/>
          <w:lang w:val="da-DK"/>
        </w:rPr>
        <w:t>lægemidlet</w:t>
      </w:r>
      <w:r>
        <w:rPr>
          <w:spacing w:val="-3"/>
          <w:sz w:val="22"/>
          <w:szCs w:val="22"/>
          <w:lang w:val="da-DK"/>
        </w:rPr>
        <w:t xml:space="preserve"> </w:t>
      </w:r>
      <w:r>
        <w:rPr>
          <w:sz w:val="22"/>
          <w:szCs w:val="22"/>
          <w:lang w:val="da-DK"/>
        </w:rPr>
        <w:t>kan</w:t>
      </w:r>
      <w:r>
        <w:rPr>
          <w:spacing w:val="-3"/>
          <w:sz w:val="22"/>
          <w:szCs w:val="22"/>
          <w:lang w:val="da-DK"/>
        </w:rPr>
        <w:t xml:space="preserve"> </w:t>
      </w:r>
      <w:r>
        <w:rPr>
          <w:sz w:val="22"/>
          <w:szCs w:val="22"/>
          <w:lang w:val="da-DK"/>
        </w:rPr>
        <w:t>påvirke dine</w:t>
      </w:r>
      <w:r>
        <w:rPr>
          <w:spacing w:val="-3"/>
          <w:sz w:val="22"/>
          <w:szCs w:val="22"/>
          <w:lang w:val="da-DK"/>
        </w:rPr>
        <w:t xml:space="preserve"> </w:t>
      </w:r>
      <w:r>
        <w:rPr>
          <w:sz w:val="22"/>
          <w:szCs w:val="22"/>
          <w:lang w:val="da-DK"/>
        </w:rPr>
        <w:t>knoglerne</w:t>
      </w:r>
    </w:p>
    <w:p>
      <w:pPr>
        <w:pStyle w:val="ListParagraph"/>
        <w:widowControl w:val="0"/>
        <w:numPr>
          <w:ilvl w:val="0"/>
          <w:numId w:val="12"/>
        </w:numPr>
        <w:tabs>
          <w:tab w:val="left" w:pos="851"/>
          <w:tab w:val="left" w:pos="8505"/>
        </w:tabs>
        <w:autoSpaceDE w:val="0"/>
        <w:autoSpaceDN w:val="0"/>
        <w:ind w:left="851" w:hanging="491"/>
        <w:contextualSpacing w:val="0"/>
        <w:rPr>
          <w:sz w:val="22"/>
          <w:szCs w:val="22"/>
          <w:lang w:val="da-DK"/>
        </w:rPr>
      </w:pPr>
      <w:r>
        <w:rPr>
          <w:sz w:val="22"/>
          <w:szCs w:val="22"/>
          <w:lang w:val="da-DK"/>
        </w:rPr>
        <w:t>hvis</w:t>
      </w:r>
      <w:r>
        <w:rPr>
          <w:spacing w:val="-3"/>
          <w:sz w:val="22"/>
          <w:szCs w:val="22"/>
          <w:lang w:val="da-DK"/>
        </w:rPr>
        <w:t xml:space="preserve"> </w:t>
      </w:r>
      <w:r>
        <w:rPr>
          <w:sz w:val="22"/>
          <w:szCs w:val="22"/>
          <w:lang w:val="da-DK"/>
        </w:rPr>
        <w:t>du</w:t>
      </w:r>
      <w:r>
        <w:rPr>
          <w:spacing w:val="-2"/>
          <w:sz w:val="22"/>
          <w:szCs w:val="22"/>
          <w:lang w:val="da-DK"/>
        </w:rPr>
        <w:t xml:space="preserve"> </w:t>
      </w:r>
      <w:r>
        <w:rPr>
          <w:sz w:val="22"/>
          <w:szCs w:val="22"/>
          <w:lang w:val="da-DK"/>
        </w:rPr>
        <w:t>har</w:t>
      </w:r>
      <w:r>
        <w:rPr>
          <w:spacing w:val="-3"/>
          <w:sz w:val="22"/>
          <w:szCs w:val="22"/>
          <w:lang w:val="da-DK"/>
        </w:rPr>
        <w:t xml:space="preserve"> </w:t>
      </w:r>
      <w:r>
        <w:rPr>
          <w:sz w:val="22"/>
          <w:szCs w:val="22"/>
          <w:lang w:val="da-DK"/>
        </w:rPr>
        <w:t>højt</w:t>
      </w:r>
      <w:r>
        <w:rPr>
          <w:spacing w:val="-2"/>
          <w:sz w:val="22"/>
          <w:szCs w:val="22"/>
          <w:lang w:val="da-DK"/>
        </w:rPr>
        <w:t xml:space="preserve"> </w:t>
      </w:r>
      <w:r>
        <w:rPr>
          <w:sz w:val="22"/>
          <w:szCs w:val="22"/>
          <w:lang w:val="da-DK"/>
        </w:rPr>
        <w:t>blodsukker.</w:t>
      </w:r>
    </w:p>
    <w:p>
      <w:pPr>
        <w:pStyle w:val="BodyText"/>
        <w:tabs>
          <w:tab w:val="left" w:pos="8505"/>
        </w:tabs>
        <w:rPr>
          <w:lang w:val="da-DK"/>
        </w:rPr>
      </w:pPr>
    </w:p>
    <w:p>
      <w:pPr>
        <w:pStyle w:val="BodyText"/>
        <w:tabs>
          <w:tab w:val="left" w:pos="8505"/>
        </w:tabs>
        <w:rPr>
          <w:lang w:val="da-DK"/>
        </w:rPr>
      </w:pPr>
      <w:r>
        <w:rPr>
          <w:lang w:val="da-DK"/>
        </w:rPr>
        <w:t>Fortæl det til lægen, hvis du har fået at vide, at du har sygdomme, der vedrører hjertet eller</w:t>
      </w:r>
      <w:r>
        <w:rPr>
          <w:spacing w:val="1"/>
          <w:lang w:val="da-DK"/>
        </w:rPr>
        <w:t xml:space="preserve"> </w:t>
      </w:r>
      <w:r>
        <w:rPr>
          <w:lang w:val="da-DK"/>
        </w:rPr>
        <w:t>blodkarrene, herunder problemer med hjerterytmen (arytmi), eller hvis du får lægemidler for sådanne</w:t>
      </w:r>
      <w:r>
        <w:rPr>
          <w:spacing w:val="-52"/>
          <w:lang w:val="da-DK"/>
        </w:rPr>
        <w:t xml:space="preserve"> </w:t>
      </w:r>
      <w:r>
        <w:rPr>
          <w:lang w:val="da-DK"/>
        </w:rPr>
        <w:t>sygdomme.</w:t>
      </w:r>
    </w:p>
    <w:p>
      <w:pPr>
        <w:pStyle w:val="BodyText"/>
        <w:tabs>
          <w:tab w:val="left" w:pos="8505"/>
        </w:tabs>
        <w:rPr>
          <w:lang w:val="da-DK"/>
        </w:rPr>
      </w:pPr>
    </w:p>
    <w:p>
      <w:pPr>
        <w:pStyle w:val="BodyText"/>
        <w:tabs>
          <w:tab w:val="left" w:pos="8505"/>
        </w:tabs>
        <w:rPr>
          <w:lang w:val="da-DK"/>
        </w:rPr>
      </w:pPr>
      <w:r>
        <w:rPr>
          <w:lang w:val="da-DK"/>
        </w:rPr>
        <w:t>Fortæl det til lægen, hvis du får gulfarvning af huden eller det hvide i øjnene, mørk urin eller svær kvalme eller opkastning</w:t>
      </w:r>
      <w:bookmarkStart w:id="17" w:name="_Hlk69233452"/>
      <w:r>
        <w:rPr>
          <w:lang w:val="da-DK"/>
        </w:rPr>
        <w:t xml:space="preserve">, </w:t>
      </w:r>
      <w:bookmarkEnd w:id="17"/>
      <w:r>
        <w:rPr>
          <w:lang w:val="da-DK"/>
        </w:rPr>
        <w:t>eftersom dette kan være tegn eller symptomer på leverproblemer. I sjældne tilfælde kan leveren holde op med at fungere (dette kaldes akut leversvigt), hvilket kan være dødeligt.</w:t>
      </w:r>
    </w:p>
    <w:p>
      <w:pPr>
        <w:pStyle w:val="BodyText"/>
        <w:tabs>
          <w:tab w:val="left" w:pos="8505"/>
        </w:tabs>
        <w:rPr>
          <w:lang w:val="da-DK"/>
        </w:rPr>
      </w:pPr>
    </w:p>
    <w:p>
      <w:pPr>
        <w:pStyle w:val="BodyText"/>
        <w:tabs>
          <w:tab w:val="left" w:pos="8505"/>
        </w:tabs>
        <w:rPr>
          <w:lang w:val="da-DK"/>
        </w:rPr>
      </w:pPr>
      <w:r>
        <w:rPr>
          <w:lang w:val="da-DK"/>
        </w:rPr>
        <w:t>Nedsat antal røde blodlegemer, nedsat sexlyst (libido) samt muskelsvaghed og/eller muskelsmerter</w:t>
      </w:r>
      <w:r>
        <w:rPr>
          <w:spacing w:val="-52"/>
          <w:lang w:val="da-DK"/>
        </w:rPr>
        <w:t xml:space="preserve"> </w:t>
      </w:r>
      <w:r>
        <w:rPr>
          <w:lang w:val="da-DK"/>
        </w:rPr>
        <w:t>kan</w:t>
      </w:r>
      <w:r>
        <w:rPr>
          <w:spacing w:val="-2"/>
          <w:lang w:val="da-DK"/>
        </w:rPr>
        <w:t xml:space="preserve"> </w:t>
      </w:r>
      <w:r>
        <w:rPr>
          <w:lang w:val="da-DK"/>
        </w:rPr>
        <w:t>forekomme.</w:t>
      </w:r>
    </w:p>
    <w:p>
      <w:pPr>
        <w:pStyle w:val="BodyText"/>
        <w:tabs>
          <w:tab w:val="left" w:pos="8505"/>
        </w:tabs>
        <w:rPr>
          <w:lang w:val="da-DK"/>
        </w:rPr>
      </w:pPr>
    </w:p>
    <w:p>
      <w:pPr>
        <w:pStyle w:val="BodyText"/>
        <w:tabs>
          <w:tab w:val="left" w:pos="8505"/>
        </w:tabs>
        <w:rPr>
          <w:lang w:val="da-DK"/>
        </w:rPr>
      </w:pPr>
      <w:r>
        <w:rPr>
          <w:lang w:val="da-DK"/>
        </w:rPr>
        <w:t>Abiraterone Krka må ikke gives i kombination med Ra-223 på grund af en mulig forøgelse af risikoen for knoglebrud eller dødsfald.</w:t>
      </w:r>
    </w:p>
    <w:p>
      <w:pPr>
        <w:pStyle w:val="BodyText"/>
        <w:tabs>
          <w:tab w:val="left" w:pos="8505"/>
        </w:tabs>
        <w:rPr>
          <w:lang w:val="da-DK"/>
        </w:rPr>
      </w:pPr>
    </w:p>
    <w:p>
      <w:pPr>
        <w:pStyle w:val="BodyText"/>
        <w:tabs>
          <w:tab w:val="left" w:pos="8505"/>
        </w:tabs>
        <w:rPr>
          <w:lang w:val="da-DK"/>
        </w:rPr>
      </w:pPr>
      <w:r>
        <w:rPr>
          <w:lang w:val="da-DK"/>
        </w:rPr>
        <w:t>Hvis du planlægger at bruge Ra-223 efter behandling med Abiraterone Krka og prednison/prednisolon, skal du vente 5 dage, før du starter behandling med Ra-223.</w:t>
      </w:r>
    </w:p>
    <w:p>
      <w:pPr>
        <w:pStyle w:val="BodyText"/>
        <w:tabs>
          <w:tab w:val="left" w:pos="8505"/>
        </w:tabs>
        <w:rPr>
          <w:lang w:val="da-DK"/>
        </w:rPr>
      </w:pPr>
    </w:p>
    <w:p>
      <w:pPr>
        <w:pStyle w:val="BodyText"/>
        <w:tabs>
          <w:tab w:val="left" w:pos="8505"/>
        </w:tabs>
        <w:rPr>
          <w:lang w:val="da-DK"/>
        </w:rPr>
      </w:pPr>
      <w:r>
        <w:rPr>
          <w:lang w:val="da-DK"/>
        </w:rPr>
        <w:t>Spørg lægen eller på apoteket, før du bruger dette lægemiddel, hvis du er usikker på, om noget af dette</w:t>
      </w:r>
      <w:r>
        <w:rPr>
          <w:spacing w:val="-52"/>
          <w:lang w:val="da-DK"/>
        </w:rPr>
        <w:t xml:space="preserve"> </w:t>
      </w:r>
      <w:r>
        <w:rPr>
          <w:lang w:val="da-DK"/>
        </w:rPr>
        <w:t>gælder</w:t>
      </w:r>
      <w:r>
        <w:rPr>
          <w:spacing w:val="-2"/>
          <w:lang w:val="da-DK"/>
        </w:rPr>
        <w:t xml:space="preserve"> </w:t>
      </w:r>
      <w:r>
        <w:rPr>
          <w:lang w:val="da-DK"/>
        </w:rPr>
        <w:t>for</w:t>
      </w:r>
      <w:r>
        <w:rPr>
          <w:spacing w:val="-1"/>
          <w:lang w:val="da-DK"/>
        </w:rPr>
        <w:t xml:space="preserve"> </w:t>
      </w:r>
      <w:r>
        <w:rPr>
          <w:lang w:val="da-DK"/>
        </w:rPr>
        <w:t>dig.</w:t>
      </w:r>
    </w:p>
    <w:p>
      <w:pPr>
        <w:pStyle w:val="BodyText"/>
        <w:tabs>
          <w:tab w:val="left" w:pos="8505"/>
        </w:tabs>
        <w:rPr>
          <w:lang w:val="da-DK"/>
        </w:rPr>
      </w:pPr>
    </w:p>
    <w:p>
      <w:pPr>
        <w:pStyle w:val="Heading1"/>
      </w:pPr>
      <w:r>
        <w:t>Blodprøvekontrol</w:t>
      </w:r>
    </w:p>
    <w:p>
      <w:pPr>
        <w:widowControl w:val="0"/>
        <w:rPr>
          <w:sz w:val="22"/>
          <w:szCs w:val="22"/>
          <w:lang w:val="da-DK"/>
        </w:rPr>
      </w:pPr>
      <w:bookmarkStart w:id="18" w:name="_Hlk69235004"/>
      <w:r>
        <w:rPr>
          <w:sz w:val="22"/>
          <w:szCs w:val="22"/>
          <w:lang w:val="da-DK"/>
        </w:rPr>
        <w:t xml:space="preserve">Abiraterone Krka </w:t>
      </w:r>
      <w:bookmarkEnd w:id="18"/>
      <w:r>
        <w:rPr>
          <w:sz w:val="22"/>
          <w:szCs w:val="22"/>
          <w:lang w:val="da-DK"/>
        </w:rPr>
        <w:t xml:space="preserve">kan påvirke leveren, uden at du får symptomer. Når du bruger dette lægemiddel, skal du have taget jævnlige blodprøver hos lægen for at få kontrolleret, om </w:t>
      </w:r>
      <w:ins w:id="19" w:author="Skalberg, Fanny" w:date="2025-10-20T14:21:00Z">
        <w:r>
          <w:rPr>
            <w:sz w:val="22"/>
            <w:szCs w:val="22"/>
            <w:lang w:val="da-DK"/>
          </w:rPr>
          <w:t>lægemid</w:t>
        </w:r>
      </w:ins>
      <w:ins w:id="20" w:author="Skalberg, Fanny" w:date="2025-10-20T14:22:00Z">
        <w:r>
          <w:rPr>
            <w:sz w:val="22"/>
            <w:szCs w:val="22"/>
            <w:lang w:val="da-DK"/>
          </w:rPr>
          <w:t>let</w:t>
        </w:r>
      </w:ins>
      <w:del w:id="21" w:author="Skalberg, Fanny" w:date="2025-10-20T14:21:00Z">
        <w:r>
          <w:rPr>
            <w:sz w:val="22"/>
            <w:szCs w:val="22"/>
            <w:lang w:val="da-DK"/>
          </w:rPr>
          <w:delText>medicinen</w:delText>
        </w:r>
      </w:del>
      <w:r>
        <w:rPr>
          <w:sz w:val="22"/>
          <w:szCs w:val="22"/>
          <w:lang w:val="da-DK"/>
        </w:rPr>
        <w:t xml:space="preserve"> påvirker din lever.</w:t>
      </w:r>
    </w:p>
    <w:p>
      <w:pPr>
        <w:widowControl w:val="0"/>
        <w:rPr>
          <w:b/>
          <w:noProof/>
          <w:sz w:val="22"/>
          <w:szCs w:val="22"/>
          <w:lang w:val="da-DK"/>
        </w:rPr>
      </w:pPr>
    </w:p>
    <w:p>
      <w:pPr>
        <w:widowControl w:val="0"/>
        <w:rPr>
          <w:b/>
          <w:sz w:val="22"/>
          <w:szCs w:val="22"/>
          <w:lang w:val="da-DK"/>
        </w:rPr>
      </w:pPr>
      <w:r>
        <w:rPr>
          <w:b/>
          <w:sz w:val="22"/>
          <w:szCs w:val="22"/>
          <w:lang w:val="da-DK"/>
        </w:rPr>
        <w:t xml:space="preserve">Børn og </w:t>
      </w:r>
      <w:r>
        <w:rPr>
          <w:b/>
          <w:noProof/>
          <w:sz w:val="22"/>
          <w:szCs w:val="22"/>
          <w:lang w:val="da-DK"/>
        </w:rPr>
        <w:t>unge</w:t>
      </w:r>
    </w:p>
    <w:p>
      <w:pPr>
        <w:widowControl w:val="0"/>
        <w:rPr>
          <w:sz w:val="22"/>
          <w:szCs w:val="22"/>
          <w:lang w:val="da-DK"/>
        </w:rPr>
      </w:pPr>
      <w:r>
        <w:rPr>
          <w:sz w:val="22"/>
          <w:szCs w:val="22"/>
          <w:lang w:val="da-DK"/>
        </w:rPr>
        <w:t>Dette lægemiddel er ikke beregnet til børn og unge. Hvis et barn eller en ung person ved et uheld kommer til at tage Abiraterone Krka, skal I straks tage på hospitalet og medbringe indlægssedlen, så I kan vise den til lægen på skadestuen.</w:t>
      </w:r>
    </w:p>
    <w:p>
      <w:pPr>
        <w:widowControl w:val="0"/>
        <w:rPr>
          <w:sz w:val="22"/>
          <w:szCs w:val="22"/>
          <w:lang w:val="da-DK"/>
        </w:rPr>
      </w:pPr>
    </w:p>
    <w:p>
      <w:pPr>
        <w:widowControl w:val="0"/>
        <w:rPr>
          <w:b/>
          <w:sz w:val="22"/>
          <w:szCs w:val="22"/>
          <w:lang w:val="da-DK"/>
        </w:rPr>
      </w:pPr>
      <w:r>
        <w:rPr>
          <w:b/>
          <w:sz w:val="22"/>
          <w:szCs w:val="22"/>
          <w:lang w:val="da-DK"/>
        </w:rPr>
        <w:t xml:space="preserve">Brug af </w:t>
      </w:r>
      <w:ins w:id="22" w:author="Skalberg, Fanny" w:date="2025-10-20T14:13:00Z">
        <w:r>
          <w:rPr>
            <w:b/>
            <w:sz w:val="22"/>
            <w:szCs w:val="22"/>
            <w:lang w:val="da-DK"/>
          </w:rPr>
          <w:t xml:space="preserve">andre lægemidler </w:t>
        </w:r>
      </w:ins>
      <w:del w:id="23" w:author="Skalberg, Fanny" w:date="2025-10-20T14:13:00Z">
        <w:r>
          <w:rPr>
            <w:b/>
            <w:sz w:val="22"/>
            <w:szCs w:val="22"/>
            <w:lang w:val="da-DK"/>
          </w:rPr>
          <w:delText xml:space="preserve">anden medicin </w:delText>
        </w:r>
      </w:del>
      <w:r>
        <w:rPr>
          <w:b/>
          <w:sz w:val="22"/>
          <w:szCs w:val="22"/>
          <w:lang w:val="da-DK"/>
        </w:rPr>
        <w:t>sammen med Abiraterone Krka</w:t>
      </w:r>
    </w:p>
    <w:p>
      <w:pPr>
        <w:pStyle w:val="BodyText"/>
        <w:tabs>
          <w:tab w:val="left" w:pos="8505"/>
        </w:tabs>
        <w:jc w:val="both"/>
        <w:rPr>
          <w:lang w:val="da-DK"/>
        </w:rPr>
      </w:pPr>
      <w:r>
        <w:rPr>
          <w:lang w:val="da-DK"/>
        </w:rPr>
        <w:t>Spørg</w:t>
      </w:r>
      <w:r>
        <w:rPr>
          <w:spacing w:val="-3"/>
          <w:lang w:val="da-DK"/>
        </w:rPr>
        <w:t xml:space="preserve"> </w:t>
      </w:r>
      <w:r>
        <w:rPr>
          <w:lang w:val="da-DK"/>
        </w:rPr>
        <w:t>din</w:t>
      </w:r>
      <w:r>
        <w:rPr>
          <w:spacing w:val="-3"/>
          <w:lang w:val="da-DK"/>
        </w:rPr>
        <w:t xml:space="preserve"> </w:t>
      </w:r>
      <w:r>
        <w:rPr>
          <w:lang w:val="da-DK"/>
        </w:rPr>
        <w:t>læge</w:t>
      </w:r>
      <w:r>
        <w:rPr>
          <w:spacing w:val="-3"/>
          <w:lang w:val="da-DK"/>
        </w:rPr>
        <w:t xml:space="preserve"> </w:t>
      </w:r>
      <w:r>
        <w:rPr>
          <w:lang w:val="da-DK"/>
        </w:rPr>
        <w:t>eller</w:t>
      </w:r>
      <w:r>
        <w:rPr>
          <w:spacing w:val="-2"/>
          <w:lang w:val="da-DK"/>
        </w:rPr>
        <w:t xml:space="preserve"> </w:t>
      </w:r>
      <w:r>
        <w:rPr>
          <w:lang w:val="da-DK"/>
        </w:rPr>
        <w:t>apotekspersonalet</w:t>
      </w:r>
      <w:r>
        <w:rPr>
          <w:spacing w:val="-3"/>
          <w:lang w:val="da-DK"/>
        </w:rPr>
        <w:t xml:space="preserve"> </w:t>
      </w:r>
      <w:r>
        <w:rPr>
          <w:lang w:val="da-DK"/>
        </w:rPr>
        <w:t>til</w:t>
      </w:r>
      <w:r>
        <w:rPr>
          <w:spacing w:val="-3"/>
          <w:lang w:val="da-DK"/>
        </w:rPr>
        <w:t xml:space="preserve"> </w:t>
      </w:r>
      <w:r>
        <w:rPr>
          <w:lang w:val="da-DK"/>
        </w:rPr>
        <w:t>råds,</w:t>
      </w:r>
      <w:r>
        <w:rPr>
          <w:spacing w:val="-3"/>
          <w:lang w:val="da-DK"/>
        </w:rPr>
        <w:t xml:space="preserve"> </w:t>
      </w:r>
      <w:r>
        <w:rPr>
          <w:lang w:val="da-DK"/>
        </w:rPr>
        <w:t>inden</w:t>
      </w:r>
      <w:r>
        <w:rPr>
          <w:spacing w:val="-2"/>
          <w:lang w:val="da-DK"/>
        </w:rPr>
        <w:t xml:space="preserve"> </w:t>
      </w:r>
      <w:r>
        <w:rPr>
          <w:lang w:val="da-DK"/>
        </w:rPr>
        <w:t>du</w:t>
      </w:r>
      <w:r>
        <w:rPr>
          <w:spacing w:val="-3"/>
          <w:lang w:val="da-DK"/>
        </w:rPr>
        <w:t xml:space="preserve"> </w:t>
      </w:r>
      <w:r>
        <w:rPr>
          <w:lang w:val="da-DK"/>
        </w:rPr>
        <w:t>bruger</w:t>
      </w:r>
      <w:r>
        <w:rPr>
          <w:spacing w:val="-3"/>
          <w:lang w:val="da-DK"/>
        </w:rPr>
        <w:t xml:space="preserve"> </w:t>
      </w:r>
      <w:r>
        <w:rPr>
          <w:lang w:val="da-DK"/>
        </w:rPr>
        <w:t>nogen</w:t>
      </w:r>
      <w:r>
        <w:rPr>
          <w:spacing w:val="-3"/>
          <w:lang w:val="da-DK"/>
        </w:rPr>
        <w:t xml:space="preserve"> </w:t>
      </w:r>
      <w:r>
        <w:rPr>
          <w:lang w:val="da-DK"/>
        </w:rPr>
        <w:t>form</w:t>
      </w:r>
      <w:r>
        <w:rPr>
          <w:spacing w:val="-2"/>
          <w:lang w:val="da-DK"/>
        </w:rPr>
        <w:t xml:space="preserve"> </w:t>
      </w:r>
      <w:r>
        <w:rPr>
          <w:lang w:val="da-DK"/>
        </w:rPr>
        <w:t>for</w:t>
      </w:r>
      <w:r>
        <w:rPr>
          <w:spacing w:val="-3"/>
          <w:lang w:val="da-DK"/>
        </w:rPr>
        <w:t xml:space="preserve"> </w:t>
      </w:r>
      <w:r>
        <w:rPr>
          <w:lang w:val="da-DK"/>
        </w:rPr>
        <w:t>medicin.</w:t>
      </w:r>
    </w:p>
    <w:p>
      <w:pPr>
        <w:pStyle w:val="BodyText"/>
        <w:tabs>
          <w:tab w:val="left" w:pos="8505"/>
        </w:tabs>
        <w:rPr>
          <w:lang w:val="da-DK"/>
        </w:rPr>
      </w:pPr>
    </w:p>
    <w:p>
      <w:pPr>
        <w:pStyle w:val="BodyText"/>
        <w:tabs>
          <w:tab w:val="left" w:pos="8505"/>
        </w:tabs>
        <w:rPr>
          <w:lang w:val="da-DK"/>
        </w:rPr>
      </w:pPr>
      <w:r>
        <w:rPr>
          <w:lang w:val="da-DK"/>
        </w:rPr>
        <w:t xml:space="preserve">Fortæl det altid til lægen eller apotekspersonalet, hvis du bruger </w:t>
      </w:r>
      <w:ins w:id="24" w:author="Skalberg, Fanny" w:date="2025-10-20T14:15:00Z">
        <w:r>
          <w:rPr>
            <w:lang w:val="da-DK"/>
          </w:rPr>
          <w:t xml:space="preserve">andre lægemidler </w:t>
        </w:r>
      </w:ins>
      <w:del w:id="25" w:author="Skalberg, Fanny" w:date="2025-10-20T14:15:00Z">
        <w:r>
          <w:rPr>
            <w:lang w:val="da-DK"/>
          </w:rPr>
          <w:delText xml:space="preserve">anden medicin </w:delText>
        </w:r>
      </w:del>
      <w:r>
        <w:rPr>
          <w:lang w:val="da-DK"/>
        </w:rPr>
        <w:t xml:space="preserve">eller har gjort det for nylig. Det er vigtigt, fordi Abiraterone Krka kan forstærke virkningen af en række lægemidler, herunder hjertemedicin, beroligende midler, visse lægemidler mod diabetes, naturlægemidler (f.eks. perikon) og </w:t>
      </w:r>
      <w:ins w:id="26" w:author="Skalberg, Fanny" w:date="2025-10-20T14:15:00Z">
        <w:r>
          <w:rPr>
            <w:lang w:val="da-DK"/>
          </w:rPr>
          <w:t>andre lægemidler</w:t>
        </w:r>
      </w:ins>
      <w:del w:id="27" w:author="Skalberg, Fanny" w:date="2025-10-20T14:15:00Z">
        <w:r>
          <w:rPr>
            <w:lang w:val="da-DK"/>
          </w:rPr>
          <w:delText>anden medicin</w:delText>
        </w:r>
      </w:del>
      <w:r>
        <w:rPr>
          <w:lang w:val="da-DK"/>
        </w:rPr>
        <w:t>. Din læge vil måske ændre dosis af disse lægemidler. Desuden kan nogle lægemidler forstærke eller nedsætte virkningen af Abiraterone Krka. Det kan medføre bivirkninger eller resultere i, at Abiraterone Krka ikke virker så godt, som det skal.</w:t>
      </w:r>
    </w:p>
    <w:p>
      <w:pPr>
        <w:pStyle w:val="BodyText"/>
        <w:tabs>
          <w:tab w:val="left" w:pos="8505"/>
        </w:tabs>
        <w:rPr>
          <w:lang w:val="da-DK"/>
        </w:rPr>
      </w:pPr>
    </w:p>
    <w:p>
      <w:pPr>
        <w:pStyle w:val="BodyText"/>
        <w:tabs>
          <w:tab w:val="left" w:pos="8505"/>
        </w:tabs>
        <w:rPr>
          <w:lang w:val="da-DK"/>
        </w:rPr>
      </w:pPr>
      <w:r>
        <w:rPr>
          <w:lang w:val="da-DK"/>
        </w:rPr>
        <w:t>Androgen deprivationsbehandling kan øge risikoen for problemer med hjerterytmen. Fortæl det til lægen, hvis</w:t>
      </w:r>
      <w:r>
        <w:rPr>
          <w:spacing w:val="-1"/>
          <w:lang w:val="da-DK"/>
        </w:rPr>
        <w:t xml:space="preserve"> </w:t>
      </w:r>
      <w:r>
        <w:rPr>
          <w:lang w:val="da-DK"/>
        </w:rPr>
        <w:t>du</w:t>
      </w:r>
      <w:r>
        <w:rPr>
          <w:spacing w:val="-1"/>
          <w:lang w:val="da-DK"/>
        </w:rPr>
        <w:t xml:space="preserve"> </w:t>
      </w:r>
      <w:r>
        <w:rPr>
          <w:lang w:val="da-DK"/>
        </w:rPr>
        <w:t>bruger</w:t>
      </w:r>
      <w:r>
        <w:rPr>
          <w:spacing w:val="-1"/>
          <w:lang w:val="da-DK"/>
        </w:rPr>
        <w:t xml:space="preserve"> </w:t>
      </w:r>
      <w:ins w:id="28" w:author="Skalberg, Fanny" w:date="2025-10-20T14:15:00Z">
        <w:r>
          <w:rPr>
            <w:spacing w:val="-1"/>
            <w:lang w:val="da-DK"/>
          </w:rPr>
          <w:t>lægemidler</w:t>
        </w:r>
      </w:ins>
      <w:del w:id="29" w:author="Skalberg, Fanny" w:date="2025-10-20T14:15:00Z">
        <w:r>
          <w:rPr>
            <w:lang w:val="da-DK"/>
          </w:rPr>
          <w:delText>medicin</w:delText>
        </w:r>
      </w:del>
      <w:r>
        <w:rPr>
          <w:lang w:val="da-DK"/>
        </w:rPr>
        <w:t>,</w:t>
      </w:r>
      <w:r>
        <w:rPr>
          <w:spacing w:val="-1"/>
          <w:lang w:val="da-DK"/>
        </w:rPr>
        <w:t xml:space="preserve"> </w:t>
      </w:r>
      <w:r>
        <w:rPr>
          <w:lang w:val="da-DK"/>
        </w:rPr>
        <w:t>som</w:t>
      </w:r>
    </w:p>
    <w:p>
      <w:pPr>
        <w:pStyle w:val="ListParagraph"/>
        <w:widowControl w:val="0"/>
        <w:numPr>
          <w:ilvl w:val="0"/>
          <w:numId w:val="13"/>
        </w:numPr>
        <w:tabs>
          <w:tab w:val="left" w:pos="8505"/>
        </w:tabs>
        <w:autoSpaceDE w:val="0"/>
        <w:autoSpaceDN w:val="0"/>
        <w:ind w:left="567" w:hanging="567"/>
        <w:contextualSpacing w:val="0"/>
        <w:rPr>
          <w:sz w:val="22"/>
          <w:szCs w:val="22"/>
          <w:lang w:val="da-DK"/>
        </w:rPr>
      </w:pPr>
      <w:r>
        <w:rPr>
          <w:sz w:val="22"/>
          <w:szCs w:val="22"/>
          <w:lang w:val="da-DK"/>
        </w:rPr>
        <w:t>bruges til at behandle problemer med hjerterytmen (f.eks. kinidin, procainamid, amiodaron og</w:t>
      </w:r>
      <w:r>
        <w:rPr>
          <w:spacing w:val="-52"/>
          <w:sz w:val="22"/>
          <w:szCs w:val="22"/>
          <w:lang w:val="da-DK"/>
        </w:rPr>
        <w:t xml:space="preserve"> </w:t>
      </w:r>
      <w:r>
        <w:rPr>
          <w:sz w:val="22"/>
          <w:szCs w:val="22"/>
          <w:lang w:val="da-DK"/>
        </w:rPr>
        <w:t>sotalol).</w:t>
      </w:r>
    </w:p>
    <w:p>
      <w:pPr>
        <w:pStyle w:val="ListParagraph"/>
        <w:widowControl w:val="0"/>
        <w:numPr>
          <w:ilvl w:val="0"/>
          <w:numId w:val="13"/>
        </w:numPr>
        <w:tabs>
          <w:tab w:val="left" w:pos="8505"/>
        </w:tabs>
        <w:autoSpaceDE w:val="0"/>
        <w:autoSpaceDN w:val="0"/>
        <w:ind w:left="567" w:hanging="567"/>
        <w:contextualSpacing w:val="0"/>
        <w:rPr>
          <w:sz w:val="22"/>
          <w:szCs w:val="22"/>
          <w:lang w:val="da-DK"/>
        </w:rPr>
      </w:pPr>
      <w:r>
        <w:rPr>
          <w:sz w:val="22"/>
          <w:szCs w:val="22"/>
          <w:lang w:val="da-DK"/>
        </w:rPr>
        <w:lastRenderedPageBreak/>
        <w:t>vides at øge risikoen for problemer med hjerterytmen [f.eks. methadon (som anvendes til</w:t>
      </w:r>
      <w:r>
        <w:rPr>
          <w:spacing w:val="-52"/>
          <w:sz w:val="22"/>
          <w:szCs w:val="22"/>
          <w:lang w:val="da-DK"/>
        </w:rPr>
        <w:t xml:space="preserve"> </w:t>
      </w:r>
      <w:r>
        <w:rPr>
          <w:sz w:val="22"/>
          <w:szCs w:val="22"/>
          <w:lang w:val="da-DK"/>
        </w:rPr>
        <w:t>smertelindring samt i forbindelse med afvænning ved stofmisbrug), moxifloxacin (et</w:t>
      </w:r>
      <w:r>
        <w:rPr>
          <w:spacing w:val="1"/>
          <w:sz w:val="22"/>
          <w:szCs w:val="22"/>
          <w:lang w:val="da-DK"/>
        </w:rPr>
        <w:t xml:space="preserve"> </w:t>
      </w:r>
      <w:r>
        <w:rPr>
          <w:sz w:val="22"/>
          <w:szCs w:val="22"/>
          <w:lang w:val="da-DK"/>
        </w:rPr>
        <w:t>antibiotikum),</w:t>
      </w:r>
      <w:r>
        <w:rPr>
          <w:spacing w:val="-3"/>
          <w:sz w:val="22"/>
          <w:szCs w:val="22"/>
          <w:lang w:val="da-DK"/>
        </w:rPr>
        <w:t xml:space="preserve"> </w:t>
      </w:r>
      <w:r>
        <w:rPr>
          <w:sz w:val="22"/>
          <w:szCs w:val="22"/>
          <w:lang w:val="da-DK"/>
        </w:rPr>
        <w:t>antipsykotika</w:t>
      </w:r>
      <w:r>
        <w:rPr>
          <w:spacing w:val="-2"/>
          <w:sz w:val="22"/>
          <w:szCs w:val="22"/>
          <w:lang w:val="da-DK"/>
        </w:rPr>
        <w:t xml:space="preserve"> </w:t>
      </w:r>
      <w:r>
        <w:rPr>
          <w:sz w:val="22"/>
          <w:szCs w:val="22"/>
          <w:lang w:val="da-DK"/>
        </w:rPr>
        <w:t>(som</w:t>
      </w:r>
      <w:r>
        <w:rPr>
          <w:spacing w:val="-3"/>
          <w:sz w:val="22"/>
          <w:szCs w:val="22"/>
          <w:lang w:val="da-DK"/>
        </w:rPr>
        <w:t xml:space="preserve"> </w:t>
      </w:r>
      <w:r>
        <w:rPr>
          <w:sz w:val="22"/>
          <w:szCs w:val="22"/>
          <w:lang w:val="da-DK"/>
        </w:rPr>
        <w:t>anvendes</w:t>
      </w:r>
      <w:r>
        <w:rPr>
          <w:spacing w:val="-2"/>
          <w:sz w:val="22"/>
          <w:szCs w:val="22"/>
          <w:lang w:val="da-DK"/>
        </w:rPr>
        <w:t xml:space="preserve"> </w:t>
      </w:r>
      <w:r>
        <w:rPr>
          <w:sz w:val="22"/>
          <w:szCs w:val="22"/>
          <w:lang w:val="da-DK"/>
        </w:rPr>
        <w:t>til</w:t>
      </w:r>
      <w:r>
        <w:rPr>
          <w:spacing w:val="-2"/>
          <w:sz w:val="22"/>
          <w:szCs w:val="22"/>
          <w:lang w:val="da-DK"/>
        </w:rPr>
        <w:t xml:space="preserve"> </w:t>
      </w:r>
      <w:r>
        <w:rPr>
          <w:sz w:val="22"/>
          <w:szCs w:val="22"/>
          <w:lang w:val="da-DK"/>
        </w:rPr>
        <w:t>alvorlige</w:t>
      </w:r>
      <w:r>
        <w:rPr>
          <w:spacing w:val="-3"/>
          <w:sz w:val="22"/>
          <w:szCs w:val="22"/>
          <w:lang w:val="da-DK"/>
        </w:rPr>
        <w:t xml:space="preserve"> </w:t>
      </w:r>
      <w:r>
        <w:rPr>
          <w:sz w:val="22"/>
          <w:szCs w:val="22"/>
          <w:lang w:val="da-DK"/>
        </w:rPr>
        <w:t>psykiske</w:t>
      </w:r>
      <w:r>
        <w:rPr>
          <w:spacing w:val="-2"/>
          <w:sz w:val="22"/>
          <w:szCs w:val="22"/>
          <w:lang w:val="da-DK"/>
        </w:rPr>
        <w:t xml:space="preserve"> </w:t>
      </w:r>
      <w:r>
        <w:rPr>
          <w:sz w:val="22"/>
          <w:szCs w:val="22"/>
          <w:lang w:val="da-DK"/>
        </w:rPr>
        <w:t>lidelser)].</w:t>
      </w:r>
    </w:p>
    <w:p>
      <w:pPr>
        <w:pStyle w:val="BodyText"/>
        <w:tabs>
          <w:tab w:val="left" w:pos="8505"/>
        </w:tabs>
        <w:rPr>
          <w:lang w:val="da-DK"/>
        </w:rPr>
      </w:pPr>
    </w:p>
    <w:p>
      <w:pPr>
        <w:widowControl w:val="0"/>
        <w:rPr>
          <w:b/>
          <w:sz w:val="22"/>
          <w:szCs w:val="22"/>
          <w:lang w:val="da-DK"/>
        </w:rPr>
      </w:pPr>
      <w:r>
        <w:rPr>
          <w:sz w:val="22"/>
          <w:szCs w:val="22"/>
          <w:lang w:val="da-DK"/>
        </w:rPr>
        <w:t>Fortæl</w:t>
      </w:r>
      <w:r>
        <w:rPr>
          <w:spacing w:val="-3"/>
          <w:sz w:val="22"/>
          <w:szCs w:val="22"/>
          <w:lang w:val="da-DK"/>
        </w:rPr>
        <w:t xml:space="preserve"> </w:t>
      </w:r>
      <w:r>
        <w:rPr>
          <w:sz w:val="22"/>
          <w:szCs w:val="22"/>
          <w:lang w:val="da-DK"/>
        </w:rPr>
        <w:t>det</w:t>
      </w:r>
      <w:r>
        <w:rPr>
          <w:spacing w:val="-3"/>
          <w:sz w:val="22"/>
          <w:szCs w:val="22"/>
          <w:lang w:val="da-DK"/>
        </w:rPr>
        <w:t xml:space="preserve"> </w:t>
      </w:r>
      <w:r>
        <w:rPr>
          <w:sz w:val="22"/>
          <w:szCs w:val="22"/>
          <w:lang w:val="da-DK"/>
        </w:rPr>
        <w:t>til</w:t>
      </w:r>
      <w:r>
        <w:rPr>
          <w:spacing w:val="-3"/>
          <w:sz w:val="22"/>
          <w:szCs w:val="22"/>
          <w:lang w:val="da-DK"/>
        </w:rPr>
        <w:t xml:space="preserve"> </w:t>
      </w:r>
      <w:r>
        <w:rPr>
          <w:sz w:val="22"/>
          <w:szCs w:val="22"/>
          <w:lang w:val="da-DK"/>
        </w:rPr>
        <w:t>din</w:t>
      </w:r>
      <w:r>
        <w:rPr>
          <w:spacing w:val="-3"/>
          <w:sz w:val="22"/>
          <w:szCs w:val="22"/>
          <w:lang w:val="da-DK"/>
        </w:rPr>
        <w:t xml:space="preserve"> </w:t>
      </w:r>
      <w:r>
        <w:rPr>
          <w:sz w:val="22"/>
          <w:szCs w:val="22"/>
          <w:lang w:val="da-DK"/>
        </w:rPr>
        <w:t>læge,</w:t>
      </w:r>
      <w:r>
        <w:rPr>
          <w:spacing w:val="-2"/>
          <w:sz w:val="22"/>
          <w:szCs w:val="22"/>
          <w:lang w:val="da-DK"/>
        </w:rPr>
        <w:t xml:space="preserve"> </w:t>
      </w:r>
      <w:r>
        <w:rPr>
          <w:sz w:val="22"/>
          <w:szCs w:val="22"/>
          <w:lang w:val="da-DK"/>
        </w:rPr>
        <w:t>hvis</w:t>
      </w:r>
      <w:r>
        <w:rPr>
          <w:spacing w:val="-3"/>
          <w:sz w:val="22"/>
          <w:szCs w:val="22"/>
          <w:lang w:val="da-DK"/>
        </w:rPr>
        <w:t xml:space="preserve"> </w:t>
      </w:r>
      <w:r>
        <w:rPr>
          <w:sz w:val="22"/>
          <w:szCs w:val="22"/>
          <w:lang w:val="da-DK"/>
        </w:rPr>
        <w:t>du</w:t>
      </w:r>
      <w:r>
        <w:rPr>
          <w:spacing w:val="-3"/>
          <w:sz w:val="22"/>
          <w:szCs w:val="22"/>
          <w:lang w:val="da-DK"/>
        </w:rPr>
        <w:t xml:space="preserve"> </w:t>
      </w:r>
      <w:r>
        <w:rPr>
          <w:sz w:val="22"/>
          <w:szCs w:val="22"/>
          <w:lang w:val="da-DK"/>
        </w:rPr>
        <w:t>bruger nogen</w:t>
      </w:r>
      <w:r>
        <w:rPr>
          <w:spacing w:val="-3"/>
          <w:sz w:val="22"/>
          <w:szCs w:val="22"/>
          <w:lang w:val="da-DK"/>
        </w:rPr>
        <w:t xml:space="preserve"> </w:t>
      </w:r>
      <w:r>
        <w:rPr>
          <w:sz w:val="22"/>
          <w:szCs w:val="22"/>
          <w:lang w:val="da-DK"/>
        </w:rPr>
        <w:t>af</w:t>
      </w:r>
      <w:r>
        <w:rPr>
          <w:spacing w:val="-2"/>
          <w:sz w:val="22"/>
          <w:szCs w:val="22"/>
          <w:lang w:val="da-DK"/>
        </w:rPr>
        <w:t xml:space="preserve"> </w:t>
      </w:r>
      <w:r>
        <w:rPr>
          <w:sz w:val="22"/>
          <w:szCs w:val="22"/>
          <w:lang w:val="da-DK"/>
        </w:rPr>
        <w:t>de</w:t>
      </w:r>
      <w:r>
        <w:rPr>
          <w:spacing w:val="-3"/>
          <w:sz w:val="22"/>
          <w:szCs w:val="22"/>
          <w:lang w:val="da-DK"/>
        </w:rPr>
        <w:t xml:space="preserve"> </w:t>
      </w:r>
      <w:r>
        <w:rPr>
          <w:sz w:val="22"/>
          <w:szCs w:val="22"/>
          <w:lang w:val="da-DK"/>
        </w:rPr>
        <w:t>ovenstående</w:t>
      </w:r>
      <w:r>
        <w:rPr>
          <w:spacing w:val="-3"/>
          <w:sz w:val="22"/>
          <w:szCs w:val="22"/>
          <w:lang w:val="da-DK"/>
        </w:rPr>
        <w:t xml:space="preserve"> </w:t>
      </w:r>
      <w:r>
        <w:rPr>
          <w:sz w:val="22"/>
          <w:szCs w:val="22"/>
          <w:lang w:val="da-DK"/>
        </w:rPr>
        <w:t>lægemidler.</w:t>
      </w:r>
    </w:p>
    <w:p>
      <w:pPr>
        <w:widowControl w:val="0"/>
        <w:rPr>
          <w:b/>
          <w:sz w:val="22"/>
          <w:szCs w:val="22"/>
          <w:lang w:val="da-DK"/>
        </w:rPr>
      </w:pPr>
    </w:p>
    <w:p>
      <w:pPr>
        <w:widowControl w:val="0"/>
        <w:rPr>
          <w:b/>
          <w:sz w:val="22"/>
          <w:szCs w:val="22"/>
          <w:lang w:val="da-DK"/>
        </w:rPr>
      </w:pPr>
      <w:r>
        <w:rPr>
          <w:b/>
          <w:sz w:val="22"/>
          <w:szCs w:val="22"/>
          <w:lang w:val="da-DK"/>
        </w:rPr>
        <w:t>Brug af Abiraterone Krka sammen med mad</w:t>
      </w:r>
    </w:p>
    <w:p>
      <w:pPr>
        <w:pStyle w:val="ListParagraph"/>
        <w:widowControl w:val="0"/>
        <w:numPr>
          <w:ilvl w:val="0"/>
          <w:numId w:val="14"/>
        </w:numPr>
        <w:ind w:left="567" w:hanging="567"/>
        <w:contextualSpacing w:val="0"/>
        <w:rPr>
          <w:sz w:val="22"/>
          <w:szCs w:val="22"/>
          <w:lang w:val="da-DK"/>
        </w:rPr>
      </w:pPr>
      <w:r>
        <w:rPr>
          <w:sz w:val="22"/>
          <w:szCs w:val="22"/>
          <w:lang w:val="da-DK"/>
        </w:rPr>
        <w:t xml:space="preserve">Dette lægemiddel må ikke tages sammen med mad (se ”Sådan skal du tage </w:t>
      </w:r>
      <w:del w:id="30" w:author="Skalberg, Fanny" w:date="2025-10-20T14:17:00Z">
        <w:r>
          <w:rPr>
            <w:sz w:val="22"/>
            <w:szCs w:val="22"/>
            <w:lang w:val="da-DK"/>
          </w:rPr>
          <w:delText>medicinen</w:delText>
        </w:r>
      </w:del>
      <w:ins w:id="31" w:author="Skalberg, Fanny" w:date="2025-10-20T14:17:00Z">
        <w:r>
          <w:rPr>
            <w:sz w:val="22"/>
            <w:szCs w:val="22"/>
            <w:lang w:val="da-DK"/>
          </w:rPr>
          <w:t>Abiraterone Krka</w:t>
        </w:r>
      </w:ins>
      <w:r>
        <w:rPr>
          <w:sz w:val="22"/>
          <w:szCs w:val="22"/>
          <w:lang w:val="da-DK"/>
        </w:rPr>
        <w:t>” under punkt 3).</w:t>
      </w:r>
    </w:p>
    <w:p>
      <w:pPr>
        <w:pStyle w:val="ListParagraph"/>
        <w:widowControl w:val="0"/>
        <w:numPr>
          <w:ilvl w:val="0"/>
          <w:numId w:val="14"/>
        </w:numPr>
        <w:ind w:left="567" w:hanging="567"/>
        <w:contextualSpacing w:val="0"/>
        <w:rPr>
          <w:sz w:val="22"/>
          <w:szCs w:val="22"/>
          <w:lang w:val="da-DK"/>
        </w:rPr>
      </w:pPr>
      <w:r>
        <w:rPr>
          <w:sz w:val="22"/>
          <w:szCs w:val="22"/>
          <w:lang w:val="da-DK"/>
        </w:rPr>
        <w:t>Indtagelse af Abiraterone Krka sammen med mad kan give bivirkninger.</w:t>
      </w:r>
    </w:p>
    <w:p>
      <w:pPr>
        <w:widowControl w:val="0"/>
        <w:rPr>
          <w:sz w:val="22"/>
          <w:szCs w:val="22"/>
          <w:lang w:val="da-DK"/>
        </w:rPr>
      </w:pPr>
    </w:p>
    <w:p>
      <w:pPr>
        <w:widowControl w:val="0"/>
        <w:rPr>
          <w:b/>
          <w:sz w:val="22"/>
          <w:szCs w:val="22"/>
          <w:lang w:val="da-DK"/>
        </w:rPr>
      </w:pPr>
      <w:r>
        <w:rPr>
          <w:b/>
          <w:sz w:val="22"/>
          <w:szCs w:val="22"/>
          <w:lang w:val="da-DK"/>
        </w:rPr>
        <w:t>Graviditet og amning</w:t>
      </w:r>
    </w:p>
    <w:p>
      <w:pPr>
        <w:widowControl w:val="0"/>
        <w:rPr>
          <w:b/>
          <w:sz w:val="22"/>
          <w:szCs w:val="22"/>
          <w:lang w:val="da-DK"/>
        </w:rPr>
      </w:pPr>
      <w:r>
        <w:rPr>
          <w:b/>
          <w:sz w:val="22"/>
          <w:szCs w:val="22"/>
          <w:lang w:val="da-DK"/>
        </w:rPr>
        <w:t>Abiraterone Krka er ikke beregnet til kvinder.</w:t>
      </w:r>
    </w:p>
    <w:p>
      <w:pPr>
        <w:pStyle w:val="ListParagraph"/>
        <w:widowControl w:val="0"/>
        <w:numPr>
          <w:ilvl w:val="0"/>
          <w:numId w:val="15"/>
        </w:numPr>
        <w:ind w:left="567" w:hanging="567"/>
        <w:contextualSpacing w:val="0"/>
        <w:rPr>
          <w:b/>
          <w:sz w:val="22"/>
          <w:szCs w:val="22"/>
          <w:lang w:val="da-DK"/>
        </w:rPr>
      </w:pPr>
      <w:r>
        <w:rPr>
          <w:b/>
          <w:sz w:val="22"/>
          <w:szCs w:val="22"/>
          <w:lang w:val="da-DK"/>
        </w:rPr>
        <w:t>Dette lægemiddel kan skade fostret, hvis det tages af kvinder, som er gravide.</w:t>
      </w:r>
    </w:p>
    <w:p>
      <w:pPr>
        <w:pStyle w:val="ListParagraph"/>
        <w:widowControl w:val="0"/>
        <w:numPr>
          <w:ilvl w:val="0"/>
          <w:numId w:val="15"/>
        </w:numPr>
        <w:ind w:left="567" w:hanging="567"/>
        <w:contextualSpacing w:val="0"/>
        <w:rPr>
          <w:b/>
          <w:sz w:val="22"/>
          <w:szCs w:val="22"/>
          <w:lang w:val="da-DK"/>
        </w:rPr>
      </w:pPr>
      <w:r>
        <w:rPr>
          <w:b/>
          <w:sz w:val="22"/>
          <w:szCs w:val="22"/>
          <w:lang w:val="da-DK"/>
        </w:rPr>
        <w:t>Kvinder, som er gravide, eller kvinder, som kan være gravide, skal anvende handsker hvis det er nødvendigt, at de rører ved eller håndterer Abiraterone Krka.</w:t>
      </w:r>
    </w:p>
    <w:p>
      <w:pPr>
        <w:pStyle w:val="ListParagraph"/>
        <w:widowControl w:val="0"/>
        <w:numPr>
          <w:ilvl w:val="0"/>
          <w:numId w:val="15"/>
        </w:numPr>
        <w:ind w:left="567" w:hanging="567"/>
        <w:contextualSpacing w:val="0"/>
        <w:rPr>
          <w:b/>
          <w:sz w:val="22"/>
          <w:szCs w:val="22"/>
          <w:lang w:val="da-DK"/>
        </w:rPr>
      </w:pPr>
      <w:r>
        <w:rPr>
          <w:b/>
          <w:sz w:val="22"/>
          <w:szCs w:val="22"/>
          <w:lang w:val="da-DK"/>
        </w:rPr>
        <w:t>Brug kondom og en anden sikker præventionsmetode hvis du dyrker sex med en kvinde, som kan blive gravid.</w:t>
      </w:r>
    </w:p>
    <w:p>
      <w:pPr>
        <w:pStyle w:val="ListParagraph"/>
        <w:widowControl w:val="0"/>
        <w:numPr>
          <w:ilvl w:val="0"/>
          <w:numId w:val="15"/>
        </w:numPr>
        <w:ind w:left="567" w:hanging="567"/>
        <w:contextualSpacing w:val="0"/>
        <w:rPr>
          <w:sz w:val="22"/>
          <w:szCs w:val="22"/>
          <w:lang w:val="da-DK"/>
        </w:rPr>
      </w:pPr>
      <w:r>
        <w:rPr>
          <w:b/>
          <w:sz w:val="22"/>
          <w:szCs w:val="22"/>
          <w:lang w:val="da-DK"/>
        </w:rPr>
        <w:t>Brug kondom for at beskytte fostret, hvis du har sex med en gravid kvinde.</w:t>
      </w:r>
    </w:p>
    <w:p>
      <w:pPr>
        <w:widowControl w:val="0"/>
        <w:rPr>
          <w:sz w:val="22"/>
          <w:szCs w:val="22"/>
          <w:lang w:val="da-DK"/>
        </w:rPr>
      </w:pPr>
    </w:p>
    <w:p>
      <w:pPr>
        <w:widowControl w:val="0"/>
        <w:rPr>
          <w:b/>
          <w:sz w:val="22"/>
          <w:szCs w:val="22"/>
          <w:lang w:val="da-DK"/>
        </w:rPr>
      </w:pPr>
      <w:r>
        <w:rPr>
          <w:b/>
          <w:sz w:val="22"/>
          <w:szCs w:val="22"/>
          <w:lang w:val="da-DK"/>
        </w:rPr>
        <w:t>Trafik- og arbejdssikkerhed</w:t>
      </w:r>
    </w:p>
    <w:p>
      <w:pPr>
        <w:widowControl w:val="0"/>
        <w:rPr>
          <w:sz w:val="22"/>
          <w:szCs w:val="22"/>
          <w:lang w:val="da-DK"/>
        </w:rPr>
      </w:pPr>
      <w:r>
        <w:rPr>
          <w:sz w:val="22"/>
          <w:szCs w:val="22"/>
          <w:lang w:val="da-DK"/>
        </w:rPr>
        <w:t>Dette lægemiddel påvirker sandsynligvis ikke arbejdssikkerheden eller evnen til at færdes i trafikken.</w:t>
      </w:r>
    </w:p>
    <w:p>
      <w:pPr>
        <w:widowControl w:val="0"/>
        <w:rPr>
          <w:sz w:val="22"/>
          <w:szCs w:val="22"/>
          <w:lang w:val="da-DK"/>
        </w:rPr>
      </w:pPr>
    </w:p>
    <w:p>
      <w:pPr>
        <w:widowControl w:val="0"/>
        <w:rPr>
          <w:b/>
          <w:sz w:val="22"/>
          <w:szCs w:val="22"/>
          <w:lang w:val="da-DK"/>
        </w:rPr>
      </w:pPr>
      <w:r>
        <w:rPr>
          <w:b/>
          <w:sz w:val="22"/>
          <w:szCs w:val="22"/>
          <w:lang w:val="da-DK"/>
        </w:rPr>
        <w:t>Abiraterone Krka indeholder lactose og natrium</w:t>
      </w:r>
    </w:p>
    <w:p>
      <w:pPr>
        <w:widowControl w:val="0"/>
        <w:rPr>
          <w:sz w:val="22"/>
          <w:szCs w:val="22"/>
          <w:lang w:val="da-DK"/>
        </w:rPr>
      </w:pPr>
      <w:r>
        <w:rPr>
          <w:sz w:val="22"/>
          <w:szCs w:val="22"/>
          <w:lang w:val="da-DK"/>
        </w:rPr>
        <w:t>Abiraterone Krka indeholder lactose (sukkerart). Kontakt lægen, før du bruger dette lægemiddel, hvis lægen har fortalt dig, at du ikke tåler visse sukkerarter.</w:t>
      </w:r>
    </w:p>
    <w:p>
      <w:pPr>
        <w:widowControl w:val="0"/>
        <w:rPr>
          <w:sz w:val="22"/>
          <w:szCs w:val="22"/>
          <w:lang w:val="da-DK"/>
        </w:rPr>
      </w:pPr>
      <w:r>
        <w:rPr>
          <w:sz w:val="22"/>
          <w:szCs w:val="22"/>
          <w:lang w:val="da-DK"/>
        </w:rPr>
        <w:t>Dette lægemiddel indeholder mindre end 1 mmol (23 mg) natrium pr. dosis (dvs. 2 tabletter), dvs. det er i det væsentlige natriumfrit.</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3.</w:t>
      </w:r>
      <w:r>
        <w:rPr>
          <w:b/>
          <w:sz w:val="22"/>
          <w:szCs w:val="22"/>
          <w:lang w:val="da-DK"/>
        </w:rPr>
        <w:tab/>
        <w:t xml:space="preserve">Sådan skal du bruge </w:t>
      </w:r>
      <w:r>
        <w:rPr>
          <w:b/>
          <w:bCs/>
          <w:sz w:val="22"/>
          <w:szCs w:val="22"/>
          <w:lang w:val="da-DK"/>
        </w:rPr>
        <w:t>Abiraterone Krka</w:t>
      </w:r>
    </w:p>
    <w:p>
      <w:pPr>
        <w:widowControl w:val="0"/>
        <w:rPr>
          <w:sz w:val="22"/>
          <w:szCs w:val="22"/>
          <w:lang w:val="da-DK"/>
        </w:rPr>
      </w:pPr>
    </w:p>
    <w:p>
      <w:pPr>
        <w:widowControl w:val="0"/>
        <w:rPr>
          <w:sz w:val="22"/>
          <w:szCs w:val="22"/>
          <w:lang w:val="da-DK"/>
        </w:rPr>
      </w:pPr>
      <w:r>
        <w:rPr>
          <w:sz w:val="22"/>
          <w:szCs w:val="22"/>
          <w:lang w:val="da-DK"/>
        </w:rPr>
        <w:t>Brug altid lægemidlet nøjagtigt efter lægens anvisning. Er du i tvivl, så spørg lægen eller apotekspersonalet.</w:t>
      </w:r>
    </w:p>
    <w:p>
      <w:pPr>
        <w:widowControl w:val="0"/>
        <w:rPr>
          <w:sz w:val="22"/>
          <w:szCs w:val="22"/>
          <w:lang w:val="da-DK"/>
        </w:rPr>
      </w:pPr>
    </w:p>
    <w:p>
      <w:pPr>
        <w:widowControl w:val="0"/>
        <w:rPr>
          <w:b/>
          <w:sz w:val="22"/>
          <w:szCs w:val="22"/>
          <w:lang w:val="da-DK"/>
        </w:rPr>
      </w:pPr>
      <w:r>
        <w:rPr>
          <w:b/>
          <w:sz w:val="22"/>
          <w:szCs w:val="22"/>
          <w:lang w:val="da-DK"/>
        </w:rPr>
        <w:t>Hvor meget</w:t>
      </w:r>
    </w:p>
    <w:p>
      <w:pPr>
        <w:widowControl w:val="0"/>
        <w:rPr>
          <w:sz w:val="22"/>
          <w:szCs w:val="22"/>
          <w:lang w:val="da-DK"/>
        </w:rPr>
      </w:pPr>
      <w:r>
        <w:rPr>
          <w:sz w:val="22"/>
          <w:szCs w:val="22"/>
          <w:lang w:val="da-DK"/>
        </w:rPr>
        <w:t>Den anbefalede dosis er 1.000 mg (to tabletter) en gang dagligt.</w:t>
      </w:r>
    </w:p>
    <w:p>
      <w:pPr>
        <w:widowControl w:val="0"/>
        <w:rPr>
          <w:sz w:val="22"/>
          <w:szCs w:val="22"/>
          <w:lang w:val="da-DK"/>
        </w:rPr>
      </w:pPr>
    </w:p>
    <w:p>
      <w:pPr>
        <w:widowControl w:val="0"/>
        <w:rPr>
          <w:b/>
          <w:sz w:val="22"/>
          <w:szCs w:val="22"/>
          <w:lang w:val="da-DK"/>
        </w:rPr>
      </w:pPr>
      <w:r>
        <w:rPr>
          <w:b/>
          <w:sz w:val="22"/>
          <w:szCs w:val="22"/>
          <w:lang w:val="da-DK"/>
        </w:rPr>
        <w:t xml:space="preserve">Sådan skal du tage </w:t>
      </w:r>
      <w:ins w:id="32" w:author="Skalberg, Fanny" w:date="2025-10-20T14:16:00Z">
        <w:r>
          <w:rPr>
            <w:b/>
            <w:sz w:val="22"/>
            <w:szCs w:val="22"/>
            <w:lang w:val="da-DK"/>
          </w:rPr>
          <w:t>Abiraterone Krka</w:t>
        </w:r>
      </w:ins>
      <w:del w:id="33" w:author="Skalberg, Fanny" w:date="2025-10-20T14:16:00Z">
        <w:r>
          <w:rPr>
            <w:b/>
            <w:sz w:val="22"/>
            <w:szCs w:val="22"/>
            <w:lang w:val="da-DK"/>
          </w:rPr>
          <w:delText>medicinen</w:delText>
        </w:r>
      </w:del>
    </w:p>
    <w:p>
      <w:pPr>
        <w:pStyle w:val="ListParagraph"/>
        <w:widowControl w:val="0"/>
        <w:numPr>
          <w:ilvl w:val="0"/>
          <w:numId w:val="16"/>
        </w:numPr>
        <w:ind w:left="567" w:hanging="567"/>
        <w:contextualSpacing w:val="0"/>
        <w:rPr>
          <w:sz w:val="22"/>
          <w:szCs w:val="22"/>
          <w:lang w:val="da-DK"/>
        </w:rPr>
      </w:pPr>
      <w:r>
        <w:rPr>
          <w:sz w:val="22"/>
          <w:szCs w:val="22"/>
          <w:lang w:val="da-DK"/>
        </w:rPr>
        <w:t>Dette lægemiddel skal indtages gennem munden.</w:t>
      </w:r>
    </w:p>
    <w:p>
      <w:pPr>
        <w:pStyle w:val="ListParagraph"/>
        <w:widowControl w:val="0"/>
        <w:numPr>
          <w:ilvl w:val="0"/>
          <w:numId w:val="16"/>
        </w:numPr>
        <w:ind w:left="567" w:hanging="567"/>
        <w:contextualSpacing w:val="0"/>
        <w:rPr>
          <w:sz w:val="22"/>
          <w:szCs w:val="22"/>
          <w:lang w:val="da-DK"/>
        </w:rPr>
      </w:pPr>
      <w:r>
        <w:rPr>
          <w:b/>
          <w:sz w:val="22"/>
          <w:szCs w:val="22"/>
          <w:lang w:val="da-DK"/>
        </w:rPr>
        <w:t xml:space="preserve">Abiraterone Krka må ikke tages sammen med mad. </w:t>
      </w:r>
      <w:r>
        <w:rPr>
          <w:sz w:val="22"/>
          <w:szCs w:val="22"/>
          <w:lang w:val="da-DK"/>
        </w:rPr>
        <w:t xml:space="preserve">Hvis du tager Abiraterone Krka sammen med mad, kan det medføre, at mere af </w:t>
      </w:r>
      <w:ins w:id="34" w:author="Skalberg, Fanny" w:date="2025-10-20T14:20:00Z">
        <w:r>
          <w:rPr>
            <w:sz w:val="22"/>
            <w:szCs w:val="22"/>
            <w:lang w:val="da-DK"/>
          </w:rPr>
          <w:t>lægemidlet</w:t>
        </w:r>
      </w:ins>
      <w:del w:id="35" w:author="Skalberg, Fanny" w:date="2025-10-20T14:20:00Z">
        <w:r>
          <w:rPr>
            <w:sz w:val="22"/>
            <w:szCs w:val="22"/>
            <w:lang w:val="da-DK"/>
          </w:rPr>
          <w:delText>medicinen</w:delText>
        </w:r>
      </w:del>
      <w:r>
        <w:rPr>
          <w:sz w:val="22"/>
          <w:szCs w:val="22"/>
          <w:lang w:val="da-DK"/>
        </w:rPr>
        <w:t xml:space="preserve"> optages i kroppen, end der er behov for, og det kan give bivirkninger. </w:t>
      </w:r>
    </w:p>
    <w:p>
      <w:pPr>
        <w:pStyle w:val="ListParagraph"/>
        <w:widowControl w:val="0"/>
        <w:numPr>
          <w:ilvl w:val="0"/>
          <w:numId w:val="16"/>
        </w:numPr>
        <w:ind w:left="567" w:hanging="567"/>
        <w:contextualSpacing w:val="0"/>
        <w:rPr>
          <w:sz w:val="22"/>
          <w:szCs w:val="22"/>
          <w:lang w:val="da-DK"/>
        </w:rPr>
      </w:pPr>
      <w:r>
        <w:rPr>
          <w:sz w:val="22"/>
          <w:szCs w:val="22"/>
          <w:lang w:val="da-DK"/>
        </w:rPr>
        <w:t>Tag Abiraterone Krka -tabletterne som en enkeltdosis én gang dagligt på tom mave. Abiraterone Krka skal tages mindst to timer efter et måltid, og du må ikke spise før mindst én time efter at have taget Abiraterone Krka (se ”Brug af Abiraterone Krka sammen med mad” under punkt 2).</w:t>
      </w:r>
    </w:p>
    <w:p>
      <w:pPr>
        <w:pStyle w:val="ListParagraph"/>
        <w:widowControl w:val="0"/>
        <w:numPr>
          <w:ilvl w:val="0"/>
          <w:numId w:val="16"/>
        </w:numPr>
        <w:ind w:left="567" w:hanging="567"/>
        <w:contextualSpacing w:val="0"/>
        <w:rPr>
          <w:sz w:val="22"/>
          <w:szCs w:val="22"/>
          <w:lang w:val="da-DK"/>
        </w:rPr>
      </w:pPr>
      <w:r>
        <w:rPr>
          <w:sz w:val="22"/>
          <w:szCs w:val="22"/>
          <w:lang w:val="da-DK"/>
        </w:rPr>
        <w:t>Synk tabletterne hele med vand.</w:t>
      </w:r>
    </w:p>
    <w:p>
      <w:pPr>
        <w:pStyle w:val="ListParagraph"/>
        <w:widowControl w:val="0"/>
        <w:numPr>
          <w:ilvl w:val="0"/>
          <w:numId w:val="16"/>
        </w:numPr>
        <w:ind w:left="567" w:hanging="567"/>
        <w:contextualSpacing w:val="0"/>
        <w:rPr>
          <w:sz w:val="22"/>
          <w:szCs w:val="22"/>
          <w:lang w:val="da-DK"/>
        </w:rPr>
      </w:pPr>
      <w:r>
        <w:rPr>
          <w:sz w:val="22"/>
          <w:szCs w:val="22"/>
          <w:lang w:val="da-DK"/>
        </w:rPr>
        <w:t xml:space="preserve">Tabletterne må ikke deles. </w:t>
      </w:r>
    </w:p>
    <w:p>
      <w:pPr>
        <w:pStyle w:val="ListParagraph"/>
        <w:widowControl w:val="0"/>
        <w:numPr>
          <w:ilvl w:val="0"/>
          <w:numId w:val="16"/>
        </w:numPr>
        <w:ind w:left="567" w:hanging="567"/>
        <w:contextualSpacing w:val="0"/>
        <w:rPr>
          <w:sz w:val="22"/>
          <w:szCs w:val="22"/>
          <w:lang w:val="da-DK"/>
        </w:rPr>
      </w:pPr>
      <w:r>
        <w:rPr>
          <w:sz w:val="22"/>
          <w:szCs w:val="22"/>
          <w:lang w:val="da-DK"/>
        </w:rPr>
        <w:t>Abiraterone Krka skal bruges sammen med lægemidlet prednison eller prednisolon. Brug prednison eller prednisolon nøjagtigt efter lægens anvisning.</w:t>
      </w:r>
    </w:p>
    <w:p>
      <w:pPr>
        <w:pStyle w:val="ListParagraph"/>
        <w:widowControl w:val="0"/>
        <w:numPr>
          <w:ilvl w:val="0"/>
          <w:numId w:val="16"/>
        </w:numPr>
        <w:ind w:left="567" w:hanging="567"/>
        <w:contextualSpacing w:val="0"/>
        <w:rPr>
          <w:sz w:val="22"/>
          <w:szCs w:val="22"/>
          <w:lang w:val="da-DK"/>
        </w:rPr>
      </w:pPr>
      <w:r>
        <w:rPr>
          <w:sz w:val="22"/>
          <w:szCs w:val="22"/>
          <w:lang w:val="da-DK"/>
        </w:rPr>
        <w:t>Du skal tage prednison eller prednisolon dagligt, mens du bruger Abiraterone Krka.</w:t>
      </w:r>
    </w:p>
    <w:p>
      <w:pPr>
        <w:pStyle w:val="ListParagraph"/>
        <w:widowControl w:val="0"/>
        <w:numPr>
          <w:ilvl w:val="0"/>
          <w:numId w:val="16"/>
        </w:numPr>
        <w:ind w:left="567" w:hanging="567"/>
        <w:contextualSpacing w:val="0"/>
        <w:rPr>
          <w:sz w:val="22"/>
          <w:szCs w:val="22"/>
          <w:lang w:val="da-DK"/>
        </w:rPr>
      </w:pPr>
      <w:r>
        <w:rPr>
          <w:sz w:val="22"/>
          <w:szCs w:val="22"/>
          <w:lang w:val="da-DK"/>
        </w:rPr>
        <w:t>Den mængde prednison eller prednisolon, som du bruger, skal måske ændres hvis der opstår en akut medicinsk tilstand. Din læge vil give dig besked, hvis du skal ændre din dosis af prednison eller prednisolon. Du må ikke holde op med at bruge prednison eller prednisolon, medmindre lægen anbefaler det.</w:t>
      </w:r>
    </w:p>
    <w:p>
      <w:pPr>
        <w:widowControl w:val="0"/>
        <w:rPr>
          <w:sz w:val="22"/>
          <w:szCs w:val="22"/>
          <w:lang w:val="da-DK"/>
        </w:rPr>
      </w:pPr>
    </w:p>
    <w:p>
      <w:pPr>
        <w:widowControl w:val="0"/>
        <w:rPr>
          <w:sz w:val="22"/>
          <w:szCs w:val="22"/>
          <w:lang w:val="da-DK"/>
        </w:rPr>
      </w:pPr>
      <w:r>
        <w:rPr>
          <w:sz w:val="22"/>
          <w:szCs w:val="22"/>
          <w:lang w:val="da-DK"/>
        </w:rPr>
        <w:lastRenderedPageBreak/>
        <w:t xml:space="preserve">Lægen kan også foreskrive </w:t>
      </w:r>
      <w:ins w:id="36" w:author="Skalberg, Fanny" w:date="2025-10-20T14:20:00Z">
        <w:r>
          <w:rPr>
            <w:sz w:val="22"/>
            <w:szCs w:val="22"/>
            <w:lang w:val="da-DK"/>
          </w:rPr>
          <w:t xml:space="preserve">andre lægemidler </w:t>
        </w:r>
      </w:ins>
      <w:del w:id="37" w:author="Skalberg, Fanny" w:date="2025-10-20T14:20:00Z">
        <w:r>
          <w:rPr>
            <w:sz w:val="22"/>
            <w:szCs w:val="22"/>
            <w:lang w:val="da-DK"/>
          </w:rPr>
          <w:delText xml:space="preserve">anden medicin </w:delText>
        </w:r>
      </w:del>
      <w:r>
        <w:rPr>
          <w:sz w:val="22"/>
          <w:szCs w:val="22"/>
          <w:lang w:val="da-DK"/>
        </w:rPr>
        <w:t>under din behandling med Abiraterone Krka og prednison eller prednisolon.</w:t>
      </w:r>
    </w:p>
    <w:p>
      <w:pPr>
        <w:widowControl w:val="0"/>
        <w:rPr>
          <w:b/>
          <w:sz w:val="22"/>
          <w:szCs w:val="22"/>
          <w:lang w:val="da-DK"/>
        </w:rPr>
      </w:pPr>
    </w:p>
    <w:p>
      <w:pPr>
        <w:widowControl w:val="0"/>
        <w:rPr>
          <w:b/>
          <w:sz w:val="22"/>
          <w:szCs w:val="22"/>
          <w:lang w:val="da-DK"/>
        </w:rPr>
      </w:pPr>
      <w:r>
        <w:rPr>
          <w:b/>
          <w:sz w:val="22"/>
          <w:szCs w:val="22"/>
          <w:lang w:val="da-DK"/>
        </w:rPr>
        <w:t xml:space="preserve">Hvis du har brugt for meget Abiraterone Krka </w:t>
      </w:r>
    </w:p>
    <w:p>
      <w:pPr>
        <w:widowControl w:val="0"/>
        <w:rPr>
          <w:sz w:val="22"/>
          <w:szCs w:val="22"/>
          <w:lang w:val="da-DK"/>
        </w:rPr>
      </w:pPr>
      <w:r>
        <w:rPr>
          <w:sz w:val="22"/>
          <w:szCs w:val="22"/>
          <w:lang w:val="da-DK"/>
        </w:rPr>
        <w:t>Kontakt straks lægen eller skadestuen, hvis du har taget for mange tabletter.</w:t>
      </w:r>
    </w:p>
    <w:p>
      <w:pPr>
        <w:widowControl w:val="0"/>
        <w:rPr>
          <w:sz w:val="22"/>
          <w:szCs w:val="22"/>
          <w:lang w:val="da-DK"/>
        </w:rPr>
      </w:pPr>
    </w:p>
    <w:p>
      <w:pPr>
        <w:widowControl w:val="0"/>
        <w:rPr>
          <w:b/>
          <w:sz w:val="22"/>
          <w:szCs w:val="22"/>
          <w:lang w:val="da-DK"/>
        </w:rPr>
      </w:pPr>
      <w:r>
        <w:rPr>
          <w:b/>
          <w:sz w:val="22"/>
          <w:szCs w:val="22"/>
          <w:lang w:val="da-DK"/>
        </w:rPr>
        <w:t>Hvis du har glemt at bruge Abiraterone Krka</w:t>
      </w:r>
    </w:p>
    <w:p>
      <w:pPr>
        <w:pStyle w:val="ListParagraph"/>
        <w:widowControl w:val="0"/>
        <w:numPr>
          <w:ilvl w:val="0"/>
          <w:numId w:val="17"/>
        </w:numPr>
        <w:ind w:left="567" w:hanging="567"/>
        <w:contextualSpacing w:val="0"/>
        <w:rPr>
          <w:sz w:val="22"/>
          <w:szCs w:val="22"/>
          <w:lang w:val="da-DK"/>
        </w:rPr>
      </w:pPr>
      <w:r>
        <w:rPr>
          <w:sz w:val="22"/>
          <w:szCs w:val="22"/>
          <w:lang w:val="da-DK"/>
        </w:rPr>
        <w:t>Hvis du glemmer at bruge Abiraterone Krka, prednison eller prednisolon, skal du tage den sædvanlige dosis næste dag.</w:t>
      </w:r>
    </w:p>
    <w:p>
      <w:pPr>
        <w:pStyle w:val="ListParagraph"/>
        <w:widowControl w:val="0"/>
        <w:numPr>
          <w:ilvl w:val="0"/>
          <w:numId w:val="17"/>
        </w:numPr>
        <w:ind w:left="567" w:hanging="567"/>
        <w:contextualSpacing w:val="0"/>
        <w:rPr>
          <w:sz w:val="22"/>
          <w:szCs w:val="22"/>
          <w:lang w:val="da-DK"/>
        </w:rPr>
      </w:pPr>
      <w:r>
        <w:rPr>
          <w:sz w:val="22"/>
          <w:szCs w:val="22"/>
          <w:lang w:val="da-DK"/>
        </w:rPr>
        <w:t>Kontakt straks lægen, hvis du har glemt at tage Abiraterone Krka, prednison eller prednisolon i mere end en dag.</w:t>
      </w:r>
    </w:p>
    <w:p>
      <w:pPr>
        <w:widowControl w:val="0"/>
        <w:rPr>
          <w:b/>
          <w:sz w:val="22"/>
          <w:szCs w:val="22"/>
          <w:lang w:val="da-DK"/>
        </w:rPr>
      </w:pPr>
    </w:p>
    <w:p>
      <w:pPr>
        <w:widowControl w:val="0"/>
        <w:rPr>
          <w:b/>
          <w:sz w:val="22"/>
          <w:szCs w:val="22"/>
          <w:lang w:val="da-DK"/>
        </w:rPr>
      </w:pPr>
      <w:r>
        <w:rPr>
          <w:b/>
          <w:sz w:val="22"/>
          <w:szCs w:val="22"/>
          <w:lang w:val="da-DK"/>
        </w:rPr>
        <w:t>Hvis du holder op med at bruge Abiraterone Krka</w:t>
      </w:r>
    </w:p>
    <w:p>
      <w:pPr>
        <w:widowControl w:val="0"/>
        <w:rPr>
          <w:sz w:val="22"/>
          <w:szCs w:val="22"/>
          <w:lang w:val="da-DK"/>
        </w:rPr>
      </w:pPr>
      <w:r>
        <w:rPr>
          <w:sz w:val="22"/>
          <w:szCs w:val="22"/>
          <w:lang w:val="da-DK"/>
        </w:rPr>
        <w:t>Hold ikke op med at bruge Abiraterone Krka, prednison eller prednisolon, medmindre lægen anbefaler det.</w:t>
      </w:r>
    </w:p>
    <w:p>
      <w:pPr>
        <w:widowControl w:val="0"/>
        <w:rPr>
          <w:sz w:val="22"/>
          <w:szCs w:val="22"/>
          <w:lang w:val="da-DK"/>
        </w:rPr>
      </w:pPr>
    </w:p>
    <w:p>
      <w:pPr>
        <w:widowControl w:val="0"/>
        <w:rPr>
          <w:sz w:val="22"/>
          <w:szCs w:val="22"/>
          <w:lang w:val="da-DK"/>
        </w:rPr>
      </w:pPr>
      <w:r>
        <w:rPr>
          <w:sz w:val="22"/>
          <w:szCs w:val="22"/>
          <w:lang w:val="da-DK"/>
        </w:rPr>
        <w:t>Spørg lægen eller apotekspersonalet, hvis der er noget, du er i tvivl om.</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4.</w:t>
      </w:r>
      <w:r>
        <w:rPr>
          <w:b/>
          <w:sz w:val="22"/>
          <w:szCs w:val="22"/>
          <w:lang w:val="da-DK"/>
        </w:rPr>
        <w:tab/>
        <w:t>Bivirkninger</w:t>
      </w:r>
    </w:p>
    <w:p>
      <w:pPr>
        <w:widowControl w:val="0"/>
        <w:rPr>
          <w:sz w:val="22"/>
          <w:szCs w:val="22"/>
          <w:lang w:val="da-DK"/>
        </w:rPr>
      </w:pPr>
    </w:p>
    <w:p>
      <w:pPr>
        <w:widowControl w:val="0"/>
        <w:rPr>
          <w:sz w:val="22"/>
          <w:szCs w:val="22"/>
          <w:lang w:val="da-DK"/>
        </w:rPr>
      </w:pPr>
      <w:r>
        <w:rPr>
          <w:sz w:val="22"/>
          <w:szCs w:val="22"/>
          <w:lang w:val="da-DK"/>
        </w:rPr>
        <w:t>Dette lægemiddel kan som alle andre lægemidler give bivirkninger, men ikke alle får bivirkninger.</w:t>
      </w:r>
    </w:p>
    <w:p>
      <w:pPr>
        <w:widowControl w:val="0"/>
        <w:rPr>
          <w:sz w:val="22"/>
          <w:szCs w:val="22"/>
          <w:lang w:val="da-DK"/>
        </w:rPr>
      </w:pPr>
    </w:p>
    <w:p>
      <w:pPr>
        <w:widowControl w:val="0"/>
        <w:rPr>
          <w:b/>
          <w:sz w:val="22"/>
          <w:szCs w:val="22"/>
          <w:lang w:val="da-DK"/>
        </w:rPr>
      </w:pPr>
      <w:r>
        <w:rPr>
          <w:b/>
          <w:sz w:val="22"/>
          <w:szCs w:val="22"/>
          <w:lang w:val="da-DK"/>
        </w:rPr>
        <w:t>Hold op med at bruge Abiraterone Krka, og kontakt straks en læge, hvis du bemærker følgende:</w:t>
      </w:r>
    </w:p>
    <w:p>
      <w:pPr>
        <w:pStyle w:val="ListParagraph"/>
        <w:widowControl w:val="0"/>
        <w:numPr>
          <w:ilvl w:val="0"/>
          <w:numId w:val="18"/>
        </w:numPr>
        <w:ind w:left="567" w:hanging="567"/>
        <w:contextualSpacing w:val="0"/>
        <w:rPr>
          <w:sz w:val="22"/>
          <w:szCs w:val="22"/>
          <w:lang w:val="da-DK"/>
        </w:rPr>
      </w:pPr>
      <w:r>
        <w:rPr>
          <w:sz w:val="22"/>
          <w:szCs w:val="22"/>
          <w:lang w:val="da-DK"/>
        </w:rPr>
        <w:t>muskelsvaghed, muskeltrækninger eller hjertebanken (palpitationer). Dette kan være tegn på, at blodets indhold af kalium er lavt.</w:t>
      </w:r>
    </w:p>
    <w:p>
      <w:pPr>
        <w:widowControl w:val="0"/>
        <w:rPr>
          <w:sz w:val="22"/>
          <w:szCs w:val="22"/>
          <w:lang w:val="da-DK"/>
        </w:rPr>
      </w:pPr>
    </w:p>
    <w:p>
      <w:pPr>
        <w:widowControl w:val="0"/>
        <w:rPr>
          <w:b/>
          <w:sz w:val="22"/>
          <w:szCs w:val="22"/>
          <w:lang w:val="da-DK"/>
        </w:rPr>
      </w:pPr>
      <w:r>
        <w:rPr>
          <w:b/>
          <w:sz w:val="22"/>
          <w:szCs w:val="22"/>
          <w:lang w:val="da-DK"/>
        </w:rPr>
        <w:t>Andre bivirkninger:</w:t>
      </w:r>
    </w:p>
    <w:p>
      <w:pPr>
        <w:widowControl w:val="0"/>
        <w:rPr>
          <w:sz w:val="22"/>
          <w:szCs w:val="22"/>
          <w:lang w:val="da-DK"/>
        </w:rPr>
      </w:pPr>
      <w:r>
        <w:rPr>
          <w:b/>
          <w:sz w:val="22"/>
          <w:szCs w:val="22"/>
          <w:lang w:val="da-DK"/>
        </w:rPr>
        <w:t>Meget almindelig</w:t>
      </w:r>
      <w:r>
        <w:rPr>
          <w:sz w:val="22"/>
          <w:szCs w:val="22"/>
          <w:lang w:val="da-DK"/>
        </w:rPr>
        <w:t xml:space="preserve"> (kan forekomme hos flere end 1 ud af 10 patienter):</w:t>
      </w:r>
    </w:p>
    <w:p>
      <w:pPr>
        <w:pStyle w:val="ListParagraph"/>
        <w:widowControl w:val="0"/>
        <w:numPr>
          <w:ilvl w:val="0"/>
          <w:numId w:val="19"/>
        </w:numPr>
        <w:ind w:left="567" w:hanging="567"/>
        <w:contextualSpacing w:val="0"/>
        <w:rPr>
          <w:sz w:val="22"/>
          <w:szCs w:val="22"/>
          <w:lang w:val="da-DK"/>
        </w:rPr>
      </w:pPr>
      <w:r>
        <w:rPr>
          <w:sz w:val="22"/>
          <w:szCs w:val="22"/>
          <w:lang w:val="da-DK"/>
        </w:rPr>
        <w:t>væske i ben eller fødder</w:t>
      </w:r>
    </w:p>
    <w:p>
      <w:pPr>
        <w:pStyle w:val="ListParagraph"/>
        <w:widowControl w:val="0"/>
        <w:numPr>
          <w:ilvl w:val="0"/>
          <w:numId w:val="19"/>
        </w:numPr>
        <w:ind w:left="567" w:hanging="567"/>
        <w:contextualSpacing w:val="0"/>
        <w:rPr>
          <w:sz w:val="22"/>
          <w:szCs w:val="22"/>
          <w:lang w:val="da-DK"/>
        </w:rPr>
      </w:pPr>
      <w:r>
        <w:rPr>
          <w:sz w:val="22"/>
          <w:szCs w:val="22"/>
          <w:lang w:val="da-DK"/>
        </w:rPr>
        <w:t>lavt indhold af kalium i blodet</w:t>
      </w:r>
    </w:p>
    <w:p>
      <w:pPr>
        <w:pStyle w:val="ListParagraph"/>
        <w:widowControl w:val="0"/>
        <w:numPr>
          <w:ilvl w:val="0"/>
          <w:numId w:val="19"/>
        </w:numPr>
        <w:ind w:left="567" w:hanging="567"/>
        <w:contextualSpacing w:val="0"/>
        <w:rPr>
          <w:sz w:val="22"/>
          <w:szCs w:val="22"/>
          <w:lang w:val="da-DK"/>
        </w:rPr>
      </w:pPr>
      <w:r>
        <w:rPr>
          <w:sz w:val="22"/>
          <w:szCs w:val="22"/>
          <w:lang w:val="da-DK"/>
        </w:rPr>
        <w:t>forhøjede leverfunktionsprøver</w:t>
      </w:r>
    </w:p>
    <w:p>
      <w:pPr>
        <w:pStyle w:val="ListParagraph"/>
        <w:widowControl w:val="0"/>
        <w:numPr>
          <w:ilvl w:val="0"/>
          <w:numId w:val="19"/>
        </w:numPr>
        <w:ind w:left="567" w:hanging="567"/>
        <w:contextualSpacing w:val="0"/>
        <w:rPr>
          <w:sz w:val="22"/>
          <w:szCs w:val="22"/>
          <w:lang w:val="da-DK"/>
        </w:rPr>
      </w:pPr>
      <w:r>
        <w:rPr>
          <w:sz w:val="22"/>
          <w:szCs w:val="22"/>
          <w:lang w:val="da-DK"/>
        </w:rPr>
        <w:t>højt blodtryk</w:t>
      </w:r>
    </w:p>
    <w:p>
      <w:pPr>
        <w:pStyle w:val="ListParagraph"/>
        <w:widowControl w:val="0"/>
        <w:numPr>
          <w:ilvl w:val="0"/>
          <w:numId w:val="19"/>
        </w:numPr>
        <w:ind w:left="567" w:hanging="567"/>
        <w:contextualSpacing w:val="0"/>
        <w:rPr>
          <w:sz w:val="22"/>
          <w:szCs w:val="22"/>
          <w:lang w:val="da-DK"/>
        </w:rPr>
      </w:pPr>
      <w:r>
        <w:rPr>
          <w:sz w:val="22"/>
          <w:szCs w:val="22"/>
          <w:lang w:val="da-DK"/>
        </w:rPr>
        <w:t>urinvejsinfektion</w:t>
      </w:r>
    </w:p>
    <w:p>
      <w:pPr>
        <w:pStyle w:val="ListParagraph"/>
        <w:widowControl w:val="0"/>
        <w:numPr>
          <w:ilvl w:val="0"/>
          <w:numId w:val="19"/>
        </w:numPr>
        <w:ind w:left="567" w:hanging="567"/>
        <w:contextualSpacing w:val="0"/>
        <w:rPr>
          <w:sz w:val="22"/>
          <w:szCs w:val="22"/>
          <w:lang w:val="da-DK"/>
        </w:rPr>
      </w:pPr>
      <w:r>
        <w:rPr>
          <w:sz w:val="22"/>
          <w:szCs w:val="22"/>
          <w:lang w:val="da-DK"/>
        </w:rPr>
        <w:t>diarré.</w:t>
      </w:r>
    </w:p>
    <w:p>
      <w:pPr>
        <w:widowControl w:val="0"/>
        <w:rPr>
          <w:sz w:val="22"/>
          <w:szCs w:val="22"/>
          <w:lang w:val="da-DK"/>
        </w:rPr>
      </w:pPr>
    </w:p>
    <w:p>
      <w:pPr>
        <w:widowControl w:val="0"/>
        <w:rPr>
          <w:sz w:val="22"/>
          <w:szCs w:val="22"/>
          <w:lang w:val="da-DK"/>
        </w:rPr>
      </w:pPr>
      <w:r>
        <w:rPr>
          <w:b/>
          <w:sz w:val="22"/>
          <w:szCs w:val="22"/>
          <w:lang w:val="da-DK"/>
        </w:rPr>
        <w:t>Almindelig</w:t>
      </w:r>
      <w:r>
        <w:rPr>
          <w:sz w:val="22"/>
          <w:szCs w:val="22"/>
          <w:lang w:val="da-DK"/>
        </w:rPr>
        <w:t xml:space="preserve"> (kan forekomme hos op til 1 ud af 10 patienter):</w:t>
      </w:r>
    </w:p>
    <w:p>
      <w:pPr>
        <w:pStyle w:val="ListParagraph"/>
        <w:widowControl w:val="0"/>
        <w:numPr>
          <w:ilvl w:val="0"/>
          <w:numId w:val="20"/>
        </w:numPr>
        <w:ind w:left="567" w:hanging="567"/>
        <w:contextualSpacing w:val="0"/>
        <w:rPr>
          <w:sz w:val="22"/>
          <w:szCs w:val="22"/>
          <w:lang w:val="da-DK"/>
        </w:rPr>
      </w:pPr>
      <w:r>
        <w:rPr>
          <w:sz w:val="22"/>
          <w:szCs w:val="22"/>
          <w:lang w:val="da-DK"/>
        </w:rPr>
        <w:t>højt indhold af fedt i blodet</w:t>
      </w:r>
    </w:p>
    <w:p>
      <w:pPr>
        <w:pStyle w:val="ListParagraph"/>
        <w:widowControl w:val="0"/>
        <w:numPr>
          <w:ilvl w:val="0"/>
          <w:numId w:val="20"/>
        </w:numPr>
        <w:ind w:left="567" w:hanging="567"/>
        <w:contextualSpacing w:val="0"/>
        <w:rPr>
          <w:sz w:val="22"/>
          <w:szCs w:val="22"/>
          <w:lang w:val="da-DK"/>
        </w:rPr>
      </w:pPr>
      <w:r>
        <w:rPr>
          <w:sz w:val="22"/>
          <w:szCs w:val="22"/>
          <w:lang w:val="da-DK"/>
        </w:rPr>
        <w:t>smerter i brystet</w:t>
      </w:r>
    </w:p>
    <w:p>
      <w:pPr>
        <w:pStyle w:val="ListParagraph"/>
        <w:widowControl w:val="0"/>
        <w:numPr>
          <w:ilvl w:val="0"/>
          <w:numId w:val="20"/>
        </w:numPr>
        <w:ind w:left="567" w:hanging="567"/>
        <w:contextualSpacing w:val="0"/>
        <w:rPr>
          <w:sz w:val="22"/>
          <w:szCs w:val="22"/>
          <w:lang w:val="da-DK"/>
        </w:rPr>
      </w:pPr>
      <w:r>
        <w:rPr>
          <w:sz w:val="22"/>
          <w:szCs w:val="22"/>
          <w:lang w:val="da-DK"/>
        </w:rPr>
        <w:t>uregelmæssig puls (atrieflimren)</w:t>
      </w:r>
    </w:p>
    <w:p>
      <w:pPr>
        <w:pStyle w:val="ListParagraph"/>
        <w:widowControl w:val="0"/>
        <w:numPr>
          <w:ilvl w:val="0"/>
          <w:numId w:val="20"/>
        </w:numPr>
        <w:ind w:left="567" w:hanging="567"/>
        <w:contextualSpacing w:val="0"/>
        <w:rPr>
          <w:sz w:val="22"/>
          <w:szCs w:val="22"/>
          <w:lang w:val="da-DK"/>
        </w:rPr>
      </w:pPr>
      <w:r>
        <w:rPr>
          <w:sz w:val="22"/>
          <w:szCs w:val="22"/>
          <w:lang w:val="da-DK"/>
        </w:rPr>
        <w:t>hjertesvigt</w:t>
      </w:r>
    </w:p>
    <w:p>
      <w:pPr>
        <w:pStyle w:val="ListParagraph"/>
        <w:widowControl w:val="0"/>
        <w:numPr>
          <w:ilvl w:val="0"/>
          <w:numId w:val="20"/>
        </w:numPr>
        <w:ind w:left="567" w:hanging="567"/>
        <w:contextualSpacing w:val="0"/>
        <w:rPr>
          <w:sz w:val="22"/>
          <w:szCs w:val="22"/>
          <w:lang w:val="da-DK"/>
        </w:rPr>
      </w:pPr>
      <w:r>
        <w:rPr>
          <w:sz w:val="22"/>
          <w:szCs w:val="22"/>
          <w:lang w:val="da-DK"/>
        </w:rPr>
        <w:t>hurtig puls</w:t>
      </w:r>
    </w:p>
    <w:p>
      <w:pPr>
        <w:pStyle w:val="ListParagraph"/>
        <w:widowControl w:val="0"/>
        <w:numPr>
          <w:ilvl w:val="0"/>
          <w:numId w:val="20"/>
        </w:numPr>
        <w:ind w:left="567" w:hanging="567"/>
        <w:contextualSpacing w:val="0"/>
        <w:rPr>
          <w:sz w:val="22"/>
          <w:szCs w:val="22"/>
          <w:lang w:val="da-DK"/>
        </w:rPr>
      </w:pPr>
      <w:r>
        <w:rPr>
          <w:sz w:val="22"/>
          <w:szCs w:val="22"/>
          <w:lang w:val="da-DK"/>
        </w:rPr>
        <w:t>alvorlige infektioner, som kaldes blodforgiftning (sepsis)</w:t>
      </w:r>
    </w:p>
    <w:p>
      <w:pPr>
        <w:pStyle w:val="ListParagraph"/>
        <w:widowControl w:val="0"/>
        <w:numPr>
          <w:ilvl w:val="0"/>
          <w:numId w:val="20"/>
        </w:numPr>
        <w:ind w:left="567" w:hanging="567"/>
        <w:contextualSpacing w:val="0"/>
        <w:rPr>
          <w:sz w:val="22"/>
          <w:szCs w:val="22"/>
          <w:lang w:val="da-DK"/>
        </w:rPr>
      </w:pPr>
      <w:r>
        <w:rPr>
          <w:sz w:val="22"/>
          <w:szCs w:val="22"/>
          <w:lang w:val="da-DK"/>
        </w:rPr>
        <w:t>knoglebrud</w:t>
      </w:r>
    </w:p>
    <w:p>
      <w:pPr>
        <w:pStyle w:val="ListParagraph"/>
        <w:widowControl w:val="0"/>
        <w:numPr>
          <w:ilvl w:val="0"/>
          <w:numId w:val="20"/>
        </w:numPr>
        <w:ind w:left="567" w:hanging="567"/>
        <w:contextualSpacing w:val="0"/>
        <w:rPr>
          <w:sz w:val="22"/>
          <w:szCs w:val="22"/>
          <w:lang w:val="da-DK"/>
        </w:rPr>
      </w:pPr>
      <w:r>
        <w:rPr>
          <w:sz w:val="22"/>
          <w:szCs w:val="22"/>
          <w:lang w:val="da-DK"/>
        </w:rPr>
        <w:t>mavebesvær</w:t>
      </w:r>
    </w:p>
    <w:p>
      <w:pPr>
        <w:pStyle w:val="ListParagraph"/>
        <w:widowControl w:val="0"/>
        <w:numPr>
          <w:ilvl w:val="0"/>
          <w:numId w:val="20"/>
        </w:numPr>
        <w:ind w:left="567" w:hanging="567"/>
        <w:contextualSpacing w:val="0"/>
        <w:rPr>
          <w:sz w:val="22"/>
          <w:szCs w:val="22"/>
          <w:lang w:val="da-DK"/>
        </w:rPr>
      </w:pPr>
      <w:r>
        <w:rPr>
          <w:sz w:val="22"/>
          <w:szCs w:val="22"/>
          <w:lang w:val="da-DK"/>
        </w:rPr>
        <w:t>blod i urinen</w:t>
      </w:r>
    </w:p>
    <w:p>
      <w:pPr>
        <w:pStyle w:val="ListParagraph"/>
        <w:widowControl w:val="0"/>
        <w:numPr>
          <w:ilvl w:val="0"/>
          <w:numId w:val="20"/>
        </w:numPr>
        <w:ind w:left="567" w:hanging="567"/>
        <w:contextualSpacing w:val="0"/>
        <w:rPr>
          <w:sz w:val="22"/>
          <w:szCs w:val="22"/>
          <w:lang w:val="da-DK"/>
        </w:rPr>
      </w:pPr>
      <w:r>
        <w:rPr>
          <w:sz w:val="22"/>
          <w:szCs w:val="22"/>
          <w:lang w:val="da-DK"/>
        </w:rPr>
        <w:t>udslæt.</w:t>
      </w:r>
    </w:p>
    <w:p>
      <w:pPr>
        <w:widowControl w:val="0"/>
        <w:rPr>
          <w:sz w:val="22"/>
          <w:szCs w:val="22"/>
          <w:lang w:val="da-DK"/>
        </w:rPr>
      </w:pPr>
    </w:p>
    <w:p>
      <w:pPr>
        <w:widowControl w:val="0"/>
        <w:rPr>
          <w:sz w:val="22"/>
          <w:szCs w:val="22"/>
          <w:lang w:val="da-DK"/>
        </w:rPr>
      </w:pPr>
      <w:r>
        <w:rPr>
          <w:b/>
          <w:sz w:val="22"/>
          <w:szCs w:val="22"/>
          <w:lang w:val="da-DK"/>
        </w:rPr>
        <w:t>Ikke almindelig</w:t>
      </w:r>
      <w:r>
        <w:rPr>
          <w:sz w:val="22"/>
          <w:szCs w:val="22"/>
          <w:lang w:val="da-DK"/>
        </w:rPr>
        <w:t xml:space="preserve"> (kan forekomme hos op til 1 ud af 100 patienter):</w:t>
      </w:r>
    </w:p>
    <w:p>
      <w:pPr>
        <w:pStyle w:val="ListParagraph"/>
        <w:widowControl w:val="0"/>
        <w:numPr>
          <w:ilvl w:val="0"/>
          <w:numId w:val="21"/>
        </w:numPr>
        <w:ind w:left="567" w:hanging="567"/>
        <w:contextualSpacing w:val="0"/>
        <w:rPr>
          <w:sz w:val="22"/>
          <w:szCs w:val="22"/>
          <w:lang w:val="da-DK"/>
        </w:rPr>
      </w:pPr>
      <w:r>
        <w:rPr>
          <w:sz w:val="22"/>
          <w:szCs w:val="22"/>
          <w:lang w:val="da-DK"/>
        </w:rPr>
        <w:t xml:space="preserve">binyrebarksvigt (relateret til problemer med væske- og saltbalancen), </w:t>
      </w:r>
    </w:p>
    <w:p>
      <w:pPr>
        <w:pStyle w:val="ListParagraph"/>
        <w:widowControl w:val="0"/>
        <w:numPr>
          <w:ilvl w:val="0"/>
          <w:numId w:val="21"/>
        </w:numPr>
        <w:ind w:left="567" w:hanging="567"/>
        <w:contextualSpacing w:val="0"/>
        <w:rPr>
          <w:sz w:val="22"/>
          <w:szCs w:val="22"/>
          <w:lang w:val="da-DK"/>
        </w:rPr>
      </w:pPr>
      <w:r>
        <w:rPr>
          <w:sz w:val="22"/>
          <w:szCs w:val="22"/>
          <w:lang w:val="da-DK"/>
        </w:rPr>
        <w:t>unormal hjerterytme (arytmi),</w:t>
      </w:r>
    </w:p>
    <w:p>
      <w:pPr>
        <w:pStyle w:val="ListParagraph"/>
        <w:widowControl w:val="0"/>
        <w:numPr>
          <w:ilvl w:val="0"/>
          <w:numId w:val="21"/>
        </w:numPr>
        <w:ind w:left="567" w:hanging="567"/>
        <w:contextualSpacing w:val="0"/>
        <w:rPr>
          <w:sz w:val="22"/>
          <w:szCs w:val="22"/>
          <w:lang w:val="da-DK"/>
        </w:rPr>
      </w:pPr>
      <w:r>
        <w:rPr>
          <w:sz w:val="22"/>
          <w:szCs w:val="22"/>
          <w:lang w:val="da-DK"/>
        </w:rPr>
        <w:t>muskelsvaghed og/eller muskelsmerter.</w:t>
      </w:r>
    </w:p>
    <w:p>
      <w:pPr>
        <w:widowControl w:val="0"/>
        <w:rPr>
          <w:sz w:val="22"/>
          <w:szCs w:val="22"/>
          <w:lang w:val="da-DK"/>
        </w:rPr>
      </w:pPr>
    </w:p>
    <w:p>
      <w:pPr>
        <w:widowControl w:val="0"/>
        <w:rPr>
          <w:sz w:val="22"/>
          <w:szCs w:val="22"/>
          <w:lang w:val="da-DK"/>
        </w:rPr>
      </w:pPr>
      <w:r>
        <w:rPr>
          <w:b/>
          <w:sz w:val="22"/>
          <w:szCs w:val="22"/>
          <w:lang w:val="da-DK"/>
        </w:rPr>
        <w:t>Sjælden</w:t>
      </w:r>
      <w:r>
        <w:rPr>
          <w:sz w:val="22"/>
          <w:szCs w:val="22"/>
          <w:lang w:val="da-DK"/>
        </w:rPr>
        <w:t xml:space="preserve"> (kan forekomme hos op til 1 ud af 1.000 patienter):</w:t>
      </w:r>
    </w:p>
    <w:p>
      <w:pPr>
        <w:pStyle w:val="ListParagraph"/>
        <w:widowControl w:val="0"/>
        <w:numPr>
          <w:ilvl w:val="0"/>
          <w:numId w:val="22"/>
        </w:numPr>
        <w:ind w:left="567" w:hanging="567"/>
        <w:contextualSpacing w:val="0"/>
        <w:rPr>
          <w:sz w:val="22"/>
          <w:szCs w:val="22"/>
          <w:lang w:val="da-DK"/>
        </w:rPr>
      </w:pPr>
      <w:r>
        <w:rPr>
          <w:sz w:val="22"/>
          <w:szCs w:val="22"/>
          <w:lang w:val="da-DK"/>
        </w:rPr>
        <w:t>lungeirritation (også kaldet allergisk alveolitis).</w:t>
      </w:r>
    </w:p>
    <w:p>
      <w:pPr>
        <w:pStyle w:val="ListParagraph"/>
        <w:widowControl w:val="0"/>
        <w:numPr>
          <w:ilvl w:val="0"/>
          <w:numId w:val="22"/>
        </w:numPr>
        <w:ind w:left="567" w:hanging="567"/>
        <w:contextualSpacing w:val="0"/>
        <w:rPr>
          <w:sz w:val="22"/>
          <w:szCs w:val="22"/>
          <w:lang w:val="da-DK"/>
        </w:rPr>
      </w:pPr>
      <w:r>
        <w:rPr>
          <w:sz w:val="22"/>
          <w:szCs w:val="22"/>
          <w:lang w:val="da-DK"/>
        </w:rPr>
        <w:t>ophør af leverens funktion (også kaldet akut leversvigt).</w:t>
      </w:r>
    </w:p>
    <w:p>
      <w:pPr>
        <w:widowControl w:val="0"/>
        <w:rPr>
          <w:sz w:val="22"/>
          <w:szCs w:val="22"/>
          <w:lang w:val="da-DK"/>
        </w:rPr>
      </w:pPr>
    </w:p>
    <w:p>
      <w:pPr>
        <w:widowControl w:val="0"/>
        <w:rPr>
          <w:sz w:val="22"/>
          <w:szCs w:val="22"/>
          <w:lang w:val="da-DK"/>
        </w:rPr>
      </w:pPr>
      <w:r>
        <w:rPr>
          <w:b/>
          <w:sz w:val="22"/>
          <w:szCs w:val="22"/>
          <w:lang w:val="da-DK"/>
        </w:rPr>
        <w:t>Ikke kendt</w:t>
      </w:r>
      <w:r>
        <w:rPr>
          <w:sz w:val="22"/>
          <w:szCs w:val="22"/>
          <w:lang w:val="da-DK"/>
        </w:rPr>
        <w:t xml:space="preserve"> (hyppigheden kan ikke estimeres ud fra forhåndenværende data):</w:t>
      </w:r>
    </w:p>
    <w:p>
      <w:pPr>
        <w:pStyle w:val="ListParagraph"/>
        <w:widowControl w:val="0"/>
        <w:numPr>
          <w:ilvl w:val="0"/>
          <w:numId w:val="23"/>
        </w:numPr>
        <w:ind w:left="567" w:hanging="567"/>
        <w:contextualSpacing w:val="0"/>
        <w:rPr>
          <w:sz w:val="22"/>
          <w:szCs w:val="22"/>
          <w:lang w:val="da-DK"/>
        </w:rPr>
      </w:pPr>
      <w:r>
        <w:rPr>
          <w:sz w:val="22"/>
          <w:szCs w:val="22"/>
          <w:lang w:val="da-DK"/>
        </w:rPr>
        <w:t xml:space="preserve">hjerteanfald, ændringer i elektrokardiogram (QT-forlængelse i EKG) </w:t>
      </w:r>
    </w:p>
    <w:p>
      <w:pPr>
        <w:pStyle w:val="ListParagraph"/>
        <w:widowControl w:val="0"/>
        <w:numPr>
          <w:ilvl w:val="0"/>
          <w:numId w:val="23"/>
        </w:numPr>
        <w:ind w:left="567" w:hanging="567"/>
        <w:contextualSpacing w:val="0"/>
        <w:rPr>
          <w:sz w:val="22"/>
          <w:szCs w:val="22"/>
          <w:lang w:val="da-DK"/>
        </w:rPr>
      </w:pPr>
      <w:r>
        <w:rPr>
          <w:sz w:val="22"/>
          <w:szCs w:val="22"/>
          <w:lang w:val="da-DK"/>
        </w:rPr>
        <w:t>alvorlige allergiske reaktioner, med synke- eller vejrtrækningsbesvær, hævelse i ansigt, læber, tunge eller svælg eller kløende udslæt.</w:t>
      </w:r>
    </w:p>
    <w:p>
      <w:pPr>
        <w:widowControl w:val="0"/>
        <w:rPr>
          <w:sz w:val="22"/>
          <w:szCs w:val="22"/>
          <w:lang w:val="da-DK"/>
        </w:rPr>
      </w:pPr>
    </w:p>
    <w:p>
      <w:pPr>
        <w:widowControl w:val="0"/>
        <w:rPr>
          <w:sz w:val="22"/>
          <w:szCs w:val="22"/>
          <w:lang w:val="da-DK"/>
        </w:rPr>
      </w:pPr>
      <w:r>
        <w:rPr>
          <w:sz w:val="22"/>
          <w:szCs w:val="22"/>
          <w:lang w:val="da-DK"/>
        </w:rPr>
        <w:t>Knogletab kan forekomme hos mænd, der behandles for prostatacancer. Abiraterone Krka i kombination med prednison eller prednisolon kan øge knogletabet.</w:t>
      </w:r>
    </w:p>
    <w:p>
      <w:pPr>
        <w:widowControl w:val="0"/>
        <w:rPr>
          <w:sz w:val="22"/>
          <w:szCs w:val="22"/>
          <w:lang w:val="da-DK"/>
        </w:rPr>
      </w:pPr>
    </w:p>
    <w:p>
      <w:pPr>
        <w:pStyle w:val="Heading1"/>
      </w:pPr>
      <w:r>
        <w:t>Indberetning</w:t>
      </w:r>
      <w:r>
        <w:rPr>
          <w:spacing w:val="-4"/>
        </w:rPr>
        <w:t xml:space="preserve"> </w:t>
      </w:r>
      <w:r>
        <w:t>af</w:t>
      </w:r>
      <w:r>
        <w:rPr>
          <w:spacing w:val="-2"/>
        </w:rPr>
        <w:t xml:space="preserve"> </w:t>
      </w:r>
      <w:r>
        <w:t>bivirkninger</w:t>
      </w:r>
    </w:p>
    <w:p>
      <w:pPr>
        <w:pStyle w:val="BodyText"/>
        <w:tabs>
          <w:tab w:val="left" w:pos="8505"/>
        </w:tabs>
        <w:rPr>
          <w:lang w:val="da-DK"/>
        </w:rPr>
      </w:pPr>
      <w:r>
        <w:rPr>
          <w:lang w:val="da-DK"/>
        </w:rPr>
        <w:t>Hvis du oplever bivirkninger, bør du tale med din læge, apotekspersonalet eller sygeplejersken. Dette</w:t>
      </w:r>
      <w:r>
        <w:rPr>
          <w:spacing w:val="1"/>
          <w:lang w:val="da-DK"/>
        </w:rPr>
        <w:t xml:space="preserve"> </w:t>
      </w:r>
      <w:r>
        <w:rPr>
          <w:lang w:val="da-DK"/>
        </w:rPr>
        <w:t xml:space="preserve">gælder også mulige bivirkninger, som ikke er medtaget i denne indlægsseddel. Du eller dine pårørende kan også indberette bivirkninger direkte til Lægemiddelstyrelsen via </w:t>
      </w:r>
      <w:r>
        <w:rPr>
          <w:shd w:val="clear" w:color="auto" w:fill="C0C0C0"/>
          <w:lang w:val="da-DK"/>
        </w:rPr>
        <w:t xml:space="preserve">det nationale rapporteringssystem anført i </w:t>
      </w:r>
      <w:r>
        <w:fldChar w:fldCharType="begin"/>
      </w:r>
      <w:r>
        <w:rPr>
          <w:lang w:val="da-DK"/>
          <w:rPrChange w:id="38" w:author="AMB" w:date="2025-10-20T10:34:00Z">
            <w:rPr/>
          </w:rPrChange>
        </w:rPr>
        <w:instrText xml:space="preserve"> HYPERLINK "http://www.ema.europa.eu/docs/en_GB/document_library/Template_or_form/2013/03/WC500139752.doc" \h </w:instrText>
      </w:r>
      <w:r>
        <w:fldChar w:fldCharType="separate"/>
      </w:r>
      <w:r>
        <w:rPr>
          <w:color w:val="0000FD"/>
          <w:u w:val="single" w:color="0000FF"/>
          <w:shd w:val="clear" w:color="auto" w:fill="C0C0C0"/>
          <w:lang w:val="da-DK"/>
        </w:rPr>
        <w:t>Appendiks V</w:t>
      </w:r>
      <w:r>
        <w:rPr>
          <w:color w:val="0000FD"/>
          <w:u w:val="single" w:color="0000FF"/>
          <w:shd w:val="clear" w:color="auto" w:fill="C0C0C0"/>
          <w:lang w:val="da-DK"/>
        </w:rPr>
        <w:fldChar w:fldCharType="end"/>
      </w:r>
      <w:r>
        <w:rPr>
          <w:shd w:val="clear" w:color="auto" w:fill="C0C0C0"/>
          <w:lang w:val="da-DK"/>
        </w:rPr>
        <w:t>.</w:t>
      </w:r>
      <w:r>
        <w:rPr>
          <w:lang w:val="da-DK"/>
        </w:rPr>
        <w:t xml:space="preserve"> Ved at indrapportere bivirkninger kan du hjælpe med at fremskaffe mere</w:t>
      </w:r>
      <w:r>
        <w:rPr>
          <w:spacing w:val="1"/>
          <w:lang w:val="da-DK"/>
        </w:rPr>
        <w:t xml:space="preserve"> </w:t>
      </w:r>
      <w:r>
        <w:rPr>
          <w:lang w:val="da-DK"/>
        </w:rPr>
        <w:t>information</w:t>
      </w:r>
      <w:r>
        <w:rPr>
          <w:spacing w:val="-2"/>
          <w:lang w:val="da-DK"/>
        </w:rPr>
        <w:t xml:space="preserve"> </w:t>
      </w:r>
      <w:r>
        <w:rPr>
          <w:lang w:val="da-DK"/>
        </w:rPr>
        <w:t>om</w:t>
      </w:r>
      <w:r>
        <w:rPr>
          <w:spacing w:val="-1"/>
          <w:lang w:val="da-DK"/>
        </w:rPr>
        <w:t xml:space="preserve"> </w:t>
      </w:r>
      <w:r>
        <w:rPr>
          <w:lang w:val="da-DK"/>
        </w:rPr>
        <w:t>sikkerheden</w:t>
      </w:r>
      <w:r>
        <w:rPr>
          <w:spacing w:val="-1"/>
          <w:lang w:val="da-DK"/>
        </w:rPr>
        <w:t xml:space="preserve"> </w:t>
      </w:r>
      <w:r>
        <w:rPr>
          <w:lang w:val="da-DK"/>
        </w:rPr>
        <w:t>af</w:t>
      </w:r>
      <w:r>
        <w:rPr>
          <w:spacing w:val="-1"/>
          <w:lang w:val="da-DK"/>
        </w:rPr>
        <w:t xml:space="preserve"> </w:t>
      </w:r>
      <w:r>
        <w:rPr>
          <w:lang w:val="da-DK"/>
        </w:rPr>
        <w:t>dette</w:t>
      </w:r>
      <w:r>
        <w:rPr>
          <w:spacing w:val="-2"/>
          <w:lang w:val="da-DK"/>
        </w:rPr>
        <w:t xml:space="preserve"> </w:t>
      </w:r>
      <w:r>
        <w:rPr>
          <w:lang w:val="da-DK"/>
        </w:rPr>
        <w:t>lægemiddel.</w:t>
      </w:r>
    </w:p>
    <w:p>
      <w:pPr>
        <w:widowControl w:val="0"/>
        <w:rPr>
          <w:sz w:val="22"/>
          <w:szCs w:val="22"/>
          <w:lang w:val="da-DK"/>
        </w:rPr>
      </w:pPr>
    </w:p>
    <w:p>
      <w:pPr>
        <w:widowControl w:val="0"/>
        <w:rPr>
          <w:sz w:val="22"/>
          <w:szCs w:val="22"/>
          <w:lang w:val="da-DK"/>
        </w:rPr>
      </w:pPr>
    </w:p>
    <w:p>
      <w:pPr>
        <w:widowControl w:val="0"/>
        <w:ind w:left="567" w:hanging="567"/>
        <w:rPr>
          <w:sz w:val="22"/>
          <w:szCs w:val="22"/>
          <w:lang w:val="da-DK"/>
        </w:rPr>
      </w:pPr>
      <w:r>
        <w:rPr>
          <w:b/>
          <w:sz w:val="22"/>
          <w:szCs w:val="22"/>
          <w:lang w:val="da-DK"/>
        </w:rPr>
        <w:t>5.</w:t>
      </w:r>
      <w:r>
        <w:rPr>
          <w:b/>
          <w:sz w:val="22"/>
          <w:szCs w:val="22"/>
          <w:lang w:val="da-DK"/>
        </w:rPr>
        <w:tab/>
        <w:t>Opbevaring</w:t>
      </w:r>
    </w:p>
    <w:p>
      <w:pPr>
        <w:widowControl w:val="0"/>
        <w:rPr>
          <w:sz w:val="22"/>
          <w:szCs w:val="22"/>
          <w:lang w:val="da-DK"/>
        </w:rPr>
      </w:pPr>
    </w:p>
    <w:p>
      <w:pPr>
        <w:widowControl w:val="0"/>
        <w:rPr>
          <w:sz w:val="22"/>
          <w:szCs w:val="22"/>
          <w:lang w:val="da-DK"/>
        </w:rPr>
      </w:pPr>
      <w:r>
        <w:rPr>
          <w:sz w:val="22"/>
          <w:szCs w:val="22"/>
          <w:lang w:val="da-DK"/>
        </w:rPr>
        <w:t>Opbevar lægemidlet utilgængeligt for børn.</w:t>
      </w:r>
    </w:p>
    <w:p>
      <w:pPr>
        <w:widowControl w:val="0"/>
        <w:rPr>
          <w:sz w:val="22"/>
          <w:szCs w:val="22"/>
          <w:lang w:val="da-DK"/>
        </w:rPr>
      </w:pPr>
    </w:p>
    <w:p>
      <w:pPr>
        <w:widowControl w:val="0"/>
        <w:rPr>
          <w:sz w:val="22"/>
          <w:szCs w:val="22"/>
          <w:lang w:val="da-DK"/>
        </w:rPr>
      </w:pPr>
      <w:r>
        <w:rPr>
          <w:sz w:val="22"/>
          <w:szCs w:val="22"/>
          <w:lang w:val="da-DK"/>
        </w:rPr>
        <w:t>Brug ikke lægemidlet efter den udløbsdato, der står på kartonen og på blisteren efter EXP. Udløbsdatoen er den sidste dag i den nævnte måned.</w:t>
      </w:r>
    </w:p>
    <w:p>
      <w:pPr>
        <w:widowControl w:val="0"/>
        <w:rPr>
          <w:sz w:val="22"/>
          <w:szCs w:val="22"/>
          <w:lang w:val="da-DK"/>
        </w:rPr>
      </w:pPr>
    </w:p>
    <w:p>
      <w:pPr>
        <w:widowControl w:val="0"/>
        <w:rPr>
          <w:sz w:val="22"/>
          <w:szCs w:val="22"/>
          <w:lang w:val="da-DK"/>
        </w:rPr>
      </w:pPr>
      <w:r>
        <w:rPr>
          <w:sz w:val="22"/>
          <w:szCs w:val="22"/>
          <w:lang w:val="da-DK"/>
        </w:rPr>
        <w:t>Dette lægemiddel kræver ingen særlige forholdsregler vedrørende opbevaringen.</w:t>
      </w:r>
    </w:p>
    <w:p>
      <w:pPr>
        <w:widowControl w:val="0"/>
        <w:rPr>
          <w:sz w:val="22"/>
          <w:szCs w:val="22"/>
          <w:lang w:val="da-DK"/>
        </w:rPr>
      </w:pPr>
    </w:p>
    <w:p>
      <w:pPr>
        <w:widowControl w:val="0"/>
        <w:rPr>
          <w:sz w:val="22"/>
          <w:szCs w:val="22"/>
          <w:lang w:val="da-DK"/>
        </w:rPr>
      </w:pPr>
      <w:r>
        <w:rPr>
          <w:sz w:val="22"/>
          <w:szCs w:val="22"/>
          <w:lang w:val="da-DK"/>
        </w:rPr>
        <w:t xml:space="preserve">Spørg apotekspersonalet, hvordan du skal bortskaffe </w:t>
      </w:r>
      <w:ins w:id="39" w:author="Skalberg, Fanny" w:date="2025-10-20T14:21:00Z">
        <w:r>
          <w:rPr>
            <w:sz w:val="22"/>
            <w:szCs w:val="22"/>
            <w:lang w:val="da-DK"/>
          </w:rPr>
          <w:t>lægemiddelrester</w:t>
        </w:r>
      </w:ins>
      <w:del w:id="40" w:author="Skalberg, Fanny" w:date="2025-10-20T14:21:00Z">
        <w:r>
          <w:rPr>
            <w:sz w:val="22"/>
            <w:szCs w:val="22"/>
            <w:lang w:val="da-DK"/>
          </w:rPr>
          <w:delText>medicinrester</w:delText>
        </w:r>
      </w:del>
      <w:r>
        <w:rPr>
          <w:sz w:val="22"/>
          <w:szCs w:val="22"/>
          <w:lang w:val="da-DK"/>
        </w:rPr>
        <w:t xml:space="preserve">. Af hensyn til miljøet må du ikke smide </w:t>
      </w:r>
      <w:ins w:id="41" w:author="Skalberg, Fanny" w:date="2025-10-20T14:21:00Z">
        <w:r>
          <w:rPr>
            <w:sz w:val="22"/>
            <w:szCs w:val="22"/>
            <w:lang w:val="da-DK"/>
          </w:rPr>
          <w:t xml:space="preserve">lægemiddelrester </w:t>
        </w:r>
      </w:ins>
      <w:del w:id="42" w:author="Skalberg, Fanny" w:date="2025-10-20T14:21:00Z">
        <w:r>
          <w:rPr>
            <w:sz w:val="22"/>
            <w:szCs w:val="22"/>
            <w:lang w:val="da-DK"/>
          </w:rPr>
          <w:delText xml:space="preserve">medicinrester </w:delText>
        </w:r>
      </w:del>
      <w:r>
        <w:rPr>
          <w:sz w:val="22"/>
          <w:szCs w:val="22"/>
          <w:lang w:val="da-DK"/>
        </w:rPr>
        <w:t>i afløbet, toilettet eller skraldespanden</w:t>
      </w:r>
      <w:ins w:id="43" w:author="Skalberg, Fanny" w:date="2025-10-20T14:21:00Z">
        <w:r>
          <w:rPr>
            <w:sz w:val="22"/>
            <w:szCs w:val="22"/>
            <w:lang w:val="da-DK"/>
          </w:rPr>
          <w:t>.</w:t>
        </w:r>
      </w:ins>
    </w:p>
    <w:p>
      <w:pPr>
        <w:widowControl w:val="0"/>
        <w:ind w:left="567" w:hanging="567"/>
        <w:rPr>
          <w:sz w:val="22"/>
          <w:szCs w:val="22"/>
          <w:lang w:val="da-DK"/>
        </w:rPr>
      </w:pPr>
    </w:p>
    <w:p>
      <w:pPr>
        <w:widowControl w:val="0"/>
        <w:ind w:left="567" w:hanging="567"/>
        <w:rPr>
          <w:b/>
          <w:sz w:val="22"/>
          <w:szCs w:val="22"/>
          <w:lang w:val="da-DK"/>
        </w:rPr>
      </w:pPr>
    </w:p>
    <w:p>
      <w:pPr>
        <w:widowControl w:val="0"/>
        <w:ind w:left="567" w:hanging="567"/>
        <w:rPr>
          <w:sz w:val="22"/>
          <w:szCs w:val="22"/>
          <w:lang w:val="da-DK"/>
        </w:rPr>
      </w:pPr>
      <w:r>
        <w:rPr>
          <w:b/>
          <w:sz w:val="22"/>
          <w:szCs w:val="22"/>
          <w:lang w:val="da-DK"/>
        </w:rPr>
        <w:t>6.</w:t>
      </w:r>
      <w:r>
        <w:rPr>
          <w:b/>
          <w:sz w:val="22"/>
          <w:szCs w:val="22"/>
          <w:lang w:val="da-DK"/>
        </w:rPr>
        <w:tab/>
        <w:t>Pakningsstørrelser og yderligere oplysninger</w:t>
      </w:r>
    </w:p>
    <w:p>
      <w:pPr>
        <w:widowControl w:val="0"/>
        <w:numPr>
          <w:ilvl w:val="12"/>
          <w:numId w:val="0"/>
        </w:numPr>
        <w:ind w:right="-2"/>
        <w:rPr>
          <w:sz w:val="22"/>
          <w:szCs w:val="22"/>
          <w:lang w:val="da-DK"/>
        </w:rPr>
      </w:pPr>
    </w:p>
    <w:p>
      <w:pPr>
        <w:widowControl w:val="0"/>
        <w:numPr>
          <w:ilvl w:val="12"/>
          <w:numId w:val="0"/>
        </w:numPr>
        <w:ind w:right="-2"/>
        <w:rPr>
          <w:b/>
          <w:sz w:val="22"/>
          <w:szCs w:val="22"/>
          <w:lang w:val="da-DK"/>
        </w:rPr>
      </w:pPr>
      <w:r>
        <w:rPr>
          <w:b/>
          <w:sz w:val="22"/>
          <w:szCs w:val="22"/>
          <w:lang w:val="da-DK"/>
        </w:rPr>
        <w:t>Abiraterone Krka indeholder:</w:t>
      </w:r>
    </w:p>
    <w:p>
      <w:pPr>
        <w:pStyle w:val="ListParagraph"/>
        <w:widowControl w:val="0"/>
        <w:numPr>
          <w:ilvl w:val="0"/>
          <w:numId w:val="24"/>
        </w:numPr>
        <w:ind w:left="567" w:hanging="567"/>
        <w:contextualSpacing w:val="0"/>
        <w:rPr>
          <w:sz w:val="22"/>
          <w:szCs w:val="22"/>
          <w:lang w:val="da-DK"/>
        </w:rPr>
      </w:pPr>
      <w:r>
        <w:rPr>
          <w:sz w:val="22"/>
          <w:szCs w:val="22"/>
          <w:lang w:val="da-DK"/>
        </w:rPr>
        <w:t>Aktivt stof: abirateronacetat. En filmovertrukken tablet indeholder 500</w:t>
      </w:r>
      <w:r>
        <w:rPr>
          <w:szCs w:val="22"/>
          <w:lang w:eastAsia="sl-SI"/>
        </w:rPr>
        <w:t> </w:t>
      </w:r>
      <w:r>
        <w:rPr>
          <w:sz w:val="22"/>
          <w:szCs w:val="22"/>
          <w:lang w:val="da-DK"/>
        </w:rPr>
        <w:t>mg abirateronacetat</w:t>
      </w:r>
      <w:ins w:id="44" w:author="Skalberg, Fanny" w:date="2025-10-20T13:44:00Z">
        <w:r>
          <w:rPr>
            <w:sz w:val="22"/>
            <w:szCs w:val="22"/>
            <w:lang w:val="da-DK"/>
          </w:rPr>
          <w:t xml:space="preserve"> svarende til 446 mg abirateron</w:t>
        </w:r>
      </w:ins>
      <w:r>
        <w:rPr>
          <w:sz w:val="22"/>
          <w:szCs w:val="22"/>
          <w:lang w:val="da-DK"/>
        </w:rPr>
        <w:t>.</w:t>
      </w:r>
    </w:p>
    <w:p>
      <w:pPr>
        <w:pStyle w:val="ListParagraph"/>
        <w:widowControl w:val="0"/>
        <w:numPr>
          <w:ilvl w:val="0"/>
          <w:numId w:val="24"/>
        </w:numPr>
        <w:ind w:left="567" w:hanging="567"/>
        <w:contextualSpacing w:val="0"/>
        <w:rPr>
          <w:sz w:val="22"/>
          <w:szCs w:val="22"/>
          <w:lang w:val="da-DK"/>
        </w:rPr>
      </w:pPr>
      <w:r>
        <w:rPr>
          <w:sz w:val="22"/>
          <w:szCs w:val="22"/>
          <w:lang w:val="da-DK"/>
        </w:rPr>
        <w:t xml:space="preserve">Øvrige indholdsstoffer: </w:t>
      </w:r>
    </w:p>
    <w:p>
      <w:pPr>
        <w:pStyle w:val="ListParagraph"/>
        <w:widowControl w:val="0"/>
        <w:ind w:left="567"/>
        <w:contextualSpacing w:val="0"/>
        <w:rPr>
          <w:sz w:val="22"/>
          <w:szCs w:val="22"/>
          <w:lang w:val="da-DK"/>
        </w:rPr>
      </w:pPr>
      <w:r>
        <w:rPr>
          <w:sz w:val="22"/>
          <w:szCs w:val="22"/>
          <w:u w:val="single"/>
          <w:lang w:val="da-DK"/>
        </w:rPr>
        <w:t>Tabletkerne:</w:t>
      </w:r>
      <w:r>
        <w:rPr>
          <w:sz w:val="22"/>
          <w:szCs w:val="22"/>
          <w:lang w:val="da-DK"/>
        </w:rPr>
        <w:t xml:space="preserve"> lactosemonohydrat, hypromellose (E464), natriumlaurilsulfat, croscarmellosenatrium (E468), silicificeret mikrokrystallinsk cellulose, kolloid vandfri silica, magnesiumstearat (E470b).</w:t>
      </w:r>
    </w:p>
    <w:p>
      <w:pPr>
        <w:pStyle w:val="ListParagraph"/>
        <w:widowControl w:val="0"/>
        <w:ind w:left="567"/>
        <w:contextualSpacing w:val="0"/>
        <w:rPr>
          <w:sz w:val="22"/>
          <w:szCs w:val="22"/>
          <w:lang w:val="da-DK"/>
        </w:rPr>
      </w:pPr>
      <w:r>
        <w:rPr>
          <w:sz w:val="22"/>
          <w:szCs w:val="22"/>
          <w:u w:val="single"/>
          <w:lang w:val="da-DK"/>
        </w:rPr>
        <w:t>Filmovertræk:</w:t>
      </w:r>
      <w:r>
        <w:rPr>
          <w:sz w:val="22"/>
          <w:szCs w:val="22"/>
          <w:lang w:val="da-DK"/>
        </w:rPr>
        <w:t xml:space="preserve"> macrogol, polyvinylalkohol, talcum (E553b), titandioxid (E171), rød jernoxid (E172), sort jeroxid (E172).</w:t>
      </w:r>
    </w:p>
    <w:p>
      <w:pPr>
        <w:pStyle w:val="ListParagraph"/>
        <w:widowControl w:val="0"/>
        <w:ind w:left="567"/>
        <w:contextualSpacing w:val="0"/>
        <w:rPr>
          <w:sz w:val="22"/>
          <w:szCs w:val="22"/>
          <w:lang w:val="da-DK"/>
        </w:rPr>
      </w:pPr>
      <w:r>
        <w:rPr>
          <w:sz w:val="22"/>
          <w:szCs w:val="22"/>
          <w:lang w:val="da-DK"/>
        </w:rPr>
        <w:t>Se ”Abiraterone Krka indeholder lactose og natrium” under punkt 2.</w:t>
      </w:r>
    </w:p>
    <w:p>
      <w:pPr>
        <w:widowControl w:val="0"/>
        <w:numPr>
          <w:ilvl w:val="12"/>
          <w:numId w:val="0"/>
        </w:numPr>
        <w:ind w:right="-2"/>
        <w:rPr>
          <w:b/>
          <w:sz w:val="22"/>
          <w:szCs w:val="22"/>
          <w:lang w:val="da-DK"/>
        </w:rPr>
      </w:pPr>
    </w:p>
    <w:p>
      <w:pPr>
        <w:widowControl w:val="0"/>
        <w:numPr>
          <w:ilvl w:val="12"/>
          <w:numId w:val="0"/>
        </w:numPr>
        <w:ind w:right="-2"/>
        <w:rPr>
          <w:b/>
          <w:sz w:val="22"/>
          <w:szCs w:val="22"/>
          <w:lang w:val="da-DK"/>
        </w:rPr>
      </w:pPr>
      <w:r>
        <w:rPr>
          <w:b/>
          <w:sz w:val="22"/>
          <w:szCs w:val="22"/>
          <w:lang w:val="da-DK"/>
        </w:rPr>
        <w:t>Udseende og pakningsstørrelser</w:t>
      </w:r>
    </w:p>
    <w:p>
      <w:pPr>
        <w:widowControl w:val="0"/>
        <w:numPr>
          <w:ilvl w:val="12"/>
          <w:numId w:val="0"/>
        </w:numPr>
        <w:ind w:right="-2"/>
        <w:rPr>
          <w:sz w:val="22"/>
          <w:szCs w:val="22"/>
          <w:lang w:val="da-DK"/>
        </w:rPr>
      </w:pPr>
      <w:r>
        <w:rPr>
          <w:sz w:val="22"/>
          <w:szCs w:val="22"/>
          <w:lang w:val="da-DK"/>
        </w:rPr>
        <w:t>Gråviolet til violet, oval, bikonveks filmovertrukne tabletter som måler ca. 20 mm i længden × 10 mm i bredden.</w:t>
      </w:r>
    </w:p>
    <w:p>
      <w:pPr>
        <w:widowControl w:val="0"/>
        <w:numPr>
          <w:ilvl w:val="12"/>
          <w:numId w:val="0"/>
        </w:numPr>
        <w:ind w:right="-2"/>
        <w:rPr>
          <w:sz w:val="22"/>
          <w:szCs w:val="22"/>
          <w:lang w:val="da-DK"/>
        </w:rPr>
      </w:pPr>
    </w:p>
    <w:p>
      <w:pPr>
        <w:widowControl w:val="0"/>
        <w:numPr>
          <w:ilvl w:val="12"/>
          <w:numId w:val="0"/>
        </w:numPr>
        <w:ind w:right="-2"/>
        <w:rPr>
          <w:sz w:val="22"/>
          <w:szCs w:val="22"/>
          <w:lang w:val="da-DK"/>
        </w:rPr>
      </w:pPr>
      <w:r>
        <w:rPr>
          <w:sz w:val="22"/>
          <w:szCs w:val="22"/>
          <w:lang w:val="da-DK"/>
        </w:rPr>
        <w:t>Abiraterone Krka er tilgængelig i kartoner indeholdende:</w:t>
      </w:r>
    </w:p>
    <w:p>
      <w:pPr>
        <w:pStyle w:val="ListParagraph"/>
        <w:widowControl w:val="0"/>
        <w:numPr>
          <w:ilvl w:val="0"/>
          <w:numId w:val="25"/>
        </w:numPr>
        <w:ind w:left="567" w:right="-2" w:hanging="567"/>
        <w:contextualSpacing w:val="0"/>
        <w:rPr>
          <w:sz w:val="22"/>
          <w:szCs w:val="22"/>
          <w:lang w:val="nb-NO"/>
        </w:rPr>
      </w:pPr>
      <w:r>
        <w:rPr>
          <w:sz w:val="22"/>
          <w:szCs w:val="22"/>
          <w:lang w:val="nb-NO"/>
        </w:rPr>
        <w:t>56 eller 60 filmovertrukne tabletter i blisterkort,</w:t>
      </w:r>
    </w:p>
    <w:p>
      <w:pPr>
        <w:pStyle w:val="ListParagraph"/>
        <w:widowControl w:val="0"/>
        <w:numPr>
          <w:ilvl w:val="0"/>
          <w:numId w:val="25"/>
        </w:numPr>
        <w:ind w:left="567" w:right="-2" w:hanging="567"/>
        <w:contextualSpacing w:val="0"/>
        <w:rPr>
          <w:sz w:val="22"/>
          <w:szCs w:val="22"/>
          <w:lang w:val="da-DK"/>
        </w:rPr>
      </w:pPr>
      <w:r>
        <w:rPr>
          <w:sz w:val="22"/>
          <w:szCs w:val="22"/>
          <w:lang w:val="da-DK"/>
        </w:rPr>
        <w:t>56 filmovertrukne tabletter i blisterkort, kalenderpakning.</w:t>
      </w:r>
    </w:p>
    <w:p>
      <w:pPr>
        <w:widowControl w:val="0"/>
        <w:numPr>
          <w:ilvl w:val="12"/>
          <w:numId w:val="0"/>
        </w:numPr>
        <w:ind w:right="-2"/>
        <w:rPr>
          <w:sz w:val="22"/>
          <w:szCs w:val="22"/>
          <w:lang w:val="da-DK"/>
        </w:rPr>
      </w:pPr>
    </w:p>
    <w:p>
      <w:pPr>
        <w:widowControl w:val="0"/>
        <w:numPr>
          <w:ilvl w:val="12"/>
          <w:numId w:val="0"/>
        </w:numPr>
        <w:ind w:right="-2"/>
        <w:rPr>
          <w:sz w:val="22"/>
          <w:szCs w:val="22"/>
          <w:lang w:val="da-DK"/>
        </w:rPr>
      </w:pPr>
      <w:r>
        <w:rPr>
          <w:sz w:val="22"/>
          <w:szCs w:val="22"/>
          <w:lang w:val="da-DK"/>
        </w:rPr>
        <w:t>Ikke alle pakningsstørrelser er nødvendigvis markedsført.</w:t>
      </w:r>
    </w:p>
    <w:p>
      <w:pPr>
        <w:widowControl w:val="0"/>
        <w:numPr>
          <w:ilvl w:val="12"/>
          <w:numId w:val="0"/>
        </w:numPr>
        <w:ind w:right="-2"/>
        <w:rPr>
          <w:sz w:val="22"/>
          <w:szCs w:val="22"/>
          <w:lang w:val="da-DK"/>
        </w:rPr>
      </w:pPr>
    </w:p>
    <w:p>
      <w:pPr>
        <w:widowControl w:val="0"/>
        <w:numPr>
          <w:ilvl w:val="12"/>
          <w:numId w:val="0"/>
        </w:numPr>
        <w:ind w:right="-2"/>
        <w:rPr>
          <w:b/>
          <w:sz w:val="22"/>
          <w:szCs w:val="22"/>
          <w:lang w:val="da-DK"/>
        </w:rPr>
      </w:pPr>
      <w:r>
        <w:rPr>
          <w:b/>
          <w:sz w:val="22"/>
          <w:szCs w:val="22"/>
          <w:lang w:val="da-DK"/>
        </w:rPr>
        <w:t>Indehaver af markedsføringstilladelsen</w:t>
      </w:r>
    </w:p>
    <w:p>
      <w:pPr>
        <w:widowControl w:val="0"/>
        <w:numPr>
          <w:ilvl w:val="12"/>
          <w:numId w:val="0"/>
        </w:numPr>
        <w:ind w:right="-2"/>
        <w:rPr>
          <w:sz w:val="22"/>
          <w:szCs w:val="22"/>
          <w:lang w:val="da-DK"/>
        </w:rPr>
      </w:pPr>
      <w:r>
        <w:rPr>
          <w:sz w:val="22"/>
          <w:szCs w:val="22"/>
          <w:lang w:val="da-DK"/>
        </w:rPr>
        <w:t>KRKA, d.d., Novo mesto, Šmarješka cesta 6, 8501 Novo mesto, Slovenien</w:t>
      </w:r>
    </w:p>
    <w:p>
      <w:pPr>
        <w:widowControl w:val="0"/>
        <w:numPr>
          <w:ilvl w:val="12"/>
          <w:numId w:val="0"/>
        </w:numPr>
        <w:ind w:right="-2"/>
        <w:rPr>
          <w:sz w:val="22"/>
          <w:szCs w:val="22"/>
          <w:lang w:val="da-DK"/>
        </w:rPr>
      </w:pPr>
    </w:p>
    <w:p>
      <w:pPr>
        <w:widowControl w:val="0"/>
        <w:numPr>
          <w:ilvl w:val="12"/>
          <w:numId w:val="0"/>
        </w:numPr>
        <w:ind w:right="-2"/>
        <w:rPr>
          <w:b/>
          <w:sz w:val="22"/>
          <w:szCs w:val="22"/>
          <w:lang w:val="da-DK"/>
        </w:rPr>
      </w:pPr>
      <w:r>
        <w:rPr>
          <w:b/>
          <w:sz w:val="22"/>
          <w:szCs w:val="22"/>
          <w:lang w:val="da-DK"/>
        </w:rPr>
        <w:lastRenderedPageBreak/>
        <w:t>Fremstiller</w:t>
      </w:r>
    </w:p>
    <w:p>
      <w:pPr>
        <w:widowControl w:val="0"/>
        <w:numPr>
          <w:ilvl w:val="12"/>
          <w:numId w:val="0"/>
        </w:numPr>
        <w:ind w:right="-2"/>
        <w:rPr>
          <w:sz w:val="22"/>
          <w:szCs w:val="22"/>
          <w:lang w:val="da-DK"/>
        </w:rPr>
      </w:pPr>
      <w:r>
        <w:rPr>
          <w:sz w:val="22"/>
          <w:szCs w:val="22"/>
          <w:lang w:val="da-DK"/>
        </w:rPr>
        <w:t>KRKA, d.d., Novo mesto, Šmarješka cesta 6, 8501 Novo mesto, Slovenien</w:t>
      </w:r>
    </w:p>
    <w:p>
      <w:pPr>
        <w:widowControl w:val="0"/>
        <w:numPr>
          <w:ilvl w:val="12"/>
          <w:numId w:val="0"/>
        </w:numPr>
        <w:ind w:right="-2"/>
        <w:rPr>
          <w:sz w:val="22"/>
          <w:szCs w:val="22"/>
          <w:highlight w:val="lightGray"/>
          <w:lang w:val="da-DK"/>
        </w:rPr>
      </w:pPr>
      <w:r>
        <w:rPr>
          <w:sz w:val="22"/>
          <w:szCs w:val="22"/>
          <w:highlight w:val="lightGray"/>
          <w:lang w:val="da-DK"/>
        </w:rPr>
        <w:t>TAD Pharma GmbH, Heinz-Lohmann-Straße 5, 27472 Cuxhaven, Tyskland</w:t>
      </w:r>
    </w:p>
    <w:p>
      <w:pPr>
        <w:widowControl w:val="0"/>
        <w:numPr>
          <w:ilvl w:val="12"/>
          <w:numId w:val="0"/>
        </w:numPr>
        <w:ind w:right="-2"/>
        <w:rPr>
          <w:sz w:val="22"/>
          <w:szCs w:val="22"/>
          <w:lang w:val="da-DK"/>
        </w:rPr>
      </w:pPr>
      <w:r>
        <w:rPr>
          <w:sz w:val="22"/>
          <w:szCs w:val="22"/>
          <w:highlight w:val="lightGray"/>
          <w:lang w:val="da-DK"/>
        </w:rPr>
        <w:t>KRKA-FARMA d.o.o., V. Holjevca 20/E, 10450 Jastrebarsko, Kroatien</w:t>
      </w:r>
    </w:p>
    <w:p>
      <w:pPr>
        <w:widowControl w:val="0"/>
        <w:numPr>
          <w:ilvl w:val="12"/>
          <w:numId w:val="0"/>
        </w:numPr>
        <w:ind w:right="-2"/>
        <w:rPr>
          <w:sz w:val="22"/>
          <w:szCs w:val="22"/>
          <w:lang w:val="da-DK"/>
        </w:rPr>
      </w:pPr>
    </w:p>
    <w:p>
      <w:pPr>
        <w:widowControl w:val="0"/>
        <w:numPr>
          <w:ilvl w:val="12"/>
          <w:numId w:val="0"/>
        </w:numPr>
        <w:ind w:right="-2"/>
        <w:rPr>
          <w:sz w:val="22"/>
          <w:szCs w:val="22"/>
          <w:lang w:val="da-DK"/>
        </w:rPr>
      </w:pPr>
      <w:r>
        <w:rPr>
          <w:sz w:val="22"/>
          <w:szCs w:val="22"/>
          <w:lang w:val="da-DK"/>
        </w:rPr>
        <w:t>Hvis du ønsker yderligere oplysninger om dette lægemiddel, skal du henvende dig til den lokale repræsentant for indehaveren af markedsføringstilladelsen:</w:t>
      </w:r>
    </w:p>
    <w:p>
      <w:pPr>
        <w:widowControl w:val="0"/>
        <w:numPr>
          <w:ilvl w:val="12"/>
          <w:numId w:val="0"/>
        </w:numPr>
        <w:ind w:right="-2"/>
        <w:rPr>
          <w:sz w:val="22"/>
          <w:szCs w:val="22"/>
          <w:lang w:val="da-DK"/>
        </w:rPr>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widowControl w:val="0"/>
              <w:rPr>
                <w:b/>
                <w:sz w:val="22"/>
                <w:szCs w:val="22"/>
                <w:lang w:val="nb-NO"/>
              </w:rPr>
            </w:pPr>
            <w:r>
              <w:rPr>
                <w:b/>
                <w:sz w:val="22"/>
                <w:szCs w:val="22"/>
                <w:lang w:val="nb-NO"/>
              </w:rPr>
              <w:t>België/Belgique/Belgien</w:t>
            </w:r>
          </w:p>
          <w:p>
            <w:pPr>
              <w:widowControl w:val="0"/>
              <w:rPr>
                <w:sz w:val="22"/>
                <w:szCs w:val="22"/>
                <w:lang w:val="nb-NO"/>
              </w:rPr>
            </w:pPr>
            <w:r>
              <w:rPr>
                <w:sz w:val="22"/>
                <w:szCs w:val="22"/>
                <w:lang w:val="nb-NO"/>
              </w:rPr>
              <w:t>KRKA Belgium, SA.</w:t>
            </w:r>
          </w:p>
          <w:p>
            <w:pPr>
              <w:widowControl w:val="0"/>
              <w:rPr>
                <w:sz w:val="22"/>
                <w:szCs w:val="22"/>
                <w:lang w:val="da-DK"/>
              </w:rPr>
            </w:pPr>
            <w:r>
              <w:rPr>
                <w:sz w:val="22"/>
                <w:szCs w:val="22"/>
                <w:lang w:val="da-DK"/>
              </w:rPr>
              <w:t>Tél/Tel: + 32 (0) 487 50 73 62</w:t>
            </w:r>
          </w:p>
          <w:p>
            <w:pPr>
              <w:widowControl w:val="0"/>
              <w:rPr>
                <w:b/>
                <w:sz w:val="22"/>
                <w:szCs w:val="22"/>
                <w:lang w:val="da-DK"/>
              </w:rPr>
            </w:pPr>
          </w:p>
        </w:tc>
        <w:tc>
          <w:tcPr>
            <w:tcW w:w="4680" w:type="dxa"/>
            <w:hideMark/>
          </w:tcPr>
          <w:p>
            <w:pPr>
              <w:widowControl w:val="0"/>
              <w:rPr>
                <w:b/>
                <w:sz w:val="22"/>
                <w:szCs w:val="22"/>
                <w:lang w:val="fi-FI"/>
              </w:rPr>
            </w:pPr>
            <w:r>
              <w:rPr>
                <w:b/>
                <w:sz w:val="22"/>
                <w:szCs w:val="22"/>
                <w:lang w:val="fi-FI"/>
              </w:rPr>
              <w:t>Lietuva</w:t>
            </w:r>
          </w:p>
          <w:p>
            <w:pPr>
              <w:widowControl w:val="0"/>
              <w:rPr>
                <w:sz w:val="22"/>
                <w:szCs w:val="22"/>
                <w:lang w:val="fi-FI"/>
              </w:rPr>
            </w:pPr>
            <w:r>
              <w:rPr>
                <w:sz w:val="22"/>
                <w:szCs w:val="22"/>
                <w:lang w:val="fi-FI"/>
              </w:rPr>
              <w:t>UAB KRKA Lietuva</w:t>
            </w:r>
          </w:p>
          <w:p>
            <w:pPr>
              <w:widowControl w:val="0"/>
              <w:rPr>
                <w:b/>
                <w:sz w:val="22"/>
                <w:szCs w:val="22"/>
                <w:lang w:val="fi-FI"/>
              </w:rPr>
            </w:pPr>
            <w:r>
              <w:rPr>
                <w:sz w:val="22"/>
                <w:szCs w:val="22"/>
                <w:lang w:val="fi-FI"/>
              </w:rPr>
              <w:t>Tel: + 370 5 236 27 40</w:t>
            </w:r>
          </w:p>
        </w:tc>
      </w:tr>
      <w:tr>
        <w:tc>
          <w:tcPr>
            <w:tcW w:w="4680" w:type="dxa"/>
            <w:hideMark/>
          </w:tcPr>
          <w:p>
            <w:pPr>
              <w:widowControl w:val="0"/>
              <w:rPr>
                <w:b/>
                <w:sz w:val="22"/>
                <w:szCs w:val="22"/>
              </w:rPr>
            </w:pPr>
            <w:r>
              <w:rPr>
                <w:b/>
                <w:sz w:val="22"/>
                <w:szCs w:val="22"/>
                <w:lang w:val="da-DK"/>
              </w:rPr>
              <w:t>България</w:t>
            </w:r>
          </w:p>
          <w:p>
            <w:pPr>
              <w:widowControl w:val="0"/>
              <w:rPr>
                <w:sz w:val="22"/>
                <w:szCs w:val="22"/>
              </w:rPr>
            </w:pPr>
            <w:r>
              <w:rPr>
                <w:sz w:val="22"/>
                <w:szCs w:val="22"/>
                <w:lang w:val="da-DK"/>
              </w:rPr>
              <w:t>КРКА</w:t>
            </w:r>
            <w:r>
              <w:rPr>
                <w:sz w:val="22"/>
                <w:szCs w:val="22"/>
              </w:rPr>
              <w:t xml:space="preserve"> </w:t>
            </w:r>
            <w:r>
              <w:rPr>
                <w:sz w:val="22"/>
                <w:szCs w:val="22"/>
                <w:lang w:val="da-DK"/>
              </w:rPr>
              <w:t>България</w:t>
            </w:r>
            <w:r>
              <w:rPr>
                <w:sz w:val="22"/>
                <w:szCs w:val="22"/>
              </w:rPr>
              <w:t xml:space="preserve"> </w:t>
            </w:r>
            <w:r>
              <w:rPr>
                <w:sz w:val="22"/>
                <w:szCs w:val="22"/>
                <w:lang w:val="da-DK"/>
              </w:rPr>
              <w:t>ЕООД</w:t>
            </w:r>
          </w:p>
          <w:p>
            <w:pPr>
              <w:widowControl w:val="0"/>
              <w:rPr>
                <w:b/>
                <w:sz w:val="22"/>
                <w:szCs w:val="22"/>
              </w:rPr>
            </w:pPr>
            <w:r>
              <w:rPr>
                <w:sz w:val="22"/>
                <w:szCs w:val="22"/>
              </w:rPr>
              <w:t>Te</w:t>
            </w:r>
            <w:r>
              <w:rPr>
                <w:sz w:val="22"/>
                <w:szCs w:val="22"/>
                <w:lang w:val="da-DK"/>
              </w:rPr>
              <w:t>л</w:t>
            </w:r>
            <w:r>
              <w:rPr>
                <w:sz w:val="22"/>
                <w:szCs w:val="22"/>
              </w:rPr>
              <w:t>.: + 359 (02) 962 34 50</w:t>
            </w:r>
          </w:p>
        </w:tc>
        <w:tc>
          <w:tcPr>
            <w:tcW w:w="4680" w:type="dxa"/>
          </w:tcPr>
          <w:p>
            <w:pPr>
              <w:widowControl w:val="0"/>
              <w:rPr>
                <w:b/>
                <w:sz w:val="22"/>
                <w:szCs w:val="22"/>
                <w:lang w:val="sv-SE"/>
              </w:rPr>
            </w:pPr>
            <w:r>
              <w:rPr>
                <w:b/>
                <w:sz w:val="22"/>
                <w:szCs w:val="22"/>
                <w:lang w:val="sv-SE"/>
              </w:rPr>
              <w:t>Luxembourg/Luxemburg</w:t>
            </w:r>
          </w:p>
          <w:p>
            <w:pPr>
              <w:widowControl w:val="0"/>
              <w:rPr>
                <w:sz w:val="22"/>
                <w:szCs w:val="22"/>
                <w:lang w:val="sv-SE"/>
              </w:rPr>
            </w:pPr>
            <w:r>
              <w:rPr>
                <w:sz w:val="22"/>
                <w:szCs w:val="22"/>
                <w:lang w:val="sv-SE"/>
              </w:rPr>
              <w:t>KRKA Belgium, SA.</w:t>
            </w:r>
          </w:p>
          <w:p>
            <w:pPr>
              <w:widowControl w:val="0"/>
              <w:rPr>
                <w:sz w:val="22"/>
                <w:szCs w:val="22"/>
                <w:lang w:val="da-DK"/>
              </w:rPr>
            </w:pPr>
            <w:r>
              <w:rPr>
                <w:sz w:val="22"/>
                <w:szCs w:val="22"/>
                <w:lang w:val="da-DK"/>
              </w:rPr>
              <w:t>Tél/Tel: + 32 (0) 487 50 73 62 (BE)</w:t>
            </w:r>
          </w:p>
          <w:p>
            <w:pPr>
              <w:widowControl w:val="0"/>
              <w:rPr>
                <w:b/>
                <w:sz w:val="22"/>
                <w:szCs w:val="22"/>
                <w:lang w:val="da-DK"/>
              </w:rPr>
            </w:pPr>
          </w:p>
        </w:tc>
      </w:tr>
      <w:tr>
        <w:trPr>
          <w:trHeight w:val="986"/>
        </w:trPr>
        <w:tc>
          <w:tcPr>
            <w:tcW w:w="4680" w:type="dxa"/>
          </w:tcPr>
          <w:p>
            <w:pPr>
              <w:widowControl w:val="0"/>
              <w:rPr>
                <w:b/>
                <w:sz w:val="22"/>
                <w:szCs w:val="22"/>
                <w:lang w:val="sv-SE"/>
              </w:rPr>
            </w:pPr>
            <w:r>
              <w:rPr>
                <w:b/>
                <w:sz w:val="22"/>
                <w:szCs w:val="22"/>
                <w:lang w:val="sv-SE"/>
              </w:rPr>
              <w:t>Česká republika</w:t>
            </w:r>
          </w:p>
          <w:p>
            <w:pPr>
              <w:widowControl w:val="0"/>
              <w:rPr>
                <w:sz w:val="22"/>
                <w:szCs w:val="22"/>
                <w:lang w:val="sv-SE"/>
              </w:rPr>
            </w:pPr>
            <w:r>
              <w:rPr>
                <w:sz w:val="22"/>
                <w:szCs w:val="22"/>
                <w:lang w:val="sv-SE"/>
              </w:rPr>
              <w:t>KRKA ČR, s.r.o.</w:t>
            </w:r>
          </w:p>
          <w:p>
            <w:pPr>
              <w:widowControl w:val="0"/>
              <w:rPr>
                <w:sz w:val="22"/>
                <w:szCs w:val="22"/>
                <w:lang w:val="da-DK"/>
              </w:rPr>
            </w:pPr>
            <w:r>
              <w:rPr>
                <w:sz w:val="22"/>
                <w:szCs w:val="22"/>
                <w:lang w:val="da-DK"/>
              </w:rPr>
              <w:t>Tel: + 420 (0) 221 115 150</w:t>
            </w:r>
          </w:p>
          <w:p>
            <w:pPr>
              <w:widowControl w:val="0"/>
              <w:rPr>
                <w:b/>
                <w:sz w:val="22"/>
                <w:szCs w:val="22"/>
                <w:lang w:val="da-DK"/>
              </w:rPr>
            </w:pPr>
          </w:p>
        </w:tc>
        <w:tc>
          <w:tcPr>
            <w:tcW w:w="4680" w:type="dxa"/>
            <w:hideMark/>
          </w:tcPr>
          <w:p>
            <w:pPr>
              <w:widowControl w:val="0"/>
              <w:rPr>
                <w:b/>
                <w:sz w:val="22"/>
                <w:szCs w:val="22"/>
                <w:lang w:val="da-DK"/>
              </w:rPr>
            </w:pPr>
            <w:r>
              <w:rPr>
                <w:b/>
                <w:sz w:val="22"/>
                <w:szCs w:val="22"/>
                <w:lang w:val="da-DK"/>
              </w:rPr>
              <w:t>Magyarország</w:t>
            </w:r>
          </w:p>
          <w:p>
            <w:pPr>
              <w:widowControl w:val="0"/>
              <w:rPr>
                <w:sz w:val="22"/>
                <w:szCs w:val="22"/>
                <w:lang w:val="da-DK"/>
              </w:rPr>
            </w:pPr>
            <w:r>
              <w:rPr>
                <w:sz w:val="22"/>
                <w:szCs w:val="22"/>
                <w:lang w:val="da-DK"/>
              </w:rPr>
              <w:t>KRKA Magyarország Kereskedelmi Kft.</w:t>
            </w:r>
          </w:p>
          <w:p>
            <w:pPr>
              <w:widowControl w:val="0"/>
              <w:rPr>
                <w:b/>
                <w:sz w:val="22"/>
                <w:szCs w:val="22"/>
                <w:lang w:val="da-DK"/>
              </w:rPr>
            </w:pPr>
            <w:r>
              <w:rPr>
                <w:sz w:val="22"/>
                <w:szCs w:val="22"/>
                <w:lang w:val="da-DK"/>
              </w:rPr>
              <w:t xml:space="preserve">Tel.: + </w:t>
            </w:r>
            <w:r>
              <w:rPr>
                <w:iCs/>
                <w:sz w:val="22"/>
                <w:szCs w:val="22"/>
                <w:lang w:val="da-DK"/>
              </w:rPr>
              <w:t>36 (1) 355 8490</w:t>
            </w:r>
          </w:p>
        </w:tc>
      </w:tr>
      <w:tr>
        <w:tc>
          <w:tcPr>
            <w:tcW w:w="4680" w:type="dxa"/>
          </w:tcPr>
          <w:p>
            <w:pPr>
              <w:widowControl w:val="0"/>
              <w:rPr>
                <w:b/>
                <w:sz w:val="22"/>
                <w:szCs w:val="22"/>
                <w:lang w:val="sv-SE"/>
              </w:rPr>
            </w:pPr>
            <w:r>
              <w:rPr>
                <w:b/>
                <w:sz w:val="22"/>
                <w:szCs w:val="22"/>
                <w:lang w:val="sv-SE"/>
              </w:rPr>
              <w:t>Danmark</w:t>
            </w:r>
          </w:p>
          <w:p>
            <w:pPr>
              <w:widowControl w:val="0"/>
              <w:rPr>
                <w:sz w:val="22"/>
                <w:szCs w:val="22"/>
                <w:lang w:val="sv-SE"/>
              </w:rPr>
            </w:pPr>
            <w:r>
              <w:rPr>
                <w:sz w:val="22"/>
                <w:szCs w:val="22"/>
                <w:lang w:val="sv-SE"/>
              </w:rPr>
              <w:t>KRKA Sverige AB</w:t>
            </w:r>
          </w:p>
          <w:p>
            <w:pPr>
              <w:widowControl w:val="0"/>
              <w:rPr>
                <w:sz w:val="22"/>
                <w:szCs w:val="22"/>
                <w:lang w:val="sv-SE"/>
              </w:rPr>
            </w:pPr>
            <w:r>
              <w:rPr>
                <w:sz w:val="22"/>
                <w:szCs w:val="22"/>
                <w:lang w:val="sv-SE"/>
              </w:rPr>
              <w:t>Tlf.: + 46 (0)8 643 67 66 (SE)</w:t>
            </w:r>
          </w:p>
          <w:p>
            <w:pPr>
              <w:widowControl w:val="0"/>
              <w:rPr>
                <w:b/>
                <w:sz w:val="22"/>
                <w:szCs w:val="22"/>
                <w:lang w:val="sv-SE"/>
              </w:rPr>
            </w:pPr>
          </w:p>
        </w:tc>
        <w:tc>
          <w:tcPr>
            <w:tcW w:w="4680" w:type="dxa"/>
            <w:hideMark/>
          </w:tcPr>
          <w:p>
            <w:pPr>
              <w:widowControl w:val="0"/>
              <w:rPr>
                <w:b/>
                <w:sz w:val="22"/>
                <w:szCs w:val="22"/>
                <w:lang w:val="sv-SE"/>
              </w:rPr>
            </w:pPr>
            <w:r>
              <w:rPr>
                <w:b/>
                <w:sz w:val="22"/>
                <w:szCs w:val="22"/>
                <w:lang w:val="sv-SE"/>
              </w:rPr>
              <w:t>Malta</w:t>
            </w:r>
          </w:p>
          <w:p>
            <w:pPr>
              <w:widowControl w:val="0"/>
              <w:rPr>
                <w:sz w:val="22"/>
                <w:szCs w:val="22"/>
                <w:lang w:val="sv-SE"/>
              </w:rPr>
            </w:pPr>
            <w:r>
              <w:rPr>
                <w:bCs/>
                <w:sz w:val="22"/>
                <w:szCs w:val="22"/>
                <w:lang w:val="sv-SE"/>
              </w:rPr>
              <w:t>E. J. Busuttil Ltd.</w:t>
            </w:r>
          </w:p>
          <w:p>
            <w:pPr>
              <w:widowControl w:val="0"/>
              <w:rPr>
                <w:b/>
                <w:sz w:val="22"/>
                <w:szCs w:val="22"/>
                <w:lang w:val="da-DK"/>
              </w:rPr>
            </w:pPr>
            <w:r>
              <w:rPr>
                <w:sz w:val="22"/>
                <w:szCs w:val="22"/>
                <w:lang w:val="da-DK"/>
              </w:rPr>
              <w:t>Tel: + 356 21 445 885</w:t>
            </w:r>
          </w:p>
        </w:tc>
      </w:tr>
      <w:tr>
        <w:tc>
          <w:tcPr>
            <w:tcW w:w="4680" w:type="dxa"/>
          </w:tcPr>
          <w:p>
            <w:pPr>
              <w:widowControl w:val="0"/>
              <w:rPr>
                <w:b/>
                <w:sz w:val="22"/>
                <w:szCs w:val="22"/>
                <w:lang w:val="en-GB"/>
              </w:rPr>
            </w:pPr>
            <w:r>
              <w:rPr>
                <w:b/>
                <w:sz w:val="22"/>
                <w:szCs w:val="22"/>
                <w:lang w:val="en-GB"/>
              </w:rPr>
              <w:t>Deutschland</w:t>
            </w:r>
          </w:p>
          <w:p>
            <w:pPr>
              <w:widowControl w:val="0"/>
              <w:rPr>
                <w:sz w:val="22"/>
                <w:szCs w:val="22"/>
                <w:lang w:val="en-GB"/>
              </w:rPr>
            </w:pPr>
            <w:r>
              <w:rPr>
                <w:sz w:val="22"/>
                <w:szCs w:val="22"/>
                <w:lang w:val="en-GB"/>
              </w:rPr>
              <w:t>123 Acurae Pharma GmbH</w:t>
            </w:r>
          </w:p>
          <w:p>
            <w:pPr>
              <w:widowControl w:val="0"/>
              <w:rPr>
                <w:sz w:val="22"/>
                <w:szCs w:val="22"/>
                <w:lang w:val="en-GB"/>
              </w:rPr>
            </w:pPr>
            <w:r>
              <w:rPr>
                <w:sz w:val="22"/>
                <w:szCs w:val="22"/>
                <w:lang w:val="en-GB"/>
              </w:rPr>
              <w:t xml:space="preserve">Tel: + </w:t>
            </w:r>
            <w:r>
              <w:rPr>
                <w:iCs/>
                <w:sz w:val="22"/>
                <w:szCs w:val="22"/>
                <w:lang w:val="en-GB"/>
              </w:rPr>
              <w:t>49 (0) 4721 590910</w:t>
            </w:r>
          </w:p>
          <w:p>
            <w:pPr>
              <w:widowControl w:val="0"/>
              <w:rPr>
                <w:b/>
                <w:sz w:val="22"/>
                <w:szCs w:val="22"/>
                <w:lang w:val="en-GB"/>
              </w:rPr>
            </w:pPr>
          </w:p>
        </w:tc>
        <w:tc>
          <w:tcPr>
            <w:tcW w:w="4680" w:type="dxa"/>
            <w:hideMark/>
          </w:tcPr>
          <w:p>
            <w:pPr>
              <w:widowControl w:val="0"/>
              <w:rPr>
                <w:b/>
                <w:sz w:val="22"/>
                <w:szCs w:val="22"/>
                <w:lang w:val="da-DK"/>
              </w:rPr>
            </w:pPr>
            <w:r>
              <w:rPr>
                <w:b/>
                <w:sz w:val="22"/>
                <w:szCs w:val="22"/>
                <w:lang w:val="da-DK"/>
              </w:rPr>
              <w:t>Nederland</w:t>
            </w:r>
          </w:p>
          <w:p>
            <w:pPr>
              <w:widowControl w:val="0"/>
              <w:rPr>
                <w:sz w:val="22"/>
                <w:szCs w:val="22"/>
                <w:lang w:val="da-DK"/>
              </w:rPr>
            </w:pPr>
            <w:r>
              <w:rPr>
                <w:sz w:val="22"/>
                <w:szCs w:val="22"/>
                <w:lang w:val="da-DK"/>
              </w:rPr>
              <w:t>KRKA Belgium, SA.</w:t>
            </w:r>
          </w:p>
          <w:p>
            <w:pPr>
              <w:widowControl w:val="0"/>
              <w:rPr>
                <w:sz w:val="22"/>
                <w:szCs w:val="22"/>
                <w:lang w:val="da-DK"/>
              </w:rPr>
            </w:pPr>
            <w:r>
              <w:rPr>
                <w:sz w:val="22"/>
                <w:szCs w:val="22"/>
                <w:lang w:val="da-DK"/>
              </w:rPr>
              <w:t>Tel: + 32 (0) 487 50 73 62 (BE)</w:t>
            </w:r>
          </w:p>
          <w:p>
            <w:pPr>
              <w:widowControl w:val="0"/>
              <w:rPr>
                <w:sz w:val="22"/>
                <w:szCs w:val="22"/>
                <w:lang w:val="da-DK"/>
              </w:rPr>
            </w:pPr>
          </w:p>
        </w:tc>
      </w:tr>
      <w:tr>
        <w:tc>
          <w:tcPr>
            <w:tcW w:w="4680" w:type="dxa"/>
          </w:tcPr>
          <w:p>
            <w:pPr>
              <w:widowControl w:val="0"/>
              <w:rPr>
                <w:b/>
                <w:sz w:val="22"/>
                <w:szCs w:val="22"/>
                <w:lang w:val="fi-FI"/>
              </w:rPr>
            </w:pPr>
            <w:r>
              <w:rPr>
                <w:b/>
                <w:sz w:val="22"/>
                <w:szCs w:val="22"/>
                <w:lang w:val="fi-FI"/>
              </w:rPr>
              <w:t>Eesti</w:t>
            </w:r>
          </w:p>
          <w:p>
            <w:pPr>
              <w:widowControl w:val="0"/>
              <w:rPr>
                <w:sz w:val="22"/>
                <w:szCs w:val="22"/>
                <w:lang w:val="fi-FI"/>
              </w:rPr>
            </w:pPr>
            <w:r>
              <w:rPr>
                <w:sz w:val="22"/>
                <w:szCs w:val="22"/>
                <w:lang w:val="fi-FI"/>
              </w:rPr>
              <w:t>KRKA, d.d., Novo mesto Eesti filiaal</w:t>
            </w:r>
          </w:p>
          <w:p>
            <w:pPr>
              <w:widowControl w:val="0"/>
              <w:rPr>
                <w:sz w:val="22"/>
                <w:szCs w:val="22"/>
                <w:lang w:val="da-DK"/>
              </w:rPr>
            </w:pPr>
            <w:r>
              <w:rPr>
                <w:sz w:val="22"/>
                <w:szCs w:val="22"/>
                <w:lang w:val="da-DK"/>
              </w:rPr>
              <w:t>Tel: + 372 (0) 6 671 658</w:t>
            </w:r>
          </w:p>
          <w:p>
            <w:pPr>
              <w:widowControl w:val="0"/>
              <w:rPr>
                <w:b/>
                <w:sz w:val="22"/>
                <w:szCs w:val="22"/>
                <w:lang w:val="da-DK"/>
              </w:rPr>
            </w:pPr>
          </w:p>
        </w:tc>
        <w:tc>
          <w:tcPr>
            <w:tcW w:w="4680" w:type="dxa"/>
            <w:hideMark/>
          </w:tcPr>
          <w:p>
            <w:pPr>
              <w:widowControl w:val="0"/>
              <w:rPr>
                <w:b/>
                <w:sz w:val="22"/>
                <w:szCs w:val="22"/>
                <w:lang w:val="da-DK"/>
              </w:rPr>
            </w:pPr>
            <w:r>
              <w:rPr>
                <w:b/>
                <w:sz w:val="22"/>
                <w:szCs w:val="22"/>
                <w:lang w:val="da-DK"/>
              </w:rPr>
              <w:t>Norge</w:t>
            </w:r>
          </w:p>
          <w:p>
            <w:pPr>
              <w:widowControl w:val="0"/>
              <w:rPr>
                <w:sz w:val="22"/>
                <w:szCs w:val="22"/>
                <w:lang w:val="da-DK"/>
              </w:rPr>
            </w:pPr>
            <w:r>
              <w:rPr>
                <w:sz w:val="22"/>
                <w:szCs w:val="22"/>
                <w:lang w:val="da-DK"/>
              </w:rPr>
              <w:t>KRKA Sverige AB</w:t>
            </w:r>
          </w:p>
          <w:p>
            <w:pPr>
              <w:widowControl w:val="0"/>
              <w:rPr>
                <w:b/>
                <w:sz w:val="22"/>
                <w:szCs w:val="22"/>
                <w:lang w:val="da-DK"/>
              </w:rPr>
            </w:pPr>
            <w:r>
              <w:rPr>
                <w:sz w:val="22"/>
                <w:szCs w:val="22"/>
                <w:lang w:val="da-DK"/>
              </w:rPr>
              <w:t>Tlf: + 46 (0)8 643 67 66 (SE)</w:t>
            </w:r>
          </w:p>
        </w:tc>
      </w:tr>
      <w:tr>
        <w:tc>
          <w:tcPr>
            <w:tcW w:w="4680" w:type="dxa"/>
          </w:tcPr>
          <w:p>
            <w:pPr>
              <w:widowControl w:val="0"/>
              <w:rPr>
                <w:b/>
                <w:sz w:val="22"/>
                <w:szCs w:val="22"/>
              </w:rPr>
            </w:pPr>
            <w:r>
              <w:rPr>
                <w:b/>
                <w:sz w:val="22"/>
                <w:szCs w:val="22"/>
                <w:lang w:val="da-DK"/>
              </w:rPr>
              <w:t>Ελλάδα</w:t>
            </w:r>
          </w:p>
          <w:p>
            <w:pPr>
              <w:widowControl w:val="0"/>
              <w:rPr>
                <w:sz w:val="22"/>
                <w:szCs w:val="22"/>
              </w:rPr>
            </w:pPr>
            <w:r>
              <w:rPr>
                <w:sz w:val="22"/>
                <w:szCs w:val="22"/>
              </w:rPr>
              <w:t xml:space="preserve">ΒΙΑΝΕΞ Α.Ε. </w:t>
            </w:r>
          </w:p>
          <w:p>
            <w:pPr>
              <w:widowControl w:val="0"/>
              <w:rPr>
                <w:sz w:val="22"/>
                <w:szCs w:val="22"/>
              </w:rPr>
            </w:pPr>
            <w:r>
              <w:rPr>
                <w:sz w:val="22"/>
                <w:szCs w:val="22"/>
              </w:rPr>
              <w:t>Τηλ: + 30 210 8009111</w:t>
            </w:r>
            <w:del w:id="45" w:author="Skalberg, Fanny" w:date="2025-10-20T13:44:00Z">
              <w:r>
                <w:rPr>
                  <w:sz w:val="22"/>
                  <w:szCs w:val="22"/>
                </w:rPr>
                <w:delText xml:space="preserve"> - 120</w:delText>
              </w:r>
            </w:del>
          </w:p>
          <w:p>
            <w:pPr>
              <w:widowControl w:val="0"/>
              <w:rPr>
                <w:b/>
                <w:sz w:val="22"/>
                <w:szCs w:val="22"/>
              </w:rPr>
            </w:pPr>
          </w:p>
        </w:tc>
        <w:tc>
          <w:tcPr>
            <w:tcW w:w="4680" w:type="dxa"/>
            <w:hideMark/>
          </w:tcPr>
          <w:p>
            <w:pPr>
              <w:widowControl w:val="0"/>
              <w:rPr>
                <w:b/>
                <w:sz w:val="22"/>
                <w:szCs w:val="22"/>
                <w:lang w:val="sv-SE"/>
              </w:rPr>
            </w:pPr>
            <w:r>
              <w:rPr>
                <w:b/>
                <w:sz w:val="22"/>
                <w:szCs w:val="22"/>
                <w:lang w:val="sv-SE"/>
              </w:rPr>
              <w:t>Österreich</w:t>
            </w:r>
          </w:p>
          <w:p>
            <w:pPr>
              <w:widowControl w:val="0"/>
              <w:rPr>
                <w:sz w:val="22"/>
                <w:szCs w:val="22"/>
                <w:lang w:val="sv-SE"/>
              </w:rPr>
            </w:pPr>
            <w:r>
              <w:rPr>
                <w:sz w:val="22"/>
                <w:szCs w:val="22"/>
                <w:lang w:val="sv-SE"/>
              </w:rPr>
              <w:t>KRKA Pharma GmbH, Wien</w:t>
            </w:r>
          </w:p>
          <w:p>
            <w:pPr>
              <w:widowControl w:val="0"/>
              <w:rPr>
                <w:b/>
                <w:sz w:val="22"/>
                <w:szCs w:val="22"/>
                <w:lang w:val="sv-SE"/>
              </w:rPr>
            </w:pPr>
            <w:r>
              <w:rPr>
                <w:sz w:val="22"/>
                <w:szCs w:val="22"/>
                <w:lang w:val="sv-SE"/>
              </w:rPr>
              <w:t>Tel:</w:t>
            </w:r>
            <w:r>
              <w:rPr>
                <w:bCs/>
                <w:sz w:val="22"/>
                <w:szCs w:val="22"/>
                <w:lang w:val="sv-SE"/>
              </w:rPr>
              <w:t xml:space="preserve"> + </w:t>
            </w:r>
            <w:r>
              <w:rPr>
                <w:sz w:val="22"/>
                <w:szCs w:val="22"/>
                <w:lang w:val="sv-SE"/>
              </w:rPr>
              <w:t>43 (0)1 66 24 300</w:t>
            </w:r>
            <w:r>
              <w:rPr>
                <w:iCs/>
                <w:sz w:val="22"/>
                <w:szCs w:val="22"/>
                <w:lang w:val="sv-SE"/>
              </w:rPr>
              <w:t xml:space="preserve"> </w:t>
            </w:r>
          </w:p>
        </w:tc>
      </w:tr>
      <w:tr>
        <w:tc>
          <w:tcPr>
            <w:tcW w:w="4680" w:type="dxa"/>
          </w:tcPr>
          <w:p>
            <w:pPr>
              <w:widowControl w:val="0"/>
              <w:rPr>
                <w:b/>
                <w:sz w:val="22"/>
                <w:szCs w:val="22"/>
              </w:rPr>
            </w:pPr>
            <w:r>
              <w:rPr>
                <w:b/>
                <w:sz w:val="22"/>
                <w:szCs w:val="22"/>
              </w:rPr>
              <w:t>España</w:t>
            </w:r>
          </w:p>
          <w:p>
            <w:pPr>
              <w:widowControl w:val="0"/>
              <w:rPr>
                <w:sz w:val="22"/>
                <w:szCs w:val="22"/>
              </w:rPr>
            </w:pPr>
            <w:r>
              <w:rPr>
                <w:sz w:val="22"/>
                <w:szCs w:val="22"/>
              </w:rPr>
              <w:t>KRKA</w:t>
            </w:r>
            <w:r>
              <w:rPr>
                <w:bCs/>
                <w:sz w:val="22"/>
                <w:szCs w:val="22"/>
              </w:rPr>
              <w:t xml:space="preserve"> Farmacéutica, S.L.</w:t>
            </w:r>
          </w:p>
          <w:p>
            <w:pPr>
              <w:widowControl w:val="0"/>
              <w:rPr>
                <w:sz w:val="22"/>
                <w:szCs w:val="22"/>
                <w:lang w:val="da-DK"/>
              </w:rPr>
            </w:pPr>
            <w:r>
              <w:rPr>
                <w:sz w:val="22"/>
                <w:szCs w:val="22"/>
                <w:lang w:val="da-DK"/>
              </w:rPr>
              <w:t>Tel: + 34 911 61 03 80</w:t>
            </w:r>
          </w:p>
          <w:p>
            <w:pPr>
              <w:widowControl w:val="0"/>
              <w:rPr>
                <w:b/>
                <w:sz w:val="22"/>
                <w:szCs w:val="22"/>
                <w:lang w:val="da-DK"/>
              </w:rPr>
            </w:pPr>
          </w:p>
        </w:tc>
        <w:tc>
          <w:tcPr>
            <w:tcW w:w="4680" w:type="dxa"/>
            <w:hideMark/>
          </w:tcPr>
          <w:p>
            <w:pPr>
              <w:widowControl w:val="0"/>
              <w:rPr>
                <w:b/>
                <w:sz w:val="22"/>
                <w:szCs w:val="22"/>
                <w:lang w:val="sv-SE"/>
              </w:rPr>
            </w:pPr>
            <w:r>
              <w:rPr>
                <w:b/>
                <w:sz w:val="22"/>
                <w:szCs w:val="22"/>
                <w:lang w:val="sv-SE"/>
              </w:rPr>
              <w:t>Polska</w:t>
            </w:r>
          </w:p>
          <w:p>
            <w:pPr>
              <w:widowControl w:val="0"/>
              <w:rPr>
                <w:sz w:val="22"/>
                <w:szCs w:val="22"/>
                <w:lang w:val="sv-SE"/>
              </w:rPr>
            </w:pPr>
            <w:r>
              <w:rPr>
                <w:sz w:val="22"/>
                <w:szCs w:val="22"/>
                <w:lang w:val="sv-SE"/>
              </w:rPr>
              <w:t>KRKA-POLSKA Sp. z o.o.</w:t>
            </w:r>
          </w:p>
          <w:p>
            <w:pPr>
              <w:widowControl w:val="0"/>
              <w:rPr>
                <w:b/>
                <w:sz w:val="22"/>
                <w:szCs w:val="22"/>
                <w:lang w:val="da-DK"/>
              </w:rPr>
            </w:pPr>
            <w:r>
              <w:rPr>
                <w:sz w:val="22"/>
                <w:szCs w:val="22"/>
                <w:lang w:val="da-DK"/>
              </w:rPr>
              <w:t>Tel.: + 48 (0)22 573 7500</w:t>
            </w:r>
          </w:p>
        </w:tc>
      </w:tr>
      <w:tr>
        <w:tc>
          <w:tcPr>
            <w:tcW w:w="4680" w:type="dxa"/>
          </w:tcPr>
          <w:p>
            <w:pPr>
              <w:widowControl w:val="0"/>
              <w:rPr>
                <w:b/>
                <w:sz w:val="22"/>
                <w:szCs w:val="22"/>
                <w:lang w:val="da-DK"/>
              </w:rPr>
            </w:pPr>
            <w:r>
              <w:rPr>
                <w:b/>
                <w:sz w:val="22"/>
                <w:szCs w:val="22"/>
                <w:lang w:val="da-DK"/>
              </w:rPr>
              <w:t>France</w:t>
            </w:r>
          </w:p>
          <w:p>
            <w:pPr>
              <w:widowControl w:val="0"/>
              <w:rPr>
                <w:sz w:val="22"/>
                <w:szCs w:val="22"/>
                <w:lang w:val="da-DK"/>
              </w:rPr>
            </w:pPr>
            <w:r>
              <w:rPr>
                <w:sz w:val="22"/>
                <w:szCs w:val="22"/>
                <w:lang w:val="da-DK"/>
              </w:rPr>
              <w:t xml:space="preserve">KRKA </w:t>
            </w:r>
            <w:r>
              <w:rPr>
                <w:bCs/>
                <w:sz w:val="22"/>
                <w:szCs w:val="22"/>
                <w:lang w:val="da-DK"/>
              </w:rPr>
              <w:t>France Eurl</w:t>
            </w:r>
          </w:p>
          <w:p>
            <w:pPr>
              <w:widowControl w:val="0"/>
              <w:rPr>
                <w:sz w:val="22"/>
                <w:szCs w:val="22"/>
                <w:lang w:val="da-DK"/>
              </w:rPr>
            </w:pPr>
            <w:r>
              <w:rPr>
                <w:sz w:val="22"/>
                <w:szCs w:val="22"/>
                <w:lang w:val="da-DK"/>
              </w:rPr>
              <w:t>Tél: + 33 (0)1 57 40 82 25</w:t>
            </w:r>
          </w:p>
          <w:p>
            <w:pPr>
              <w:widowControl w:val="0"/>
              <w:rPr>
                <w:b/>
                <w:sz w:val="22"/>
                <w:szCs w:val="22"/>
                <w:lang w:val="da-DK"/>
              </w:rPr>
            </w:pPr>
          </w:p>
        </w:tc>
        <w:tc>
          <w:tcPr>
            <w:tcW w:w="4680" w:type="dxa"/>
            <w:hideMark/>
          </w:tcPr>
          <w:p>
            <w:pPr>
              <w:widowControl w:val="0"/>
              <w:rPr>
                <w:b/>
                <w:sz w:val="22"/>
                <w:szCs w:val="22"/>
                <w:lang w:val="sv-SE"/>
              </w:rPr>
            </w:pPr>
            <w:r>
              <w:rPr>
                <w:b/>
                <w:sz w:val="22"/>
                <w:szCs w:val="22"/>
                <w:lang w:val="sv-SE"/>
              </w:rPr>
              <w:t>Portugal</w:t>
            </w:r>
          </w:p>
          <w:p>
            <w:pPr>
              <w:widowControl w:val="0"/>
              <w:rPr>
                <w:sz w:val="22"/>
                <w:szCs w:val="22"/>
                <w:lang w:val="sv-SE"/>
              </w:rPr>
            </w:pPr>
            <w:r>
              <w:rPr>
                <w:bCs/>
                <w:sz w:val="22"/>
                <w:szCs w:val="22"/>
                <w:lang w:val="sv-SE"/>
              </w:rPr>
              <w:t>KRKA Farmacêutica, Sociedade Unipessoal Lda.</w:t>
            </w:r>
          </w:p>
          <w:p>
            <w:pPr>
              <w:widowControl w:val="0"/>
              <w:rPr>
                <w:b/>
                <w:sz w:val="22"/>
                <w:szCs w:val="22"/>
                <w:lang w:val="da-DK"/>
              </w:rPr>
            </w:pPr>
            <w:r>
              <w:rPr>
                <w:sz w:val="22"/>
                <w:szCs w:val="22"/>
                <w:lang w:val="da-DK"/>
              </w:rPr>
              <w:t>Tel: + 351 (0)21 46 43 650</w:t>
            </w:r>
          </w:p>
        </w:tc>
      </w:tr>
      <w:tr>
        <w:tc>
          <w:tcPr>
            <w:tcW w:w="4680" w:type="dxa"/>
            <w:hideMark/>
          </w:tcPr>
          <w:p>
            <w:pPr>
              <w:widowControl w:val="0"/>
              <w:rPr>
                <w:b/>
                <w:sz w:val="22"/>
                <w:szCs w:val="22"/>
                <w:lang w:val="sv-SE"/>
              </w:rPr>
            </w:pPr>
            <w:r>
              <w:rPr>
                <w:b/>
                <w:sz w:val="22"/>
                <w:szCs w:val="22"/>
                <w:lang w:val="sv-SE"/>
              </w:rPr>
              <w:t>Hrvatska</w:t>
            </w:r>
          </w:p>
          <w:p>
            <w:pPr>
              <w:widowControl w:val="0"/>
              <w:rPr>
                <w:sz w:val="22"/>
                <w:szCs w:val="22"/>
                <w:lang w:val="sv-SE"/>
              </w:rPr>
            </w:pPr>
            <w:r>
              <w:rPr>
                <w:sz w:val="22"/>
                <w:szCs w:val="22"/>
                <w:lang w:val="sv-SE"/>
              </w:rPr>
              <w:t>KRKA - FARMA d.o.o.</w:t>
            </w:r>
          </w:p>
          <w:p>
            <w:pPr>
              <w:widowControl w:val="0"/>
              <w:rPr>
                <w:b/>
                <w:sz w:val="22"/>
                <w:szCs w:val="22"/>
                <w:lang w:val="da-DK"/>
              </w:rPr>
            </w:pPr>
            <w:r>
              <w:rPr>
                <w:sz w:val="22"/>
                <w:szCs w:val="22"/>
                <w:lang w:val="da-DK"/>
              </w:rPr>
              <w:t>Tel: + 385 1 6312 101</w:t>
            </w:r>
          </w:p>
        </w:tc>
        <w:tc>
          <w:tcPr>
            <w:tcW w:w="4680" w:type="dxa"/>
          </w:tcPr>
          <w:p>
            <w:pPr>
              <w:widowControl w:val="0"/>
              <w:rPr>
                <w:b/>
                <w:sz w:val="22"/>
                <w:szCs w:val="22"/>
                <w:lang w:val="en-US"/>
              </w:rPr>
            </w:pPr>
            <w:r>
              <w:rPr>
                <w:b/>
                <w:sz w:val="22"/>
                <w:szCs w:val="22"/>
                <w:lang w:val="en-US"/>
              </w:rPr>
              <w:t>România</w:t>
            </w:r>
          </w:p>
          <w:p>
            <w:pPr>
              <w:widowControl w:val="0"/>
              <w:rPr>
                <w:bCs/>
                <w:sz w:val="22"/>
                <w:szCs w:val="22"/>
                <w:lang w:val="en-US"/>
              </w:rPr>
            </w:pPr>
            <w:r>
              <w:rPr>
                <w:bCs/>
                <w:sz w:val="22"/>
                <w:szCs w:val="22"/>
                <w:lang w:val="en-US"/>
              </w:rPr>
              <w:t>KRKA Romania S.R.L., Bucharest</w:t>
            </w:r>
          </w:p>
          <w:p>
            <w:pPr>
              <w:widowControl w:val="0"/>
              <w:rPr>
                <w:sz w:val="22"/>
                <w:szCs w:val="22"/>
                <w:lang w:val="en-US"/>
              </w:rPr>
            </w:pPr>
            <w:r>
              <w:rPr>
                <w:sz w:val="22"/>
                <w:szCs w:val="22"/>
                <w:lang w:val="en-US"/>
              </w:rPr>
              <w:t>Tel: + 4 021 310 66 05</w:t>
            </w:r>
          </w:p>
          <w:p>
            <w:pPr>
              <w:widowControl w:val="0"/>
              <w:rPr>
                <w:b/>
                <w:sz w:val="22"/>
                <w:szCs w:val="22"/>
                <w:lang w:val="en-US"/>
              </w:rPr>
            </w:pPr>
          </w:p>
        </w:tc>
      </w:tr>
      <w:tr>
        <w:tc>
          <w:tcPr>
            <w:tcW w:w="4680" w:type="dxa"/>
          </w:tcPr>
          <w:p>
            <w:pPr>
              <w:widowControl w:val="0"/>
              <w:rPr>
                <w:b/>
                <w:sz w:val="22"/>
                <w:szCs w:val="22"/>
                <w:lang w:val="sv-SE"/>
              </w:rPr>
            </w:pPr>
            <w:r>
              <w:rPr>
                <w:b/>
                <w:sz w:val="22"/>
                <w:szCs w:val="22"/>
                <w:lang w:val="sv-SE"/>
              </w:rPr>
              <w:br w:type="page"/>
              <w:t>Ireland</w:t>
            </w:r>
          </w:p>
          <w:p>
            <w:pPr>
              <w:widowControl w:val="0"/>
              <w:rPr>
                <w:sz w:val="22"/>
                <w:szCs w:val="22"/>
                <w:lang w:val="sv-SE"/>
              </w:rPr>
            </w:pPr>
            <w:r>
              <w:rPr>
                <w:sz w:val="22"/>
                <w:szCs w:val="22"/>
                <w:lang w:val="sv-SE"/>
              </w:rPr>
              <w:t>KRKA Pharma Dublin, Ltd.</w:t>
            </w:r>
          </w:p>
          <w:p>
            <w:pPr>
              <w:widowControl w:val="0"/>
              <w:rPr>
                <w:sz w:val="22"/>
                <w:szCs w:val="22"/>
                <w:lang w:val="da-DK"/>
              </w:rPr>
            </w:pPr>
            <w:r>
              <w:rPr>
                <w:sz w:val="22"/>
                <w:szCs w:val="22"/>
                <w:lang w:val="da-DK"/>
              </w:rPr>
              <w:t>Tel: + 353 1 413 3710</w:t>
            </w:r>
          </w:p>
          <w:p>
            <w:pPr>
              <w:widowControl w:val="0"/>
              <w:rPr>
                <w:b/>
                <w:sz w:val="22"/>
                <w:szCs w:val="22"/>
                <w:lang w:val="da-DK"/>
              </w:rPr>
            </w:pPr>
          </w:p>
        </w:tc>
        <w:tc>
          <w:tcPr>
            <w:tcW w:w="4680" w:type="dxa"/>
            <w:hideMark/>
          </w:tcPr>
          <w:p>
            <w:pPr>
              <w:widowControl w:val="0"/>
              <w:rPr>
                <w:b/>
                <w:sz w:val="22"/>
                <w:szCs w:val="22"/>
                <w:lang w:val="da-DK"/>
              </w:rPr>
            </w:pPr>
            <w:r>
              <w:rPr>
                <w:b/>
                <w:sz w:val="22"/>
                <w:szCs w:val="22"/>
                <w:lang w:val="da-DK"/>
              </w:rPr>
              <w:t>Slovenija</w:t>
            </w:r>
          </w:p>
          <w:p>
            <w:pPr>
              <w:widowControl w:val="0"/>
              <w:rPr>
                <w:sz w:val="22"/>
                <w:szCs w:val="22"/>
                <w:lang w:val="da-DK"/>
              </w:rPr>
            </w:pPr>
            <w:r>
              <w:rPr>
                <w:sz w:val="22"/>
                <w:szCs w:val="22"/>
                <w:lang w:val="da-DK"/>
              </w:rPr>
              <w:t>KRKA, d.d., Novo mesto</w:t>
            </w:r>
          </w:p>
          <w:p>
            <w:pPr>
              <w:widowControl w:val="0"/>
              <w:rPr>
                <w:b/>
                <w:sz w:val="22"/>
                <w:szCs w:val="22"/>
                <w:lang w:val="da-DK"/>
              </w:rPr>
            </w:pPr>
            <w:r>
              <w:rPr>
                <w:sz w:val="22"/>
                <w:szCs w:val="22"/>
                <w:lang w:val="da-DK"/>
              </w:rPr>
              <w:t>Tel: + 386 (0) 1 47 51 100</w:t>
            </w:r>
          </w:p>
        </w:tc>
      </w:tr>
      <w:tr>
        <w:tc>
          <w:tcPr>
            <w:tcW w:w="4680" w:type="dxa"/>
            <w:hideMark/>
          </w:tcPr>
          <w:p>
            <w:pPr>
              <w:widowControl w:val="0"/>
              <w:rPr>
                <w:b/>
                <w:sz w:val="22"/>
                <w:szCs w:val="22"/>
                <w:lang w:val="da-DK"/>
              </w:rPr>
            </w:pPr>
            <w:r>
              <w:rPr>
                <w:b/>
                <w:sz w:val="22"/>
                <w:szCs w:val="22"/>
                <w:lang w:val="da-DK"/>
              </w:rPr>
              <w:t>Ísland</w:t>
            </w:r>
          </w:p>
          <w:p>
            <w:pPr>
              <w:widowControl w:val="0"/>
              <w:rPr>
                <w:sz w:val="22"/>
                <w:szCs w:val="22"/>
                <w:lang w:val="da-DK"/>
              </w:rPr>
            </w:pPr>
            <w:r>
              <w:rPr>
                <w:sz w:val="22"/>
                <w:szCs w:val="22"/>
                <w:lang w:val="da-DK"/>
              </w:rPr>
              <w:t>LYFIS ehf.</w:t>
            </w:r>
          </w:p>
          <w:p>
            <w:pPr>
              <w:widowControl w:val="0"/>
              <w:rPr>
                <w:sz w:val="22"/>
                <w:szCs w:val="22"/>
                <w:lang w:val="da-DK"/>
              </w:rPr>
            </w:pPr>
            <w:r>
              <w:rPr>
                <w:sz w:val="22"/>
                <w:szCs w:val="22"/>
                <w:lang w:val="da-DK"/>
              </w:rPr>
              <w:t>Sími: + 354 534 3500</w:t>
            </w:r>
          </w:p>
          <w:p>
            <w:pPr>
              <w:widowControl w:val="0"/>
              <w:rPr>
                <w:sz w:val="22"/>
                <w:szCs w:val="22"/>
                <w:lang w:val="da-DK"/>
              </w:rPr>
            </w:pPr>
          </w:p>
        </w:tc>
        <w:tc>
          <w:tcPr>
            <w:tcW w:w="4680" w:type="dxa"/>
            <w:hideMark/>
          </w:tcPr>
          <w:p>
            <w:pPr>
              <w:widowControl w:val="0"/>
              <w:rPr>
                <w:b/>
                <w:sz w:val="22"/>
                <w:szCs w:val="22"/>
                <w:lang w:val="da-DK"/>
              </w:rPr>
            </w:pPr>
            <w:r>
              <w:rPr>
                <w:b/>
                <w:sz w:val="22"/>
                <w:szCs w:val="22"/>
                <w:lang w:val="da-DK"/>
              </w:rPr>
              <w:t>Slovenská republika</w:t>
            </w:r>
          </w:p>
          <w:p>
            <w:pPr>
              <w:widowControl w:val="0"/>
              <w:rPr>
                <w:sz w:val="22"/>
                <w:szCs w:val="22"/>
                <w:lang w:val="da-DK"/>
              </w:rPr>
            </w:pPr>
            <w:r>
              <w:rPr>
                <w:sz w:val="22"/>
                <w:szCs w:val="22"/>
                <w:lang w:val="da-DK"/>
              </w:rPr>
              <w:t>KRKA Slovensko, s.r.o.</w:t>
            </w:r>
          </w:p>
          <w:p>
            <w:pPr>
              <w:widowControl w:val="0"/>
              <w:rPr>
                <w:b/>
                <w:sz w:val="22"/>
                <w:szCs w:val="22"/>
                <w:lang w:val="da-DK"/>
              </w:rPr>
            </w:pPr>
            <w:r>
              <w:rPr>
                <w:sz w:val="22"/>
                <w:szCs w:val="22"/>
                <w:lang w:val="da-DK"/>
              </w:rPr>
              <w:t>Tel: + 421 (0) 2 571 04 501</w:t>
            </w:r>
          </w:p>
        </w:tc>
      </w:tr>
      <w:tr>
        <w:tc>
          <w:tcPr>
            <w:tcW w:w="4680" w:type="dxa"/>
            <w:hideMark/>
          </w:tcPr>
          <w:p>
            <w:pPr>
              <w:widowControl w:val="0"/>
              <w:rPr>
                <w:b/>
                <w:sz w:val="22"/>
                <w:szCs w:val="22"/>
                <w:lang w:val="da-DK"/>
              </w:rPr>
            </w:pPr>
            <w:r>
              <w:rPr>
                <w:b/>
                <w:sz w:val="22"/>
                <w:szCs w:val="22"/>
                <w:lang w:val="da-DK"/>
              </w:rPr>
              <w:lastRenderedPageBreak/>
              <w:t>Italia</w:t>
            </w:r>
          </w:p>
          <w:p>
            <w:pPr>
              <w:widowControl w:val="0"/>
              <w:rPr>
                <w:sz w:val="22"/>
                <w:szCs w:val="22"/>
                <w:lang w:val="da-DK"/>
              </w:rPr>
            </w:pPr>
            <w:r>
              <w:rPr>
                <w:sz w:val="22"/>
                <w:szCs w:val="22"/>
                <w:lang w:val="da-DK"/>
              </w:rPr>
              <w:t>KRKA Farmaceutici Milano S.r.l.</w:t>
            </w:r>
          </w:p>
          <w:p>
            <w:pPr>
              <w:widowControl w:val="0"/>
              <w:rPr>
                <w:b/>
                <w:sz w:val="22"/>
                <w:szCs w:val="22"/>
                <w:lang w:val="da-DK"/>
              </w:rPr>
            </w:pPr>
            <w:r>
              <w:rPr>
                <w:sz w:val="22"/>
                <w:szCs w:val="22"/>
                <w:lang w:val="da-DK"/>
              </w:rPr>
              <w:t>Tel: + 39 02 3300 8841</w:t>
            </w:r>
          </w:p>
        </w:tc>
        <w:tc>
          <w:tcPr>
            <w:tcW w:w="4680" w:type="dxa"/>
          </w:tcPr>
          <w:p>
            <w:pPr>
              <w:widowControl w:val="0"/>
              <w:rPr>
                <w:b/>
                <w:sz w:val="22"/>
                <w:szCs w:val="22"/>
                <w:lang w:val="sv-SE"/>
              </w:rPr>
            </w:pPr>
            <w:r>
              <w:rPr>
                <w:b/>
                <w:sz w:val="22"/>
                <w:szCs w:val="22"/>
                <w:lang w:val="sv-SE"/>
              </w:rPr>
              <w:t>Suomi/Finland</w:t>
            </w:r>
          </w:p>
          <w:p>
            <w:pPr>
              <w:widowControl w:val="0"/>
              <w:rPr>
                <w:sz w:val="22"/>
                <w:szCs w:val="22"/>
                <w:lang w:val="sv-SE"/>
              </w:rPr>
            </w:pPr>
            <w:r>
              <w:rPr>
                <w:sz w:val="22"/>
                <w:szCs w:val="22"/>
                <w:lang w:val="sv-SE"/>
              </w:rPr>
              <w:t>KRKA Finland Oy</w:t>
            </w:r>
          </w:p>
          <w:p>
            <w:pPr>
              <w:widowControl w:val="0"/>
              <w:rPr>
                <w:sz w:val="22"/>
                <w:szCs w:val="22"/>
                <w:lang w:val="sv-SE"/>
              </w:rPr>
            </w:pPr>
            <w:r>
              <w:rPr>
                <w:sz w:val="22"/>
                <w:szCs w:val="22"/>
                <w:lang w:val="sv-SE"/>
              </w:rPr>
              <w:t>Puh/Tel: + 358 20 754 5330</w:t>
            </w:r>
          </w:p>
          <w:p>
            <w:pPr>
              <w:widowControl w:val="0"/>
              <w:rPr>
                <w:b/>
                <w:sz w:val="22"/>
                <w:szCs w:val="22"/>
                <w:lang w:val="sv-SE"/>
              </w:rPr>
            </w:pPr>
          </w:p>
        </w:tc>
      </w:tr>
      <w:tr>
        <w:tc>
          <w:tcPr>
            <w:tcW w:w="4680" w:type="dxa"/>
          </w:tcPr>
          <w:p>
            <w:pPr>
              <w:widowControl w:val="0"/>
              <w:rPr>
                <w:b/>
                <w:sz w:val="22"/>
                <w:szCs w:val="22"/>
                <w:lang w:val="en-GB"/>
              </w:rPr>
            </w:pPr>
            <w:r>
              <w:rPr>
                <w:b/>
                <w:sz w:val="22"/>
                <w:szCs w:val="22"/>
                <w:lang w:val="da-DK"/>
              </w:rPr>
              <w:t>Κύπρος</w:t>
            </w:r>
          </w:p>
          <w:p>
            <w:pPr>
              <w:widowControl w:val="0"/>
              <w:rPr>
                <w:sz w:val="22"/>
                <w:szCs w:val="22"/>
                <w:lang w:val="en-GB"/>
              </w:rPr>
            </w:pPr>
            <w:r>
              <w:rPr>
                <w:sz w:val="22"/>
                <w:szCs w:val="22"/>
                <w:lang w:val="en-GB"/>
              </w:rPr>
              <w:t>KI.PA. (PHARMACAL) LIMITED</w:t>
            </w:r>
          </w:p>
          <w:p>
            <w:pPr>
              <w:widowControl w:val="0"/>
              <w:rPr>
                <w:sz w:val="22"/>
                <w:szCs w:val="22"/>
                <w:lang w:val="en-GB"/>
              </w:rPr>
            </w:pPr>
            <w:r>
              <w:rPr>
                <w:sz w:val="22"/>
                <w:szCs w:val="22"/>
                <w:lang w:val="da-DK"/>
              </w:rPr>
              <w:t>Τηλ</w:t>
            </w:r>
            <w:r>
              <w:rPr>
                <w:sz w:val="22"/>
                <w:szCs w:val="22"/>
                <w:lang w:val="en-GB"/>
              </w:rPr>
              <w:t>: + 357 24 651 882</w:t>
            </w:r>
          </w:p>
          <w:p>
            <w:pPr>
              <w:widowControl w:val="0"/>
              <w:rPr>
                <w:b/>
                <w:sz w:val="22"/>
                <w:szCs w:val="22"/>
                <w:lang w:val="en-GB"/>
              </w:rPr>
            </w:pPr>
          </w:p>
        </w:tc>
        <w:tc>
          <w:tcPr>
            <w:tcW w:w="4680" w:type="dxa"/>
            <w:hideMark/>
          </w:tcPr>
          <w:p>
            <w:pPr>
              <w:widowControl w:val="0"/>
              <w:rPr>
                <w:b/>
                <w:sz w:val="22"/>
                <w:szCs w:val="22"/>
                <w:lang w:val="sv-SE"/>
              </w:rPr>
            </w:pPr>
            <w:r>
              <w:rPr>
                <w:b/>
                <w:sz w:val="22"/>
                <w:szCs w:val="22"/>
                <w:lang w:val="sv-SE"/>
              </w:rPr>
              <w:t>Sverige</w:t>
            </w:r>
          </w:p>
          <w:p>
            <w:pPr>
              <w:widowControl w:val="0"/>
              <w:rPr>
                <w:sz w:val="22"/>
                <w:szCs w:val="22"/>
                <w:lang w:val="sv-SE"/>
              </w:rPr>
            </w:pPr>
            <w:r>
              <w:rPr>
                <w:sz w:val="22"/>
                <w:szCs w:val="22"/>
                <w:lang w:val="sv-SE"/>
              </w:rPr>
              <w:t>KRKA Sverige AB</w:t>
            </w:r>
          </w:p>
          <w:p>
            <w:pPr>
              <w:widowControl w:val="0"/>
              <w:rPr>
                <w:b/>
                <w:sz w:val="22"/>
                <w:szCs w:val="22"/>
                <w:lang w:val="sv-SE"/>
              </w:rPr>
            </w:pPr>
            <w:r>
              <w:rPr>
                <w:sz w:val="22"/>
                <w:szCs w:val="22"/>
                <w:lang w:val="sv-SE"/>
              </w:rPr>
              <w:t>Tel: + 46 (0)8 643 67 66 (SE)</w:t>
            </w:r>
          </w:p>
        </w:tc>
      </w:tr>
      <w:tr>
        <w:tc>
          <w:tcPr>
            <w:tcW w:w="4680" w:type="dxa"/>
          </w:tcPr>
          <w:p>
            <w:pPr>
              <w:widowControl w:val="0"/>
              <w:rPr>
                <w:b/>
                <w:sz w:val="22"/>
                <w:szCs w:val="22"/>
                <w:lang w:val="fi-FI"/>
              </w:rPr>
            </w:pPr>
            <w:r>
              <w:rPr>
                <w:b/>
                <w:sz w:val="22"/>
                <w:szCs w:val="22"/>
                <w:lang w:val="fi-FI"/>
              </w:rPr>
              <w:t>Latvija</w:t>
            </w:r>
          </w:p>
          <w:p>
            <w:pPr>
              <w:widowControl w:val="0"/>
              <w:rPr>
                <w:sz w:val="22"/>
                <w:szCs w:val="22"/>
                <w:lang w:val="fi-FI"/>
              </w:rPr>
            </w:pPr>
            <w:r>
              <w:rPr>
                <w:sz w:val="22"/>
                <w:szCs w:val="22"/>
                <w:lang w:val="fi-FI"/>
              </w:rPr>
              <w:t>KRKA Latvija SIA</w:t>
            </w:r>
          </w:p>
          <w:p>
            <w:pPr>
              <w:widowControl w:val="0"/>
              <w:rPr>
                <w:b/>
                <w:sz w:val="22"/>
                <w:szCs w:val="22"/>
                <w:lang w:val="fi-FI"/>
              </w:rPr>
            </w:pPr>
            <w:r>
              <w:rPr>
                <w:sz w:val="22"/>
                <w:szCs w:val="22"/>
                <w:lang w:val="fi-FI"/>
              </w:rPr>
              <w:t>Tel: + 371 6 733 86 10</w:t>
            </w:r>
          </w:p>
        </w:tc>
        <w:tc>
          <w:tcPr>
            <w:tcW w:w="4680" w:type="dxa"/>
          </w:tcPr>
          <w:p>
            <w:pPr>
              <w:widowControl w:val="0"/>
              <w:rPr>
                <w:b/>
                <w:sz w:val="22"/>
                <w:szCs w:val="22"/>
              </w:rPr>
            </w:pPr>
          </w:p>
        </w:tc>
      </w:tr>
    </w:tbl>
    <w:p>
      <w:pPr>
        <w:widowControl w:val="0"/>
        <w:rPr>
          <w:sz w:val="22"/>
          <w:szCs w:val="22"/>
        </w:rPr>
      </w:pPr>
    </w:p>
    <w:p>
      <w:pPr>
        <w:widowControl w:val="0"/>
        <w:rPr>
          <w:b/>
          <w:sz w:val="22"/>
          <w:szCs w:val="22"/>
          <w:lang w:val="da-DK"/>
        </w:rPr>
      </w:pPr>
      <w:r>
        <w:rPr>
          <w:b/>
          <w:sz w:val="22"/>
          <w:szCs w:val="22"/>
          <w:lang w:val="da-DK"/>
        </w:rPr>
        <w:t>Denne indlægsseddel blev senest ændret</w:t>
      </w:r>
    </w:p>
    <w:p>
      <w:pPr>
        <w:widowControl w:val="0"/>
        <w:rPr>
          <w:b/>
          <w:sz w:val="22"/>
          <w:szCs w:val="22"/>
          <w:lang w:val="da-DK"/>
        </w:rPr>
      </w:pPr>
    </w:p>
    <w:p>
      <w:pPr>
        <w:widowControl w:val="0"/>
        <w:rPr>
          <w:b/>
          <w:sz w:val="22"/>
          <w:szCs w:val="22"/>
          <w:lang w:val="da-DK"/>
        </w:rPr>
      </w:pPr>
      <w:r>
        <w:rPr>
          <w:sz w:val="22"/>
          <w:szCs w:val="22"/>
          <w:lang w:val="da-DK"/>
        </w:rPr>
        <w:t xml:space="preserve">Du kan finde yderligere oplysninger om dette lægemiddel på Det Europæiske Lægemiddelagenturs hjemmeside </w:t>
      </w:r>
      <w:ins w:id="46" w:author="Skalberg, Fanny" w:date="2025-10-20T14:27:00Z">
        <w:r>
          <w:rPr>
            <w:sz w:val="22"/>
            <w:szCs w:val="22"/>
            <w:lang w:val="da-DK"/>
          </w:rPr>
          <w:fldChar w:fldCharType="begin"/>
        </w:r>
        <w:r>
          <w:rPr>
            <w:sz w:val="22"/>
            <w:szCs w:val="22"/>
            <w:lang w:val="da-DK"/>
          </w:rPr>
          <w:instrText>HYPERLINK "https://www.ema.europa.eu"</w:instrText>
        </w:r>
        <w:r>
          <w:rPr>
            <w:sz w:val="22"/>
            <w:szCs w:val="22"/>
            <w:lang w:val="da-DK"/>
          </w:rPr>
          <w:fldChar w:fldCharType="separate"/>
        </w:r>
        <w:r>
          <w:rPr>
            <w:rStyle w:val="Hyperlink"/>
            <w:sz w:val="22"/>
            <w:szCs w:val="22"/>
            <w:lang w:val="da-DK"/>
          </w:rPr>
          <w:t>https://www.ema.europa.eu</w:t>
        </w:r>
        <w:r>
          <w:rPr>
            <w:sz w:val="22"/>
            <w:szCs w:val="22"/>
            <w:lang w:val="da-DK"/>
          </w:rPr>
          <w:fldChar w:fldCharType="end"/>
        </w:r>
        <w:r>
          <w:rPr>
            <w:sz w:val="22"/>
            <w:szCs w:val="22"/>
            <w:lang w:val="da-DK"/>
          </w:rPr>
          <w:t xml:space="preserve">. </w:t>
        </w:r>
      </w:ins>
      <w:del w:id="47" w:author="Skalberg, Fanny" w:date="2025-10-20T14:27:00Z">
        <w:r>
          <w:fldChar w:fldCharType="begin"/>
        </w:r>
        <w:r>
          <w:delInstrText>HYPERLINK "http://www.ema.europa.eu"</w:delInstrText>
        </w:r>
        <w:r>
          <w:fldChar w:fldCharType="separate"/>
        </w:r>
        <w:r>
          <w:rPr>
            <w:rStyle w:val="Hyperlink"/>
            <w:sz w:val="22"/>
            <w:szCs w:val="22"/>
            <w:lang w:val="da-DK"/>
          </w:rPr>
          <w:delText>http://www.ema.europa.eu</w:delText>
        </w:r>
        <w:r>
          <w:rPr>
            <w:rStyle w:val="Hyperlink"/>
            <w:sz w:val="22"/>
            <w:szCs w:val="22"/>
            <w:lang w:val="da-DK"/>
          </w:rPr>
          <w:fldChar w:fldCharType="end"/>
        </w:r>
        <w:r>
          <w:rPr>
            <w:sz w:val="22"/>
            <w:szCs w:val="22"/>
            <w:lang w:val="da-DK"/>
          </w:rPr>
          <w:delText>.</w:delText>
        </w:r>
      </w:del>
    </w:p>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39"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alloonText"/>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38</w:t>
    </w:r>
    <w:r>
      <w:rPr>
        <w:rStyle w:val="PageNumber"/>
        <w:rFonts w:ascii="Arial" w:hAnsi="Arial" w:cs="Arial"/>
      </w:rPr>
      <w:fldChar w:fldCharType="end"/>
    </w:r>
  </w:p>
  <w:p/>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BalloonText"/>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D07"/>
    <w:multiLevelType w:val="hybridMultilevel"/>
    <w:tmpl w:val="990E15DA"/>
    <w:lvl w:ilvl="0" w:tplc="B2AAC326">
      <w:start w:val="1"/>
      <w:numFmt w:val="lowerLetter"/>
      <w:lvlText w:val="%1"/>
      <w:lvlJc w:val="left"/>
      <w:pPr>
        <w:ind w:left="720" w:hanging="360"/>
      </w:pPr>
      <w:rPr>
        <w:rFonts w:hint="default"/>
        <w:vertAlign w:val="superscrip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8F020E1"/>
    <w:multiLevelType w:val="multilevel"/>
    <w:tmpl w:val="4318491A"/>
    <w:lvl w:ilvl="0">
      <w:start w:val="1"/>
      <w:numFmt w:val="decimal"/>
      <w:lvlText w:val="%1."/>
      <w:lvlJc w:val="left"/>
      <w:pPr>
        <w:ind w:left="112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2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947" w:hanging="284"/>
      </w:pPr>
      <w:rPr>
        <w:rFonts w:ascii="Times New Roman" w:eastAsia="Times New Roman" w:hAnsi="Times New Roman" w:cs="Times New Roman" w:hint="default"/>
        <w:w w:val="99"/>
        <w:position w:val="8"/>
        <w:sz w:val="14"/>
        <w:szCs w:val="14"/>
      </w:rPr>
    </w:lvl>
    <w:lvl w:ilvl="3">
      <w:numFmt w:val="bullet"/>
      <w:lvlText w:val="•"/>
      <w:lvlJc w:val="left"/>
      <w:pPr>
        <w:ind w:left="3196" w:hanging="284"/>
      </w:pPr>
      <w:rPr>
        <w:rFonts w:hint="default"/>
      </w:rPr>
    </w:lvl>
    <w:lvl w:ilvl="4">
      <w:numFmt w:val="bullet"/>
      <w:lvlText w:val="•"/>
      <w:lvlJc w:val="left"/>
      <w:pPr>
        <w:ind w:left="4235" w:hanging="284"/>
      </w:pPr>
      <w:rPr>
        <w:rFonts w:hint="default"/>
      </w:rPr>
    </w:lvl>
    <w:lvl w:ilvl="5">
      <w:numFmt w:val="bullet"/>
      <w:lvlText w:val="•"/>
      <w:lvlJc w:val="left"/>
      <w:pPr>
        <w:ind w:left="5273" w:hanging="284"/>
      </w:pPr>
      <w:rPr>
        <w:rFonts w:hint="default"/>
      </w:rPr>
    </w:lvl>
    <w:lvl w:ilvl="6">
      <w:numFmt w:val="bullet"/>
      <w:lvlText w:val="•"/>
      <w:lvlJc w:val="left"/>
      <w:pPr>
        <w:ind w:left="6311" w:hanging="284"/>
      </w:pPr>
      <w:rPr>
        <w:rFonts w:hint="default"/>
      </w:rPr>
    </w:lvl>
    <w:lvl w:ilvl="7">
      <w:numFmt w:val="bullet"/>
      <w:lvlText w:val="•"/>
      <w:lvlJc w:val="left"/>
      <w:pPr>
        <w:ind w:left="7350" w:hanging="284"/>
      </w:pPr>
      <w:rPr>
        <w:rFonts w:hint="default"/>
      </w:rPr>
    </w:lvl>
    <w:lvl w:ilvl="8">
      <w:numFmt w:val="bullet"/>
      <w:lvlText w:val="•"/>
      <w:lvlJc w:val="left"/>
      <w:pPr>
        <w:ind w:left="8388" w:hanging="284"/>
      </w:pPr>
      <w:rPr>
        <w:rFonts w:hint="default"/>
      </w:rPr>
    </w:lvl>
  </w:abstractNum>
  <w:abstractNum w:abstractNumId="2" w15:restartNumberingAfterBreak="0">
    <w:nsid w:val="0A0753C3"/>
    <w:multiLevelType w:val="hybridMultilevel"/>
    <w:tmpl w:val="6EF4EC64"/>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B44903"/>
    <w:multiLevelType w:val="hybridMultilevel"/>
    <w:tmpl w:val="56A42F7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881B6E"/>
    <w:multiLevelType w:val="hybridMultilevel"/>
    <w:tmpl w:val="024EA19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EC7F68"/>
    <w:multiLevelType w:val="hybridMultilevel"/>
    <w:tmpl w:val="37040D06"/>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C7208BD"/>
    <w:multiLevelType w:val="hybridMultilevel"/>
    <w:tmpl w:val="D65631F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D82EF3"/>
    <w:multiLevelType w:val="hybridMultilevel"/>
    <w:tmpl w:val="ABD69C38"/>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5E7AE3"/>
    <w:multiLevelType w:val="hybridMultilevel"/>
    <w:tmpl w:val="73D67D9A"/>
    <w:lvl w:ilvl="0" w:tplc="B2AAC326">
      <w:start w:val="1"/>
      <w:numFmt w:val="lowerLetter"/>
      <w:lvlText w:val="%1"/>
      <w:lvlJc w:val="left"/>
      <w:pPr>
        <w:ind w:left="720" w:hanging="360"/>
      </w:pPr>
      <w:rPr>
        <w:rFonts w:hint="default"/>
        <w:vertAlign w:val="superscript"/>
      </w:r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4B73E7D"/>
    <w:multiLevelType w:val="hybridMultilevel"/>
    <w:tmpl w:val="F1DE5FF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831CBA"/>
    <w:multiLevelType w:val="hybridMultilevel"/>
    <w:tmpl w:val="073254DE"/>
    <w:lvl w:ilvl="0" w:tplc="F796D648">
      <w:numFmt w:val="bullet"/>
      <w:lvlText w:val="-"/>
      <w:lvlJc w:val="left"/>
      <w:pPr>
        <w:tabs>
          <w:tab w:val="num" w:pos="720"/>
        </w:tabs>
        <w:ind w:left="720" w:hanging="360"/>
      </w:pPr>
      <w:rPr>
        <w:rFonts w:ascii="Times New Roman" w:eastAsia="Times New Roman" w:hAnsi="Times New Roman" w:hint="default"/>
      </w:rPr>
    </w:lvl>
    <w:lvl w:ilvl="1" w:tplc="1BC6C960" w:tentative="1">
      <w:start w:val="1"/>
      <w:numFmt w:val="bullet"/>
      <w:lvlText w:val="o"/>
      <w:lvlJc w:val="left"/>
      <w:pPr>
        <w:tabs>
          <w:tab w:val="num" w:pos="1440"/>
        </w:tabs>
        <w:ind w:left="1440" w:hanging="360"/>
      </w:pPr>
      <w:rPr>
        <w:rFonts w:ascii="Courier New" w:hAnsi="Courier New" w:hint="default"/>
      </w:rPr>
    </w:lvl>
    <w:lvl w:ilvl="2" w:tplc="097EA908" w:tentative="1">
      <w:start w:val="1"/>
      <w:numFmt w:val="bullet"/>
      <w:lvlText w:val=""/>
      <w:lvlJc w:val="left"/>
      <w:pPr>
        <w:tabs>
          <w:tab w:val="num" w:pos="2160"/>
        </w:tabs>
        <w:ind w:left="2160" w:hanging="360"/>
      </w:pPr>
      <w:rPr>
        <w:rFonts w:ascii="Wingdings" w:hAnsi="Wingdings" w:hint="default"/>
      </w:rPr>
    </w:lvl>
    <w:lvl w:ilvl="3" w:tplc="37A65CE6" w:tentative="1">
      <w:start w:val="1"/>
      <w:numFmt w:val="bullet"/>
      <w:lvlText w:val=""/>
      <w:lvlJc w:val="left"/>
      <w:pPr>
        <w:tabs>
          <w:tab w:val="num" w:pos="2880"/>
        </w:tabs>
        <w:ind w:left="2880" w:hanging="360"/>
      </w:pPr>
      <w:rPr>
        <w:rFonts w:ascii="Symbol" w:hAnsi="Symbol" w:hint="default"/>
      </w:rPr>
    </w:lvl>
    <w:lvl w:ilvl="4" w:tplc="36E0BEAC" w:tentative="1">
      <w:start w:val="1"/>
      <w:numFmt w:val="bullet"/>
      <w:lvlText w:val="o"/>
      <w:lvlJc w:val="left"/>
      <w:pPr>
        <w:tabs>
          <w:tab w:val="num" w:pos="3600"/>
        </w:tabs>
        <w:ind w:left="3600" w:hanging="360"/>
      </w:pPr>
      <w:rPr>
        <w:rFonts w:ascii="Courier New" w:hAnsi="Courier New" w:hint="default"/>
      </w:rPr>
    </w:lvl>
    <w:lvl w:ilvl="5" w:tplc="7656231C" w:tentative="1">
      <w:start w:val="1"/>
      <w:numFmt w:val="bullet"/>
      <w:lvlText w:val=""/>
      <w:lvlJc w:val="left"/>
      <w:pPr>
        <w:tabs>
          <w:tab w:val="num" w:pos="4320"/>
        </w:tabs>
        <w:ind w:left="4320" w:hanging="360"/>
      </w:pPr>
      <w:rPr>
        <w:rFonts w:ascii="Wingdings" w:hAnsi="Wingdings" w:hint="default"/>
      </w:rPr>
    </w:lvl>
    <w:lvl w:ilvl="6" w:tplc="2B4C5100" w:tentative="1">
      <w:start w:val="1"/>
      <w:numFmt w:val="bullet"/>
      <w:lvlText w:val=""/>
      <w:lvlJc w:val="left"/>
      <w:pPr>
        <w:tabs>
          <w:tab w:val="num" w:pos="5040"/>
        </w:tabs>
        <w:ind w:left="5040" w:hanging="360"/>
      </w:pPr>
      <w:rPr>
        <w:rFonts w:ascii="Symbol" w:hAnsi="Symbol" w:hint="default"/>
      </w:rPr>
    </w:lvl>
    <w:lvl w:ilvl="7" w:tplc="C09A833C" w:tentative="1">
      <w:start w:val="1"/>
      <w:numFmt w:val="bullet"/>
      <w:lvlText w:val="o"/>
      <w:lvlJc w:val="left"/>
      <w:pPr>
        <w:tabs>
          <w:tab w:val="num" w:pos="5760"/>
        </w:tabs>
        <w:ind w:left="5760" w:hanging="360"/>
      </w:pPr>
      <w:rPr>
        <w:rFonts w:ascii="Courier New" w:hAnsi="Courier New" w:hint="default"/>
      </w:rPr>
    </w:lvl>
    <w:lvl w:ilvl="8" w:tplc="1032CA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AF57FC"/>
    <w:multiLevelType w:val="hybridMultilevel"/>
    <w:tmpl w:val="015A3414"/>
    <w:lvl w:ilvl="0" w:tplc="5B4C00E4">
      <w:start w:val="1"/>
      <w:numFmt w:val="bullet"/>
      <w:lvlText w:val=""/>
      <w:lvlJc w:val="left"/>
      <w:pPr>
        <w:ind w:left="360" w:hanging="360"/>
      </w:pPr>
      <w:rPr>
        <w:rFonts w:ascii="Symbol" w:hAnsi="Symbol" w:hint="default"/>
      </w:rPr>
    </w:lvl>
    <w:lvl w:ilvl="1" w:tplc="8DCE8ADC" w:tentative="1">
      <w:start w:val="1"/>
      <w:numFmt w:val="lowerLetter"/>
      <w:lvlText w:val="%2."/>
      <w:lvlJc w:val="left"/>
      <w:pPr>
        <w:ind w:left="1080" w:hanging="360"/>
      </w:pPr>
      <w:rPr>
        <w:rFonts w:cs="Times New Roman"/>
      </w:rPr>
    </w:lvl>
    <w:lvl w:ilvl="2" w:tplc="AFEEE1EC" w:tentative="1">
      <w:start w:val="1"/>
      <w:numFmt w:val="lowerRoman"/>
      <w:lvlText w:val="%3."/>
      <w:lvlJc w:val="right"/>
      <w:pPr>
        <w:ind w:left="1800" w:hanging="180"/>
      </w:pPr>
      <w:rPr>
        <w:rFonts w:cs="Times New Roman"/>
      </w:rPr>
    </w:lvl>
    <w:lvl w:ilvl="3" w:tplc="C8A4B568" w:tentative="1">
      <w:start w:val="1"/>
      <w:numFmt w:val="decimal"/>
      <w:lvlText w:val="%4."/>
      <w:lvlJc w:val="left"/>
      <w:pPr>
        <w:ind w:left="2520" w:hanging="360"/>
      </w:pPr>
      <w:rPr>
        <w:rFonts w:cs="Times New Roman"/>
      </w:rPr>
    </w:lvl>
    <w:lvl w:ilvl="4" w:tplc="FC38960C" w:tentative="1">
      <w:start w:val="1"/>
      <w:numFmt w:val="lowerLetter"/>
      <w:lvlText w:val="%5."/>
      <w:lvlJc w:val="left"/>
      <w:pPr>
        <w:ind w:left="3240" w:hanging="360"/>
      </w:pPr>
      <w:rPr>
        <w:rFonts w:cs="Times New Roman"/>
      </w:rPr>
    </w:lvl>
    <w:lvl w:ilvl="5" w:tplc="F8BE524C" w:tentative="1">
      <w:start w:val="1"/>
      <w:numFmt w:val="lowerRoman"/>
      <w:lvlText w:val="%6."/>
      <w:lvlJc w:val="right"/>
      <w:pPr>
        <w:ind w:left="3960" w:hanging="180"/>
      </w:pPr>
      <w:rPr>
        <w:rFonts w:cs="Times New Roman"/>
      </w:rPr>
    </w:lvl>
    <w:lvl w:ilvl="6" w:tplc="C810AB76" w:tentative="1">
      <w:start w:val="1"/>
      <w:numFmt w:val="decimal"/>
      <w:lvlText w:val="%7."/>
      <w:lvlJc w:val="left"/>
      <w:pPr>
        <w:ind w:left="4680" w:hanging="360"/>
      </w:pPr>
      <w:rPr>
        <w:rFonts w:cs="Times New Roman"/>
      </w:rPr>
    </w:lvl>
    <w:lvl w:ilvl="7" w:tplc="46FED226" w:tentative="1">
      <w:start w:val="1"/>
      <w:numFmt w:val="lowerLetter"/>
      <w:lvlText w:val="%8."/>
      <w:lvlJc w:val="left"/>
      <w:pPr>
        <w:ind w:left="5400" w:hanging="360"/>
      </w:pPr>
      <w:rPr>
        <w:rFonts w:cs="Times New Roman"/>
      </w:rPr>
    </w:lvl>
    <w:lvl w:ilvl="8" w:tplc="9BB60BA0" w:tentative="1">
      <w:start w:val="1"/>
      <w:numFmt w:val="lowerRoman"/>
      <w:lvlText w:val="%9."/>
      <w:lvlJc w:val="right"/>
      <w:pPr>
        <w:ind w:left="6120" w:hanging="180"/>
      </w:pPr>
      <w:rPr>
        <w:rFonts w:cs="Times New Roman"/>
      </w:rPr>
    </w:lvl>
  </w:abstractNum>
  <w:abstractNum w:abstractNumId="12" w15:restartNumberingAfterBreak="0">
    <w:nsid w:val="33477A60"/>
    <w:multiLevelType w:val="hybridMultilevel"/>
    <w:tmpl w:val="F0DE2F7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047FE6"/>
    <w:multiLevelType w:val="hybridMultilevel"/>
    <w:tmpl w:val="E9563C7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264EE5"/>
    <w:multiLevelType w:val="hybridMultilevel"/>
    <w:tmpl w:val="D862E1F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BAD2179"/>
    <w:multiLevelType w:val="hybridMultilevel"/>
    <w:tmpl w:val="AB321FD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B74C39"/>
    <w:multiLevelType w:val="hybridMultilevel"/>
    <w:tmpl w:val="ECF0425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985F9F"/>
    <w:multiLevelType w:val="hybridMultilevel"/>
    <w:tmpl w:val="2084DBB4"/>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6AB5ADE"/>
    <w:multiLevelType w:val="hybridMultilevel"/>
    <w:tmpl w:val="1B342242"/>
    <w:lvl w:ilvl="0" w:tplc="201AF476">
      <w:start w:val="2"/>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74F5953"/>
    <w:multiLevelType w:val="hybridMultilevel"/>
    <w:tmpl w:val="3B6059B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6D4929"/>
    <w:multiLevelType w:val="hybridMultilevel"/>
    <w:tmpl w:val="C044934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AB356C"/>
    <w:multiLevelType w:val="hybridMultilevel"/>
    <w:tmpl w:val="D6727D26"/>
    <w:lvl w:ilvl="0" w:tplc="8F10D2E0">
      <w:start w:val="3"/>
      <w:numFmt w:val="upperLetter"/>
      <w:lvlText w:val="%1."/>
      <w:lvlJc w:val="left"/>
      <w:pPr>
        <w:ind w:left="360" w:hanging="360"/>
      </w:pPr>
      <w:rPr>
        <w:rFonts w:cs="Times New Roman" w:hint="default"/>
        <w:b/>
      </w:rPr>
    </w:lvl>
    <w:lvl w:ilvl="1" w:tplc="5112B574" w:tentative="1">
      <w:start w:val="1"/>
      <w:numFmt w:val="lowerLetter"/>
      <w:lvlText w:val="%2."/>
      <w:lvlJc w:val="left"/>
      <w:pPr>
        <w:ind w:left="1080" w:hanging="360"/>
      </w:pPr>
      <w:rPr>
        <w:rFonts w:cs="Times New Roman"/>
      </w:rPr>
    </w:lvl>
    <w:lvl w:ilvl="2" w:tplc="A476F0F4" w:tentative="1">
      <w:start w:val="1"/>
      <w:numFmt w:val="lowerRoman"/>
      <w:lvlText w:val="%3."/>
      <w:lvlJc w:val="right"/>
      <w:pPr>
        <w:ind w:left="1800" w:hanging="180"/>
      </w:pPr>
      <w:rPr>
        <w:rFonts w:cs="Times New Roman"/>
      </w:rPr>
    </w:lvl>
    <w:lvl w:ilvl="3" w:tplc="88F00772" w:tentative="1">
      <w:start w:val="1"/>
      <w:numFmt w:val="decimal"/>
      <w:lvlText w:val="%4."/>
      <w:lvlJc w:val="left"/>
      <w:pPr>
        <w:ind w:left="2520" w:hanging="360"/>
      </w:pPr>
      <w:rPr>
        <w:rFonts w:cs="Times New Roman"/>
      </w:rPr>
    </w:lvl>
    <w:lvl w:ilvl="4" w:tplc="DFB84B76" w:tentative="1">
      <w:start w:val="1"/>
      <w:numFmt w:val="lowerLetter"/>
      <w:lvlText w:val="%5."/>
      <w:lvlJc w:val="left"/>
      <w:pPr>
        <w:ind w:left="3240" w:hanging="360"/>
      </w:pPr>
      <w:rPr>
        <w:rFonts w:cs="Times New Roman"/>
      </w:rPr>
    </w:lvl>
    <w:lvl w:ilvl="5" w:tplc="5596E23E" w:tentative="1">
      <w:start w:val="1"/>
      <w:numFmt w:val="lowerRoman"/>
      <w:lvlText w:val="%6."/>
      <w:lvlJc w:val="right"/>
      <w:pPr>
        <w:ind w:left="3960" w:hanging="180"/>
      </w:pPr>
      <w:rPr>
        <w:rFonts w:cs="Times New Roman"/>
      </w:rPr>
    </w:lvl>
    <w:lvl w:ilvl="6" w:tplc="210E73A0" w:tentative="1">
      <w:start w:val="1"/>
      <w:numFmt w:val="decimal"/>
      <w:lvlText w:val="%7."/>
      <w:lvlJc w:val="left"/>
      <w:pPr>
        <w:ind w:left="4680" w:hanging="360"/>
      </w:pPr>
      <w:rPr>
        <w:rFonts w:cs="Times New Roman"/>
      </w:rPr>
    </w:lvl>
    <w:lvl w:ilvl="7" w:tplc="45D20DAC" w:tentative="1">
      <w:start w:val="1"/>
      <w:numFmt w:val="lowerLetter"/>
      <w:lvlText w:val="%8."/>
      <w:lvlJc w:val="left"/>
      <w:pPr>
        <w:ind w:left="5400" w:hanging="360"/>
      </w:pPr>
      <w:rPr>
        <w:rFonts w:cs="Times New Roman"/>
      </w:rPr>
    </w:lvl>
    <w:lvl w:ilvl="8" w:tplc="FF889894" w:tentative="1">
      <w:start w:val="1"/>
      <w:numFmt w:val="lowerRoman"/>
      <w:lvlText w:val="%9."/>
      <w:lvlJc w:val="right"/>
      <w:pPr>
        <w:ind w:left="6120" w:hanging="180"/>
      </w:pPr>
      <w:rPr>
        <w:rFonts w:cs="Times New Roman"/>
      </w:rPr>
    </w:lvl>
  </w:abstractNum>
  <w:abstractNum w:abstractNumId="22" w15:restartNumberingAfterBreak="0">
    <w:nsid w:val="53E37F62"/>
    <w:multiLevelType w:val="hybridMultilevel"/>
    <w:tmpl w:val="5530A512"/>
    <w:lvl w:ilvl="0" w:tplc="B04E1388">
      <w:start w:val="1"/>
      <w:numFmt w:val="bullet"/>
      <w:lvlText w:val=""/>
      <w:lvlJc w:val="left"/>
      <w:pPr>
        <w:ind w:left="720" w:hanging="360"/>
      </w:pPr>
      <w:rPr>
        <w:rFonts w:ascii="Symbol" w:hAnsi="Symbol" w:hint="default"/>
      </w:rPr>
    </w:lvl>
    <w:lvl w:ilvl="1" w:tplc="85B2888A" w:tentative="1">
      <w:start w:val="1"/>
      <w:numFmt w:val="bullet"/>
      <w:lvlText w:val="o"/>
      <w:lvlJc w:val="left"/>
      <w:pPr>
        <w:ind w:left="1440" w:hanging="360"/>
      </w:pPr>
      <w:rPr>
        <w:rFonts w:ascii="Courier New" w:hAnsi="Courier New" w:hint="default"/>
      </w:rPr>
    </w:lvl>
    <w:lvl w:ilvl="2" w:tplc="A59CED94" w:tentative="1">
      <w:start w:val="1"/>
      <w:numFmt w:val="bullet"/>
      <w:lvlText w:val=""/>
      <w:lvlJc w:val="left"/>
      <w:pPr>
        <w:ind w:left="2160" w:hanging="360"/>
      </w:pPr>
      <w:rPr>
        <w:rFonts w:ascii="Wingdings" w:hAnsi="Wingdings" w:hint="default"/>
      </w:rPr>
    </w:lvl>
    <w:lvl w:ilvl="3" w:tplc="CE46033E" w:tentative="1">
      <w:start w:val="1"/>
      <w:numFmt w:val="bullet"/>
      <w:lvlText w:val=""/>
      <w:lvlJc w:val="left"/>
      <w:pPr>
        <w:ind w:left="2880" w:hanging="360"/>
      </w:pPr>
      <w:rPr>
        <w:rFonts w:ascii="Symbol" w:hAnsi="Symbol" w:hint="default"/>
      </w:rPr>
    </w:lvl>
    <w:lvl w:ilvl="4" w:tplc="DB063690" w:tentative="1">
      <w:start w:val="1"/>
      <w:numFmt w:val="bullet"/>
      <w:lvlText w:val="o"/>
      <w:lvlJc w:val="left"/>
      <w:pPr>
        <w:ind w:left="3600" w:hanging="360"/>
      </w:pPr>
      <w:rPr>
        <w:rFonts w:ascii="Courier New" w:hAnsi="Courier New" w:hint="default"/>
      </w:rPr>
    </w:lvl>
    <w:lvl w:ilvl="5" w:tplc="B0C27110" w:tentative="1">
      <w:start w:val="1"/>
      <w:numFmt w:val="bullet"/>
      <w:lvlText w:val=""/>
      <w:lvlJc w:val="left"/>
      <w:pPr>
        <w:ind w:left="4320" w:hanging="360"/>
      </w:pPr>
      <w:rPr>
        <w:rFonts w:ascii="Wingdings" w:hAnsi="Wingdings" w:hint="default"/>
      </w:rPr>
    </w:lvl>
    <w:lvl w:ilvl="6" w:tplc="D8E682A6" w:tentative="1">
      <w:start w:val="1"/>
      <w:numFmt w:val="bullet"/>
      <w:lvlText w:val=""/>
      <w:lvlJc w:val="left"/>
      <w:pPr>
        <w:ind w:left="5040" w:hanging="360"/>
      </w:pPr>
      <w:rPr>
        <w:rFonts w:ascii="Symbol" w:hAnsi="Symbol" w:hint="default"/>
      </w:rPr>
    </w:lvl>
    <w:lvl w:ilvl="7" w:tplc="AD0C4572" w:tentative="1">
      <w:start w:val="1"/>
      <w:numFmt w:val="bullet"/>
      <w:lvlText w:val="o"/>
      <w:lvlJc w:val="left"/>
      <w:pPr>
        <w:ind w:left="5760" w:hanging="360"/>
      </w:pPr>
      <w:rPr>
        <w:rFonts w:ascii="Courier New" w:hAnsi="Courier New" w:hint="default"/>
      </w:rPr>
    </w:lvl>
    <w:lvl w:ilvl="8" w:tplc="9FBA4208" w:tentative="1">
      <w:start w:val="1"/>
      <w:numFmt w:val="bullet"/>
      <w:lvlText w:val=""/>
      <w:lvlJc w:val="left"/>
      <w:pPr>
        <w:ind w:left="6480" w:hanging="360"/>
      </w:pPr>
      <w:rPr>
        <w:rFonts w:ascii="Wingdings" w:hAnsi="Wingdings" w:hint="default"/>
      </w:rPr>
    </w:lvl>
  </w:abstractNum>
  <w:abstractNum w:abstractNumId="23" w15:restartNumberingAfterBreak="0">
    <w:nsid w:val="67434124"/>
    <w:multiLevelType w:val="hybridMultilevel"/>
    <w:tmpl w:val="61543382"/>
    <w:lvl w:ilvl="0" w:tplc="864223F8">
      <w:start w:val="1"/>
      <w:numFmt w:val="lowerLetter"/>
      <w:lvlText w:val="%1"/>
      <w:lvlJc w:val="left"/>
      <w:pPr>
        <w:ind w:left="720" w:hanging="360"/>
      </w:pPr>
      <w:rPr>
        <w:rFonts w:hint="default"/>
        <w:vertAlign w:val="superscrip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9703DC3"/>
    <w:multiLevelType w:val="hybridMultilevel"/>
    <w:tmpl w:val="5F18724C"/>
    <w:lvl w:ilvl="0" w:tplc="B2AAC326">
      <w:start w:val="1"/>
      <w:numFmt w:val="lowerLetter"/>
      <w:lvlText w:val="%1"/>
      <w:lvlJc w:val="left"/>
      <w:pPr>
        <w:ind w:left="720" w:hanging="360"/>
      </w:pPr>
      <w:rPr>
        <w:rFonts w:hint="default"/>
        <w:vertAlign w:val="superscrip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6F9337D0"/>
    <w:multiLevelType w:val="hybridMultilevel"/>
    <w:tmpl w:val="B6C885E6"/>
    <w:lvl w:ilvl="0" w:tplc="BE3804A8">
      <w:start w:val="1"/>
      <w:numFmt w:val="bullet"/>
      <w:lvlText w:val=""/>
      <w:lvlJc w:val="left"/>
      <w:pPr>
        <w:tabs>
          <w:tab w:val="num" w:pos="720"/>
        </w:tabs>
        <w:ind w:left="720" w:hanging="360"/>
      </w:pPr>
      <w:rPr>
        <w:rFonts w:ascii="Symbol" w:hAnsi="Symbol" w:hint="default"/>
      </w:rPr>
    </w:lvl>
    <w:lvl w:ilvl="1" w:tplc="1480F67E" w:tentative="1">
      <w:start w:val="1"/>
      <w:numFmt w:val="bullet"/>
      <w:lvlText w:val="o"/>
      <w:lvlJc w:val="left"/>
      <w:pPr>
        <w:tabs>
          <w:tab w:val="num" w:pos="1440"/>
        </w:tabs>
        <w:ind w:left="1440" w:hanging="360"/>
      </w:pPr>
      <w:rPr>
        <w:rFonts w:ascii="Courier New" w:hAnsi="Courier New" w:hint="default"/>
      </w:rPr>
    </w:lvl>
    <w:lvl w:ilvl="2" w:tplc="E29CFA48" w:tentative="1">
      <w:start w:val="1"/>
      <w:numFmt w:val="bullet"/>
      <w:lvlText w:val=""/>
      <w:lvlJc w:val="left"/>
      <w:pPr>
        <w:tabs>
          <w:tab w:val="num" w:pos="2160"/>
        </w:tabs>
        <w:ind w:left="2160" w:hanging="360"/>
      </w:pPr>
      <w:rPr>
        <w:rFonts w:ascii="Wingdings" w:hAnsi="Wingdings" w:hint="default"/>
      </w:rPr>
    </w:lvl>
    <w:lvl w:ilvl="3" w:tplc="5E123AFC" w:tentative="1">
      <w:start w:val="1"/>
      <w:numFmt w:val="bullet"/>
      <w:lvlText w:val=""/>
      <w:lvlJc w:val="left"/>
      <w:pPr>
        <w:tabs>
          <w:tab w:val="num" w:pos="2880"/>
        </w:tabs>
        <w:ind w:left="2880" w:hanging="360"/>
      </w:pPr>
      <w:rPr>
        <w:rFonts w:ascii="Symbol" w:hAnsi="Symbol" w:hint="default"/>
      </w:rPr>
    </w:lvl>
    <w:lvl w:ilvl="4" w:tplc="419C659A" w:tentative="1">
      <w:start w:val="1"/>
      <w:numFmt w:val="bullet"/>
      <w:lvlText w:val="o"/>
      <w:lvlJc w:val="left"/>
      <w:pPr>
        <w:tabs>
          <w:tab w:val="num" w:pos="3600"/>
        </w:tabs>
        <w:ind w:left="3600" w:hanging="360"/>
      </w:pPr>
      <w:rPr>
        <w:rFonts w:ascii="Courier New" w:hAnsi="Courier New" w:hint="default"/>
      </w:rPr>
    </w:lvl>
    <w:lvl w:ilvl="5" w:tplc="2E3C2848" w:tentative="1">
      <w:start w:val="1"/>
      <w:numFmt w:val="bullet"/>
      <w:lvlText w:val=""/>
      <w:lvlJc w:val="left"/>
      <w:pPr>
        <w:tabs>
          <w:tab w:val="num" w:pos="4320"/>
        </w:tabs>
        <w:ind w:left="4320" w:hanging="360"/>
      </w:pPr>
      <w:rPr>
        <w:rFonts w:ascii="Wingdings" w:hAnsi="Wingdings" w:hint="default"/>
      </w:rPr>
    </w:lvl>
    <w:lvl w:ilvl="6" w:tplc="CA780AAA" w:tentative="1">
      <w:start w:val="1"/>
      <w:numFmt w:val="bullet"/>
      <w:lvlText w:val=""/>
      <w:lvlJc w:val="left"/>
      <w:pPr>
        <w:tabs>
          <w:tab w:val="num" w:pos="5040"/>
        </w:tabs>
        <w:ind w:left="5040" w:hanging="360"/>
      </w:pPr>
      <w:rPr>
        <w:rFonts w:ascii="Symbol" w:hAnsi="Symbol" w:hint="default"/>
      </w:rPr>
    </w:lvl>
    <w:lvl w:ilvl="7" w:tplc="65224A10" w:tentative="1">
      <w:start w:val="1"/>
      <w:numFmt w:val="bullet"/>
      <w:lvlText w:val="o"/>
      <w:lvlJc w:val="left"/>
      <w:pPr>
        <w:tabs>
          <w:tab w:val="num" w:pos="5760"/>
        </w:tabs>
        <w:ind w:left="5760" w:hanging="360"/>
      </w:pPr>
      <w:rPr>
        <w:rFonts w:ascii="Courier New" w:hAnsi="Courier New" w:hint="default"/>
      </w:rPr>
    </w:lvl>
    <w:lvl w:ilvl="8" w:tplc="B9AC7F5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577FAD"/>
    <w:multiLevelType w:val="hybridMultilevel"/>
    <w:tmpl w:val="C7907AA8"/>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1"/>
  </w:num>
  <w:num w:numId="4">
    <w:abstractNumId w:val="21"/>
  </w:num>
  <w:num w:numId="5">
    <w:abstractNumId w:val="26"/>
  </w:num>
  <w:num w:numId="6">
    <w:abstractNumId w:val="22"/>
  </w:num>
  <w:num w:numId="7">
    <w:abstractNumId w:val="14"/>
  </w:num>
  <w:num w:numId="8">
    <w:abstractNumId w:val="4"/>
  </w:num>
  <w:num w:numId="9">
    <w:abstractNumId w:val="1"/>
  </w:num>
  <w:num w:numId="10">
    <w:abstractNumId w:val="23"/>
  </w:num>
  <w:num w:numId="11">
    <w:abstractNumId w:val="0"/>
  </w:num>
  <w:num w:numId="12">
    <w:abstractNumId w:val="13"/>
  </w:num>
  <w:num w:numId="13">
    <w:abstractNumId w:val="9"/>
  </w:num>
  <w:num w:numId="14">
    <w:abstractNumId w:val="20"/>
  </w:num>
  <w:num w:numId="15">
    <w:abstractNumId w:val="12"/>
  </w:num>
  <w:num w:numId="16">
    <w:abstractNumId w:val="16"/>
  </w:num>
  <w:num w:numId="17">
    <w:abstractNumId w:val="17"/>
  </w:num>
  <w:num w:numId="18">
    <w:abstractNumId w:val="27"/>
  </w:num>
  <w:num w:numId="19">
    <w:abstractNumId w:val="15"/>
  </w:num>
  <w:num w:numId="20">
    <w:abstractNumId w:val="5"/>
  </w:num>
  <w:num w:numId="21">
    <w:abstractNumId w:val="19"/>
  </w:num>
  <w:num w:numId="22">
    <w:abstractNumId w:val="6"/>
  </w:num>
  <w:num w:numId="23">
    <w:abstractNumId w:val="3"/>
  </w:num>
  <w:num w:numId="24">
    <w:abstractNumId w:val="7"/>
  </w:num>
  <w:num w:numId="25">
    <w:abstractNumId w:val="2"/>
  </w:num>
  <w:num w:numId="26">
    <w:abstractNumId w:val="8"/>
  </w:num>
  <w:num w:numId="27">
    <w:abstractNumId w:val="24"/>
  </w:num>
  <w:num w:numId="28">
    <w:abstractNumId w:val="1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alberg, Fanny">
    <w15:presenceInfo w15:providerId="AD" w15:userId="S::skalberg@corp.krka.biz::dff8d6b6-b694-4401-9fb6-85948672e5db"/>
  </w15:person>
  <w15:person w15:author="Vrečar, Irena">
    <w15:presenceInfo w15:providerId="AD" w15:userId="S::vrecari@corp.krka.biz::25c80ebc-64dc-48c2-ae29-53a795c58bcd"/>
  </w15:person>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LU" w:vendorID="64" w:dllVersion="6" w:nlCheck="1" w:checkStyle="0"/>
  <w:activeWritingStyle w:appName="MSWord" w:lang="en-GB" w:vendorID="64" w:dllVersion="6" w:nlCheck="1" w:checkStyle="1"/>
  <w:activeWritingStyle w:appName="MSWord" w:lang="en-US" w:vendorID="64" w:dllVersion="6" w:nlCheck="1" w:checkStyle="1"/>
  <w:activeWritingStyle w:appName="MSWord" w:lang="fr-L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LU" w:vendorID="64" w:dllVersion="0" w:nlCheck="1" w:checkStyle="0"/>
  <w:activeWritingStyle w:appName="MSWord" w:lang="en-GB" w:vendorID="64" w:dllVersion="0" w:nlCheck="1" w:checkStyle="0"/>
  <w:activeWritingStyle w:appName="MSWord" w:lang="en-US" w:vendorID="64" w:dllVersion="0" w:nlCheck="1" w:checkStyle="0"/>
  <w:activeWritingStyle w:appName="MSWord" w:lang="sv-S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91A81D5-EBA2-48D0-A186-1FBDD36F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LU" w:eastAsia="fr-LU"/>
    </w:rPr>
  </w:style>
  <w:style w:type="paragraph" w:styleId="Heading1">
    <w:name w:val="heading 1"/>
    <w:basedOn w:val="Normal"/>
    <w:link w:val="Heading1Char"/>
    <w:uiPriority w:val="9"/>
    <w:qFormat/>
    <w:pPr>
      <w:widowControl w:val="0"/>
      <w:tabs>
        <w:tab w:val="left" w:pos="-720"/>
      </w:tabs>
      <w:ind w:left="567" w:hanging="567"/>
      <w:outlineLvl w:val="0"/>
    </w:pPr>
    <w:rPr>
      <w:b/>
      <w:sz w:val="22"/>
      <w:szCs w:val="2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uiPriority w:val="99"/>
    <w:rPr>
      <w:rFonts w:ascii="Calibri" w:hAnsi="Calibri"/>
      <w:snapToGrid w:val="0"/>
      <w:sz w:val="24"/>
      <w:lang w:val="en-GB"/>
    </w:rPr>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
    <w:name w:val="Balloon Text Char"/>
    <w:uiPriority w:val="99"/>
    <w:locked/>
    <w:rPr>
      <w:rFonts w:ascii="Tahoma" w:hAnsi="Tahoma" w:cs="Times New Roman"/>
      <w:snapToGrid w:val="0"/>
      <w:sz w:val="16"/>
      <w:lang w:val="en-GB" w:eastAsia="en-US"/>
    </w:rPr>
  </w:style>
  <w:style w:type="character" w:customStyle="1" w:styleId="FooterChar">
    <w:name w:val="Footer Char"/>
    <w:uiPriority w:val="99"/>
    <w:rPr>
      <w:snapToGrid w:val="0"/>
      <w:sz w:val="22"/>
      <w:lang w:val="en-GB"/>
    </w:rPr>
  </w:style>
  <w:style w:type="character" w:customStyle="1" w:styleId="BalloonTextChar1">
    <w:name w:val="Balloon Text Char1"/>
    <w:link w:val="BalloonText"/>
    <w:uiPriority w:val="99"/>
    <w:locked/>
    <w:rPr>
      <w:rFonts w:ascii="Tahoma" w:hAnsi="Tahoma" w:cs="Tahoma"/>
      <w:sz w:val="16"/>
      <w:szCs w:val="16"/>
    </w:rPr>
  </w:style>
  <w:style w:type="character" w:customStyle="1" w:styleId="HeaderChar">
    <w:name w:val="Header Char"/>
    <w:uiPriority w:val="99"/>
    <w:rPr>
      <w:snapToGrid w:val="0"/>
      <w:sz w:val="22"/>
      <w:lang w:val="en-GB"/>
    </w:rPr>
  </w:style>
  <w:style w:type="character" w:styleId="PageNumber">
    <w:name w:val="page number"/>
    <w:uiPriority w:val="99"/>
    <w:rPr>
      <w:rFonts w:cs="Times New Roman"/>
    </w:rPr>
  </w:style>
  <w:style w:type="character" w:styleId="Hyperlink">
    <w:name w:val="Hyperlink"/>
    <w:uiPriority w:val="99"/>
    <w:rPr>
      <w:rFonts w:cs="Times New Roman"/>
      <w:color w:val="0000FF"/>
      <w:u w:val="single"/>
    </w:rPr>
  </w:style>
  <w:style w:type="paragraph" w:customStyle="1" w:styleId="TabletextrowsAgency">
    <w:name w:val="Table text rows (Agency)"/>
    <w:basedOn w:val="Normal"/>
    <w:uiPriority w:val="99"/>
    <w:pPr>
      <w:spacing w:line="280" w:lineRule="exact"/>
    </w:pPr>
    <w:rPr>
      <w:rFonts w:ascii="Verdana" w:hAnsi="Verdana"/>
      <w:sz w:val="18"/>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CommentReference">
    <w:name w:val="annotation reference"/>
    <w:uiPriority w:val="99"/>
    <w:rPr>
      <w:rFonts w:cs="Times New Roman"/>
      <w:sz w:val="16"/>
    </w:rPr>
  </w:style>
  <w:style w:type="character" w:customStyle="1" w:styleId="CommentTextChar">
    <w:name w:val="Comment Text Char"/>
    <w:uiPriority w:val="99"/>
    <w:rPr>
      <w:snapToGrid w:val="0"/>
      <w:lang w:val="en-GB" w:eastAsia="en-US"/>
    </w:rPr>
  </w:style>
  <w:style w:type="character" w:customStyle="1" w:styleId="CommentSubjectChar">
    <w:name w:val="Comment Subject Char"/>
    <w:uiPriority w:val="99"/>
    <w:rPr>
      <w:b/>
      <w:snapToGrid w:val="0"/>
      <w:lang w:val="en-GB" w:eastAsia="en-US"/>
    </w:rPr>
  </w:style>
  <w:style w:type="character" w:customStyle="1" w:styleId="shorttext">
    <w:name w:val="short_text"/>
    <w:uiPriority w:val="99"/>
    <w:rPr>
      <w:rFonts w:cs="Times New Roman"/>
    </w:rPr>
  </w:style>
  <w:style w:type="character" w:customStyle="1" w:styleId="hps">
    <w:name w:val="hps"/>
    <w:uiPriority w:val="99"/>
    <w:rPr>
      <w:rFonts w:cs="Times New Roman"/>
    </w:rPr>
  </w:style>
  <w:style w:type="paragraph" w:styleId="Revision">
    <w:name w:val="Revision"/>
    <w:hidden/>
    <w:uiPriority w:val="99"/>
    <w:semiHidden/>
    <w:rPr>
      <w:sz w:val="22"/>
      <w:lang w:eastAsia="en-US"/>
    </w:rPr>
  </w:style>
  <w:style w:type="paragraph" w:styleId="Header">
    <w:name w:val="header"/>
    <w:basedOn w:val="Normal"/>
    <w:link w:val="HeaderChar1"/>
    <w:uiPriority w:val="99"/>
    <w:pPr>
      <w:tabs>
        <w:tab w:val="center" w:pos="4513"/>
        <w:tab w:val="right" w:pos="9026"/>
      </w:tabs>
    </w:pPr>
  </w:style>
  <w:style w:type="character" w:customStyle="1" w:styleId="HeaderChar1">
    <w:name w:val="Header Char1"/>
    <w:link w:val="Header"/>
    <w:uiPriority w:val="99"/>
    <w:locked/>
    <w:rPr>
      <w:rFonts w:cs="Times New Roman"/>
    </w:rPr>
  </w:style>
  <w:style w:type="paragraph" w:styleId="Footer">
    <w:name w:val="footer"/>
    <w:basedOn w:val="Normal"/>
    <w:link w:val="FooterChar1"/>
    <w:uiPriority w:val="99"/>
    <w:pPr>
      <w:tabs>
        <w:tab w:val="center" w:pos="4513"/>
        <w:tab w:val="right" w:pos="9026"/>
      </w:tabs>
    </w:pPr>
  </w:style>
  <w:style w:type="character" w:customStyle="1" w:styleId="FooterChar1">
    <w:name w:val="Footer Char1"/>
    <w:link w:val="Footer"/>
    <w:uiPriority w:val="99"/>
    <w:locked/>
    <w:rPr>
      <w:rFonts w:cs="Times New Roman"/>
    </w:rPr>
  </w:style>
  <w:style w:type="paragraph" w:styleId="CommentText">
    <w:name w:val="annotation text"/>
    <w:basedOn w:val="Normal"/>
    <w:link w:val="CommentTextChar1"/>
    <w:uiPriority w:val="99"/>
    <w:semiHidden/>
  </w:style>
  <w:style w:type="character" w:customStyle="1" w:styleId="CommentTextChar1">
    <w:name w:val="Comment Text Char1"/>
    <w:link w:val="CommentText"/>
    <w:uiPriority w:val="99"/>
    <w:semiHidden/>
    <w:locked/>
    <w:rPr>
      <w:rFonts w:cs="Times New Roman"/>
    </w:rPr>
  </w:style>
  <w:style w:type="paragraph" w:styleId="CommentSubject">
    <w:name w:val="annotation subject"/>
    <w:basedOn w:val="CommentText"/>
    <w:next w:val="CommentText"/>
    <w:link w:val="CommentSubjectChar1"/>
    <w:uiPriority w:val="99"/>
    <w:semiHidden/>
    <w:rPr>
      <w:b/>
      <w:bCs/>
    </w:rPr>
  </w:style>
  <w:style w:type="character" w:customStyle="1" w:styleId="CommentSubjectChar1">
    <w:name w:val="Comment Subject Char1"/>
    <w:link w:val="CommentSubject"/>
    <w:uiPriority w:val="99"/>
    <w:semiHidden/>
    <w:locked/>
    <w:rPr>
      <w:rFonts w:cs="Times New Roman"/>
      <w:b/>
      <w:bCs/>
    </w:rPr>
  </w:style>
  <w:style w:type="paragraph" w:styleId="ListParagraph">
    <w:name w:val="List Paragraph"/>
    <w:basedOn w:val="Normal"/>
    <w:uiPriority w:val="1"/>
    <w:qFormat/>
    <w:pPr>
      <w:ind w:left="720"/>
      <w:contextualSpacing/>
    </w:pPr>
  </w:style>
  <w:style w:type="paragraph" w:styleId="BodyText">
    <w:name w:val="Body Text"/>
    <w:basedOn w:val="Normal"/>
    <w:link w:val="BodyTextChar"/>
    <w:uiPriority w:val="1"/>
    <w:qFormat/>
    <w:locked/>
    <w:pPr>
      <w:widowControl w:val="0"/>
      <w:autoSpaceDE w:val="0"/>
      <w:autoSpaceDN w:val="0"/>
    </w:pPr>
    <w:rPr>
      <w:sz w:val="22"/>
      <w:szCs w:val="22"/>
      <w:lang w:val="en-US" w:eastAsia="en-US"/>
    </w:rPr>
  </w:style>
  <w:style w:type="character" w:customStyle="1" w:styleId="BodyTextChar">
    <w:name w:val="Body Text Char"/>
    <w:basedOn w:val="DefaultParagraphFont"/>
    <w:link w:val="BodyText"/>
    <w:uiPriority w:val="1"/>
    <w:rPr>
      <w:sz w:val="22"/>
      <w:szCs w:val="22"/>
      <w:lang w:val="en-US" w:eastAsia="en-US"/>
    </w:rPr>
  </w:style>
  <w:style w:type="character" w:customStyle="1" w:styleId="Heading1Char">
    <w:name w:val="Heading 1 Char"/>
    <w:basedOn w:val="DefaultParagraphFont"/>
    <w:link w:val="Heading1"/>
    <w:uiPriority w:val="9"/>
    <w:rPr>
      <w:b/>
      <w:sz w:val="22"/>
      <w:szCs w:val="22"/>
      <w:lang w:val="da-DK" w:eastAsia="fr-LU"/>
    </w:rPr>
  </w:style>
  <w:style w:type="paragraph" w:customStyle="1" w:styleId="TableParagraph">
    <w:name w:val="Table Paragraph"/>
    <w:basedOn w:val="Normal"/>
    <w:uiPriority w:val="1"/>
    <w:qFormat/>
    <w:pPr>
      <w:widowControl w:val="0"/>
      <w:autoSpaceDE w:val="0"/>
      <w:autoSpaceDN w:val="0"/>
    </w:pPr>
    <w:rPr>
      <w:sz w:val="22"/>
      <w:szCs w:val="22"/>
      <w:lang w:val="en-US" w:eastAsia="en-US"/>
    </w:rPr>
  </w:style>
  <w:style w:type="table" w:styleId="TableGrid">
    <w:name w:val="Table Grid"/>
    <w:basedOn w:val="TableNormal"/>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pPr>
      <w:widowControl w:val="0"/>
      <w:jc w:val="center"/>
      <w:outlineLvl w:val="0"/>
    </w:pPr>
    <w:rPr>
      <w:b/>
      <w:noProof/>
      <w:sz w:val="22"/>
      <w:szCs w:val="22"/>
      <w:lang w:val="en-GB" w:eastAsia="en-US"/>
    </w:rPr>
  </w:style>
  <w:style w:type="paragraph" w:customStyle="1" w:styleId="TitleB">
    <w:name w:val="Title B"/>
    <w:basedOn w:val="Normal"/>
    <w:qFormat/>
    <w:pPr>
      <w:widowControl w:val="0"/>
      <w:tabs>
        <w:tab w:val="left" w:pos="567"/>
      </w:tabs>
      <w:ind w:left="567" w:hanging="567"/>
    </w:pPr>
    <w:rPr>
      <w:b/>
      <w:bCs/>
      <w:noProof/>
      <w:sz w:val="22"/>
      <w:szCs w:val="22"/>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ema.europa.eu/en/medicines/human/EPAR/abiraterone-krka" TargetMode="Externa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ndlaegsseddel.d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38</Pages>
  <Words>11315</Words>
  <Characters>71595</Characters>
  <Application>Microsoft Office Word</Application>
  <DocSecurity>0</DocSecurity>
  <Lines>1988</Lines>
  <Paragraphs>952</Paragraphs>
  <ScaleCrop>false</ScaleCrop>
  <HeadingPairs>
    <vt:vector size="8" baseType="variant">
      <vt:variant>
        <vt:lpstr>Naslov</vt:lpstr>
      </vt:variant>
      <vt:variant>
        <vt:i4>1</vt:i4>
      </vt:variant>
      <vt:variant>
        <vt:lpstr>Rubrik</vt:lpstr>
      </vt:variant>
      <vt:variant>
        <vt:i4>1</vt:i4>
      </vt:variant>
      <vt:variant>
        <vt:lpstr>Titel</vt:lpstr>
      </vt:variant>
      <vt:variant>
        <vt:i4>1</vt:i4>
      </vt:variant>
      <vt:variant>
        <vt:lpstr>Title</vt:lpstr>
      </vt:variant>
      <vt:variant>
        <vt:i4>1</vt:i4>
      </vt:variant>
    </vt:vector>
  </HeadingPairs>
  <TitlesOfParts>
    <vt:vector size="4" baseType="lpstr">
      <vt:lpstr>Abiraterone Krka: EPAR - Product information - tracked changes</vt:lpstr>
      <vt:lpstr>Abiraterone Krka, INN-abiraterone acetate</vt:lpstr>
      <vt:lpstr>Abiraterone Krka, INN-abiraterone acetate</vt:lpstr>
      <vt:lpstr>Hqrdtemplateclean_da rev. 1</vt:lpstr>
    </vt:vector>
  </TitlesOfParts>
  <Company>Krka, d.d.</Company>
  <LinksUpToDate>false</LinksUpToDate>
  <CharactersWithSpaces>81958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cp:lastModifiedBy>dmadmin</cp:lastModifiedBy>
  <cp:revision>29</cp:revision>
  <cp:lastPrinted>2019-07-25T06:37:00Z</cp:lastPrinted>
  <dcterms:created xsi:type="dcterms:W3CDTF">2022-06-03T08:44:00Z</dcterms:created>
  <dcterms:modified xsi:type="dcterms:W3CDTF">2025-10-21T08:00:00Z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